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22F7" w14:textId="77777777" w:rsidR="006615F9" w:rsidRPr="006051F8" w:rsidRDefault="006615F9" w:rsidP="00DB1573">
      <w:pPr>
        <w:pStyle w:val="Header"/>
        <w:widowControl w:val="0"/>
        <w:tabs>
          <w:tab w:val="clear" w:pos="4320"/>
          <w:tab w:val="clear" w:pos="8640"/>
        </w:tabs>
        <w:rPr>
          <w:color w:val="000000"/>
          <w:szCs w:val="22"/>
        </w:rPr>
      </w:pPr>
      <w:bookmarkStart w:id="0" w:name="_GoBack"/>
      <w:bookmarkEnd w:id="0"/>
    </w:p>
    <w:p w14:paraId="6A5B237D" w14:textId="77777777" w:rsidR="006615F9" w:rsidRPr="006051F8" w:rsidRDefault="006615F9" w:rsidP="00DB1573">
      <w:pPr>
        <w:widowControl w:val="0"/>
        <w:rPr>
          <w:color w:val="000000"/>
          <w:sz w:val="22"/>
          <w:szCs w:val="22"/>
        </w:rPr>
      </w:pPr>
    </w:p>
    <w:p w14:paraId="456D505F" w14:textId="77777777" w:rsidR="006615F9" w:rsidRPr="006051F8" w:rsidRDefault="006615F9" w:rsidP="00DB1573">
      <w:pPr>
        <w:widowControl w:val="0"/>
        <w:rPr>
          <w:color w:val="000000"/>
          <w:sz w:val="22"/>
          <w:szCs w:val="22"/>
        </w:rPr>
      </w:pPr>
    </w:p>
    <w:p w14:paraId="0DB11DD0" w14:textId="77777777" w:rsidR="006615F9" w:rsidRPr="006051F8" w:rsidRDefault="006615F9" w:rsidP="00DB1573">
      <w:pPr>
        <w:widowControl w:val="0"/>
        <w:rPr>
          <w:color w:val="000000"/>
          <w:sz w:val="22"/>
          <w:szCs w:val="22"/>
        </w:rPr>
      </w:pPr>
    </w:p>
    <w:p w14:paraId="5ED16B1C" w14:textId="77777777" w:rsidR="006615F9" w:rsidRPr="006051F8" w:rsidRDefault="006615F9" w:rsidP="00DB1573">
      <w:pPr>
        <w:widowControl w:val="0"/>
        <w:rPr>
          <w:color w:val="000000"/>
          <w:sz w:val="22"/>
          <w:szCs w:val="22"/>
        </w:rPr>
      </w:pPr>
    </w:p>
    <w:p w14:paraId="2306F401" w14:textId="77777777" w:rsidR="006615F9" w:rsidRPr="006051F8" w:rsidRDefault="006615F9" w:rsidP="00DB1573">
      <w:pPr>
        <w:widowControl w:val="0"/>
        <w:rPr>
          <w:color w:val="000000"/>
          <w:sz w:val="22"/>
          <w:szCs w:val="22"/>
        </w:rPr>
      </w:pPr>
    </w:p>
    <w:p w14:paraId="5CCB943E" w14:textId="77777777" w:rsidR="006615F9" w:rsidRPr="006051F8" w:rsidRDefault="006615F9" w:rsidP="00DB1573">
      <w:pPr>
        <w:widowControl w:val="0"/>
        <w:rPr>
          <w:color w:val="000000"/>
          <w:sz w:val="22"/>
          <w:szCs w:val="22"/>
        </w:rPr>
      </w:pPr>
    </w:p>
    <w:p w14:paraId="0902EC1D" w14:textId="77777777" w:rsidR="006615F9" w:rsidRPr="006051F8" w:rsidRDefault="006615F9" w:rsidP="00DB1573">
      <w:pPr>
        <w:widowControl w:val="0"/>
        <w:rPr>
          <w:color w:val="000000"/>
          <w:sz w:val="22"/>
          <w:szCs w:val="22"/>
        </w:rPr>
      </w:pPr>
    </w:p>
    <w:p w14:paraId="5028C2FD" w14:textId="77777777" w:rsidR="006615F9" w:rsidRPr="006051F8" w:rsidRDefault="006615F9" w:rsidP="00DB1573">
      <w:pPr>
        <w:widowControl w:val="0"/>
        <w:rPr>
          <w:color w:val="000000"/>
          <w:sz w:val="22"/>
          <w:szCs w:val="22"/>
        </w:rPr>
      </w:pPr>
    </w:p>
    <w:p w14:paraId="46CD556D" w14:textId="77777777" w:rsidR="006615F9" w:rsidRPr="006051F8" w:rsidRDefault="006615F9" w:rsidP="00DB1573">
      <w:pPr>
        <w:widowControl w:val="0"/>
        <w:rPr>
          <w:color w:val="000000"/>
          <w:sz w:val="22"/>
          <w:szCs w:val="22"/>
        </w:rPr>
      </w:pPr>
    </w:p>
    <w:p w14:paraId="4E53178E" w14:textId="77777777" w:rsidR="006615F9" w:rsidRPr="006051F8" w:rsidRDefault="006615F9" w:rsidP="00DB1573">
      <w:pPr>
        <w:widowControl w:val="0"/>
        <w:rPr>
          <w:color w:val="000000"/>
          <w:sz w:val="22"/>
          <w:szCs w:val="22"/>
        </w:rPr>
      </w:pPr>
    </w:p>
    <w:p w14:paraId="64BB7E12" w14:textId="77777777" w:rsidR="006615F9" w:rsidRPr="006051F8" w:rsidRDefault="006615F9" w:rsidP="00DB1573">
      <w:pPr>
        <w:widowControl w:val="0"/>
        <w:rPr>
          <w:color w:val="000000"/>
          <w:sz w:val="22"/>
          <w:szCs w:val="22"/>
        </w:rPr>
      </w:pPr>
    </w:p>
    <w:p w14:paraId="07E0706E" w14:textId="77777777" w:rsidR="0078519F" w:rsidRPr="006051F8" w:rsidRDefault="0078519F" w:rsidP="00DB1573">
      <w:pPr>
        <w:widowControl w:val="0"/>
        <w:rPr>
          <w:color w:val="000000"/>
          <w:sz w:val="22"/>
          <w:szCs w:val="22"/>
        </w:rPr>
      </w:pPr>
    </w:p>
    <w:p w14:paraId="4845D10D" w14:textId="77777777" w:rsidR="006615F9" w:rsidRPr="006051F8" w:rsidRDefault="006615F9" w:rsidP="00DB1573">
      <w:pPr>
        <w:widowControl w:val="0"/>
        <w:rPr>
          <w:color w:val="000000"/>
          <w:sz w:val="22"/>
          <w:szCs w:val="22"/>
        </w:rPr>
      </w:pPr>
    </w:p>
    <w:p w14:paraId="3971B631" w14:textId="77777777" w:rsidR="006615F9" w:rsidRPr="006051F8" w:rsidRDefault="006615F9" w:rsidP="00DB1573">
      <w:pPr>
        <w:widowControl w:val="0"/>
        <w:rPr>
          <w:color w:val="000000"/>
          <w:sz w:val="22"/>
          <w:szCs w:val="22"/>
        </w:rPr>
      </w:pPr>
    </w:p>
    <w:p w14:paraId="5A6740CD" w14:textId="77777777" w:rsidR="00F0239D" w:rsidRPr="006051F8" w:rsidRDefault="00F0239D" w:rsidP="00DB1573">
      <w:pPr>
        <w:pStyle w:val="Header"/>
        <w:widowControl w:val="0"/>
        <w:tabs>
          <w:tab w:val="clear" w:pos="4320"/>
          <w:tab w:val="clear" w:pos="8640"/>
        </w:tabs>
        <w:rPr>
          <w:color w:val="000000"/>
          <w:szCs w:val="22"/>
        </w:rPr>
      </w:pPr>
    </w:p>
    <w:p w14:paraId="462DF1DB" w14:textId="77777777" w:rsidR="006615F9" w:rsidRPr="006051F8" w:rsidRDefault="006615F9" w:rsidP="00DB1573">
      <w:pPr>
        <w:widowControl w:val="0"/>
        <w:rPr>
          <w:color w:val="000000"/>
          <w:sz w:val="22"/>
          <w:szCs w:val="22"/>
        </w:rPr>
      </w:pPr>
    </w:p>
    <w:p w14:paraId="6BA44249" w14:textId="77777777" w:rsidR="006615F9" w:rsidRPr="006051F8" w:rsidRDefault="006615F9" w:rsidP="00DB1573">
      <w:pPr>
        <w:widowControl w:val="0"/>
        <w:rPr>
          <w:color w:val="000000"/>
          <w:sz w:val="22"/>
          <w:szCs w:val="22"/>
        </w:rPr>
      </w:pPr>
    </w:p>
    <w:p w14:paraId="178FE1A9" w14:textId="77777777" w:rsidR="006615F9" w:rsidRPr="006051F8" w:rsidRDefault="006615F9" w:rsidP="00DB1573">
      <w:pPr>
        <w:widowControl w:val="0"/>
        <w:rPr>
          <w:color w:val="000000"/>
          <w:sz w:val="22"/>
          <w:szCs w:val="22"/>
        </w:rPr>
      </w:pPr>
    </w:p>
    <w:p w14:paraId="05D0BCAE" w14:textId="77777777" w:rsidR="006615F9" w:rsidRPr="006051F8" w:rsidRDefault="006615F9" w:rsidP="00DB1573">
      <w:pPr>
        <w:widowControl w:val="0"/>
        <w:rPr>
          <w:color w:val="000000"/>
          <w:sz w:val="22"/>
          <w:szCs w:val="22"/>
        </w:rPr>
      </w:pPr>
    </w:p>
    <w:p w14:paraId="33E3201A" w14:textId="77777777" w:rsidR="006615F9" w:rsidRPr="006051F8" w:rsidRDefault="006615F9" w:rsidP="00DB1573">
      <w:pPr>
        <w:widowControl w:val="0"/>
        <w:rPr>
          <w:color w:val="000000"/>
          <w:sz w:val="22"/>
          <w:szCs w:val="22"/>
        </w:rPr>
      </w:pPr>
    </w:p>
    <w:p w14:paraId="2B534476" w14:textId="77777777" w:rsidR="006615F9" w:rsidRPr="006051F8" w:rsidRDefault="006615F9" w:rsidP="00DB1573">
      <w:pPr>
        <w:pStyle w:val="Header"/>
        <w:widowControl w:val="0"/>
        <w:tabs>
          <w:tab w:val="clear" w:pos="4320"/>
          <w:tab w:val="clear" w:pos="8640"/>
        </w:tabs>
        <w:rPr>
          <w:color w:val="000000"/>
          <w:szCs w:val="22"/>
        </w:rPr>
      </w:pPr>
    </w:p>
    <w:p w14:paraId="3476337E" w14:textId="77777777" w:rsidR="006615F9" w:rsidRPr="006051F8" w:rsidRDefault="006615F9" w:rsidP="00DB1573">
      <w:pPr>
        <w:pStyle w:val="Header"/>
        <w:widowControl w:val="0"/>
        <w:tabs>
          <w:tab w:val="clear" w:pos="4320"/>
          <w:tab w:val="clear" w:pos="8640"/>
        </w:tabs>
        <w:rPr>
          <w:color w:val="000000"/>
          <w:szCs w:val="22"/>
        </w:rPr>
      </w:pPr>
    </w:p>
    <w:p w14:paraId="35A22D55" w14:textId="77777777" w:rsidR="006615F9" w:rsidRPr="00B30A12" w:rsidRDefault="006615F9" w:rsidP="00DB1573">
      <w:pPr>
        <w:widowControl w:val="0"/>
        <w:jc w:val="center"/>
        <w:rPr>
          <w:b/>
          <w:color w:val="000000"/>
          <w:sz w:val="22"/>
          <w:szCs w:val="22"/>
        </w:rPr>
      </w:pPr>
      <w:r w:rsidRPr="00B30A12">
        <w:rPr>
          <w:b/>
          <w:color w:val="000000"/>
          <w:sz w:val="22"/>
          <w:szCs w:val="22"/>
        </w:rPr>
        <w:t>ANHANG I</w:t>
      </w:r>
    </w:p>
    <w:p w14:paraId="29B1F770" w14:textId="77777777" w:rsidR="006615F9" w:rsidRPr="00B30A12" w:rsidRDefault="006615F9" w:rsidP="00DB1573">
      <w:pPr>
        <w:widowControl w:val="0"/>
        <w:jc w:val="center"/>
        <w:rPr>
          <w:color w:val="000000"/>
          <w:sz w:val="22"/>
          <w:szCs w:val="22"/>
        </w:rPr>
      </w:pPr>
    </w:p>
    <w:p w14:paraId="2B6E4A32" w14:textId="77777777" w:rsidR="006615F9" w:rsidRPr="00B30A12" w:rsidRDefault="006615F9" w:rsidP="00DB1573">
      <w:pPr>
        <w:widowControl w:val="0"/>
        <w:jc w:val="center"/>
        <w:rPr>
          <w:b/>
          <w:color w:val="000000"/>
          <w:sz w:val="22"/>
          <w:szCs w:val="22"/>
        </w:rPr>
      </w:pPr>
      <w:r w:rsidRPr="00B30A12">
        <w:rPr>
          <w:b/>
          <w:color w:val="000000"/>
          <w:sz w:val="22"/>
          <w:szCs w:val="22"/>
        </w:rPr>
        <w:t xml:space="preserve">ZUSAMMENFASSUNG </w:t>
      </w:r>
      <w:smartTag w:uri="urn:schemas-microsoft-com:office:smarttags" w:element="stockticker">
        <w:r w:rsidRPr="00B30A12">
          <w:rPr>
            <w:b/>
            <w:color w:val="000000"/>
            <w:sz w:val="22"/>
            <w:szCs w:val="22"/>
          </w:rPr>
          <w:t>DER</w:t>
        </w:r>
      </w:smartTag>
      <w:r w:rsidRPr="00B30A12">
        <w:rPr>
          <w:b/>
          <w:color w:val="000000"/>
          <w:sz w:val="22"/>
          <w:szCs w:val="22"/>
        </w:rPr>
        <w:t xml:space="preserve"> MERKMALE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41213715" w14:textId="77777777" w:rsidR="008071E5" w:rsidRPr="00B30A12" w:rsidRDefault="006615F9" w:rsidP="00DB1573">
      <w:pPr>
        <w:widowControl w:val="0"/>
        <w:rPr>
          <w:snapToGrid w:val="0"/>
          <w:sz w:val="22"/>
          <w:szCs w:val="22"/>
        </w:rPr>
      </w:pPr>
      <w:r w:rsidRPr="00B30A12">
        <w:rPr>
          <w:color w:val="000000"/>
          <w:sz w:val="22"/>
          <w:szCs w:val="22"/>
        </w:rPr>
        <w:br w:type="page"/>
      </w:r>
      <w:r w:rsidR="00367B53" w:rsidRPr="00B30A12">
        <w:rPr>
          <w:noProof/>
          <w:sz w:val="22"/>
          <w:lang w:val="en-GB" w:eastAsia="en-GB"/>
        </w:rPr>
        <w:lastRenderedPageBreak/>
        <w:drawing>
          <wp:inline distT="0" distB="0" distL="0" distR="0" wp14:anchorId="31C1F804" wp14:editId="7954726A">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8071E5" w:rsidRPr="00B30A12">
        <w:rPr>
          <w:noProof/>
          <w:snapToGrid w:val="0"/>
          <w:sz w:val="22"/>
          <w:szCs w:val="22"/>
        </w:rPr>
        <w:t>Dieses Arzneimittel unterliegt einer zusätzlichen Überwachung.</w:t>
      </w:r>
      <w:r w:rsidR="008071E5" w:rsidRPr="00B30A12">
        <w:rPr>
          <w:snapToGrid w:val="0"/>
          <w:sz w:val="22"/>
          <w:szCs w:val="22"/>
        </w:rPr>
        <w:t xml:space="preserve"> </w:t>
      </w:r>
      <w:r w:rsidR="008071E5" w:rsidRPr="00B30A12">
        <w:rPr>
          <w:noProof/>
          <w:snapToGrid w:val="0"/>
          <w:sz w:val="22"/>
          <w:szCs w:val="22"/>
        </w:rPr>
        <w:t xml:space="preserve">Dies ermöglicht eine schnelle Identifizierung neuer </w:t>
      </w:r>
      <w:r w:rsidR="008071E5" w:rsidRPr="00B30A12">
        <w:rPr>
          <w:snapToGrid w:val="0"/>
          <w:sz w:val="22"/>
        </w:rPr>
        <w:t>Erkenntnisse über die Sicherheit</w:t>
      </w:r>
      <w:r w:rsidR="008071E5" w:rsidRPr="00B30A12">
        <w:rPr>
          <w:noProof/>
          <w:snapToGrid w:val="0"/>
          <w:sz w:val="22"/>
          <w:szCs w:val="22"/>
        </w:rPr>
        <w:t>.</w:t>
      </w:r>
      <w:r w:rsidR="008071E5" w:rsidRPr="00B30A12">
        <w:rPr>
          <w:snapToGrid w:val="0"/>
          <w:sz w:val="22"/>
          <w:szCs w:val="22"/>
        </w:rPr>
        <w:t xml:space="preserve"> </w:t>
      </w:r>
      <w:r w:rsidR="008071E5" w:rsidRPr="00B30A12">
        <w:rPr>
          <w:snapToGrid w:val="0"/>
          <w:sz w:val="22"/>
        </w:rPr>
        <w:t>Angehörige von Gesundheitsberufen</w:t>
      </w:r>
      <w:r w:rsidR="008071E5" w:rsidRPr="00B30A12">
        <w:rPr>
          <w:noProof/>
          <w:snapToGrid w:val="0"/>
          <w:sz w:val="22"/>
          <w:szCs w:val="22"/>
        </w:rPr>
        <w:t xml:space="preserve"> sind aufgefordert, jeden Verdachtsfall einer Nebenwirkung</w:t>
      </w:r>
      <w:r w:rsidR="008071E5" w:rsidRPr="00B30A12">
        <w:rPr>
          <w:snapToGrid w:val="0"/>
          <w:sz w:val="22"/>
          <w:szCs w:val="22"/>
        </w:rPr>
        <w:t xml:space="preserve"> zu melden.</w:t>
      </w:r>
      <w:r w:rsidR="008071E5" w:rsidRPr="00B30A12">
        <w:rPr>
          <w:noProof/>
          <w:snapToGrid w:val="0"/>
          <w:sz w:val="22"/>
          <w:szCs w:val="22"/>
        </w:rPr>
        <w:t xml:space="preserve"> Hinweise zur Meldung von Nebenwirkungen, s</w:t>
      </w:r>
      <w:r w:rsidR="008071E5" w:rsidRPr="00B30A12">
        <w:rPr>
          <w:snapToGrid w:val="0"/>
          <w:sz w:val="22"/>
          <w:szCs w:val="22"/>
        </w:rPr>
        <w:t>i</w:t>
      </w:r>
      <w:r w:rsidR="008071E5" w:rsidRPr="00B30A12">
        <w:rPr>
          <w:noProof/>
          <w:snapToGrid w:val="0"/>
          <w:sz w:val="22"/>
          <w:szCs w:val="22"/>
        </w:rPr>
        <w:t>e</w:t>
      </w:r>
      <w:r w:rsidR="008071E5" w:rsidRPr="00B30A12">
        <w:rPr>
          <w:snapToGrid w:val="0"/>
          <w:sz w:val="22"/>
          <w:szCs w:val="22"/>
        </w:rPr>
        <w:t>h</w:t>
      </w:r>
      <w:r w:rsidR="008071E5" w:rsidRPr="00B30A12">
        <w:rPr>
          <w:noProof/>
          <w:snapToGrid w:val="0"/>
          <w:sz w:val="22"/>
          <w:szCs w:val="22"/>
        </w:rPr>
        <w:t xml:space="preserve">e </w:t>
      </w:r>
      <w:r w:rsidR="008071E5" w:rsidRPr="00B30A12">
        <w:rPr>
          <w:snapToGrid w:val="0"/>
          <w:sz w:val="22"/>
          <w:szCs w:val="22"/>
        </w:rPr>
        <w:t>Abschnitt </w:t>
      </w:r>
      <w:r w:rsidR="008071E5" w:rsidRPr="00B30A12">
        <w:rPr>
          <w:noProof/>
          <w:snapToGrid w:val="0"/>
          <w:sz w:val="22"/>
          <w:szCs w:val="22"/>
        </w:rPr>
        <w:t>4.8.</w:t>
      </w:r>
    </w:p>
    <w:p w14:paraId="324AEF14" w14:textId="77777777" w:rsidR="008071E5" w:rsidRPr="00B30A12" w:rsidRDefault="008071E5" w:rsidP="00537E23">
      <w:pPr>
        <w:widowControl w:val="0"/>
        <w:tabs>
          <w:tab w:val="left" w:pos="567"/>
        </w:tabs>
        <w:spacing w:line="260" w:lineRule="exact"/>
        <w:rPr>
          <w:snapToGrid w:val="0"/>
          <w:sz w:val="22"/>
          <w:szCs w:val="22"/>
        </w:rPr>
      </w:pPr>
    </w:p>
    <w:p w14:paraId="7FC2B2EB" w14:textId="77777777" w:rsidR="008071E5" w:rsidRPr="00B30A12" w:rsidRDefault="008071E5" w:rsidP="00537E23">
      <w:pPr>
        <w:widowControl w:val="0"/>
        <w:tabs>
          <w:tab w:val="left" w:pos="567"/>
        </w:tabs>
        <w:spacing w:line="260" w:lineRule="exact"/>
        <w:rPr>
          <w:snapToGrid w:val="0"/>
          <w:sz w:val="22"/>
          <w:szCs w:val="22"/>
        </w:rPr>
      </w:pPr>
    </w:p>
    <w:p w14:paraId="6B56EDB6"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00EA4134" w14:textId="77777777" w:rsidR="006615F9" w:rsidRPr="00B30A12" w:rsidRDefault="006615F9" w:rsidP="00537E23">
      <w:pPr>
        <w:keepNext/>
        <w:widowControl w:val="0"/>
        <w:rPr>
          <w:color w:val="000000"/>
          <w:sz w:val="22"/>
          <w:szCs w:val="22"/>
        </w:rPr>
      </w:pPr>
    </w:p>
    <w:p w14:paraId="23D78615" w14:textId="77777777" w:rsidR="004B3897" w:rsidRPr="00B30A12" w:rsidRDefault="004B3897" w:rsidP="00537E23">
      <w:pPr>
        <w:widowControl w:val="0"/>
        <w:rPr>
          <w:color w:val="000000"/>
          <w:sz w:val="22"/>
          <w:szCs w:val="22"/>
        </w:rPr>
      </w:pPr>
      <w:r w:rsidRPr="00B30A12">
        <w:rPr>
          <w:color w:val="000000"/>
          <w:sz w:val="22"/>
          <w:szCs w:val="22"/>
        </w:rPr>
        <w:t>Glivec 100 mg Hartkapseln</w:t>
      </w:r>
    </w:p>
    <w:p w14:paraId="1E3FAC0C" w14:textId="77777777" w:rsidR="006615F9" w:rsidRPr="00B30A12" w:rsidRDefault="006615F9" w:rsidP="00537E23">
      <w:pPr>
        <w:widowControl w:val="0"/>
        <w:rPr>
          <w:color w:val="000000"/>
          <w:sz w:val="22"/>
          <w:szCs w:val="22"/>
        </w:rPr>
      </w:pPr>
    </w:p>
    <w:p w14:paraId="0BB808BA" w14:textId="77777777" w:rsidR="006615F9" w:rsidRPr="00B30A12" w:rsidRDefault="006615F9" w:rsidP="00537E23">
      <w:pPr>
        <w:widowControl w:val="0"/>
        <w:rPr>
          <w:color w:val="000000"/>
          <w:sz w:val="22"/>
          <w:szCs w:val="22"/>
        </w:rPr>
      </w:pPr>
    </w:p>
    <w:p w14:paraId="2E337C2C"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2.</w:t>
      </w:r>
      <w:r w:rsidRPr="00B30A12">
        <w:rPr>
          <w:b/>
          <w:color w:val="000000"/>
          <w:sz w:val="22"/>
          <w:szCs w:val="22"/>
        </w:rPr>
        <w:tab/>
        <w:t>QUALITATIVE UND QUANTITATIVE ZUSAMMENSETZUNG</w:t>
      </w:r>
    </w:p>
    <w:p w14:paraId="082F6B18" w14:textId="77777777" w:rsidR="006615F9" w:rsidRPr="00B30A12" w:rsidRDefault="006615F9" w:rsidP="00537E23">
      <w:pPr>
        <w:pStyle w:val="Header"/>
        <w:keepNext/>
        <w:widowControl w:val="0"/>
        <w:tabs>
          <w:tab w:val="clear" w:pos="4320"/>
          <w:tab w:val="clear" w:pos="8640"/>
        </w:tabs>
        <w:rPr>
          <w:color w:val="000000"/>
          <w:szCs w:val="22"/>
        </w:rPr>
      </w:pPr>
    </w:p>
    <w:p w14:paraId="36470ECF" w14:textId="77777777" w:rsidR="00901EC8" w:rsidRPr="00B30A12" w:rsidRDefault="00901EC8" w:rsidP="00537E23">
      <w:pPr>
        <w:widowControl w:val="0"/>
        <w:rPr>
          <w:color w:val="000000"/>
          <w:sz w:val="22"/>
          <w:szCs w:val="22"/>
        </w:rPr>
      </w:pPr>
      <w:r w:rsidRPr="00B30A12">
        <w:rPr>
          <w:color w:val="000000"/>
          <w:sz w:val="22"/>
          <w:szCs w:val="22"/>
        </w:rPr>
        <w:t xml:space="preserve">Jede Kapsel enthält </w:t>
      </w:r>
      <w:r w:rsidR="00574E07" w:rsidRPr="00B30A12">
        <w:rPr>
          <w:color w:val="000000"/>
          <w:sz w:val="22"/>
          <w:szCs w:val="22"/>
        </w:rPr>
        <w:t>10</w:t>
      </w:r>
      <w:r w:rsidRPr="00B30A12">
        <w:rPr>
          <w:color w:val="000000"/>
          <w:sz w:val="22"/>
          <w:szCs w:val="22"/>
        </w:rPr>
        <w:t>0 mg Imatinib (als Mesilat).</w:t>
      </w:r>
    </w:p>
    <w:p w14:paraId="5F0FFB1B" w14:textId="77777777" w:rsidR="00901EC8" w:rsidRPr="00B30A12" w:rsidRDefault="00901EC8" w:rsidP="00537E23">
      <w:pPr>
        <w:widowControl w:val="0"/>
        <w:rPr>
          <w:color w:val="000000"/>
          <w:sz w:val="22"/>
          <w:szCs w:val="22"/>
        </w:rPr>
      </w:pPr>
    </w:p>
    <w:p w14:paraId="032127D5" w14:textId="77777777" w:rsidR="006615F9" w:rsidRPr="00B30A12" w:rsidRDefault="000B356F" w:rsidP="00537E23">
      <w:pPr>
        <w:pStyle w:val="BodyText3"/>
        <w:widowControl w:val="0"/>
        <w:rPr>
          <w:color w:val="000000"/>
          <w:szCs w:val="22"/>
        </w:rPr>
      </w:pPr>
      <w:r w:rsidRPr="00B30A12">
        <w:rPr>
          <w:noProof/>
          <w:color w:val="000000"/>
          <w:szCs w:val="22"/>
        </w:rPr>
        <w:t>V</w:t>
      </w:r>
      <w:r w:rsidR="00667062" w:rsidRPr="00B30A12">
        <w:rPr>
          <w:noProof/>
          <w:color w:val="000000"/>
          <w:szCs w:val="22"/>
        </w:rPr>
        <w:t>ollständige Auflistung der sonstigen Bestandteile</w:t>
      </w:r>
      <w:r w:rsidR="0066276E" w:rsidRPr="00B30A12">
        <w:rPr>
          <w:noProof/>
          <w:color w:val="000000"/>
          <w:szCs w:val="22"/>
        </w:rPr>
        <w:t>,</w:t>
      </w:r>
      <w:r w:rsidR="00667062" w:rsidRPr="00B30A12">
        <w:rPr>
          <w:noProof/>
          <w:color w:val="000000"/>
          <w:szCs w:val="22"/>
        </w:rPr>
        <w:t xml:space="preserve"> siehe Abschnitt</w:t>
      </w:r>
      <w:r w:rsidR="007876D9">
        <w:rPr>
          <w:noProof/>
          <w:color w:val="000000"/>
          <w:szCs w:val="22"/>
        </w:rPr>
        <w:t> </w:t>
      </w:r>
      <w:r w:rsidR="00667062" w:rsidRPr="00B30A12">
        <w:rPr>
          <w:noProof/>
          <w:color w:val="000000"/>
          <w:szCs w:val="22"/>
        </w:rPr>
        <w:t>6.1.</w:t>
      </w:r>
    </w:p>
    <w:p w14:paraId="2A01D4DF" w14:textId="77777777" w:rsidR="006615F9" w:rsidRPr="00B30A12" w:rsidRDefault="006615F9" w:rsidP="00537E23">
      <w:pPr>
        <w:widowControl w:val="0"/>
        <w:rPr>
          <w:color w:val="000000"/>
          <w:sz w:val="22"/>
          <w:szCs w:val="22"/>
        </w:rPr>
      </w:pPr>
    </w:p>
    <w:p w14:paraId="23503539" w14:textId="77777777" w:rsidR="006615F9" w:rsidRPr="00B30A12" w:rsidRDefault="006615F9" w:rsidP="00537E23">
      <w:pPr>
        <w:widowControl w:val="0"/>
        <w:rPr>
          <w:color w:val="000000"/>
          <w:sz w:val="22"/>
          <w:szCs w:val="22"/>
        </w:rPr>
      </w:pPr>
    </w:p>
    <w:p w14:paraId="57169DC1"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3.</w:t>
      </w:r>
      <w:r w:rsidRPr="00B30A12">
        <w:rPr>
          <w:b/>
          <w:color w:val="000000"/>
          <w:sz w:val="22"/>
          <w:szCs w:val="22"/>
        </w:rPr>
        <w:tab/>
        <w:t>DARREICHUNGSFORM</w:t>
      </w:r>
    </w:p>
    <w:p w14:paraId="19AECAFC" w14:textId="77777777" w:rsidR="006615F9" w:rsidRPr="00B30A12" w:rsidRDefault="006615F9" w:rsidP="00537E23">
      <w:pPr>
        <w:keepNext/>
        <w:widowControl w:val="0"/>
        <w:rPr>
          <w:color w:val="000000"/>
          <w:sz w:val="22"/>
          <w:szCs w:val="22"/>
        </w:rPr>
      </w:pPr>
    </w:p>
    <w:p w14:paraId="61ADDF2A" w14:textId="77777777" w:rsidR="006615F9" w:rsidRPr="00B30A12" w:rsidRDefault="006615F9" w:rsidP="00537E23">
      <w:pPr>
        <w:widowControl w:val="0"/>
        <w:rPr>
          <w:color w:val="000000"/>
          <w:sz w:val="22"/>
          <w:szCs w:val="22"/>
        </w:rPr>
      </w:pPr>
      <w:r w:rsidRPr="00B30A12">
        <w:rPr>
          <w:color w:val="000000"/>
          <w:sz w:val="22"/>
          <w:szCs w:val="22"/>
        </w:rPr>
        <w:t>Hartkapsel</w:t>
      </w:r>
    </w:p>
    <w:p w14:paraId="6657423F" w14:textId="77777777" w:rsidR="006615F9" w:rsidRPr="00B30A12" w:rsidRDefault="006615F9" w:rsidP="00537E23">
      <w:pPr>
        <w:widowControl w:val="0"/>
        <w:rPr>
          <w:color w:val="000000"/>
          <w:sz w:val="22"/>
          <w:szCs w:val="22"/>
        </w:rPr>
      </w:pPr>
    </w:p>
    <w:p w14:paraId="6AE5A67F" w14:textId="77777777" w:rsidR="00901EC8" w:rsidRPr="00B30A12" w:rsidRDefault="00901EC8" w:rsidP="00537E23">
      <w:pPr>
        <w:widowControl w:val="0"/>
        <w:rPr>
          <w:color w:val="000000"/>
          <w:sz w:val="22"/>
          <w:szCs w:val="22"/>
        </w:rPr>
      </w:pPr>
      <w:r w:rsidRPr="00B30A12">
        <w:rPr>
          <w:color w:val="000000"/>
          <w:sz w:val="22"/>
          <w:szCs w:val="22"/>
        </w:rPr>
        <w:t>Weißes bis gelbes Pulver in einer orangen bis grau-orangen undurchsichtigen Kapsel, gekennzeichnet mit „</w:t>
      </w:r>
      <w:smartTag w:uri="urn:schemas-microsoft-com:office:smarttags" w:element="stockticker">
        <w:r w:rsidRPr="00B30A12">
          <w:rPr>
            <w:color w:val="000000"/>
            <w:sz w:val="22"/>
            <w:szCs w:val="22"/>
          </w:rPr>
          <w:t>NVR</w:t>
        </w:r>
      </w:smartTag>
      <w:r w:rsidRPr="00B30A12">
        <w:rPr>
          <w:color w:val="000000"/>
          <w:sz w:val="22"/>
          <w:szCs w:val="22"/>
        </w:rPr>
        <w:t> SI“</w:t>
      </w:r>
    </w:p>
    <w:p w14:paraId="07313899" w14:textId="77777777" w:rsidR="00901EC8" w:rsidRPr="00B30A12" w:rsidRDefault="00901EC8" w:rsidP="00537E23">
      <w:pPr>
        <w:widowControl w:val="0"/>
        <w:rPr>
          <w:color w:val="000000"/>
          <w:sz w:val="22"/>
          <w:szCs w:val="22"/>
        </w:rPr>
      </w:pPr>
    </w:p>
    <w:p w14:paraId="0654ECC6" w14:textId="77777777" w:rsidR="006615F9" w:rsidRPr="00B30A12" w:rsidRDefault="006615F9" w:rsidP="00537E23">
      <w:pPr>
        <w:widowControl w:val="0"/>
        <w:rPr>
          <w:color w:val="000000"/>
          <w:sz w:val="22"/>
          <w:szCs w:val="22"/>
        </w:rPr>
      </w:pPr>
    </w:p>
    <w:p w14:paraId="030C1B56"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4.</w:t>
      </w:r>
      <w:r w:rsidRPr="00B30A12">
        <w:rPr>
          <w:b/>
          <w:color w:val="000000"/>
          <w:sz w:val="22"/>
          <w:szCs w:val="22"/>
        </w:rPr>
        <w:tab/>
        <w:t>KLINISCHE ANGABEN</w:t>
      </w:r>
    </w:p>
    <w:p w14:paraId="02815696" w14:textId="77777777" w:rsidR="006615F9" w:rsidRPr="00B30A12" w:rsidRDefault="006615F9" w:rsidP="00537E23">
      <w:pPr>
        <w:pStyle w:val="Header"/>
        <w:keepNext/>
        <w:widowControl w:val="0"/>
        <w:tabs>
          <w:tab w:val="clear" w:pos="4320"/>
          <w:tab w:val="clear" w:pos="8640"/>
        </w:tabs>
        <w:rPr>
          <w:color w:val="000000"/>
          <w:szCs w:val="22"/>
        </w:rPr>
      </w:pPr>
    </w:p>
    <w:p w14:paraId="36E36FA5"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4.1</w:t>
      </w:r>
      <w:r w:rsidRPr="00B30A12">
        <w:rPr>
          <w:b/>
          <w:color w:val="000000"/>
          <w:sz w:val="22"/>
          <w:szCs w:val="22"/>
        </w:rPr>
        <w:tab/>
        <w:t>Anwendungsgebiete</w:t>
      </w:r>
    </w:p>
    <w:p w14:paraId="4E3ECB6D" w14:textId="77777777" w:rsidR="006615F9" w:rsidRPr="00B30A12" w:rsidRDefault="006615F9" w:rsidP="00537E23">
      <w:pPr>
        <w:pStyle w:val="BodyTextIndent3"/>
        <w:keepNext/>
        <w:ind w:left="0"/>
        <w:rPr>
          <w:rFonts w:ascii="Times New Roman" w:hAnsi="Times New Roman"/>
          <w:color w:val="000000"/>
          <w:szCs w:val="22"/>
        </w:rPr>
      </w:pPr>
    </w:p>
    <w:p w14:paraId="5A0EF986" w14:textId="77777777" w:rsidR="00BB07A2" w:rsidRPr="00B30A12" w:rsidRDefault="006615F9" w:rsidP="00537E23">
      <w:pPr>
        <w:pStyle w:val="BodyTextIndent3"/>
        <w:keepNext/>
        <w:ind w:left="0"/>
        <w:rPr>
          <w:rFonts w:ascii="Times New Roman" w:hAnsi="Times New Roman"/>
          <w:color w:val="000000"/>
          <w:szCs w:val="22"/>
        </w:rPr>
      </w:pPr>
      <w:r w:rsidRPr="00B30A12">
        <w:rPr>
          <w:rFonts w:ascii="Times New Roman" w:hAnsi="Times New Roman"/>
          <w:color w:val="000000"/>
          <w:szCs w:val="22"/>
        </w:rPr>
        <w:t xml:space="preserve">Glivec ist </w:t>
      </w:r>
      <w:r w:rsidR="00BB07A2" w:rsidRPr="00B30A12">
        <w:rPr>
          <w:rFonts w:ascii="Times New Roman" w:hAnsi="Times New Roman"/>
          <w:color w:val="000000"/>
          <w:szCs w:val="22"/>
        </w:rPr>
        <w:t xml:space="preserve">angezeigt </w:t>
      </w:r>
      <w:r w:rsidRPr="00B30A12">
        <w:rPr>
          <w:rFonts w:ascii="Times New Roman" w:hAnsi="Times New Roman"/>
          <w:color w:val="000000"/>
          <w:szCs w:val="22"/>
        </w:rPr>
        <w:t>zur Behandlung von</w:t>
      </w:r>
    </w:p>
    <w:p w14:paraId="0B877D39" w14:textId="77777777" w:rsidR="009E4015" w:rsidRPr="00B30A12" w:rsidRDefault="00BB07A2"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 xml:space="preserve">Erwachsenen und Kindern </w:t>
      </w:r>
      <w:r w:rsidR="006615F9" w:rsidRPr="00B30A12">
        <w:rPr>
          <w:rFonts w:ascii="Times New Roman" w:hAnsi="Times New Roman"/>
          <w:color w:val="000000"/>
          <w:szCs w:val="22"/>
        </w:rPr>
        <w:t>mit neu diagnostizierter Philadelphia-Chromosom (bcr-abl)-positiver (Ph+) chronisch</w:t>
      </w:r>
      <w:r w:rsidR="00211F0A" w:rsidRPr="00B30A12">
        <w:rPr>
          <w:rFonts w:ascii="Times New Roman" w:hAnsi="Times New Roman"/>
          <w:color w:val="000000"/>
          <w:szCs w:val="22"/>
        </w:rPr>
        <w:t xml:space="preserve">er </w:t>
      </w:r>
      <w:r w:rsidR="006615F9" w:rsidRPr="00B30A12">
        <w:rPr>
          <w:rFonts w:ascii="Times New Roman" w:hAnsi="Times New Roman"/>
          <w:color w:val="000000"/>
          <w:szCs w:val="22"/>
        </w:rPr>
        <w:t>myeloischer Leukämie (CML), für die eine Knochenmarktransplantation als Erstbehandlungsmöglichkeit nicht in Betracht gezogen wird.</w:t>
      </w:r>
    </w:p>
    <w:p w14:paraId="67DBAAA1" w14:textId="77777777" w:rsidR="00B45CA0" w:rsidRPr="00B30A12" w:rsidRDefault="00B45CA0"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und Kindern mit Ph+-CML in der chronischen Phase nach Versagen einer Interfero</w:t>
      </w:r>
      <w:r w:rsidR="00242BD7" w:rsidRPr="00B30A12">
        <w:rPr>
          <w:rFonts w:ascii="Times New Roman" w:hAnsi="Times New Roman"/>
          <w:color w:val="000000"/>
          <w:szCs w:val="22"/>
        </w:rPr>
        <w:t>n-Alpha-Therapie, in der akzele</w:t>
      </w:r>
      <w:r w:rsidRPr="00B30A12">
        <w:rPr>
          <w:rFonts w:ascii="Times New Roman" w:hAnsi="Times New Roman"/>
          <w:color w:val="000000"/>
          <w:szCs w:val="22"/>
        </w:rPr>
        <w:t>rierten Phase oder in der Blastenkrise.</w:t>
      </w:r>
    </w:p>
    <w:p w14:paraId="712DC1CB" w14:textId="77777777" w:rsidR="00C01D23" w:rsidRPr="00B30A12" w:rsidRDefault="00C01D23"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w:t>
      </w:r>
      <w:r w:rsidR="00B44F52" w:rsidRPr="00B30A12">
        <w:rPr>
          <w:rFonts w:ascii="Times New Roman" w:hAnsi="Times New Roman"/>
          <w:color w:val="000000"/>
          <w:szCs w:val="22"/>
        </w:rPr>
        <w:t xml:space="preserve"> und Kinder</w:t>
      </w:r>
      <w:r w:rsidR="00A001EC" w:rsidRPr="00B30A12">
        <w:rPr>
          <w:rFonts w:ascii="Times New Roman" w:hAnsi="Times New Roman"/>
          <w:color w:val="000000"/>
          <w:szCs w:val="22"/>
        </w:rPr>
        <w:t>n</w:t>
      </w:r>
      <w:r w:rsidRPr="00B30A12">
        <w:rPr>
          <w:rFonts w:ascii="Times New Roman" w:hAnsi="Times New Roman"/>
          <w:color w:val="000000"/>
          <w:szCs w:val="22"/>
        </w:rPr>
        <w:t xml:space="preserve"> mit neu diagnostizierter Philadelphia-Chromosom-positiver akuter lymphatischer Leukämie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in Kombination mit einer Chemotherapie.</w:t>
      </w:r>
    </w:p>
    <w:p w14:paraId="03708AC0" w14:textId="77777777" w:rsidR="00C01D23" w:rsidRPr="00B30A12" w:rsidRDefault="00C01D23"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 xml:space="preserve">Erwachsenen mit rezidivierter oder refraktärer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als Monotherapie.</w:t>
      </w:r>
    </w:p>
    <w:p w14:paraId="0F87A0EC" w14:textId="77777777" w:rsidR="001555D8" w:rsidRPr="00B30A12" w:rsidRDefault="001555D8"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mit myelodysplastischen/myeloproliferativen Erkrankungen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in Verbindung mit Genumlagerungen des PDGF-Rezeptors (platelet-derived growth factor).</w:t>
      </w:r>
    </w:p>
    <w:p w14:paraId="613547E9" w14:textId="77777777" w:rsidR="006F7CAA" w:rsidRPr="00B30A12" w:rsidRDefault="006F7CAA"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mit fortgeschrittenem hypereosinophile</w:t>
      </w:r>
      <w:r w:rsidR="006D5838" w:rsidRPr="00B30A12">
        <w:rPr>
          <w:rFonts w:ascii="Times New Roman" w:hAnsi="Times New Roman"/>
          <w:color w:val="000000"/>
          <w:szCs w:val="22"/>
        </w:rPr>
        <w:t>m</w:t>
      </w:r>
      <w:r w:rsidRPr="00B30A12">
        <w:rPr>
          <w:rFonts w:ascii="Times New Roman" w:hAnsi="Times New Roman"/>
          <w:color w:val="000000"/>
          <w:szCs w:val="22"/>
        </w:rPr>
        <w:t xml:space="preserve"> Syndrom (HES) und/oder chronischer eosinophiler Leukämie (</w:t>
      </w:r>
      <w:smartTag w:uri="urn:schemas-microsoft-com:office:smarttags" w:element="stockticker">
        <w:r w:rsidRPr="00B30A12">
          <w:rPr>
            <w:rFonts w:ascii="Times New Roman" w:hAnsi="Times New Roman"/>
            <w:color w:val="000000"/>
            <w:szCs w:val="22"/>
          </w:rPr>
          <w:t>CEL</w:t>
        </w:r>
      </w:smartTag>
      <w:r w:rsidRPr="00B30A12">
        <w:rPr>
          <w:rFonts w:ascii="Times New Roman" w:hAnsi="Times New Roman"/>
          <w:color w:val="000000"/>
          <w:szCs w:val="22"/>
        </w:rPr>
        <w:t>) mit FIP1L1-PDGFR</w:t>
      </w:r>
      <w:r w:rsidRPr="00B30A12">
        <w:rPr>
          <w:rFonts w:ascii="Times New Roman" w:hAnsi="Times New Roman"/>
          <w:color w:val="000000"/>
          <w:szCs w:val="22"/>
        </w:rPr>
        <w:sym w:font="Symbol" w:char="F061"/>
      </w:r>
      <w:r w:rsidRPr="00B30A12">
        <w:rPr>
          <w:rFonts w:ascii="Times New Roman" w:hAnsi="Times New Roman"/>
          <w:color w:val="000000"/>
          <w:szCs w:val="22"/>
        </w:rPr>
        <w:t>-Umlagerung.</w:t>
      </w:r>
    </w:p>
    <w:p w14:paraId="5414AF1A" w14:textId="77777777" w:rsidR="006615F9" w:rsidRPr="00B30A12" w:rsidRDefault="006615F9" w:rsidP="00537E23">
      <w:pPr>
        <w:pStyle w:val="BodyTextIndent3"/>
        <w:ind w:left="0"/>
        <w:rPr>
          <w:rFonts w:ascii="Times New Roman" w:hAnsi="Times New Roman"/>
          <w:color w:val="000000"/>
          <w:szCs w:val="22"/>
        </w:rPr>
      </w:pPr>
    </w:p>
    <w:p w14:paraId="388E6325" w14:textId="77777777" w:rsidR="006615F9"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Die Wirkung von Glivec auf das Ergebnis einer Knochenmarktransplantation wurde nicht untersucht.</w:t>
      </w:r>
    </w:p>
    <w:p w14:paraId="497E4F18" w14:textId="77777777" w:rsidR="007356AA" w:rsidRPr="00B30A12" w:rsidRDefault="007356AA" w:rsidP="00537E23">
      <w:pPr>
        <w:pStyle w:val="BodyTextIndent3"/>
        <w:ind w:left="0"/>
        <w:rPr>
          <w:rFonts w:ascii="Times New Roman" w:hAnsi="Times New Roman"/>
          <w:color w:val="000000"/>
          <w:szCs w:val="22"/>
        </w:rPr>
      </w:pPr>
    </w:p>
    <w:p w14:paraId="0DAD1E98" w14:textId="77777777" w:rsidR="007356AA" w:rsidRPr="00B30A12" w:rsidRDefault="007356AA" w:rsidP="00537E23">
      <w:pPr>
        <w:pStyle w:val="BodyTextIndent3"/>
        <w:keepNext/>
        <w:ind w:left="0"/>
        <w:rPr>
          <w:rFonts w:ascii="Times New Roman" w:hAnsi="Times New Roman"/>
          <w:color w:val="000000"/>
          <w:szCs w:val="22"/>
        </w:rPr>
      </w:pPr>
      <w:r w:rsidRPr="00B30A12">
        <w:rPr>
          <w:rFonts w:ascii="Times New Roman" w:hAnsi="Times New Roman"/>
          <w:color w:val="000000"/>
          <w:szCs w:val="22"/>
        </w:rPr>
        <w:t>Glivec ist angezeigt zur</w:t>
      </w:r>
    </w:p>
    <w:p w14:paraId="457B5CA6" w14:textId="77777777" w:rsidR="007356AA" w:rsidRPr="00B30A12" w:rsidRDefault="007356AA"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Behandlung c-Kit-(CD 117)-positiver nicht resezierbarer und/oder metastasierter maligner gastrointestinaler Stromatumoren (GIST) bei Erwachsenen.</w:t>
      </w:r>
    </w:p>
    <w:p w14:paraId="289E2552" w14:textId="77777777" w:rsidR="007356AA" w:rsidRPr="00B30A12" w:rsidRDefault="007356AA"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adjuvanten Behandlung Erwachsener mit signif</w:t>
      </w:r>
      <w:r w:rsidR="0054789C" w:rsidRPr="00B30A12">
        <w:rPr>
          <w:rFonts w:ascii="Times New Roman" w:hAnsi="Times New Roman"/>
          <w:color w:val="000000"/>
          <w:szCs w:val="22"/>
        </w:rPr>
        <w:t>i</w:t>
      </w:r>
      <w:r w:rsidRPr="00B30A12">
        <w:rPr>
          <w:rFonts w:ascii="Times New Roman" w:hAnsi="Times New Roman"/>
          <w:color w:val="000000"/>
          <w:szCs w:val="22"/>
        </w:rPr>
        <w:t xml:space="preserve">kantem Risiko eines Rezidivs nach Resektion c-Kit-(CD 117)-positiver GIST. </w:t>
      </w:r>
      <w:r w:rsidR="00070F54" w:rsidRPr="00B30A12">
        <w:rPr>
          <w:rFonts w:ascii="Times New Roman" w:hAnsi="Times New Roman"/>
          <w:color w:val="000000"/>
          <w:szCs w:val="22"/>
        </w:rPr>
        <w:t>Patienten mit einem niedrigen oder sehr niedrigen Rezidivrisiko sollten keine adjuvante Behandlung erhalten.</w:t>
      </w:r>
    </w:p>
    <w:p w14:paraId="560A8C89" w14:textId="77777777" w:rsidR="007356AA" w:rsidRPr="00B30A12" w:rsidRDefault="007356AA" w:rsidP="00537E23">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Behandlung Erwachsener mit nicht resezierbarem Dermatofibrosarcoma protuberans (DFSP) und Erwachsener mit rezidivierendem und/oder metastasiertem DFSP, die für eine chirurgische Behandlung nicht in Frage kommen.</w:t>
      </w:r>
    </w:p>
    <w:p w14:paraId="6DBE4420" w14:textId="77777777" w:rsidR="007356AA" w:rsidRPr="00B30A12" w:rsidRDefault="007356AA" w:rsidP="00537E23">
      <w:pPr>
        <w:pStyle w:val="BodyTextIndent3"/>
        <w:ind w:left="0"/>
        <w:rPr>
          <w:rFonts w:ascii="Times New Roman" w:hAnsi="Times New Roman"/>
          <w:color w:val="000000"/>
          <w:szCs w:val="22"/>
        </w:rPr>
      </w:pPr>
    </w:p>
    <w:p w14:paraId="37487018" w14:textId="77777777" w:rsidR="007356AA" w:rsidRPr="00B30A12" w:rsidRDefault="007356AA" w:rsidP="00537E23">
      <w:pPr>
        <w:pStyle w:val="BodyTextIndent3"/>
        <w:ind w:left="0"/>
        <w:rPr>
          <w:rFonts w:ascii="Times New Roman" w:hAnsi="Times New Roman"/>
          <w:color w:val="000000"/>
          <w:szCs w:val="22"/>
        </w:rPr>
      </w:pPr>
      <w:r w:rsidRPr="00B30A12">
        <w:rPr>
          <w:rFonts w:ascii="Times New Roman" w:hAnsi="Times New Roman"/>
          <w:color w:val="000000"/>
          <w:szCs w:val="22"/>
        </w:rPr>
        <w:lastRenderedPageBreak/>
        <w:t xml:space="preserve">Bei Erwachsenen und Kindern mit CML basiert die Wirksamkeit von Glivec auf den hämatologischen und zytogenetischen Gesamtansprechraten und auf dem progressionsfreien Überleben, bei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und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auf den hämatologischen und zytogenetischen Gesamtansprechraten, bei HES/</w:t>
      </w:r>
      <w:smartTag w:uri="urn:schemas-microsoft-com:office:smarttags" w:element="stockticker">
        <w:r w:rsidRPr="00B30A12">
          <w:rPr>
            <w:rFonts w:ascii="Times New Roman" w:hAnsi="Times New Roman"/>
            <w:color w:val="000000"/>
            <w:szCs w:val="22"/>
          </w:rPr>
          <w:t>CEL</w:t>
        </w:r>
      </w:smartTag>
      <w:r w:rsidRPr="00B30A12">
        <w:rPr>
          <w:rFonts w:ascii="Times New Roman" w:hAnsi="Times New Roman"/>
          <w:color w:val="000000"/>
          <w:szCs w:val="22"/>
        </w:rPr>
        <w:t xml:space="preserve"> auf der hämatologischen Ansprechrate, bei nicht resezierbaren und/oder metastasierten GIST und DFSP auf den objektiven Ansprechraten und bei adjuvanter Behandlung der GIST auf dem rezidivfreien Überleben. Die Erfahrung mit der Anwendung von Glivec bei Patienten mit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in Verbindung mit PDGFR-Genumlagerungen ist sehr begrenzt (siehe Abschnitt 5.1). Außer für neu diagnostizierte CML in der chronischen Phase liegen keine kontrollierten Studien vor, die einen klinischen Vorteil oder ein verlän</w:t>
      </w:r>
      <w:r w:rsidRPr="00B30A12">
        <w:rPr>
          <w:rFonts w:ascii="Times New Roman" w:hAnsi="Times New Roman"/>
          <w:color w:val="000000"/>
          <w:szCs w:val="22"/>
        </w:rPr>
        <w:softHyphen/>
        <w:t>gertes Überleben bei diesen Erkrankungen belegen.</w:t>
      </w:r>
    </w:p>
    <w:p w14:paraId="710114EB" w14:textId="77777777" w:rsidR="007356AA" w:rsidRPr="00B30A12" w:rsidRDefault="007356AA" w:rsidP="00537E23">
      <w:pPr>
        <w:pStyle w:val="Header"/>
        <w:widowControl w:val="0"/>
        <w:tabs>
          <w:tab w:val="clear" w:pos="4320"/>
          <w:tab w:val="clear" w:pos="8640"/>
        </w:tabs>
        <w:rPr>
          <w:color w:val="000000"/>
          <w:szCs w:val="22"/>
        </w:rPr>
      </w:pPr>
    </w:p>
    <w:p w14:paraId="518C7128" w14:textId="77777777" w:rsidR="006615F9" w:rsidRPr="00B30A12" w:rsidRDefault="006615F9" w:rsidP="00537E23">
      <w:pPr>
        <w:keepNext/>
        <w:widowControl w:val="0"/>
        <w:ind w:left="567" w:hanging="567"/>
        <w:rPr>
          <w:color w:val="000000"/>
          <w:sz w:val="22"/>
          <w:szCs w:val="22"/>
        </w:rPr>
      </w:pPr>
      <w:r w:rsidRPr="00B30A12">
        <w:rPr>
          <w:b/>
          <w:color w:val="000000"/>
          <w:sz w:val="22"/>
          <w:szCs w:val="22"/>
        </w:rPr>
        <w:t>4.2</w:t>
      </w:r>
      <w:r w:rsidRPr="00B30A12">
        <w:rPr>
          <w:b/>
          <w:color w:val="000000"/>
          <w:sz w:val="22"/>
          <w:szCs w:val="22"/>
        </w:rPr>
        <w:tab/>
        <w:t>Dosierung</w:t>
      </w:r>
      <w:r w:rsidR="000B356F" w:rsidRPr="00B30A12">
        <w:rPr>
          <w:b/>
          <w:color w:val="000000"/>
          <w:sz w:val="22"/>
          <w:szCs w:val="22"/>
        </w:rPr>
        <w:t xml:space="preserve"> und</w:t>
      </w:r>
      <w:r w:rsidRPr="00B30A12">
        <w:rPr>
          <w:b/>
          <w:color w:val="000000"/>
          <w:sz w:val="22"/>
          <w:szCs w:val="22"/>
        </w:rPr>
        <w:t xml:space="preserve"> Art der Anwendung</w:t>
      </w:r>
    </w:p>
    <w:p w14:paraId="13DDFA0E" w14:textId="77777777" w:rsidR="006615F9" w:rsidRPr="00B30A12" w:rsidRDefault="006615F9" w:rsidP="00537E23">
      <w:pPr>
        <w:pStyle w:val="BodyText3"/>
        <w:keepNext/>
        <w:widowControl w:val="0"/>
        <w:rPr>
          <w:color w:val="000000"/>
          <w:szCs w:val="22"/>
        </w:rPr>
      </w:pPr>
    </w:p>
    <w:p w14:paraId="45CE9B7D" w14:textId="77777777" w:rsidR="006615F9" w:rsidRPr="00B30A12" w:rsidRDefault="006615F9" w:rsidP="00537E23">
      <w:pPr>
        <w:pStyle w:val="BodyText3"/>
        <w:widowControl w:val="0"/>
        <w:rPr>
          <w:color w:val="000000"/>
          <w:szCs w:val="22"/>
        </w:rPr>
      </w:pPr>
      <w:r w:rsidRPr="00B30A12">
        <w:rPr>
          <w:color w:val="000000"/>
          <w:szCs w:val="22"/>
        </w:rPr>
        <w:t xml:space="preserve">Der Beginn der Behandlung sollte von einem Arzt mit Erfahrung in der Behandlung von Patienten mit </w:t>
      </w:r>
      <w:r w:rsidR="00C01D23" w:rsidRPr="00B30A12">
        <w:rPr>
          <w:color w:val="000000"/>
          <w:szCs w:val="22"/>
        </w:rPr>
        <w:t xml:space="preserve">hämatologischen malignen Erkrankungen und malignen Sarkomen </w:t>
      </w:r>
      <w:r w:rsidRPr="00B30A12">
        <w:rPr>
          <w:color w:val="000000"/>
          <w:szCs w:val="22"/>
        </w:rPr>
        <w:t>vorgenommen werden</w:t>
      </w:r>
      <w:r w:rsidR="00C01D23" w:rsidRPr="00B30A12">
        <w:rPr>
          <w:color w:val="000000"/>
          <w:szCs w:val="22"/>
        </w:rPr>
        <w:t>, soweit zutreffend</w:t>
      </w:r>
      <w:r w:rsidRPr="00B30A12">
        <w:rPr>
          <w:color w:val="000000"/>
          <w:szCs w:val="22"/>
        </w:rPr>
        <w:t>.</w:t>
      </w:r>
    </w:p>
    <w:p w14:paraId="222FF14A" w14:textId="77777777" w:rsidR="006615F9" w:rsidRPr="00B30A12" w:rsidRDefault="006615F9" w:rsidP="00537E23">
      <w:pPr>
        <w:widowControl w:val="0"/>
        <w:rPr>
          <w:color w:val="000000"/>
          <w:sz w:val="22"/>
          <w:szCs w:val="22"/>
        </w:rPr>
      </w:pPr>
    </w:p>
    <w:p w14:paraId="2448666C" w14:textId="77777777" w:rsidR="006615F9" w:rsidRPr="00B30A12" w:rsidRDefault="006615F9" w:rsidP="00537E23">
      <w:pPr>
        <w:widowControl w:val="0"/>
        <w:ind w:firstLine="3"/>
        <w:rPr>
          <w:color w:val="000000"/>
          <w:sz w:val="22"/>
          <w:szCs w:val="22"/>
        </w:rPr>
      </w:pPr>
      <w:r w:rsidRPr="00B30A12">
        <w:rPr>
          <w:color w:val="000000"/>
          <w:sz w:val="22"/>
          <w:szCs w:val="22"/>
        </w:rPr>
        <w:t>Die verschriebene Dosis soll oral mit einer Mahlzeit und einem großen Glas Wasser eingenommen werden</w:t>
      </w:r>
      <w:r w:rsidR="00B71022" w:rsidRPr="00B30A12">
        <w:rPr>
          <w:color w:val="000000"/>
          <w:sz w:val="22"/>
          <w:szCs w:val="22"/>
        </w:rPr>
        <w:t>, um das Risiko gastrointestinaler Irritationen zu minimieren</w:t>
      </w:r>
      <w:r w:rsidRPr="00B30A12">
        <w:rPr>
          <w:color w:val="000000"/>
          <w:sz w:val="22"/>
          <w:szCs w:val="22"/>
        </w:rPr>
        <w:t xml:space="preserve">. </w:t>
      </w:r>
      <w:r w:rsidR="00B71022" w:rsidRPr="00B30A12">
        <w:rPr>
          <w:color w:val="000000"/>
          <w:sz w:val="22"/>
          <w:szCs w:val="22"/>
        </w:rPr>
        <w:t xml:space="preserve">Dosen von 400 mg oder 600 mg sollten einmal täglich </w:t>
      </w:r>
      <w:r w:rsidR="00E20104" w:rsidRPr="00B30A12">
        <w:rPr>
          <w:color w:val="000000"/>
          <w:sz w:val="22"/>
          <w:szCs w:val="22"/>
        </w:rPr>
        <w:t>verabreicht</w:t>
      </w:r>
      <w:r w:rsidR="00B71022" w:rsidRPr="00B30A12">
        <w:rPr>
          <w:color w:val="000000"/>
          <w:sz w:val="22"/>
          <w:szCs w:val="22"/>
        </w:rPr>
        <w:t xml:space="preserve"> werden, während Tagesdosen von 800 mg auf zweimal täglich 400 mg (morgens und abends) aufgeteilt werden sollen. </w:t>
      </w:r>
      <w:r w:rsidRPr="00B30A12">
        <w:rPr>
          <w:color w:val="000000"/>
          <w:sz w:val="22"/>
          <w:szCs w:val="22"/>
        </w:rPr>
        <w:t>Für Patienten (Kinder), die nicht in der Lage sind, die Kapseln zu schlucken, kann der Kapselinhalt in einem Glas Wasser ohne Kohlensäure oder Apfelsaft eingenommen werden. Da Untersuchungen an Tieren eine Reproduktionstoxizität gezeigt haben und das potenzielle Risiko für den menschlichen Fetus unbekannt ist, sollen Frauen im gebärfähigen Alter, die die Kapseln öffnen, ange</w:t>
      </w:r>
      <w:r w:rsidRPr="00B30A12">
        <w:rPr>
          <w:color w:val="000000"/>
          <w:sz w:val="22"/>
          <w:szCs w:val="22"/>
        </w:rPr>
        <w:softHyphen/>
        <w:t>wiesen werden, mit dem Inhalt vorsichtig umzugehen sowie Haut- und Augenkontakt oder eine Inhalation zu vermeiden (siehe Abschnitt 4.6). Unmittelbar nach dem Umgang mit den geöffneten Kapseln sollen die Hände gewaschen werden.</w:t>
      </w:r>
    </w:p>
    <w:p w14:paraId="088DFC1A" w14:textId="77777777" w:rsidR="006615F9" w:rsidRPr="00B30A12" w:rsidRDefault="006615F9" w:rsidP="00537E23">
      <w:pPr>
        <w:widowControl w:val="0"/>
        <w:ind w:firstLine="3"/>
        <w:rPr>
          <w:color w:val="000000"/>
          <w:sz w:val="22"/>
          <w:szCs w:val="22"/>
        </w:rPr>
      </w:pPr>
    </w:p>
    <w:p w14:paraId="4A0D3422" w14:textId="77777777" w:rsidR="006615F9" w:rsidRPr="00B30A12" w:rsidRDefault="006615F9" w:rsidP="00855EEB">
      <w:pPr>
        <w:keepNext/>
        <w:widowControl w:val="0"/>
        <w:ind w:firstLine="6"/>
        <w:rPr>
          <w:color w:val="000000"/>
          <w:sz w:val="22"/>
          <w:szCs w:val="22"/>
          <w:u w:val="single"/>
        </w:rPr>
      </w:pPr>
      <w:r w:rsidRPr="00B30A12">
        <w:rPr>
          <w:color w:val="000000"/>
          <w:sz w:val="22"/>
          <w:szCs w:val="22"/>
          <w:u w:val="single"/>
        </w:rPr>
        <w:t xml:space="preserve">Dosierung bei </w:t>
      </w:r>
      <w:r w:rsidR="00E92F88" w:rsidRPr="00B30A12">
        <w:rPr>
          <w:color w:val="000000"/>
          <w:sz w:val="22"/>
          <w:szCs w:val="22"/>
          <w:u w:val="single"/>
        </w:rPr>
        <w:t xml:space="preserve">Erwachsenen mit </w:t>
      </w:r>
      <w:r w:rsidRPr="00B30A12">
        <w:rPr>
          <w:color w:val="000000"/>
          <w:sz w:val="22"/>
          <w:szCs w:val="22"/>
          <w:u w:val="single"/>
        </w:rPr>
        <w:t>CML</w:t>
      </w:r>
    </w:p>
    <w:p w14:paraId="7795C926" w14:textId="77777777" w:rsidR="006615F9" w:rsidRPr="00B30A12" w:rsidRDefault="006615F9" w:rsidP="00537E23">
      <w:pPr>
        <w:widowControl w:val="0"/>
        <w:ind w:firstLine="3"/>
        <w:rPr>
          <w:color w:val="000000"/>
          <w:sz w:val="22"/>
          <w:szCs w:val="22"/>
        </w:rPr>
      </w:pPr>
      <w:r w:rsidRPr="00B30A12">
        <w:rPr>
          <w:color w:val="000000"/>
          <w:sz w:val="22"/>
          <w:szCs w:val="22"/>
        </w:rPr>
        <w:t xml:space="preserve">Die empfohlene Dosierung von Glivec beträgt bei </w:t>
      </w:r>
      <w:r w:rsidR="00B45DA4" w:rsidRPr="00B30A12">
        <w:rPr>
          <w:color w:val="000000"/>
          <w:sz w:val="22"/>
          <w:szCs w:val="22"/>
        </w:rPr>
        <w:t xml:space="preserve">erwachsenen </w:t>
      </w:r>
      <w:r w:rsidRPr="00B30A12">
        <w:rPr>
          <w:color w:val="000000"/>
          <w:sz w:val="22"/>
          <w:szCs w:val="22"/>
        </w:rPr>
        <w:t xml:space="preserve">Patienten in der chronischen Phase der CML 400 mg/Tag. Die chronische Phase der CML liegt vor, wenn alle der folgenden Kriterien erfüllt sind: Blasten </w:t>
      </w:r>
      <w:r w:rsidR="00D73A0E" w:rsidRPr="00B30A12">
        <w:rPr>
          <w:color w:val="000000"/>
          <w:sz w:val="22"/>
          <w:szCs w:val="22"/>
        </w:rPr>
        <w:t>&lt; </w:t>
      </w:r>
      <w:r w:rsidRPr="00B30A12">
        <w:rPr>
          <w:color w:val="000000"/>
          <w:sz w:val="22"/>
          <w:szCs w:val="22"/>
        </w:rPr>
        <w:t>15</w:t>
      </w:r>
      <w:r w:rsidR="006766AC" w:rsidRPr="00B30A12">
        <w:rPr>
          <w:color w:val="000000"/>
          <w:sz w:val="22"/>
          <w:szCs w:val="22"/>
        </w:rPr>
        <w:t>%</w:t>
      </w:r>
      <w:r w:rsidRPr="00B30A12">
        <w:rPr>
          <w:color w:val="000000"/>
          <w:sz w:val="22"/>
          <w:szCs w:val="22"/>
        </w:rPr>
        <w:t xml:space="preserve"> im Blut und Knochenmark, Basophile im peripheren Blut </w:t>
      </w:r>
      <w:r w:rsidR="00D73A0E" w:rsidRPr="00B30A12">
        <w:rPr>
          <w:color w:val="000000"/>
          <w:sz w:val="22"/>
          <w:szCs w:val="22"/>
        </w:rPr>
        <w:t>&lt; </w:t>
      </w:r>
      <w:r w:rsidRPr="00B30A12">
        <w:rPr>
          <w:color w:val="000000"/>
          <w:sz w:val="22"/>
          <w:szCs w:val="22"/>
        </w:rPr>
        <w:t>20</w:t>
      </w:r>
      <w:r w:rsidR="006766AC" w:rsidRPr="00B30A12">
        <w:rPr>
          <w:color w:val="000000"/>
          <w:sz w:val="22"/>
          <w:szCs w:val="22"/>
        </w:rPr>
        <w:t>%</w:t>
      </w:r>
      <w:r w:rsidRPr="00B30A12">
        <w:rPr>
          <w:color w:val="000000"/>
          <w:sz w:val="22"/>
          <w:szCs w:val="22"/>
        </w:rPr>
        <w:t>, Thrombozyten &gt;</w:t>
      </w:r>
      <w:r w:rsidR="00975215" w:rsidRPr="00B30A12">
        <w:rPr>
          <w:color w:val="000000"/>
          <w:sz w:val="22"/>
          <w:szCs w:val="22"/>
        </w:rPr>
        <w:t> </w:t>
      </w:r>
      <w:r w:rsidRPr="00B30A12">
        <w:rPr>
          <w:color w:val="000000"/>
          <w:sz w:val="22"/>
          <w:szCs w:val="22"/>
        </w:rPr>
        <w:t>100 x</w:t>
      </w:r>
      <w:r w:rsidR="007D25C6"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w:t>
      </w:r>
    </w:p>
    <w:p w14:paraId="4852BDFA" w14:textId="77777777" w:rsidR="006615F9" w:rsidRPr="00B30A12" w:rsidRDefault="006615F9" w:rsidP="00537E23">
      <w:pPr>
        <w:widowControl w:val="0"/>
        <w:ind w:firstLine="3"/>
        <w:rPr>
          <w:color w:val="000000"/>
          <w:sz w:val="22"/>
          <w:szCs w:val="22"/>
        </w:rPr>
      </w:pPr>
    </w:p>
    <w:p w14:paraId="294EED5F" w14:textId="77777777" w:rsidR="006615F9" w:rsidRPr="00B30A12" w:rsidRDefault="006615F9" w:rsidP="00537E23">
      <w:pPr>
        <w:widowControl w:val="0"/>
        <w:ind w:firstLine="3"/>
        <w:rPr>
          <w:color w:val="000000"/>
          <w:sz w:val="22"/>
          <w:szCs w:val="22"/>
        </w:rPr>
      </w:pPr>
      <w:r w:rsidRPr="00B30A12">
        <w:rPr>
          <w:color w:val="000000"/>
          <w:sz w:val="22"/>
          <w:szCs w:val="22"/>
        </w:rPr>
        <w:t xml:space="preserve">Die empfohlene Dosierung von Glivec beträgt bei </w:t>
      </w:r>
      <w:r w:rsidR="00B45DA4" w:rsidRPr="00B30A12">
        <w:rPr>
          <w:color w:val="000000"/>
          <w:sz w:val="22"/>
          <w:szCs w:val="22"/>
        </w:rPr>
        <w:t xml:space="preserve">erwachsenen </w:t>
      </w:r>
      <w:r w:rsidRPr="00B30A12">
        <w:rPr>
          <w:color w:val="000000"/>
          <w:sz w:val="22"/>
          <w:szCs w:val="22"/>
        </w:rPr>
        <w:t xml:space="preserve">Patienten in der akzelerierten Phase 600 mg/Tag. Die akzelerierte Phase liegt vor, wenn eines der folgenden Kriterien erfüllt ist: Blasten </w:t>
      </w:r>
      <w:r w:rsidRPr="00B30A12">
        <w:rPr>
          <w:snapToGrid w:val="0"/>
          <w:color w:val="000000"/>
          <w:sz w:val="22"/>
          <w:szCs w:val="22"/>
          <w:lang w:val="it-IT"/>
        </w:rPr>
        <w:sym w:font="Symbol" w:char="F0B3"/>
      </w:r>
      <w:r w:rsidR="00975215" w:rsidRPr="00B30A12">
        <w:rPr>
          <w:snapToGrid w:val="0"/>
          <w:color w:val="000000"/>
          <w:sz w:val="22"/>
          <w:szCs w:val="22"/>
        </w:rPr>
        <w:t> </w:t>
      </w:r>
      <w:r w:rsidRPr="00B30A12">
        <w:rPr>
          <w:color w:val="000000"/>
          <w:sz w:val="22"/>
          <w:szCs w:val="22"/>
        </w:rPr>
        <w:t>15</w:t>
      </w:r>
      <w:r w:rsidR="006766AC" w:rsidRPr="00B30A12">
        <w:rPr>
          <w:color w:val="000000"/>
          <w:sz w:val="22"/>
          <w:szCs w:val="22"/>
        </w:rPr>
        <w:t>%</w:t>
      </w:r>
      <w:r w:rsidRPr="00B30A12">
        <w:rPr>
          <w:color w:val="000000"/>
          <w:sz w:val="22"/>
          <w:szCs w:val="22"/>
        </w:rPr>
        <w:t xml:space="preserve">, aber </w:t>
      </w:r>
      <w:r w:rsidR="00D73A0E" w:rsidRPr="00B30A12">
        <w:rPr>
          <w:color w:val="000000"/>
          <w:sz w:val="22"/>
          <w:szCs w:val="22"/>
        </w:rPr>
        <w:t>&lt; </w:t>
      </w:r>
      <w:r w:rsidRPr="00B30A12">
        <w:rPr>
          <w:color w:val="000000"/>
          <w:sz w:val="22"/>
          <w:szCs w:val="22"/>
        </w:rPr>
        <w:t>30</w:t>
      </w:r>
      <w:r w:rsidR="006766AC" w:rsidRPr="00B30A12">
        <w:rPr>
          <w:color w:val="000000"/>
          <w:sz w:val="22"/>
          <w:szCs w:val="22"/>
        </w:rPr>
        <w:t>%</w:t>
      </w:r>
      <w:r w:rsidRPr="00B30A12">
        <w:rPr>
          <w:color w:val="000000"/>
          <w:sz w:val="22"/>
          <w:szCs w:val="22"/>
        </w:rPr>
        <w:t xml:space="preserve"> im Blut oder Knochenmark, Blasten + Promyelozyten </w:t>
      </w:r>
      <w:r w:rsidRPr="00B30A12">
        <w:rPr>
          <w:snapToGrid w:val="0"/>
          <w:color w:val="000000"/>
          <w:sz w:val="22"/>
          <w:szCs w:val="22"/>
          <w:lang w:val="it-IT"/>
        </w:rPr>
        <w:sym w:font="Symbol" w:char="F0B3"/>
      </w:r>
      <w:r w:rsidR="00975215" w:rsidRPr="00B30A12">
        <w:rPr>
          <w:snapToGrid w:val="0"/>
          <w:color w:val="000000"/>
          <w:sz w:val="22"/>
          <w:szCs w:val="22"/>
        </w:rPr>
        <w:t> </w:t>
      </w:r>
      <w:r w:rsidRPr="00B30A12">
        <w:rPr>
          <w:color w:val="000000"/>
          <w:sz w:val="22"/>
          <w:szCs w:val="22"/>
        </w:rPr>
        <w:t>30</w:t>
      </w:r>
      <w:r w:rsidR="006766AC" w:rsidRPr="00B30A12">
        <w:rPr>
          <w:color w:val="000000"/>
          <w:sz w:val="22"/>
          <w:szCs w:val="22"/>
        </w:rPr>
        <w:t>%</w:t>
      </w:r>
      <w:r w:rsidRPr="00B30A12">
        <w:rPr>
          <w:color w:val="000000"/>
          <w:sz w:val="22"/>
          <w:szCs w:val="22"/>
        </w:rPr>
        <w:t xml:space="preserve"> im Blut oder Knochenmark (vorausgesetzt </w:t>
      </w:r>
      <w:r w:rsidR="00D73A0E" w:rsidRPr="00B30A12">
        <w:rPr>
          <w:color w:val="000000"/>
          <w:sz w:val="22"/>
          <w:szCs w:val="22"/>
        </w:rPr>
        <w:t>&lt; </w:t>
      </w:r>
      <w:r w:rsidRPr="00B30A12">
        <w:rPr>
          <w:color w:val="000000"/>
          <w:sz w:val="22"/>
          <w:szCs w:val="22"/>
        </w:rPr>
        <w:t>30</w:t>
      </w:r>
      <w:r w:rsidR="006766AC" w:rsidRPr="00B30A12">
        <w:rPr>
          <w:color w:val="000000"/>
          <w:sz w:val="22"/>
          <w:szCs w:val="22"/>
        </w:rPr>
        <w:t>%</w:t>
      </w:r>
      <w:r w:rsidRPr="00B30A12">
        <w:rPr>
          <w:color w:val="000000"/>
          <w:sz w:val="22"/>
          <w:szCs w:val="22"/>
        </w:rPr>
        <w:t xml:space="preserve"> Blasten), Basophile im peripheren Blut </w:t>
      </w:r>
      <w:r w:rsidRPr="00B30A12">
        <w:rPr>
          <w:snapToGrid w:val="0"/>
          <w:color w:val="000000"/>
          <w:sz w:val="22"/>
          <w:szCs w:val="22"/>
          <w:lang w:val="it-IT"/>
        </w:rPr>
        <w:sym w:font="Symbol" w:char="F0B3"/>
      </w:r>
      <w:r w:rsidR="00975215" w:rsidRPr="00B30A12">
        <w:rPr>
          <w:snapToGrid w:val="0"/>
          <w:color w:val="000000"/>
          <w:sz w:val="22"/>
          <w:szCs w:val="22"/>
        </w:rPr>
        <w:t> </w:t>
      </w:r>
      <w:r w:rsidRPr="00B30A12">
        <w:rPr>
          <w:color w:val="000000"/>
          <w:sz w:val="22"/>
          <w:szCs w:val="22"/>
        </w:rPr>
        <w:t>20</w:t>
      </w:r>
      <w:r w:rsidR="006766AC" w:rsidRPr="00B30A12">
        <w:rPr>
          <w:color w:val="000000"/>
          <w:sz w:val="22"/>
          <w:szCs w:val="22"/>
        </w:rPr>
        <w:t>%</w:t>
      </w:r>
      <w:r w:rsidRPr="00B30A12">
        <w:rPr>
          <w:color w:val="000000"/>
          <w:sz w:val="22"/>
          <w:szCs w:val="22"/>
        </w:rPr>
        <w:t xml:space="preserve">, Thrombozyten </w:t>
      </w:r>
      <w:r w:rsidR="00D73A0E" w:rsidRPr="00B30A12">
        <w:rPr>
          <w:color w:val="000000"/>
          <w:sz w:val="22"/>
          <w:szCs w:val="22"/>
        </w:rPr>
        <w:t>&lt; </w:t>
      </w:r>
      <w:r w:rsidRPr="00B30A12">
        <w:rPr>
          <w:color w:val="000000"/>
          <w:sz w:val="22"/>
          <w:szCs w:val="22"/>
        </w:rPr>
        <w:t>100</w:t>
      </w:r>
      <w:r w:rsidR="007D25C6" w:rsidRPr="00B30A12">
        <w:rPr>
          <w:color w:val="000000"/>
          <w:sz w:val="22"/>
          <w:szCs w:val="22"/>
        </w:rPr>
        <w:t> x </w:t>
      </w:r>
      <w:r w:rsidRPr="00B30A12">
        <w:rPr>
          <w:color w:val="000000"/>
          <w:sz w:val="22"/>
          <w:szCs w:val="22"/>
        </w:rPr>
        <w:t>10</w:t>
      </w:r>
      <w:r w:rsidRPr="00B30A12">
        <w:rPr>
          <w:color w:val="000000"/>
          <w:sz w:val="22"/>
          <w:szCs w:val="22"/>
          <w:vertAlign w:val="superscript"/>
        </w:rPr>
        <w:t>9</w:t>
      </w:r>
      <w:r w:rsidRPr="00B30A12">
        <w:rPr>
          <w:color w:val="000000"/>
          <w:sz w:val="22"/>
          <w:szCs w:val="22"/>
        </w:rPr>
        <w:t>/l unabhängig von der Therapie.</w:t>
      </w:r>
    </w:p>
    <w:p w14:paraId="53F52F46" w14:textId="77777777" w:rsidR="006615F9" w:rsidRPr="00B30A12" w:rsidRDefault="006615F9" w:rsidP="00537E23">
      <w:pPr>
        <w:widowControl w:val="0"/>
        <w:ind w:firstLine="3"/>
        <w:rPr>
          <w:color w:val="000000"/>
          <w:sz w:val="22"/>
          <w:szCs w:val="22"/>
        </w:rPr>
      </w:pPr>
    </w:p>
    <w:p w14:paraId="00238180" w14:textId="77777777" w:rsidR="006615F9" w:rsidRPr="00B30A12" w:rsidRDefault="006615F9" w:rsidP="00537E23">
      <w:pPr>
        <w:widowControl w:val="0"/>
        <w:ind w:firstLine="3"/>
        <w:rPr>
          <w:color w:val="000000"/>
          <w:sz w:val="22"/>
          <w:szCs w:val="22"/>
        </w:rPr>
      </w:pPr>
      <w:r w:rsidRPr="00B30A12">
        <w:rPr>
          <w:color w:val="000000"/>
          <w:sz w:val="22"/>
          <w:szCs w:val="22"/>
        </w:rPr>
        <w:t xml:space="preserve">Die empfohlene Dosierung von Glivec beträgt bei </w:t>
      </w:r>
      <w:r w:rsidR="00B45DA4" w:rsidRPr="00B30A12">
        <w:rPr>
          <w:color w:val="000000"/>
          <w:sz w:val="22"/>
          <w:szCs w:val="22"/>
        </w:rPr>
        <w:t xml:space="preserve">erwachsenen </w:t>
      </w:r>
      <w:r w:rsidRPr="00B30A12">
        <w:rPr>
          <w:color w:val="000000"/>
          <w:sz w:val="22"/>
          <w:szCs w:val="22"/>
        </w:rPr>
        <w:t xml:space="preserve">Patienten in der Blastenkrise 600 mg/Tag. Die Blastenkrise ist definiert als </w:t>
      </w:r>
      <w:r w:rsidRPr="00B30A12">
        <w:rPr>
          <w:snapToGrid w:val="0"/>
          <w:color w:val="000000"/>
          <w:sz w:val="22"/>
          <w:szCs w:val="22"/>
          <w:lang w:val="it-IT"/>
        </w:rPr>
        <w:sym w:font="Symbol" w:char="F0B3"/>
      </w:r>
      <w:r w:rsidR="00975215" w:rsidRPr="00B30A12">
        <w:rPr>
          <w:snapToGrid w:val="0"/>
          <w:color w:val="000000"/>
          <w:sz w:val="22"/>
          <w:szCs w:val="22"/>
        </w:rPr>
        <w:t> </w:t>
      </w:r>
      <w:r w:rsidRPr="00B30A12">
        <w:rPr>
          <w:color w:val="000000"/>
          <w:sz w:val="22"/>
          <w:szCs w:val="22"/>
        </w:rPr>
        <w:t>30</w:t>
      </w:r>
      <w:r w:rsidR="006766AC" w:rsidRPr="00B30A12">
        <w:rPr>
          <w:color w:val="000000"/>
          <w:sz w:val="22"/>
          <w:szCs w:val="22"/>
        </w:rPr>
        <w:t>%</w:t>
      </w:r>
      <w:r w:rsidRPr="00B30A12">
        <w:rPr>
          <w:color w:val="000000"/>
          <w:sz w:val="22"/>
          <w:szCs w:val="22"/>
        </w:rPr>
        <w:t xml:space="preserve"> Blasten im Blut oder Knochenmark oder dem Vorliegen einer extra</w:t>
      </w:r>
      <w:r w:rsidRPr="00B30A12">
        <w:rPr>
          <w:color w:val="000000"/>
          <w:sz w:val="22"/>
          <w:szCs w:val="22"/>
        </w:rPr>
        <w:softHyphen/>
        <w:t>medullären Erkrankung außer einer Hepatosplenomegalie.</w:t>
      </w:r>
    </w:p>
    <w:p w14:paraId="6D2BC2A5" w14:textId="77777777" w:rsidR="006615F9" w:rsidRPr="00B30A12" w:rsidRDefault="006615F9" w:rsidP="00537E23">
      <w:pPr>
        <w:widowControl w:val="0"/>
        <w:ind w:firstLine="3"/>
        <w:rPr>
          <w:color w:val="000000"/>
          <w:sz w:val="22"/>
          <w:szCs w:val="22"/>
        </w:rPr>
      </w:pPr>
    </w:p>
    <w:p w14:paraId="42D72828" w14:textId="77777777" w:rsidR="006615F9" w:rsidRPr="00B30A12" w:rsidRDefault="006615F9" w:rsidP="00537E23">
      <w:pPr>
        <w:pStyle w:val="BodyTextIndent2"/>
        <w:rPr>
          <w:color w:val="000000"/>
          <w:szCs w:val="22"/>
        </w:rPr>
      </w:pPr>
      <w:r w:rsidRPr="00B30A12">
        <w:rPr>
          <w:color w:val="000000"/>
          <w:szCs w:val="22"/>
        </w:rPr>
        <w:t>Dauer der Behandlung: In klinischen Studien wurde die Behandlung mit Glivec bis zum Auftreten einer Progression der Erkrankung fortgeführt. Der Effekt eines Behandlungsstopps nach Erreichen einer kompletten zytogenetischen Remission wurde nicht untersucht.</w:t>
      </w:r>
    </w:p>
    <w:p w14:paraId="532C6444" w14:textId="77777777" w:rsidR="006615F9" w:rsidRPr="00B30A12" w:rsidRDefault="006615F9" w:rsidP="00537E23">
      <w:pPr>
        <w:widowControl w:val="0"/>
        <w:ind w:firstLine="3"/>
        <w:rPr>
          <w:color w:val="000000"/>
          <w:sz w:val="22"/>
          <w:szCs w:val="22"/>
        </w:rPr>
      </w:pPr>
    </w:p>
    <w:p w14:paraId="690F6775" w14:textId="77777777" w:rsidR="006615F9" w:rsidRPr="00B30A12" w:rsidRDefault="006615F9" w:rsidP="00537E23">
      <w:pPr>
        <w:widowControl w:val="0"/>
        <w:ind w:firstLine="3"/>
        <w:rPr>
          <w:color w:val="000000"/>
          <w:sz w:val="22"/>
          <w:szCs w:val="22"/>
        </w:rPr>
      </w:pPr>
      <w:r w:rsidRPr="00B30A12">
        <w:rPr>
          <w:color w:val="000000"/>
          <w:sz w:val="22"/>
          <w:szCs w:val="22"/>
        </w:rPr>
        <w:t>Eine Dosiserhöhung von 400</w:t>
      </w:r>
      <w:r w:rsidR="001922B0" w:rsidRPr="00B30A12">
        <w:rPr>
          <w:color w:val="000000"/>
          <w:sz w:val="22"/>
          <w:szCs w:val="22"/>
        </w:rPr>
        <w:t> mg</w:t>
      </w:r>
      <w:r w:rsidRPr="00B30A12">
        <w:rPr>
          <w:color w:val="000000"/>
          <w:sz w:val="22"/>
          <w:szCs w:val="22"/>
        </w:rPr>
        <w:t xml:space="preserve"> auf 600</w:t>
      </w:r>
      <w:r w:rsidR="001922B0" w:rsidRPr="00B30A12">
        <w:rPr>
          <w:color w:val="000000"/>
          <w:sz w:val="22"/>
          <w:szCs w:val="22"/>
        </w:rPr>
        <w:t> mg</w:t>
      </w:r>
      <w:r w:rsidRPr="00B30A12">
        <w:rPr>
          <w:color w:val="000000"/>
          <w:sz w:val="22"/>
          <w:szCs w:val="22"/>
        </w:rPr>
        <w:t xml:space="preserve"> </w:t>
      </w:r>
      <w:r w:rsidR="00B71022" w:rsidRPr="00B30A12">
        <w:rPr>
          <w:color w:val="000000"/>
          <w:sz w:val="22"/>
          <w:szCs w:val="22"/>
        </w:rPr>
        <w:t xml:space="preserve">oder 800 mg </w:t>
      </w:r>
      <w:r w:rsidRPr="00B30A12">
        <w:rPr>
          <w:color w:val="000000"/>
          <w:sz w:val="22"/>
          <w:szCs w:val="22"/>
        </w:rPr>
        <w:t>bei Patienten in der chronischen Phase der Erkrankung oder von 600</w:t>
      </w:r>
      <w:r w:rsidR="001922B0" w:rsidRPr="00B30A12">
        <w:rPr>
          <w:color w:val="000000"/>
          <w:sz w:val="22"/>
          <w:szCs w:val="22"/>
        </w:rPr>
        <w:t> mg</w:t>
      </w:r>
      <w:r w:rsidRPr="00B30A12">
        <w:rPr>
          <w:color w:val="000000"/>
          <w:sz w:val="22"/>
          <w:szCs w:val="22"/>
        </w:rPr>
        <w:t xml:space="preserve"> auf maximal 800</w:t>
      </w:r>
      <w:r w:rsidR="001922B0" w:rsidRPr="00B30A12">
        <w:rPr>
          <w:color w:val="000000"/>
          <w:sz w:val="22"/>
          <w:szCs w:val="22"/>
        </w:rPr>
        <w:t> mg</w:t>
      </w:r>
      <w:r w:rsidRPr="00B30A12">
        <w:rPr>
          <w:color w:val="000000"/>
          <w:sz w:val="22"/>
          <w:szCs w:val="22"/>
        </w:rPr>
        <w:t xml:space="preserve"> (2-mal 400</w:t>
      </w:r>
      <w:r w:rsidR="001922B0" w:rsidRPr="00B30A12">
        <w:rPr>
          <w:color w:val="000000"/>
          <w:sz w:val="22"/>
          <w:szCs w:val="22"/>
        </w:rPr>
        <w:t> mg</w:t>
      </w:r>
      <w:r w:rsidRPr="00B30A12">
        <w:rPr>
          <w:color w:val="000000"/>
          <w:sz w:val="22"/>
          <w:szCs w:val="22"/>
        </w:rPr>
        <w:t xml:space="preserve"> täglich) bei Patienten in der akzelerierten Phase oder der Blastenkrise kann bei Abwesenheit schwerer Nebenwirkungen des Arzneimittels und bei Fehlen nicht</w:t>
      </w:r>
      <w:r w:rsidR="006D5838" w:rsidRPr="00B30A12">
        <w:rPr>
          <w:color w:val="000000"/>
          <w:sz w:val="22"/>
          <w:szCs w:val="22"/>
        </w:rPr>
        <w:t xml:space="preserve"> </w:t>
      </w:r>
      <w:r w:rsidRPr="00B30A12">
        <w:rPr>
          <w:color w:val="000000"/>
          <w:sz w:val="22"/>
          <w:szCs w:val="22"/>
        </w:rPr>
        <w:t>Leukämie</w:t>
      </w:r>
      <w:r w:rsidR="006D5838" w:rsidRPr="00B30A12">
        <w:rPr>
          <w:color w:val="000000"/>
          <w:sz w:val="22"/>
          <w:szCs w:val="22"/>
        </w:rPr>
        <w:t xml:space="preserve"> </w:t>
      </w:r>
      <w:r w:rsidRPr="00B30A12">
        <w:rPr>
          <w:color w:val="000000"/>
          <w:sz w:val="22"/>
          <w:szCs w:val="22"/>
        </w:rPr>
        <w:t>bedingter Neutropenie oder Thrombozytopenie unter folgenden Umständen in Betracht gezogen werden: Progression der Erkrankung (zu jeder Zeit</w:t>
      </w:r>
      <w:r w:rsidR="00B71022" w:rsidRPr="00B30A12">
        <w:rPr>
          <w:color w:val="000000"/>
          <w:sz w:val="22"/>
          <w:szCs w:val="22"/>
        </w:rPr>
        <w:t xml:space="preserve">), </w:t>
      </w:r>
      <w:r w:rsidRPr="00B30A12">
        <w:rPr>
          <w:color w:val="000000"/>
          <w:sz w:val="22"/>
          <w:szCs w:val="22"/>
        </w:rPr>
        <w:t>kein</w:t>
      </w:r>
      <w:r w:rsidR="007034DE" w:rsidRPr="00B30A12">
        <w:rPr>
          <w:color w:val="000000"/>
          <w:sz w:val="22"/>
          <w:szCs w:val="22"/>
        </w:rPr>
        <w:t>e</w:t>
      </w:r>
      <w:r w:rsidRPr="00B30A12">
        <w:rPr>
          <w:color w:val="000000"/>
          <w:sz w:val="22"/>
          <w:szCs w:val="22"/>
        </w:rPr>
        <w:t xml:space="preserve"> zufrieden</w:t>
      </w:r>
      <w:r w:rsidR="006D5838" w:rsidRPr="00B30A12">
        <w:rPr>
          <w:color w:val="000000"/>
          <w:sz w:val="22"/>
          <w:szCs w:val="22"/>
        </w:rPr>
        <w:t xml:space="preserve"> </w:t>
      </w:r>
      <w:r w:rsidRPr="00B30A12">
        <w:rPr>
          <w:color w:val="000000"/>
          <w:sz w:val="22"/>
          <w:szCs w:val="22"/>
        </w:rPr>
        <w:t xml:space="preserve">stellende hämatologische </w:t>
      </w:r>
      <w:r w:rsidR="00680171" w:rsidRPr="00B30A12">
        <w:rPr>
          <w:color w:val="000000"/>
          <w:sz w:val="22"/>
          <w:szCs w:val="22"/>
        </w:rPr>
        <w:t>Remission</w:t>
      </w:r>
      <w:r w:rsidRPr="00B30A12">
        <w:rPr>
          <w:color w:val="000000"/>
          <w:sz w:val="22"/>
          <w:szCs w:val="22"/>
        </w:rPr>
        <w:t xml:space="preserve"> nach mindestens 3</w:t>
      </w:r>
      <w:r w:rsidR="00C80819" w:rsidRPr="00B30A12">
        <w:rPr>
          <w:color w:val="000000"/>
          <w:sz w:val="22"/>
          <w:szCs w:val="22"/>
        </w:rPr>
        <w:t> </w:t>
      </w:r>
      <w:r w:rsidRPr="00B30A12">
        <w:rPr>
          <w:color w:val="000000"/>
          <w:sz w:val="22"/>
          <w:szCs w:val="22"/>
        </w:rPr>
        <w:t>Monaten Behandlung</w:t>
      </w:r>
      <w:r w:rsidR="00B71022" w:rsidRPr="00B30A12">
        <w:rPr>
          <w:color w:val="000000"/>
          <w:sz w:val="22"/>
          <w:szCs w:val="22"/>
        </w:rPr>
        <w:t xml:space="preserve">, </w:t>
      </w:r>
      <w:r w:rsidR="00E20104" w:rsidRPr="00B30A12">
        <w:rPr>
          <w:color w:val="000000"/>
          <w:sz w:val="22"/>
          <w:szCs w:val="22"/>
        </w:rPr>
        <w:t>fehlende</w:t>
      </w:r>
      <w:r w:rsidR="00B71022" w:rsidRPr="00B30A12">
        <w:rPr>
          <w:color w:val="000000"/>
          <w:sz w:val="22"/>
          <w:szCs w:val="22"/>
        </w:rPr>
        <w:t xml:space="preserve"> zytogenetische </w:t>
      </w:r>
      <w:r w:rsidR="00680171" w:rsidRPr="00B30A12">
        <w:rPr>
          <w:color w:val="000000"/>
          <w:sz w:val="22"/>
          <w:szCs w:val="22"/>
        </w:rPr>
        <w:t>Remission</w:t>
      </w:r>
      <w:r w:rsidR="00B71022" w:rsidRPr="00B30A12">
        <w:rPr>
          <w:color w:val="000000"/>
          <w:sz w:val="22"/>
          <w:szCs w:val="22"/>
        </w:rPr>
        <w:t xml:space="preserve"> nach 12</w:t>
      </w:r>
      <w:r w:rsidR="009B5307" w:rsidRPr="00B30A12">
        <w:rPr>
          <w:color w:val="000000"/>
          <w:sz w:val="22"/>
          <w:szCs w:val="22"/>
        </w:rPr>
        <w:t> </w:t>
      </w:r>
      <w:r w:rsidR="00B71022" w:rsidRPr="00B30A12">
        <w:rPr>
          <w:color w:val="000000"/>
          <w:sz w:val="22"/>
          <w:szCs w:val="22"/>
        </w:rPr>
        <w:t xml:space="preserve">Monaten Behandlung oder </w:t>
      </w:r>
      <w:r w:rsidR="007034DE" w:rsidRPr="00B30A12">
        <w:rPr>
          <w:color w:val="000000"/>
          <w:sz w:val="22"/>
          <w:szCs w:val="22"/>
        </w:rPr>
        <w:t xml:space="preserve">Verlust </w:t>
      </w:r>
      <w:r w:rsidRPr="00B30A12">
        <w:rPr>
          <w:color w:val="000000"/>
          <w:sz w:val="22"/>
          <w:szCs w:val="22"/>
        </w:rPr>
        <w:t>eine</w:t>
      </w:r>
      <w:r w:rsidR="00680171" w:rsidRPr="00B30A12">
        <w:rPr>
          <w:color w:val="000000"/>
          <w:sz w:val="22"/>
          <w:szCs w:val="22"/>
        </w:rPr>
        <w:t>r</w:t>
      </w:r>
      <w:r w:rsidRPr="00B30A12">
        <w:rPr>
          <w:color w:val="000000"/>
          <w:sz w:val="22"/>
          <w:szCs w:val="22"/>
        </w:rPr>
        <w:t xml:space="preserve"> vorher erreichten hämatologi</w:t>
      </w:r>
      <w:r w:rsidRPr="00B30A12">
        <w:rPr>
          <w:color w:val="000000"/>
          <w:sz w:val="22"/>
          <w:szCs w:val="22"/>
        </w:rPr>
        <w:softHyphen/>
        <w:t xml:space="preserve">schen </w:t>
      </w:r>
      <w:r w:rsidR="00B71022" w:rsidRPr="00B30A12">
        <w:rPr>
          <w:color w:val="000000"/>
          <w:sz w:val="22"/>
          <w:szCs w:val="22"/>
        </w:rPr>
        <w:t xml:space="preserve">und/oder zytogenetischen </w:t>
      </w:r>
      <w:r w:rsidR="00680171" w:rsidRPr="00B30A12">
        <w:rPr>
          <w:color w:val="000000"/>
          <w:sz w:val="22"/>
          <w:szCs w:val="22"/>
        </w:rPr>
        <w:t>Remission</w:t>
      </w:r>
      <w:r w:rsidRPr="00B30A12">
        <w:rPr>
          <w:color w:val="000000"/>
          <w:sz w:val="22"/>
          <w:szCs w:val="22"/>
        </w:rPr>
        <w:t>. Die Patienten müssen nach einer Dosiserhöhung engmaschig überwacht werden, weil die Wahrscheinlichkeit für das Auftreten von Nebenwirkungen bei höheren Dosierungen ansteigt.</w:t>
      </w:r>
    </w:p>
    <w:p w14:paraId="0F00DCC8" w14:textId="77777777" w:rsidR="006615F9" w:rsidRPr="00B30A12" w:rsidRDefault="006615F9" w:rsidP="00537E23">
      <w:pPr>
        <w:widowControl w:val="0"/>
        <w:rPr>
          <w:color w:val="000000"/>
          <w:sz w:val="22"/>
          <w:szCs w:val="22"/>
        </w:rPr>
      </w:pPr>
    </w:p>
    <w:p w14:paraId="2F22A000" w14:textId="77777777" w:rsidR="00E92F88" w:rsidRPr="00B30A12" w:rsidRDefault="00E92F88" w:rsidP="00855EEB">
      <w:pPr>
        <w:keepNext/>
        <w:widowControl w:val="0"/>
        <w:rPr>
          <w:color w:val="000000"/>
          <w:sz w:val="22"/>
          <w:szCs w:val="22"/>
          <w:u w:val="single"/>
        </w:rPr>
      </w:pPr>
      <w:r w:rsidRPr="00B30A12">
        <w:rPr>
          <w:color w:val="000000"/>
          <w:sz w:val="22"/>
          <w:szCs w:val="22"/>
          <w:u w:val="single"/>
        </w:rPr>
        <w:t>Dosierung bei Kindern mit CML</w:t>
      </w:r>
    </w:p>
    <w:p w14:paraId="5E60F471" w14:textId="77777777" w:rsidR="00E92F88" w:rsidRPr="00B30A12" w:rsidRDefault="00E92F88" w:rsidP="00537E23">
      <w:pPr>
        <w:widowControl w:val="0"/>
        <w:rPr>
          <w:color w:val="000000"/>
          <w:sz w:val="22"/>
          <w:szCs w:val="22"/>
        </w:rPr>
      </w:pPr>
      <w:r w:rsidRPr="00B30A12">
        <w:rPr>
          <w:color w:val="000000"/>
          <w:sz w:val="22"/>
          <w:szCs w:val="22"/>
        </w:rPr>
        <w:t>Die Dosierung bei Kindern sollte auf Basis der Körperoberfläche vorgenommen werden (mg/m</w:t>
      </w:r>
      <w:r w:rsidRPr="00B30A12">
        <w:rPr>
          <w:color w:val="000000"/>
          <w:sz w:val="22"/>
          <w:szCs w:val="22"/>
          <w:vertAlign w:val="superscript"/>
        </w:rPr>
        <w:t>2</w:t>
      </w:r>
      <w:r w:rsidRPr="00B30A12">
        <w:rPr>
          <w:color w:val="000000"/>
          <w:sz w:val="22"/>
          <w:szCs w:val="22"/>
        </w:rPr>
        <w:t>). Für Kinder in der chronischen Phase der CML bzw. weiter fortgeschrittenen Stadien der CML wird eine tägliche Dosis von 340 mg/m</w:t>
      </w:r>
      <w:r w:rsidRPr="00B30A12">
        <w:rPr>
          <w:color w:val="000000"/>
          <w:sz w:val="22"/>
          <w:szCs w:val="22"/>
          <w:vertAlign w:val="superscript"/>
        </w:rPr>
        <w:t>2</w:t>
      </w:r>
      <w:r w:rsidRPr="00B30A12">
        <w:rPr>
          <w:color w:val="000000"/>
          <w:sz w:val="22"/>
          <w:szCs w:val="22"/>
        </w:rPr>
        <w:t xml:space="preserve"> empfohlen (eine Gesamtdosis von 800 mg darf nicht überschritten werden). Die Gesamtdosis kann als tägliche Einmaldosis oder alternativ aufgeteilt auf zwei Applikationen – eine morgens und eine abends – gegeben werden. Die Dosierungsempfehlung beruht zum gegenwärtigen Zeitpunkt auf einer kleinen Zahl pädiatrischer Patienten (siehe Abschnitte 5.1 und 5.2). Erfahrungen mit der Behandlung von Kindern unter 2 Jahren liegen nicht vor.</w:t>
      </w:r>
    </w:p>
    <w:p w14:paraId="488E8817" w14:textId="77777777" w:rsidR="00E92F88" w:rsidRPr="00B30A12" w:rsidRDefault="00E92F88" w:rsidP="00537E23">
      <w:pPr>
        <w:widowControl w:val="0"/>
        <w:rPr>
          <w:color w:val="000000"/>
          <w:sz w:val="22"/>
          <w:szCs w:val="22"/>
        </w:rPr>
      </w:pPr>
    </w:p>
    <w:p w14:paraId="1F07A98F" w14:textId="77777777" w:rsidR="00E92F88" w:rsidRPr="00B30A12" w:rsidRDefault="00E92F88" w:rsidP="00537E23">
      <w:pPr>
        <w:widowControl w:val="0"/>
        <w:ind w:firstLine="3"/>
        <w:rPr>
          <w:color w:val="000000"/>
          <w:sz w:val="22"/>
          <w:szCs w:val="22"/>
        </w:rPr>
      </w:pPr>
      <w:r w:rsidRPr="00B30A12">
        <w:rPr>
          <w:color w:val="000000"/>
          <w:sz w:val="22"/>
          <w:szCs w:val="22"/>
        </w:rPr>
        <w:t>Eine Dosiserhöhung von täglich 340 mg/m</w:t>
      </w:r>
      <w:r w:rsidRPr="00B30A12">
        <w:rPr>
          <w:color w:val="000000"/>
          <w:sz w:val="22"/>
          <w:szCs w:val="22"/>
          <w:vertAlign w:val="superscript"/>
        </w:rPr>
        <w:t>2</w:t>
      </w:r>
      <w:r w:rsidRPr="00B30A12">
        <w:rPr>
          <w:color w:val="000000"/>
          <w:sz w:val="22"/>
          <w:szCs w:val="22"/>
        </w:rPr>
        <w:t xml:space="preserve"> auf täglich 570 mg/m</w:t>
      </w:r>
      <w:r w:rsidRPr="00B30A12">
        <w:rPr>
          <w:color w:val="000000"/>
          <w:sz w:val="22"/>
          <w:szCs w:val="22"/>
          <w:vertAlign w:val="superscript"/>
        </w:rPr>
        <w:t>2</w:t>
      </w:r>
      <w:r w:rsidRPr="00B30A12">
        <w:rPr>
          <w:color w:val="000000"/>
          <w:sz w:val="22"/>
          <w:szCs w:val="22"/>
        </w:rPr>
        <w:t xml:space="preserve"> (eine Gesamtdosis von 800 mg darf nicht überschritten werden) bei Kindern kann bei Abwesenheit schwerer Nebenwirkungen des Arzneimittels und bei Fehlen nicht-Leukämie-bedingter Neutropenie oder Thrombozytopenie unter folgenden Umständen in Betracht gezogen werden: Progression der Erkrankung (zu jeder Zeit), keine zufriedenstellende hämatologische Remission nach mindestens 3 Monaten Behandlung, fehlende zytogenetische Remission nach 12 Monaten Behandlung oder Verschwinden einer vorher erreichten hämatologi</w:t>
      </w:r>
      <w:r w:rsidRPr="00B30A12">
        <w:rPr>
          <w:color w:val="000000"/>
          <w:sz w:val="22"/>
          <w:szCs w:val="22"/>
        </w:rPr>
        <w:softHyphen/>
        <w:t>schen und/oder zytogenetischen Remission. Die Patienten müssen nach einer Dosiserhöhung engmaschig überwacht werden, weil die Wahrscheinlichkeit für das Auftreten von Nebenwirkungen bei höheren Dosierungen ansteigt.</w:t>
      </w:r>
    </w:p>
    <w:p w14:paraId="04008634" w14:textId="77777777" w:rsidR="00C01D23" w:rsidRPr="00B30A12" w:rsidRDefault="00C01D23" w:rsidP="00537E23">
      <w:pPr>
        <w:widowControl w:val="0"/>
        <w:rPr>
          <w:color w:val="000000"/>
          <w:sz w:val="22"/>
          <w:szCs w:val="22"/>
          <w:u w:val="single"/>
        </w:rPr>
      </w:pPr>
    </w:p>
    <w:p w14:paraId="232935A9" w14:textId="77777777" w:rsidR="00C01D23" w:rsidRPr="00B30A12" w:rsidRDefault="00C01D23" w:rsidP="00855EEB">
      <w:pPr>
        <w:keepNext/>
        <w:widowControl w:val="0"/>
        <w:rPr>
          <w:color w:val="000000"/>
          <w:sz w:val="22"/>
          <w:szCs w:val="22"/>
          <w:u w:val="single"/>
        </w:rPr>
      </w:pPr>
      <w:r w:rsidRPr="00B30A12">
        <w:rPr>
          <w:color w:val="000000"/>
          <w:sz w:val="22"/>
          <w:szCs w:val="22"/>
          <w:u w:val="single"/>
        </w:rPr>
        <w:t xml:space="preserve">Dosierung </w:t>
      </w:r>
      <w:r w:rsidR="00B44F52" w:rsidRPr="00B30A12">
        <w:rPr>
          <w:color w:val="000000"/>
          <w:sz w:val="22"/>
          <w:szCs w:val="22"/>
          <w:u w:val="single"/>
        </w:rPr>
        <w:t>bei Erwachsenen</w:t>
      </w:r>
      <w:r w:rsidR="00D8182A" w:rsidRPr="00B30A12">
        <w:rPr>
          <w:color w:val="000000"/>
          <w:sz w:val="22"/>
          <w:szCs w:val="22"/>
          <w:u w:val="single"/>
        </w:rPr>
        <w:t xml:space="preserve"> mit Ph+ ALL</w:t>
      </w:r>
    </w:p>
    <w:p w14:paraId="7EFC53C8" w14:textId="77777777" w:rsidR="00C01D23" w:rsidRPr="00B30A12" w:rsidRDefault="00C01D23" w:rsidP="00537E23">
      <w:pPr>
        <w:widowControl w:val="0"/>
        <w:rPr>
          <w:color w:val="000000"/>
          <w:sz w:val="22"/>
          <w:szCs w:val="22"/>
        </w:rPr>
      </w:pPr>
      <w:r w:rsidRPr="00B30A12">
        <w:rPr>
          <w:color w:val="000000"/>
          <w:sz w:val="22"/>
          <w:szCs w:val="22"/>
        </w:rPr>
        <w:t xml:space="preserve">Die empfohlene Dosierung von Glivec bei </w:t>
      </w:r>
      <w:r w:rsidR="00B45DA4" w:rsidRPr="00B30A12">
        <w:rPr>
          <w:color w:val="000000"/>
          <w:sz w:val="22"/>
          <w:szCs w:val="22"/>
        </w:rPr>
        <w:t xml:space="preserve">erwachsenen </w:t>
      </w:r>
      <w:r w:rsidRPr="00B30A12">
        <w:rPr>
          <w:color w:val="000000"/>
          <w:sz w:val="22"/>
          <w:szCs w:val="22"/>
        </w:rPr>
        <w:t xml:space="preserve">Patienten mit Ph+ </w:t>
      </w:r>
      <w:smartTag w:uri="urn:schemas-microsoft-com:office:smarttags" w:element="stockticker">
        <w:r w:rsidRPr="00B30A12">
          <w:rPr>
            <w:color w:val="000000"/>
            <w:sz w:val="22"/>
            <w:szCs w:val="22"/>
          </w:rPr>
          <w:t>ALL</w:t>
        </w:r>
      </w:smartTag>
      <w:r w:rsidRPr="00B30A12">
        <w:rPr>
          <w:color w:val="000000"/>
          <w:sz w:val="22"/>
          <w:szCs w:val="22"/>
        </w:rPr>
        <w:t xml:space="preserve"> beträgt 600 mg/Tag. Hämatologen, die in der Behandlung dieser Erkrankung erfahren sind, sollten die Therapie in allen Phasen überwachen.</w:t>
      </w:r>
    </w:p>
    <w:p w14:paraId="3127131F" w14:textId="77777777" w:rsidR="00C01D23" w:rsidRPr="00B30A12" w:rsidRDefault="00C01D23" w:rsidP="00537E23">
      <w:pPr>
        <w:widowControl w:val="0"/>
        <w:rPr>
          <w:color w:val="000000"/>
          <w:sz w:val="22"/>
          <w:szCs w:val="22"/>
        </w:rPr>
      </w:pPr>
    </w:p>
    <w:p w14:paraId="431562A7" w14:textId="77777777" w:rsidR="00C01D23" w:rsidRPr="00B30A12" w:rsidRDefault="00C01D23" w:rsidP="00537E23">
      <w:pPr>
        <w:widowControl w:val="0"/>
        <w:rPr>
          <w:color w:val="000000"/>
          <w:sz w:val="22"/>
          <w:szCs w:val="22"/>
        </w:rPr>
      </w:pPr>
      <w:r w:rsidRPr="00B30A12">
        <w:rPr>
          <w:color w:val="000000"/>
          <w:sz w:val="22"/>
          <w:szCs w:val="22"/>
        </w:rPr>
        <w:t xml:space="preserve">Behandlungsschema: Auf Basis der vorliegenden Daten wurde gezeigt, dass Glivec wirksam und sicher ist, wenn es in Kombination mit Chemotherapie in einer Dosierung von 600 mg/Tag in der Induktionsphase sowie in der Konsolidierungs- und Erhaltungsphase der Chemotherapie bei Erwachsenen mit neu diagnostizierter Ph+ </w:t>
      </w:r>
      <w:smartTag w:uri="urn:schemas-microsoft-com:office:smarttags" w:element="stockticker">
        <w:r w:rsidRPr="00B30A12">
          <w:rPr>
            <w:color w:val="000000"/>
            <w:sz w:val="22"/>
            <w:szCs w:val="22"/>
          </w:rPr>
          <w:t>ALL</w:t>
        </w:r>
      </w:smartTag>
      <w:r w:rsidRPr="00B30A12">
        <w:rPr>
          <w:color w:val="000000"/>
          <w:sz w:val="22"/>
          <w:szCs w:val="22"/>
        </w:rPr>
        <w:t xml:space="preserve"> angewendet wird (siehe Abschnitt 5.1). Die Dauer der Glivec-Therapie kann je nach dem ausgewählten Behandlungsschema variieren, aber längere Expositionen von Glivec haben im Allgemeinen bessere Ergebnisse erbracht.</w:t>
      </w:r>
    </w:p>
    <w:p w14:paraId="26768B11" w14:textId="77777777" w:rsidR="00C01D23" w:rsidRPr="00B30A12" w:rsidRDefault="00C01D23" w:rsidP="00537E23">
      <w:pPr>
        <w:widowControl w:val="0"/>
        <w:rPr>
          <w:color w:val="000000"/>
          <w:sz w:val="22"/>
          <w:szCs w:val="22"/>
        </w:rPr>
      </w:pPr>
    </w:p>
    <w:p w14:paraId="2CC1E252" w14:textId="77777777" w:rsidR="00C01D23" w:rsidRPr="00B30A12" w:rsidRDefault="00C01D23" w:rsidP="00537E23">
      <w:pPr>
        <w:widowControl w:val="0"/>
        <w:rPr>
          <w:color w:val="000000"/>
          <w:sz w:val="22"/>
          <w:szCs w:val="22"/>
        </w:rPr>
      </w:pPr>
      <w:r w:rsidRPr="00B30A12">
        <w:rPr>
          <w:color w:val="000000"/>
          <w:sz w:val="22"/>
          <w:szCs w:val="22"/>
        </w:rPr>
        <w:t xml:space="preserve">Für Erwachsene mit rezidivierter oder refraktärer Ph+ </w:t>
      </w:r>
      <w:smartTag w:uri="urn:schemas-microsoft-com:office:smarttags" w:element="stockticker">
        <w:r w:rsidRPr="00B30A12">
          <w:rPr>
            <w:color w:val="000000"/>
            <w:sz w:val="22"/>
            <w:szCs w:val="22"/>
          </w:rPr>
          <w:t>ALL</w:t>
        </w:r>
      </w:smartTag>
      <w:r w:rsidRPr="00B30A12">
        <w:rPr>
          <w:color w:val="000000"/>
          <w:sz w:val="22"/>
          <w:szCs w:val="22"/>
        </w:rPr>
        <w:t xml:space="preserve"> ist eine Glivec-Monotherapie mit 600 mg/Tag sicher und wirksam und kann gegeben werden, bis eine Progression der Erkrankung auftritt.</w:t>
      </w:r>
    </w:p>
    <w:p w14:paraId="251420C8" w14:textId="77777777" w:rsidR="00B44F52" w:rsidRPr="00B30A12" w:rsidRDefault="00B44F52" w:rsidP="00537E23">
      <w:pPr>
        <w:widowControl w:val="0"/>
        <w:rPr>
          <w:color w:val="000000"/>
          <w:sz w:val="22"/>
          <w:szCs w:val="22"/>
        </w:rPr>
      </w:pPr>
    </w:p>
    <w:p w14:paraId="103A6CF4" w14:textId="77777777" w:rsidR="00B44F52" w:rsidRPr="00B30A12" w:rsidRDefault="00B44F52" w:rsidP="00855EEB">
      <w:pPr>
        <w:keepNext/>
        <w:widowControl w:val="0"/>
        <w:rPr>
          <w:color w:val="000000"/>
          <w:sz w:val="22"/>
          <w:szCs w:val="22"/>
          <w:u w:val="single"/>
        </w:rPr>
      </w:pPr>
      <w:r w:rsidRPr="00B30A12">
        <w:rPr>
          <w:color w:val="000000"/>
          <w:sz w:val="22"/>
          <w:szCs w:val="22"/>
          <w:u w:val="single"/>
        </w:rPr>
        <w:t>Dosierung bei Kinder</w:t>
      </w:r>
      <w:r w:rsidR="00DF1EAF" w:rsidRPr="00B30A12">
        <w:rPr>
          <w:color w:val="000000"/>
          <w:sz w:val="22"/>
          <w:szCs w:val="22"/>
          <w:u w:val="single"/>
        </w:rPr>
        <w:t>n</w:t>
      </w:r>
      <w:r w:rsidR="00D8182A" w:rsidRPr="00B30A12">
        <w:rPr>
          <w:color w:val="000000"/>
          <w:sz w:val="22"/>
          <w:szCs w:val="22"/>
          <w:u w:val="single"/>
        </w:rPr>
        <w:t xml:space="preserve"> mit Ph+ ALL</w:t>
      </w:r>
    </w:p>
    <w:p w14:paraId="2C728D61" w14:textId="77777777" w:rsidR="00B44F52" w:rsidRPr="00B30A12" w:rsidRDefault="00B44F52" w:rsidP="00537E23">
      <w:pPr>
        <w:widowControl w:val="0"/>
        <w:rPr>
          <w:color w:val="000000"/>
          <w:sz w:val="22"/>
          <w:szCs w:val="22"/>
        </w:rPr>
      </w:pPr>
      <w:r w:rsidRPr="00B30A12">
        <w:rPr>
          <w:color w:val="000000"/>
          <w:sz w:val="22"/>
          <w:szCs w:val="22"/>
        </w:rPr>
        <w:t>Bei Kindern sollte die Dosierung auf der Basis der Körperoberfläche (mg/m²) erfolgen. Eine Dosis von 340 mg/m² täglich wird bei Kindern mit Ph+ A</w:t>
      </w:r>
      <w:r w:rsidR="00D8182A" w:rsidRPr="00B30A12">
        <w:rPr>
          <w:color w:val="000000"/>
          <w:sz w:val="22"/>
          <w:szCs w:val="22"/>
        </w:rPr>
        <w:t>LL</w:t>
      </w:r>
      <w:r w:rsidR="00C42B63" w:rsidRPr="00B30A12">
        <w:rPr>
          <w:color w:val="000000"/>
          <w:sz w:val="22"/>
          <w:szCs w:val="22"/>
        </w:rPr>
        <w:t xml:space="preserve"> empfohlen</w:t>
      </w:r>
      <w:r w:rsidRPr="00B30A12">
        <w:rPr>
          <w:color w:val="000000"/>
          <w:sz w:val="22"/>
          <w:szCs w:val="22"/>
        </w:rPr>
        <w:t xml:space="preserve"> (</w:t>
      </w:r>
      <w:r w:rsidR="00D8182A" w:rsidRPr="00B30A12">
        <w:rPr>
          <w:color w:val="000000"/>
          <w:sz w:val="22"/>
          <w:szCs w:val="22"/>
        </w:rPr>
        <w:t xml:space="preserve">eine </w:t>
      </w:r>
      <w:r w:rsidRPr="00B30A12">
        <w:rPr>
          <w:color w:val="000000"/>
          <w:sz w:val="22"/>
          <w:szCs w:val="22"/>
        </w:rPr>
        <w:t>Gesamtdosis</w:t>
      </w:r>
      <w:r w:rsidR="00D8182A" w:rsidRPr="00B30A12">
        <w:rPr>
          <w:color w:val="000000"/>
          <w:sz w:val="22"/>
          <w:szCs w:val="22"/>
        </w:rPr>
        <w:t xml:space="preserve"> von 600 mg darf </w:t>
      </w:r>
      <w:r w:rsidRPr="00B30A12">
        <w:rPr>
          <w:color w:val="000000"/>
          <w:sz w:val="22"/>
          <w:szCs w:val="22"/>
        </w:rPr>
        <w:t>nicht überschritten werden).</w:t>
      </w:r>
    </w:p>
    <w:p w14:paraId="41A699AE" w14:textId="77777777" w:rsidR="00855EEB" w:rsidRPr="00B30A12" w:rsidRDefault="00855EEB" w:rsidP="00537E23">
      <w:pPr>
        <w:widowControl w:val="0"/>
        <w:rPr>
          <w:color w:val="000000"/>
          <w:sz w:val="22"/>
          <w:szCs w:val="22"/>
        </w:rPr>
      </w:pPr>
    </w:p>
    <w:p w14:paraId="2F628114" w14:textId="77777777" w:rsidR="004B7E0F" w:rsidRPr="00B30A12" w:rsidRDefault="004B7E0F" w:rsidP="00855EEB">
      <w:pPr>
        <w:keepNext/>
        <w:widowControl w:val="0"/>
        <w:rPr>
          <w:color w:val="000000"/>
          <w:sz w:val="22"/>
          <w:szCs w:val="22"/>
          <w:u w:val="single"/>
        </w:rPr>
      </w:pPr>
      <w:r w:rsidRPr="00B30A12">
        <w:rPr>
          <w:color w:val="000000"/>
          <w:sz w:val="22"/>
          <w:szCs w:val="22"/>
          <w:u w:val="single"/>
        </w:rPr>
        <w:t xml:space="preserve">Dosierung bei </w:t>
      </w:r>
      <w:smartTag w:uri="urn:schemas-microsoft-com:office:smarttags" w:element="stockticker">
        <w:r w:rsidRPr="00B30A12">
          <w:rPr>
            <w:color w:val="000000"/>
            <w:sz w:val="22"/>
            <w:szCs w:val="22"/>
            <w:u w:val="single"/>
          </w:rPr>
          <w:t>MDS</w:t>
        </w:r>
      </w:smartTag>
      <w:r w:rsidRPr="00B30A12">
        <w:rPr>
          <w:color w:val="000000"/>
          <w:sz w:val="22"/>
          <w:szCs w:val="22"/>
          <w:u w:val="single"/>
        </w:rPr>
        <w:t>/M</w:t>
      </w:r>
      <w:r w:rsidR="009E5EEC" w:rsidRPr="00B30A12">
        <w:rPr>
          <w:color w:val="000000"/>
          <w:sz w:val="22"/>
          <w:szCs w:val="22"/>
          <w:u w:val="single"/>
        </w:rPr>
        <w:t>P</w:t>
      </w:r>
      <w:r w:rsidRPr="00B30A12">
        <w:rPr>
          <w:color w:val="000000"/>
          <w:sz w:val="22"/>
          <w:szCs w:val="22"/>
          <w:u w:val="single"/>
        </w:rPr>
        <w:t>D</w:t>
      </w:r>
    </w:p>
    <w:p w14:paraId="70FEA013" w14:textId="77777777" w:rsidR="004B7E0F" w:rsidRPr="00B30A12" w:rsidRDefault="004B7E0F" w:rsidP="00537E23">
      <w:pPr>
        <w:widowControl w:val="0"/>
        <w:rPr>
          <w:color w:val="000000"/>
          <w:sz w:val="22"/>
          <w:szCs w:val="22"/>
        </w:rPr>
      </w:pPr>
      <w:r w:rsidRPr="00B30A12">
        <w:rPr>
          <w:color w:val="000000"/>
          <w:sz w:val="22"/>
          <w:szCs w:val="22"/>
        </w:rPr>
        <w:t xml:space="preserve">Die empfohlene Dosierung von Glivec bei </w:t>
      </w:r>
      <w:r w:rsidR="00B45DA4" w:rsidRPr="00B30A12">
        <w:rPr>
          <w:color w:val="000000"/>
          <w:sz w:val="22"/>
          <w:szCs w:val="22"/>
        </w:rPr>
        <w:t xml:space="preserve">erwachsenen </w:t>
      </w:r>
      <w:r w:rsidRPr="00B30A12">
        <w:rPr>
          <w:color w:val="000000"/>
          <w:sz w:val="22"/>
          <w:szCs w:val="22"/>
        </w:rPr>
        <w:t xml:space="preserve">Patienten mit </w:t>
      </w:r>
      <w:smartTag w:uri="urn:schemas-microsoft-com:office:smarttags" w:element="stockticker">
        <w:r w:rsidRPr="00B30A12">
          <w:rPr>
            <w:color w:val="000000"/>
            <w:sz w:val="22"/>
            <w:szCs w:val="22"/>
          </w:rPr>
          <w:t>MDS</w:t>
        </w:r>
      </w:smartTag>
      <w:r w:rsidRPr="00B30A12">
        <w:rPr>
          <w:color w:val="000000"/>
          <w:sz w:val="22"/>
          <w:szCs w:val="22"/>
        </w:rPr>
        <w:t xml:space="preserve">/MPD beträgt </w:t>
      </w:r>
      <w:r w:rsidR="00855EEB" w:rsidRPr="00B30A12">
        <w:rPr>
          <w:color w:val="000000"/>
          <w:sz w:val="22"/>
          <w:szCs w:val="22"/>
        </w:rPr>
        <w:t>4</w:t>
      </w:r>
      <w:r w:rsidRPr="00B30A12">
        <w:rPr>
          <w:color w:val="000000"/>
          <w:sz w:val="22"/>
          <w:szCs w:val="22"/>
        </w:rPr>
        <w:t>00 mg/Tag.</w:t>
      </w:r>
    </w:p>
    <w:p w14:paraId="734FE180" w14:textId="77777777" w:rsidR="004B7E0F" w:rsidRPr="00B30A12" w:rsidRDefault="004B7E0F" w:rsidP="00537E23">
      <w:pPr>
        <w:widowControl w:val="0"/>
        <w:rPr>
          <w:color w:val="000000"/>
          <w:sz w:val="22"/>
          <w:szCs w:val="22"/>
        </w:rPr>
      </w:pPr>
    </w:p>
    <w:p w14:paraId="5A8ADB37" w14:textId="77777777" w:rsidR="004B7E0F" w:rsidRPr="00B30A12" w:rsidRDefault="004B7E0F" w:rsidP="00537E23">
      <w:pPr>
        <w:widowControl w:val="0"/>
        <w:rPr>
          <w:color w:val="000000"/>
          <w:sz w:val="22"/>
          <w:szCs w:val="22"/>
        </w:rPr>
      </w:pPr>
      <w:r w:rsidRPr="00B30A12">
        <w:rPr>
          <w:color w:val="000000"/>
          <w:sz w:val="22"/>
          <w:szCs w:val="22"/>
        </w:rPr>
        <w:t>Dauer der Behandlung: In der einzigen bisher durchgeführten klinischen Studie wurde die Behandlung mit Glivec bis zur Progression der Erkrankung fortgeführt</w:t>
      </w:r>
      <w:r w:rsidR="00B36A8E" w:rsidRPr="00B30A12">
        <w:rPr>
          <w:color w:val="000000"/>
          <w:sz w:val="22"/>
          <w:szCs w:val="22"/>
        </w:rPr>
        <w:t xml:space="preserve"> (siehe Abschnitt 5.1)</w:t>
      </w:r>
      <w:r w:rsidRPr="00B30A12">
        <w:rPr>
          <w:color w:val="000000"/>
          <w:sz w:val="22"/>
          <w:szCs w:val="22"/>
        </w:rPr>
        <w:t>.</w:t>
      </w:r>
      <w:r w:rsidR="00B36A8E" w:rsidRPr="00B30A12">
        <w:rPr>
          <w:color w:val="000000"/>
          <w:sz w:val="22"/>
          <w:szCs w:val="22"/>
        </w:rPr>
        <w:t xml:space="preserve"> Zum Zeitpunkt der Auswertung betrug die mediane Behandlungsdauer 47 Monate (24 Tage bis 60 Monate).</w:t>
      </w:r>
    </w:p>
    <w:p w14:paraId="1C08C697" w14:textId="77777777" w:rsidR="006F7CAA" w:rsidRPr="00B30A12" w:rsidRDefault="006F7CAA" w:rsidP="00537E23">
      <w:pPr>
        <w:widowControl w:val="0"/>
        <w:rPr>
          <w:color w:val="000000"/>
          <w:sz w:val="22"/>
          <w:szCs w:val="22"/>
          <w:u w:val="single"/>
        </w:rPr>
      </w:pPr>
    </w:p>
    <w:p w14:paraId="17B76121" w14:textId="77777777" w:rsidR="006F7CAA" w:rsidRPr="00B30A12" w:rsidRDefault="006F7CAA" w:rsidP="00855EEB">
      <w:pPr>
        <w:keepNext/>
        <w:widowControl w:val="0"/>
        <w:rPr>
          <w:color w:val="000000"/>
          <w:sz w:val="22"/>
          <w:szCs w:val="22"/>
          <w:u w:val="single"/>
        </w:rPr>
      </w:pPr>
      <w:r w:rsidRPr="00B30A12">
        <w:rPr>
          <w:color w:val="000000"/>
          <w:sz w:val="22"/>
          <w:szCs w:val="22"/>
          <w:u w:val="single"/>
        </w:rPr>
        <w:t>Dosierung bei HES/</w:t>
      </w:r>
      <w:smartTag w:uri="urn:schemas-microsoft-com:office:smarttags" w:element="stockticker">
        <w:r w:rsidRPr="00B30A12">
          <w:rPr>
            <w:color w:val="000000"/>
            <w:sz w:val="22"/>
            <w:szCs w:val="22"/>
            <w:u w:val="single"/>
          </w:rPr>
          <w:t>CEL</w:t>
        </w:r>
      </w:smartTag>
    </w:p>
    <w:p w14:paraId="7115F365" w14:textId="77777777" w:rsidR="006F7CAA" w:rsidRPr="00B30A12" w:rsidRDefault="006F7CAA" w:rsidP="00537E23">
      <w:pPr>
        <w:widowControl w:val="0"/>
        <w:rPr>
          <w:color w:val="000000"/>
          <w:sz w:val="22"/>
          <w:szCs w:val="22"/>
        </w:rPr>
      </w:pPr>
      <w:r w:rsidRPr="00B30A12">
        <w:rPr>
          <w:color w:val="000000"/>
          <w:sz w:val="22"/>
          <w:szCs w:val="22"/>
        </w:rPr>
        <w:t xml:space="preserve">Die empfohlene Dosierung von Glivec bei </w:t>
      </w:r>
      <w:r w:rsidR="00B45DA4" w:rsidRPr="00B30A12">
        <w:rPr>
          <w:color w:val="000000"/>
          <w:sz w:val="22"/>
          <w:szCs w:val="22"/>
        </w:rPr>
        <w:t xml:space="preserve">erwachsenen </w:t>
      </w:r>
      <w:r w:rsidRPr="00B30A12">
        <w:rPr>
          <w:color w:val="000000"/>
          <w:sz w:val="22"/>
          <w:szCs w:val="22"/>
        </w:rPr>
        <w:t>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beträgt 100 mg/Tag.</w:t>
      </w:r>
    </w:p>
    <w:p w14:paraId="722763AC" w14:textId="77777777" w:rsidR="006F7CAA" w:rsidRPr="00B30A12" w:rsidRDefault="006F7CAA" w:rsidP="00537E23">
      <w:pPr>
        <w:widowControl w:val="0"/>
        <w:rPr>
          <w:color w:val="000000"/>
          <w:sz w:val="22"/>
          <w:szCs w:val="22"/>
        </w:rPr>
      </w:pPr>
    </w:p>
    <w:p w14:paraId="6C27B298" w14:textId="77777777" w:rsidR="004B7E0F" w:rsidRPr="00B30A12" w:rsidRDefault="006F7CAA" w:rsidP="00537E23">
      <w:pPr>
        <w:widowControl w:val="0"/>
        <w:rPr>
          <w:color w:val="000000"/>
          <w:sz w:val="22"/>
          <w:szCs w:val="22"/>
        </w:rPr>
      </w:pPr>
      <w:r w:rsidRPr="00B30A12">
        <w:rPr>
          <w:color w:val="000000"/>
          <w:sz w:val="22"/>
          <w:szCs w:val="22"/>
        </w:rPr>
        <w:t>Bei Abwesenheit von Nebenwirkungen kann eine Dosissteigerung von 100 mg auf 400 mg erwogen werden, wenn Untersuchungen ein unzureichendes Ansprechen auf die Therapie zeigen.</w:t>
      </w:r>
    </w:p>
    <w:p w14:paraId="49FB6DD3" w14:textId="77777777" w:rsidR="002369F0" w:rsidRPr="00B30A12" w:rsidRDefault="002369F0" w:rsidP="00537E23">
      <w:pPr>
        <w:widowControl w:val="0"/>
        <w:rPr>
          <w:color w:val="000000"/>
          <w:sz w:val="22"/>
          <w:szCs w:val="22"/>
        </w:rPr>
      </w:pPr>
    </w:p>
    <w:p w14:paraId="4DB11430" w14:textId="77777777" w:rsidR="002369F0" w:rsidRPr="00B30A12" w:rsidRDefault="002369F0" w:rsidP="00537E23">
      <w:pPr>
        <w:widowControl w:val="0"/>
        <w:rPr>
          <w:color w:val="000000"/>
          <w:sz w:val="22"/>
          <w:szCs w:val="22"/>
        </w:rPr>
      </w:pPr>
      <w:r w:rsidRPr="00B30A12">
        <w:rPr>
          <w:color w:val="000000"/>
          <w:sz w:val="22"/>
          <w:szCs w:val="22"/>
        </w:rPr>
        <w:t>Die Behandlung sollte fortgesetzt werden</w:t>
      </w:r>
      <w:r w:rsidR="00DE130E" w:rsidRPr="00B30A12">
        <w:rPr>
          <w:color w:val="000000"/>
          <w:sz w:val="22"/>
          <w:szCs w:val="22"/>
        </w:rPr>
        <w:t>,</w:t>
      </w:r>
      <w:r w:rsidRPr="00B30A12">
        <w:rPr>
          <w:color w:val="000000"/>
          <w:sz w:val="22"/>
          <w:szCs w:val="22"/>
        </w:rPr>
        <w:t xml:space="preserve"> solange der </w:t>
      </w:r>
      <w:r w:rsidR="00B6506E" w:rsidRPr="00B30A12">
        <w:rPr>
          <w:color w:val="000000"/>
          <w:sz w:val="22"/>
          <w:szCs w:val="22"/>
        </w:rPr>
        <w:t>Nutzen</w:t>
      </w:r>
      <w:r w:rsidRPr="00B30A12">
        <w:rPr>
          <w:color w:val="000000"/>
          <w:sz w:val="22"/>
          <w:szCs w:val="22"/>
        </w:rPr>
        <w:t xml:space="preserve"> für den Patienten </w:t>
      </w:r>
      <w:r w:rsidR="00B6506E" w:rsidRPr="00B30A12">
        <w:rPr>
          <w:color w:val="000000"/>
          <w:sz w:val="22"/>
          <w:szCs w:val="22"/>
        </w:rPr>
        <w:t>andauert</w:t>
      </w:r>
      <w:r w:rsidRPr="00B30A12">
        <w:rPr>
          <w:color w:val="000000"/>
          <w:sz w:val="22"/>
          <w:szCs w:val="22"/>
        </w:rPr>
        <w:t>.</w:t>
      </w:r>
    </w:p>
    <w:p w14:paraId="1D605BCB" w14:textId="77777777" w:rsidR="00B36A8E" w:rsidRPr="00B30A12" w:rsidRDefault="00B36A8E" w:rsidP="00537E23">
      <w:pPr>
        <w:widowControl w:val="0"/>
        <w:rPr>
          <w:color w:val="000000"/>
          <w:sz w:val="22"/>
          <w:szCs w:val="22"/>
        </w:rPr>
      </w:pPr>
    </w:p>
    <w:p w14:paraId="14AE32DF" w14:textId="77777777" w:rsidR="007356AA" w:rsidRPr="00B30A12" w:rsidRDefault="007356AA" w:rsidP="00855EEB">
      <w:pPr>
        <w:keepNext/>
        <w:widowControl w:val="0"/>
        <w:rPr>
          <w:color w:val="000000"/>
          <w:sz w:val="22"/>
          <w:szCs w:val="22"/>
          <w:u w:val="single"/>
        </w:rPr>
      </w:pPr>
      <w:r w:rsidRPr="00B30A12">
        <w:rPr>
          <w:color w:val="000000"/>
          <w:sz w:val="22"/>
          <w:szCs w:val="22"/>
          <w:u w:val="single"/>
        </w:rPr>
        <w:lastRenderedPageBreak/>
        <w:t>Dosierung bei GIST</w:t>
      </w:r>
    </w:p>
    <w:p w14:paraId="79E24A5C" w14:textId="77777777" w:rsidR="007356AA" w:rsidRPr="00B30A12" w:rsidRDefault="007356AA" w:rsidP="00537E23">
      <w:pPr>
        <w:widowControl w:val="0"/>
        <w:rPr>
          <w:color w:val="000000"/>
          <w:sz w:val="22"/>
          <w:szCs w:val="22"/>
        </w:rPr>
      </w:pPr>
      <w:r w:rsidRPr="00B30A12">
        <w:rPr>
          <w:color w:val="000000"/>
          <w:sz w:val="22"/>
          <w:szCs w:val="22"/>
        </w:rPr>
        <w:t xml:space="preserve">Die empfohlene Dosierung von Glivec bei </w:t>
      </w:r>
      <w:r w:rsidR="009477F2" w:rsidRPr="00B30A12">
        <w:rPr>
          <w:color w:val="000000"/>
          <w:sz w:val="22"/>
          <w:szCs w:val="22"/>
        </w:rPr>
        <w:t xml:space="preserve">erwachsenen </w:t>
      </w:r>
      <w:r w:rsidRPr="00B30A12">
        <w:rPr>
          <w:color w:val="000000"/>
          <w:sz w:val="22"/>
          <w:szCs w:val="22"/>
        </w:rPr>
        <w:t>Patienten mit nicht resezierbaren und/oder metastasierten malignen GIST beträgt 400 mg/Tag.</w:t>
      </w:r>
    </w:p>
    <w:p w14:paraId="794B91D8" w14:textId="77777777" w:rsidR="007356AA" w:rsidRPr="00B30A12" w:rsidRDefault="007356AA" w:rsidP="00537E23">
      <w:pPr>
        <w:widowControl w:val="0"/>
        <w:rPr>
          <w:color w:val="000000"/>
          <w:sz w:val="22"/>
          <w:szCs w:val="22"/>
        </w:rPr>
      </w:pPr>
    </w:p>
    <w:p w14:paraId="6327175C" w14:textId="77777777" w:rsidR="007356AA" w:rsidRPr="00B30A12" w:rsidRDefault="007356AA" w:rsidP="00537E23">
      <w:pPr>
        <w:widowControl w:val="0"/>
        <w:rPr>
          <w:color w:val="000000"/>
          <w:sz w:val="22"/>
          <w:szCs w:val="22"/>
        </w:rPr>
      </w:pPr>
      <w:r w:rsidRPr="00B30A12">
        <w:rPr>
          <w:color w:val="000000"/>
          <w:sz w:val="22"/>
          <w:szCs w:val="22"/>
        </w:rPr>
        <w:t>Es liegen nur begrenzte Daten für den Effekt einer Dosiserhöhung von 400 mg auf 600 mg oder 800 mg vor bei Patienten, deren Erkrankung unter der niedrigeren Dosierung fortschreitet (siehe Abschnitt 5.1).</w:t>
      </w:r>
    </w:p>
    <w:p w14:paraId="6DB8030E" w14:textId="77777777" w:rsidR="007356AA" w:rsidRPr="00B30A12" w:rsidRDefault="007356AA" w:rsidP="00537E23">
      <w:pPr>
        <w:pStyle w:val="Header"/>
        <w:widowControl w:val="0"/>
        <w:tabs>
          <w:tab w:val="clear" w:pos="4320"/>
          <w:tab w:val="clear" w:pos="8640"/>
        </w:tabs>
        <w:rPr>
          <w:color w:val="000000"/>
          <w:szCs w:val="22"/>
        </w:rPr>
      </w:pPr>
    </w:p>
    <w:p w14:paraId="475A19BC" w14:textId="77777777" w:rsidR="007356AA" w:rsidRPr="00B30A12" w:rsidRDefault="007356AA" w:rsidP="00537E23">
      <w:pPr>
        <w:pStyle w:val="Heading6"/>
        <w:keepNext w:val="0"/>
        <w:widowControl w:val="0"/>
        <w:numPr>
          <w:ilvl w:val="0"/>
          <w:numId w:val="0"/>
        </w:numPr>
        <w:tabs>
          <w:tab w:val="clear" w:pos="-720"/>
          <w:tab w:val="clear" w:pos="567"/>
          <w:tab w:val="clear" w:pos="4536"/>
        </w:tabs>
        <w:suppressAutoHyphens w:val="0"/>
        <w:spacing w:line="240" w:lineRule="auto"/>
        <w:rPr>
          <w:i w:val="0"/>
          <w:color w:val="000000"/>
          <w:szCs w:val="22"/>
          <w:lang w:val="de-DE"/>
        </w:rPr>
      </w:pPr>
      <w:r w:rsidRPr="00B30A12">
        <w:rPr>
          <w:i w:val="0"/>
          <w:color w:val="000000"/>
          <w:szCs w:val="22"/>
          <w:lang w:val="de-DE"/>
        </w:rPr>
        <w:t>Dauer der Behandlung: In klinischen Studien bei GIST-Patienten wurde Glivec bis zur Progression der Erkrankung gegeben. Zum Zeitpunkt der Auswertung betrug die mediane Behandlungsdauer 7 Monate (7 Tage bis 13 Monate). Der Effekt eines Behandlungsstopps nach Erreichen einer Remission wurde nicht untersucht.</w:t>
      </w:r>
    </w:p>
    <w:p w14:paraId="669A1FA1" w14:textId="77777777" w:rsidR="007356AA" w:rsidRPr="00B30A12" w:rsidRDefault="007356AA" w:rsidP="00537E23">
      <w:pPr>
        <w:widowControl w:val="0"/>
        <w:rPr>
          <w:color w:val="000000"/>
          <w:sz w:val="22"/>
          <w:szCs w:val="22"/>
        </w:rPr>
      </w:pPr>
    </w:p>
    <w:p w14:paraId="41BC57A1" w14:textId="77777777" w:rsidR="007356AA" w:rsidRPr="00B30A12" w:rsidRDefault="001C4579" w:rsidP="00537E23">
      <w:pPr>
        <w:widowControl w:val="0"/>
        <w:rPr>
          <w:color w:val="000000"/>
          <w:sz w:val="22"/>
          <w:szCs w:val="22"/>
        </w:rPr>
      </w:pPr>
      <w:r w:rsidRPr="00B30A12">
        <w:rPr>
          <w:color w:val="000000"/>
          <w:sz w:val="22"/>
          <w:szCs w:val="22"/>
        </w:rPr>
        <w:t xml:space="preserve">Die empfohlene Dosierung von Glivec zur adjuvanten Behandlung Erwachsener nach GIST-Resektion beträgt 400 mg/Tag. </w:t>
      </w:r>
      <w:r w:rsidR="00070F54" w:rsidRPr="00B30A12">
        <w:rPr>
          <w:color w:val="000000"/>
          <w:sz w:val="22"/>
          <w:szCs w:val="22"/>
        </w:rPr>
        <w:t xml:space="preserve">Die optimale Behandlungsdauer ist noch nicht festgelegt. Die Dauer der Behandlung in der klinischen Studie zur Unterstützung dieser Indikation betrug </w:t>
      </w:r>
      <w:r w:rsidR="005F637E" w:rsidRPr="00B30A12">
        <w:rPr>
          <w:color w:val="000000"/>
          <w:sz w:val="22"/>
          <w:szCs w:val="22"/>
        </w:rPr>
        <w:t>36</w:t>
      </w:r>
      <w:r w:rsidR="00812331" w:rsidRPr="00B30A12">
        <w:rPr>
          <w:color w:val="000000"/>
          <w:sz w:val="22"/>
          <w:szCs w:val="22"/>
        </w:rPr>
        <w:t> </w:t>
      </w:r>
      <w:r w:rsidR="00070F54" w:rsidRPr="00B30A12">
        <w:rPr>
          <w:color w:val="000000"/>
          <w:sz w:val="22"/>
          <w:szCs w:val="22"/>
        </w:rPr>
        <w:t>Monate</w:t>
      </w:r>
      <w:r w:rsidR="005F637E" w:rsidRPr="00B30A12">
        <w:rPr>
          <w:color w:val="000000"/>
          <w:sz w:val="22"/>
          <w:szCs w:val="22"/>
        </w:rPr>
        <w:t xml:space="preserve"> (siehe Abschnitt 5.1)</w:t>
      </w:r>
      <w:r w:rsidR="00070F54" w:rsidRPr="00B30A12">
        <w:rPr>
          <w:color w:val="000000"/>
          <w:sz w:val="22"/>
          <w:szCs w:val="22"/>
        </w:rPr>
        <w:t>.</w:t>
      </w:r>
    </w:p>
    <w:p w14:paraId="717A83CB" w14:textId="77777777" w:rsidR="007356AA" w:rsidRPr="00B30A12" w:rsidRDefault="007356AA" w:rsidP="00537E23">
      <w:pPr>
        <w:widowControl w:val="0"/>
        <w:rPr>
          <w:color w:val="000000"/>
          <w:sz w:val="22"/>
          <w:szCs w:val="22"/>
        </w:rPr>
      </w:pPr>
    </w:p>
    <w:p w14:paraId="041EE774" w14:textId="77777777" w:rsidR="00C01D23" w:rsidRPr="00B30A12" w:rsidRDefault="00C01D23" w:rsidP="00855EEB">
      <w:pPr>
        <w:keepNext/>
        <w:widowControl w:val="0"/>
        <w:rPr>
          <w:color w:val="000000"/>
          <w:sz w:val="22"/>
          <w:szCs w:val="22"/>
          <w:u w:val="single"/>
        </w:rPr>
      </w:pPr>
      <w:r w:rsidRPr="00B30A12">
        <w:rPr>
          <w:color w:val="000000"/>
          <w:sz w:val="22"/>
          <w:szCs w:val="22"/>
          <w:u w:val="single"/>
        </w:rPr>
        <w:t>Dosierung bei DFSP</w:t>
      </w:r>
    </w:p>
    <w:p w14:paraId="30A2056A" w14:textId="77777777" w:rsidR="00C01D23" w:rsidRPr="00B30A12" w:rsidRDefault="00C01D23" w:rsidP="00537E23">
      <w:pPr>
        <w:widowControl w:val="0"/>
        <w:rPr>
          <w:color w:val="000000"/>
          <w:sz w:val="22"/>
          <w:szCs w:val="22"/>
        </w:rPr>
      </w:pPr>
      <w:r w:rsidRPr="00B30A12">
        <w:rPr>
          <w:color w:val="000000"/>
          <w:sz w:val="22"/>
          <w:szCs w:val="22"/>
        </w:rPr>
        <w:t xml:space="preserve">Die empfohlene Dosierung von Glivec bei </w:t>
      </w:r>
      <w:r w:rsidR="009477F2" w:rsidRPr="00B30A12">
        <w:rPr>
          <w:color w:val="000000"/>
          <w:sz w:val="22"/>
          <w:szCs w:val="22"/>
        </w:rPr>
        <w:t xml:space="preserve">erwachsenen </w:t>
      </w:r>
      <w:r w:rsidRPr="00B30A12">
        <w:rPr>
          <w:color w:val="000000"/>
          <w:sz w:val="22"/>
          <w:szCs w:val="22"/>
        </w:rPr>
        <w:t>Patienten mit DFSP beträgt 800 mg/Tag.</w:t>
      </w:r>
    </w:p>
    <w:p w14:paraId="52B676CB" w14:textId="77777777" w:rsidR="006615F9" w:rsidRPr="00B30A12" w:rsidRDefault="006615F9" w:rsidP="00537E23">
      <w:pPr>
        <w:pStyle w:val="Header"/>
        <w:widowControl w:val="0"/>
        <w:tabs>
          <w:tab w:val="clear" w:pos="4320"/>
          <w:tab w:val="clear" w:pos="8640"/>
        </w:tabs>
        <w:rPr>
          <w:color w:val="000000"/>
          <w:szCs w:val="22"/>
        </w:rPr>
      </w:pPr>
    </w:p>
    <w:p w14:paraId="3CF827EE" w14:textId="77777777" w:rsidR="006615F9" w:rsidRPr="00B30A12" w:rsidRDefault="006615F9" w:rsidP="00855EEB">
      <w:pPr>
        <w:keepNext/>
        <w:widowControl w:val="0"/>
        <w:rPr>
          <w:color w:val="000000"/>
          <w:sz w:val="22"/>
          <w:szCs w:val="22"/>
        </w:rPr>
      </w:pPr>
      <w:r w:rsidRPr="00B30A12">
        <w:rPr>
          <w:color w:val="000000"/>
          <w:sz w:val="22"/>
          <w:szCs w:val="22"/>
          <w:u w:val="single"/>
        </w:rPr>
        <w:t>Dosisanpassung auf Grund von Nebenwirkungen</w:t>
      </w:r>
    </w:p>
    <w:p w14:paraId="1720BBAA" w14:textId="77777777" w:rsidR="006615F9" w:rsidRPr="00B30A12" w:rsidRDefault="006615F9" w:rsidP="00855EEB">
      <w:pPr>
        <w:keepNext/>
        <w:widowControl w:val="0"/>
        <w:ind w:firstLine="3"/>
        <w:rPr>
          <w:i/>
          <w:color w:val="000000"/>
          <w:sz w:val="22"/>
          <w:szCs w:val="22"/>
        </w:rPr>
      </w:pPr>
      <w:r w:rsidRPr="00B30A12">
        <w:rPr>
          <w:i/>
          <w:color w:val="000000"/>
          <w:sz w:val="22"/>
          <w:szCs w:val="22"/>
        </w:rPr>
        <w:t>Nichthämatologische Nebenwirkungen</w:t>
      </w:r>
    </w:p>
    <w:p w14:paraId="5DCC394E" w14:textId="77777777" w:rsidR="006615F9" w:rsidRPr="00B30A12" w:rsidRDefault="006615F9" w:rsidP="00537E23">
      <w:pPr>
        <w:widowControl w:val="0"/>
        <w:ind w:firstLine="3"/>
        <w:rPr>
          <w:color w:val="000000"/>
          <w:sz w:val="22"/>
          <w:szCs w:val="22"/>
        </w:rPr>
      </w:pPr>
      <w:r w:rsidRPr="00B30A12">
        <w:rPr>
          <w:color w:val="000000"/>
          <w:sz w:val="22"/>
          <w:szCs w:val="22"/>
        </w:rPr>
        <w:t>Wenn sich mit Glivec schwere nicht-hämatologische Nebenwirkungen entwickeln, muss die Behandlung so lange unterbrochen werden, bis das Ereignis abgeklungen ist. Danach kann die Behandlung abhängig von der anfänglichen Stärke der Nebenwirkung wieder aufgenommen werden.</w:t>
      </w:r>
    </w:p>
    <w:p w14:paraId="7EBF4949" w14:textId="77777777" w:rsidR="006615F9" w:rsidRPr="00B30A12" w:rsidRDefault="006615F9" w:rsidP="00537E23">
      <w:pPr>
        <w:widowControl w:val="0"/>
        <w:ind w:firstLine="3"/>
        <w:rPr>
          <w:color w:val="000000"/>
          <w:sz w:val="22"/>
          <w:szCs w:val="22"/>
        </w:rPr>
      </w:pPr>
    </w:p>
    <w:p w14:paraId="0B6B8190" w14:textId="77777777" w:rsidR="006615F9" w:rsidRPr="00B30A12" w:rsidRDefault="006615F9" w:rsidP="00537E23">
      <w:pPr>
        <w:widowControl w:val="0"/>
        <w:ind w:firstLine="3"/>
        <w:rPr>
          <w:color w:val="000000"/>
          <w:sz w:val="22"/>
          <w:szCs w:val="22"/>
        </w:rPr>
      </w:pPr>
      <w:r w:rsidRPr="00B30A12">
        <w:rPr>
          <w:color w:val="000000"/>
          <w:sz w:val="22"/>
          <w:szCs w:val="22"/>
        </w:rPr>
        <w:t xml:space="preserve">Wenn Bilirubinerhöhungen den laborspezifischen oberen Normwert um mehr als das </w:t>
      </w:r>
      <w:r w:rsidR="006D5838" w:rsidRPr="00B30A12">
        <w:rPr>
          <w:color w:val="000000"/>
          <w:sz w:val="22"/>
          <w:szCs w:val="22"/>
        </w:rPr>
        <w:t>D</w:t>
      </w:r>
      <w:r w:rsidRPr="00B30A12">
        <w:rPr>
          <w:color w:val="000000"/>
          <w:sz w:val="22"/>
          <w:szCs w:val="22"/>
        </w:rPr>
        <w:t xml:space="preserve">reifache oder wenn Erhöhungen der Lebertransaminasen diesen Wert um mehr als das </w:t>
      </w:r>
      <w:r w:rsidR="006D5838" w:rsidRPr="00B30A12">
        <w:rPr>
          <w:color w:val="000000"/>
          <w:sz w:val="22"/>
          <w:szCs w:val="22"/>
        </w:rPr>
        <w:t>F</w:t>
      </w:r>
      <w:r w:rsidRPr="00B30A12">
        <w:rPr>
          <w:color w:val="000000"/>
          <w:sz w:val="22"/>
          <w:szCs w:val="22"/>
        </w:rPr>
        <w:t>ünffache überschreiten, muss Glivec solange abgesetzt werden, bis die Bilirubinwerte auf weniger als das 1,5fache und die Transami</w:t>
      </w:r>
      <w:r w:rsidRPr="00B30A12">
        <w:rPr>
          <w:color w:val="000000"/>
          <w:sz w:val="22"/>
          <w:szCs w:val="22"/>
        </w:rPr>
        <w:softHyphen/>
        <w:t>nasenwerte auf weniger als das 2,5fache der laborspezifischen oberen Normwerte zurückgegangen sind. Danach kann die Behandlung mit Glivec mit einer reduzierten täglichen Dosis fortgeführt werden. Bei Erwachsenen sollte die Dosis von 400</w:t>
      </w:r>
      <w:r w:rsidR="001922B0" w:rsidRPr="00B30A12">
        <w:rPr>
          <w:color w:val="000000"/>
          <w:sz w:val="22"/>
          <w:szCs w:val="22"/>
        </w:rPr>
        <w:t> mg</w:t>
      </w:r>
      <w:r w:rsidRPr="00B30A12">
        <w:rPr>
          <w:color w:val="000000"/>
          <w:sz w:val="22"/>
          <w:szCs w:val="22"/>
        </w:rPr>
        <w:t xml:space="preserve"> auf 300</w:t>
      </w:r>
      <w:r w:rsidR="001922B0" w:rsidRPr="00B30A12">
        <w:rPr>
          <w:color w:val="000000"/>
          <w:sz w:val="22"/>
          <w:szCs w:val="22"/>
        </w:rPr>
        <w:t> mg</w:t>
      </w:r>
      <w:r w:rsidRPr="00B30A12">
        <w:rPr>
          <w:color w:val="000000"/>
          <w:sz w:val="22"/>
          <w:szCs w:val="22"/>
        </w:rPr>
        <w:t xml:space="preserve"> bzw. von 600</w:t>
      </w:r>
      <w:r w:rsidR="001922B0" w:rsidRPr="00B30A12">
        <w:rPr>
          <w:color w:val="000000"/>
          <w:sz w:val="22"/>
          <w:szCs w:val="22"/>
        </w:rPr>
        <w:t> mg</w:t>
      </w:r>
      <w:r w:rsidRPr="00B30A12">
        <w:rPr>
          <w:color w:val="000000"/>
          <w:sz w:val="22"/>
          <w:szCs w:val="22"/>
        </w:rPr>
        <w:t xml:space="preserve"> auf 400</w:t>
      </w:r>
      <w:r w:rsidR="001922B0" w:rsidRPr="00B30A12">
        <w:rPr>
          <w:color w:val="000000"/>
          <w:sz w:val="22"/>
          <w:szCs w:val="22"/>
        </w:rPr>
        <w:t> mg</w:t>
      </w:r>
      <w:r w:rsidRPr="00B30A12">
        <w:rPr>
          <w:color w:val="000000"/>
          <w:sz w:val="22"/>
          <w:szCs w:val="22"/>
        </w:rPr>
        <w:t xml:space="preserve"> </w:t>
      </w:r>
      <w:r w:rsidR="00C01D23" w:rsidRPr="00B30A12">
        <w:rPr>
          <w:color w:val="000000"/>
          <w:sz w:val="22"/>
          <w:szCs w:val="22"/>
        </w:rPr>
        <w:t xml:space="preserve">bzw. von 800 mg auf 600 mg </w:t>
      </w:r>
      <w:r w:rsidRPr="00B30A12">
        <w:rPr>
          <w:color w:val="000000"/>
          <w:sz w:val="22"/>
          <w:szCs w:val="22"/>
        </w:rPr>
        <w:t>und bei Kindern von 340 auf 260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redu</w:t>
      </w:r>
      <w:r w:rsidRPr="00B30A12">
        <w:rPr>
          <w:color w:val="000000"/>
          <w:sz w:val="22"/>
          <w:szCs w:val="22"/>
        </w:rPr>
        <w:softHyphen/>
        <w:t>ziert werden.</w:t>
      </w:r>
    </w:p>
    <w:p w14:paraId="36563785" w14:textId="77777777" w:rsidR="006615F9" w:rsidRPr="00B30A12" w:rsidRDefault="006615F9" w:rsidP="00537E23">
      <w:pPr>
        <w:widowControl w:val="0"/>
        <w:ind w:firstLine="3"/>
        <w:rPr>
          <w:color w:val="000000"/>
          <w:sz w:val="22"/>
          <w:szCs w:val="22"/>
        </w:rPr>
      </w:pPr>
    </w:p>
    <w:p w14:paraId="249CCABA" w14:textId="77777777" w:rsidR="006615F9" w:rsidRPr="00B30A12" w:rsidRDefault="006615F9" w:rsidP="00855EEB">
      <w:pPr>
        <w:keepNext/>
        <w:widowControl w:val="0"/>
        <w:ind w:firstLine="6"/>
        <w:rPr>
          <w:i/>
          <w:color w:val="000000"/>
          <w:sz w:val="22"/>
          <w:szCs w:val="22"/>
        </w:rPr>
      </w:pPr>
      <w:r w:rsidRPr="00B30A12">
        <w:rPr>
          <w:i/>
          <w:color w:val="000000"/>
          <w:sz w:val="22"/>
          <w:szCs w:val="22"/>
        </w:rPr>
        <w:t>Hämatologische Nebenwirkungen</w:t>
      </w:r>
    </w:p>
    <w:p w14:paraId="2E19FA25" w14:textId="77777777" w:rsidR="006615F9" w:rsidRPr="00B30A12" w:rsidRDefault="006615F9" w:rsidP="00537E23">
      <w:pPr>
        <w:widowControl w:val="0"/>
        <w:ind w:firstLine="3"/>
        <w:rPr>
          <w:color w:val="000000"/>
          <w:sz w:val="22"/>
          <w:szCs w:val="22"/>
        </w:rPr>
      </w:pPr>
      <w:r w:rsidRPr="00B30A12">
        <w:rPr>
          <w:color w:val="000000"/>
          <w:sz w:val="22"/>
          <w:szCs w:val="22"/>
        </w:rPr>
        <w:t>Bei schwerer Neutropenie und Thrombozytopenie werden eine Dosisreduktion oder eine Unterbrechung der Behandlung entsprechend folgender Tabelle empfohlen:</w:t>
      </w:r>
    </w:p>
    <w:p w14:paraId="359E163D" w14:textId="77777777" w:rsidR="006615F9" w:rsidRPr="00B30A12" w:rsidRDefault="006615F9" w:rsidP="00537E23">
      <w:pPr>
        <w:widowControl w:val="0"/>
        <w:ind w:firstLine="3"/>
        <w:rPr>
          <w:color w:val="000000"/>
          <w:sz w:val="22"/>
          <w:szCs w:val="22"/>
        </w:rPr>
      </w:pPr>
    </w:p>
    <w:p w14:paraId="0CC7EFDD" w14:textId="77777777" w:rsidR="006615F9" w:rsidRPr="00B30A12" w:rsidRDefault="006615F9" w:rsidP="00855EEB">
      <w:pPr>
        <w:keepNext/>
        <w:widowControl w:val="0"/>
        <w:ind w:firstLine="6"/>
        <w:rPr>
          <w:color w:val="000000"/>
          <w:sz w:val="22"/>
          <w:szCs w:val="22"/>
        </w:rPr>
      </w:pPr>
      <w:r w:rsidRPr="00B30A12">
        <w:rPr>
          <w:color w:val="000000"/>
          <w:sz w:val="22"/>
          <w:szCs w:val="22"/>
        </w:rPr>
        <w:t>Dosisanpassung bei Neutropenie oder Thrombozytopenie</w:t>
      </w:r>
      <w:r w:rsidR="00046D23" w:rsidRPr="00B30A12">
        <w:rPr>
          <w:color w:val="000000"/>
          <w:sz w:val="22"/>
          <w:szCs w:val="22"/>
        </w:rPr>
        <w:t>:</w:t>
      </w:r>
    </w:p>
    <w:p w14:paraId="6D49B29F" w14:textId="77777777" w:rsidR="006615F9" w:rsidRPr="00B30A12" w:rsidRDefault="006615F9" w:rsidP="00855EEB">
      <w:pPr>
        <w:keepNext/>
        <w:widowControl w:val="0"/>
        <w:ind w:firstLine="6"/>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118"/>
        <w:gridCol w:w="3969"/>
        <w:gridCol w:w="25"/>
      </w:tblGrid>
      <w:tr w:rsidR="006830C5" w:rsidRPr="00B30A12" w14:paraId="005E172B" w14:textId="77777777" w:rsidTr="00AD54DF">
        <w:trPr>
          <w:cantSplit/>
        </w:trPr>
        <w:tc>
          <w:tcPr>
            <w:tcW w:w="2093" w:type="dxa"/>
          </w:tcPr>
          <w:p w14:paraId="3F566696"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HES/</w:t>
            </w:r>
            <w:smartTag w:uri="urn:schemas-microsoft-com:office:smarttags" w:element="stockticker">
              <w:r w:rsidRPr="00B30A12">
                <w:rPr>
                  <w:color w:val="000000"/>
                  <w:szCs w:val="22"/>
                </w:rPr>
                <w:t>CEL</w:t>
              </w:r>
            </w:smartTag>
            <w:r w:rsidRPr="00B30A12">
              <w:rPr>
                <w:color w:val="000000"/>
                <w:szCs w:val="22"/>
              </w:rPr>
              <w:t xml:space="preserve"> (Startdosis 100 mg)</w:t>
            </w:r>
          </w:p>
        </w:tc>
        <w:tc>
          <w:tcPr>
            <w:tcW w:w="3118" w:type="dxa"/>
          </w:tcPr>
          <w:p w14:paraId="70AA66D3" w14:textId="77777777" w:rsidR="006830C5" w:rsidRPr="00B30A12" w:rsidRDefault="006830C5" w:rsidP="00537E23">
            <w:pPr>
              <w:widowControl w:val="0"/>
              <w:rPr>
                <w:color w:val="000000"/>
                <w:sz w:val="22"/>
                <w:szCs w:val="22"/>
              </w:rPr>
            </w:pPr>
            <w:r w:rsidRPr="00B30A12">
              <w:rPr>
                <w:color w:val="000000"/>
                <w:sz w:val="22"/>
                <w:szCs w:val="22"/>
              </w:rPr>
              <w:t>Absolute Zahl der neutrophilen Leukozyten (ANC) &lt; 1,0 x 10</w:t>
            </w:r>
            <w:r w:rsidRPr="00B30A12">
              <w:rPr>
                <w:color w:val="000000"/>
                <w:sz w:val="22"/>
                <w:szCs w:val="22"/>
                <w:vertAlign w:val="superscript"/>
              </w:rPr>
              <w:t>9</w:t>
            </w:r>
            <w:r w:rsidRPr="00B30A12">
              <w:rPr>
                <w:color w:val="000000"/>
                <w:sz w:val="22"/>
                <w:szCs w:val="22"/>
              </w:rPr>
              <w:t>/l und / oder</w:t>
            </w:r>
          </w:p>
          <w:p w14:paraId="5437A0CA" w14:textId="77777777" w:rsidR="006830C5" w:rsidRPr="00B30A12" w:rsidRDefault="006830C5" w:rsidP="00537E23">
            <w:pPr>
              <w:widowControl w:val="0"/>
              <w:rPr>
                <w:color w:val="000000"/>
                <w:sz w:val="22"/>
                <w:szCs w:val="22"/>
              </w:rPr>
            </w:pPr>
            <w:r w:rsidRPr="00B30A12">
              <w:rPr>
                <w:color w:val="000000"/>
                <w:sz w:val="22"/>
                <w:szCs w:val="22"/>
              </w:rPr>
              <w:t>Thrombozyten &lt; 50 x 10</w:t>
            </w:r>
            <w:r w:rsidRPr="00B30A12">
              <w:rPr>
                <w:color w:val="000000"/>
                <w:sz w:val="22"/>
                <w:szCs w:val="22"/>
                <w:vertAlign w:val="superscript"/>
              </w:rPr>
              <w:t>9</w:t>
            </w:r>
            <w:r w:rsidRPr="00B30A12">
              <w:rPr>
                <w:color w:val="000000"/>
                <w:sz w:val="22"/>
                <w:szCs w:val="22"/>
              </w:rPr>
              <w:t>/l</w:t>
            </w:r>
          </w:p>
        </w:tc>
        <w:tc>
          <w:tcPr>
            <w:tcW w:w="3994" w:type="dxa"/>
            <w:gridSpan w:val="2"/>
          </w:tcPr>
          <w:p w14:paraId="75205433" w14:textId="77777777" w:rsidR="006830C5" w:rsidRPr="00B30A12" w:rsidRDefault="00080DDF" w:rsidP="00537E23">
            <w:pPr>
              <w:widowControl w:val="0"/>
              <w:ind w:left="361" w:hanging="361"/>
              <w:rPr>
                <w:color w:val="000000"/>
                <w:sz w:val="22"/>
                <w:szCs w:val="22"/>
              </w:rPr>
            </w:pPr>
            <w:r w:rsidRPr="00B30A12">
              <w:rPr>
                <w:color w:val="000000"/>
                <w:sz w:val="22"/>
                <w:szCs w:val="22"/>
              </w:rPr>
              <w:t>1.</w:t>
            </w:r>
            <w:r w:rsidRPr="00B30A12">
              <w:rPr>
                <w:color w:val="000000"/>
                <w:sz w:val="22"/>
                <w:szCs w:val="22"/>
              </w:rPr>
              <w:tab/>
            </w:r>
            <w:r w:rsidR="006830C5" w:rsidRPr="00B30A12">
              <w:rPr>
                <w:color w:val="000000"/>
                <w:sz w:val="22"/>
                <w:szCs w:val="22"/>
              </w:rPr>
              <w:t>Stopp der Behandlung mit Glivec bis ANC ≥ 1,5 x 10</w:t>
            </w:r>
            <w:r w:rsidR="006830C5" w:rsidRPr="00B30A12">
              <w:rPr>
                <w:color w:val="000000"/>
                <w:sz w:val="22"/>
                <w:szCs w:val="22"/>
                <w:vertAlign w:val="superscript"/>
              </w:rPr>
              <w:t>9</w:t>
            </w:r>
            <w:r w:rsidR="006830C5" w:rsidRPr="00B30A12">
              <w:rPr>
                <w:color w:val="000000"/>
                <w:sz w:val="22"/>
                <w:szCs w:val="22"/>
              </w:rPr>
              <w:t>/l und Thrombozyten ≥ 75 x 10</w:t>
            </w:r>
            <w:r w:rsidR="006830C5" w:rsidRPr="00B30A12">
              <w:rPr>
                <w:color w:val="000000"/>
                <w:sz w:val="22"/>
                <w:szCs w:val="22"/>
                <w:vertAlign w:val="superscript"/>
              </w:rPr>
              <w:t>9</w:t>
            </w:r>
            <w:r w:rsidR="006830C5" w:rsidRPr="00B30A12">
              <w:rPr>
                <w:color w:val="000000"/>
                <w:sz w:val="22"/>
                <w:szCs w:val="22"/>
              </w:rPr>
              <w:t>/l.</w:t>
            </w:r>
          </w:p>
          <w:p w14:paraId="744B1B2A" w14:textId="77777777" w:rsidR="006830C5" w:rsidRPr="00B30A12" w:rsidRDefault="00080DDF" w:rsidP="00537E23">
            <w:pPr>
              <w:widowControl w:val="0"/>
              <w:ind w:left="361" w:hanging="361"/>
              <w:rPr>
                <w:color w:val="000000"/>
                <w:sz w:val="22"/>
                <w:szCs w:val="22"/>
              </w:rPr>
            </w:pPr>
            <w:r w:rsidRPr="00B30A12">
              <w:rPr>
                <w:color w:val="000000"/>
                <w:sz w:val="22"/>
                <w:szCs w:val="22"/>
              </w:rPr>
              <w:t>2.</w:t>
            </w:r>
            <w:r w:rsidRPr="00B30A12">
              <w:rPr>
                <w:color w:val="000000"/>
                <w:sz w:val="22"/>
                <w:szCs w:val="22"/>
              </w:rPr>
              <w:tab/>
            </w:r>
            <w:r w:rsidR="006830C5" w:rsidRPr="00B30A12">
              <w:rPr>
                <w:color w:val="000000"/>
                <w:sz w:val="22"/>
                <w:szCs w:val="22"/>
              </w:rPr>
              <w:t>Wiederaufnahme der Behandlung mit Glivec in der vorherigen Dosierung (d. h. vor dem Auftreten der schweren Nebenwirkung).</w:t>
            </w:r>
          </w:p>
        </w:tc>
      </w:tr>
      <w:tr w:rsidR="006830C5" w:rsidRPr="00B30A12" w14:paraId="745D547D" w14:textId="77777777" w:rsidTr="00AD54DF">
        <w:trPr>
          <w:cantSplit/>
        </w:trPr>
        <w:tc>
          <w:tcPr>
            <w:tcW w:w="2093" w:type="dxa"/>
          </w:tcPr>
          <w:p w14:paraId="34AB784E"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lastRenderedPageBreak/>
              <w:t>CML in der chroni</w:t>
            </w:r>
            <w:r w:rsidRPr="00B30A12">
              <w:rPr>
                <w:color w:val="000000"/>
                <w:szCs w:val="22"/>
              </w:rPr>
              <w:softHyphen/>
              <w:t xml:space="preserve">schen Phase, </w:t>
            </w:r>
            <w:smartTag w:uri="urn:schemas-microsoft-com:office:smarttags" w:element="stockticker">
              <w:r w:rsidRPr="00B30A12">
                <w:rPr>
                  <w:color w:val="000000"/>
                  <w:szCs w:val="22"/>
                </w:rPr>
                <w:t>MDS</w:t>
              </w:r>
            </w:smartTag>
            <w:r w:rsidRPr="00B30A12">
              <w:rPr>
                <w:color w:val="000000"/>
                <w:szCs w:val="22"/>
              </w:rPr>
              <w:t>/MPD und GIST (Startdosis 400 mg)</w:t>
            </w:r>
          </w:p>
          <w:p w14:paraId="31331E35"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HES/</w:t>
            </w:r>
            <w:smartTag w:uri="urn:schemas-microsoft-com:office:smarttags" w:element="stockticker">
              <w:r w:rsidRPr="00B30A12">
                <w:rPr>
                  <w:color w:val="000000"/>
                  <w:szCs w:val="22"/>
                </w:rPr>
                <w:t>CEL</w:t>
              </w:r>
            </w:smartTag>
            <w:r w:rsidRPr="00B30A12">
              <w:rPr>
                <w:color w:val="000000"/>
                <w:szCs w:val="22"/>
              </w:rPr>
              <w:t xml:space="preserve"> (bei einer Dosis von 400 mg)</w:t>
            </w:r>
          </w:p>
        </w:tc>
        <w:tc>
          <w:tcPr>
            <w:tcW w:w="3118" w:type="dxa"/>
          </w:tcPr>
          <w:p w14:paraId="111A9F43" w14:textId="77777777" w:rsidR="006830C5" w:rsidRPr="00B30A12" w:rsidRDefault="006830C5" w:rsidP="00537E23">
            <w:pPr>
              <w:widowControl w:val="0"/>
              <w:rPr>
                <w:color w:val="000000"/>
                <w:sz w:val="22"/>
                <w:szCs w:val="22"/>
              </w:rPr>
            </w:pPr>
            <w:r w:rsidRPr="00B30A12">
              <w:rPr>
                <w:color w:val="000000"/>
                <w:sz w:val="22"/>
                <w:szCs w:val="22"/>
              </w:rPr>
              <w:t>Absolute Zahl der neutrophilen Leukozyten (ANC) &lt; 1,0 x 10</w:t>
            </w:r>
            <w:r w:rsidRPr="00B30A12">
              <w:rPr>
                <w:color w:val="000000"/>
                <w:sz w:val="22"/>
                <w:szCs w:val="22"/>
                <w:vertAlign w:val="superscript"/>
              </w:rPr>
              <w:t>9</w:t>
            </w:r>
            <w:r w:rsidRPr="00B30A12">
              <w:rPr>
                <w:color w:val="000000"/>
                <w:sz w:val="22"/>
                <w:szCs w:val="22"/>
              </w:rPr>
              <w:t>/l und / oder</w:t>
            </w:r>
          </w:p>
          <w:p w14:paraId="455C962C" w14:textId="77777777" w:rsidR="006830C5" w:rsidRPr="00B30A12" w:rsidRDefault="006830C5" w:rsidP="00537E23">
            <w:pPr>
              <w:widowControl w:val="0"/>
              <w:rPr>
                <w:color w:val="000000"/>
                <w:sz w:val="22"/>
                <w:szCs w:val="22"/>
              </w:rPr>
            </w:pPr>
            <w:r w:rsidRPr="00B30A12">
              <w:rPr>
                <w:color w:val="000000"/>
                <w:sz w:val="22"/>
                <w:szCs w:val="22"/>
              </w:rPr>
              <w:t>Thrombozyten &lt; 50 x 10</w:t>
            </w:r>
            <w:r w:rsidRPr="00B30A12">
              <w:rPr>
                <w:color w:val="000000"/>
                <w:sz w:val="22"/>
                <w:szCs w:val="22"/>
                <w:vertAlign w:val="superscript"/>
              </w:rPr>
              <w:t>9</w:t>
            </w:r>
            <w:r w:rsidRPr="00B30A12">
              <w:rPr>
                <w:color w:val="000000"/>
                <w:sz w:val="22"/>
                <w:szCs w:val="22"/>
              </w:rPr>
              <w:t>/l</w:t>
            </w:r>
          </w:p>
        </w:tc>
        <w:tc>
          <w:tcPr>
            <w:tcW w:w="3994" w:type="dxa"/>
            <w:gridSpan w:val="2"/>
          </w:tcPr>
          <w:p w14:paraId="0BF9DEBE" w14:textId="77777777" w:rsidR="006830C5" w:rsidRPr="00B30A12" w:rsidRDefault="00964770" w:rsidP="00537E23">
            <w:pPr>
              <w:widowControl w:val="0"/>
              <w:ind w:left="361" w:hanging="361"/>
              <w:rPr>
                <w:color w:val="000000"/>
                <w:sz w:val="22"/>
                <w:szCs w:val="22"/>
              </w:rPr>
            </w:pPr>
            <w:r w:rsidRPr="00B30A12">
              <w:rPr>
                <w:color w:val="000000"/>
                <w:sz w:val="22"/>
                <w:szCs w:val="22"/>
              </w:rPr>
              <w:t>1</w:t>
            </w:r>
            <w:r w:rsidR="00080DDF" w:rsidRPr="00B30A12">
              <w:rPr>
                <w:color w:val="000000"/>
                <w:sz w:val="22"/>
                <w:szCs w:val="22"/>
              </w:rPr>
              <w:t>.</w:t>
            </w:r>
            <w:r w:rsidR="00080DDF" w:rsidRPr="00B30A12">
              <w:rPr>
                <w:color w:val="000000"/>
                <w:sz w:val="22"/>
                <w:szCs w:val="22"/>
              </w:rPr>
              <w:tab/>
            </w:r>
            <w:r w:rsidR="006830C5" w:rsidRPr="00B30A12">
              <w:rPr>
                <w:color w:val="000000"/>
                <w:sz w:val="22"/>
                <w:szCs w:val="22"/>
              </w:rPr>
              <w:t>Stopp der Behandlung mit Glivec bis ANC ≥ 1,5 x 10</w:t>
            </w:r>
            <w:r w:rsidR="006830C5" w:rsidRPr="00B30A12">
              <w:rPr>
                <w:color w:val="000000"/>
                <w:sz w:val="22"/>
                <w:szCs w:val="22"/>
                <w:vertAlign w:val="superscript"/>
              </w:rPr>
              <w:t>9</w:t>
            </w:r>
            <w:r w:rsidR="006830C5" w:rsidRPr="00B30A12">
              <w:rPr>
                <w:color w:val="000000"/>
                <w:sz w:val="22"/>
                <w:szCs w:val="22"/>
              </w:rPr>
              <w:t>/l und Thrombozyten ≥ 75 x 10</w:t>
            </w:r>
            <w:r w:rsidR="006830C5" w:rsidRPr="00B30A12">
              <w:rPr>
                <w:color w:val="000000"/>
                <w:sz w:val="22"/>
                <w:szCs w:val="22"/>
                <w:vertAlign w:val="superscript"/>
              </w:rPr>
              <w:t>9</w:t>
            </w:r>
            <w:r w:rsidR="006830C5" w:rsidRPr="00B30A12">
              <w:rPr>
                <w:color w:val="000000"/>
                <w:sz w:val="22"/>
                <w:szCs w:val="22"/>
              </w:rPr>
              <w:t>/l.</w:t>
            </w:r>
          </w:p>
          <w:p w14:paraId="0BE2E0D0" w14:textId="77777777" w:rsidR="006830C5" w:rsidRPr="00B30A12" w:rsidRDefault="00964770" w:rsidP="00537E23">
            <w:pPr>
              <w:widowControl w:val="0"/>
              <w:ind w:left="361" w:hanging="361"/>
              <w:rPr>
                <w:color w:val="000000"/>
                <w:sz w:val="22"/>
                <w:szCs w:val="22"/>
              </w:rPr>
            </w:pPr>
            <w:r w:rsidRPr="00B30A12">
              <w:rPr>
                <w:color w:val="000000"/>
                <w:sz w:val="22"/>
                <w:szCs w:val="22"/>
              </w:rPr>
              <w:t>2</w:t>
            </w:r>
            <w:r w:rsidR="00080DDF" w:rsidRPr="00B30A12">
              <w:rPr>
                <w:color w:val="000000"/>
                <w:sz w:val="22"/>
                <w:szCs w:val="22"/>
              </w:rPr>
              <w:t>.</w:t>
            </w:r>
            <w:r w:rsidR="00080DDF" w:rsidRPr="00B30A12">
              <w:rPr>
                <w:color w:val="000000"/>
                <w:sz w:val="22"/>
                <w:szCs w:val="22"/>
              </w:rPr>
              <w:tab/>
            </w:r>
            <w:r w:rsidR="006830C5" w:rsidRPr="00B30A12">
              <w:rPr>
                <w:color w:val="000000"/>
                <w:sz w:val="22"/>
                <w:szCs w:val="22"/>
              </w:rPr>
              <w:t>Wiederaufnahme der Behandlung mit Glivec in der vorherigen Dosierung (d. h. vor dem Auftreten der schweren Nebenwirkung).</w:t>
            </w:r>
          </w:p>
          <w:p w14:paraId="19D75179" w14:textId="77777777" w:rsidR="006830C5" w:rsidRPr="00B30A12" w:rsidRDefault="00964770" w:rsidP="00537E23">
            <w:pPr>
              <w:widowControl w:val="0"/>
              <w:ind w:left="361" w:hanging="361"/>
              <w:rPr>
                <w:color w:val="000000"/>
                <w:sz w:val="22"/>
                <w:szCs w:val="22"/>
              </w:rPr>
            </w:pPr>
            <w:r w:rsidRPr="00B30A12">
              <w:rPr>
                <w:color w:val="000000"/>
                <w:sz w:val="22"/>
                <w:szCs w:val="22"/>
              </w:rPr>
              <w:t>3</w:t>
            </w:r>
            <w:r w:rsidR="00080DDF" w:rsidRPr="00B30A12">
              <w:rPr>
                <w:color w:val="000000"/>
                <w:sz w:val="22"/>
                <w:szCs w:val="22"/>
              </w:rPr>
              <w:t>.</w:t>
            </w:r>
            <w:r w:rsidR="00080DDF" w:rsidRPr="00B30A12">
              <w:rPr>
                <w:color w:val="000000"/>
                <w:sz w:val="22"/>
                <w:szCs w:val="22"/>
              </w:rPr>
              <w:tab/>
            </w:r>
            <w:r w:rsidR="006830C5" w:rsidRPr="00B30A12">
              <w:rPr>
                <w:color w:val="000000"/>
                <w:sz w:val="22"/>
                <w:szCs w:val="22"/>
              </w:rPr>
              <w:t>Bei Wiederauftreten von ANC &lt; 1,0 x 10</w:t>
            </w:r>
            <w:r w:rsidR="006830C5" w:rsidRPr="00B30A12">
              <w:rPr>
                <w:color w:val="000000"/>
                <w:sz w:val="22"/>
                <w:szCs w:val="22"/>
                <w:vertAlign w:val="superscript"/>
              </w:rPr>
              <w:t>9</w:t>
            </w:r>
            <w:r w:rsidR="006830C5" w:rsidRPr="00B30A12">
              <w:rPr>
                <w:color w:val="000000"/>
                <w:sz w:val="22"/>
                <w:szCs w:val="22"/>
              </w:rPr>
              <w:t>/l und / oder Thrombozyten &lt; 50 x 10</w:t>
            </w:r>
            <w:r w:rsidR="006830C5" w:rsidRPr="00B30A12">
              <w:rPr>
                <w:color w:val="000000"/>
                <w:sz w:val="22"/>
                <w:szCs w:val="22"/>
                <w:vertAlign w:val="superscript"/>
              </w:rPr>
              <w:t>9</w:t>
            </w:r>
            <w:r w:rsidR="006830C5" w:rsidRPr="00B30A12">
              <w:rPr>
                <w:color w:val="000000"/>
                <w:sz w:val="22"/>
                <w:szCs w:val="22"/>
              </w:rPr>
              <w:t>/l Schritt 1 wiederholen und die Be</w:t>
            </w:r>
            <w:r w:rsidR="006830C5" w:rsidRPr="00B30A12">
              <w:rPr>
                <w:color w:val="000000"/>
                <w:sz w:val="22"/>
                <w:szCs w:val="22"/>
              </w:rPr>
              <w:softHyphen/>
              <w:t>handlung mit der reduzierten Dosis von 300 mg Glivec wieder aufnehmen.</w:t>
            </w:r>
          </w:p>
        </w:tc>
      </w:tr>
      <w:tr w:rsidR="006830C5" w:rsidRPr="00B30A12" w14:paraId="40DF49AA" w14:textId="77777777" w:rsidTr="00AD54DF">
        <w:trPr>
          <w:gridAfter w:val="1"/>
          <w:wAfter w:w="25" w:type="dxa"/>
          <w:cantSplit/>
        </w:trPr>
        <w:tc>
          <w:tcPr>
            <w:tcW w:w="2093" w:type="dxa"/>
          </w:tcPr>
          <w:p w14:paraId="3B7F2ED4"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CML in der chronischen Phase bei Kindern (bei Dosen von 340 mg/m</w:t>
            </w:r>
            <w:r w:rsidRPr="00B30A12">
              <w:rPr>
                <w:color w:val="000000"/>
                <w:szCs w:val="22"/>
                <w:vertAlign w:val="superscript"/>
              </w:rPr>
              <w:t>2</w:t>
            </w:r>
            <w:r w:rsidRPr="00B30A12">
              <w:rPr>
                <w:color w:val="000000"/>
                <w:szCs w:val="22"/>
              </w:rPr>
              <w:t>)</w:t>
            </w:r>
          </w:p>
        </w:tc>
        <w:tc>
          <w:tcPr>
            <w:tcW w:w="3118" w:type="dxa"/>
          </w:tcPr>
          <w:p w14:paraId="193458C1"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ANC &lt; 1,0 x 10</w:t>
            </w:r>
            <w:r w:rsidRPr="00B30A12">
              <w:rPr>
                <w:color w:val="000000"/>
                <w:szCs w:val="22"/>
                <w:vertAlign w:val="superscript"/>
              </w:rPr>
              <w:t>9</w:t>
            </w:r>
            <w:r w:rsidRPr="00B30A12">
              <w:rPr>
                <w:color w:val="000000"/>
                <w:szCs w:val="22"/>
              </w:rPr>
              <w:t>/l</w:t>
            </w:r>
          </w:p>
          <w:p w14:paraId="083DA082"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und / oder</w:t>
            </w:r>
          </w:p>
          <w:p w14:paraId="3F435E23"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Thrombozyten &lt; 50 x 10</w:t>
            </w:r>
            <w:r w:rsidRPr="00B30A12">
              <w:rPr>
                <w:color w:val="000000"/>
                <w:szCs w:val="22"/>
                <w:vertAlign w:val="superscript"/>
              </w:rPr>
              <w:t>9</w:t>
            </w:r>
            <w:r w:rsidRPr="00B30A12">
              <w:rPr>
                <w:color w:val="000000"/>
                <w:szCs w:val="22"/>
              </w:rPr>
              <w:t>/l</w:t>
            </w:r>
          </w:p>
        </w:tc>
        <w:tc>
          <w:tcPr>
            <w:tcW w:w="3969" w:type="dxa"/>
          </w:tcPr>
          <w:p w14:paraId="167F466D" w14:textId="77777777" w:rsidR="006830C5" w:rsidRPr="00B30A12" w:rsidRDefault="00080DDF" w:rsidP="00537E23">
            <w:pPr>
              <w:widowControl w:val="0"/>
              <w:ind w:left="361" w:hanging="361"/>
              <w:rPr>
                <w:color w:val="000000"/>
                <w:sz w:val="22"/>
                <w:szCs w:val="22"/>
              </w:rPr>
            </w:pPr>
            <w:r w:rsidRPr="00B30A12">
              <w:rPr>
                <w:color w:val="000000"/>
                <w:sz w:val="22"/>
                <w:szCs w:val="22"/>
              </w:rPr>
              <w:t>1.</w:t>
            </w:r>
            <w:r w:rsidRPr="00B30A12">
              <w:rPr>
                <w:color w:val="000000"/>
                <w:sz w:val="22"/>
                <w:szCs w:val="22"/>
              </w:rPr>
              <w:tab/>
            </w:r>
            <w:r w:rsidR="006830C5" w:rsidRPr="00B30A12">
              <w:rPr>
                <w:color w:val="000000"/>
                <w:sz w:val="22"/>
                <w:szCs w:val="22"/>
              </w:rPr>
              <w:t>Stopp der Behandlung mit Glivec bis ANC ≥ 1,5 x 10</w:t>
            </w:r>
            <w:r w:rsidR="006830C5" w:rsidRPr="00B30A12">
              <w:rPr>
                <w:color w:val="000000"/>
                <w:sz w:val="22"/>
                <w:szCs w:val="22"/>
                <w:vertAlign w:val="superscript"/>
              </w:rPr>
              <w:t>9</w:t>
            </w:r>
            <w:r w:rsidR="006830C5" w:rsidRPr="00B30A12">
              <w:rPr>
                <w:color w:val="000000"/>
                <w:sz w:val="22"/>
                <w:szCs w:val="22"/>
              </w:rPr>
              <w:t>/l und Thrombozyten ≥ 75 x 10</w:t>
            </w:r>
            <w:r w:rsidR="006830C5" w:rsidRPr="00B30A12">
              <w:rPr>
                <w:color w:val="000000"/>
                <w:sz w:val="22"/>
                <w:szCs w:val="22"/>
                <w:vertAlign w:val="superscript"/>
              </w:rPr>
              <w:t>9</w:t>
            </w:r>
            <w:r w:rsidR="006830C5" w:rsidRPr="00B30A12">
              <w:rPr>
                <w:color w:val="000000"/>
                <w:sz w:val="22"/>
                <w:szCs w:val="22"/>
              </w:rPr>
              <w:t>/l.</w:t>
            </w:r>
          </w:p>
          <w:p w14:paraId="2BBD71AE" w14:textId="77777777" w:rsidR="006830C5" w:rsidRPr="00B30A12" w:rsidRDefault="00080DDF" w:rsidP="00537E23">
            <w:pPr>
              <w:widowControl w:val="0"/>
              <w:ind w:left="361" w:hanging="361"/>
              <w:rPr>
                <w:color w:val="000000"/>
                <w:sz w:val="22"/>
                <w:szCs w:val="22"/>
              </w:rPr>
            </w:pPr>
            <w:r w:rsidRPr="00B30A12">
              <w:rPr>
                <w:color w:val="000000"/>
                <w:sz w:val="22"/>
                <w:szCs w:val="22"/>
              </w:rPr>
              <w:t>2.</w:t>
            </w:r>
            <w:r w:rsidRPr="00B30A12">
              <w:rPr>
                <w:color w:val="000000"/>
                <w:sz w:val="22"/>
                <w:szCs w:val="22"/>
              </w:rPr>
              <w:tab/>
            </w:r>
            <w:r w:rsidR="006830C5" w:rsidRPr="00B30A12">
              <w:rPr>
                <w:color w:val="000000"/>
                <w:sz w:val="22"/>
                <w:szCs w:val="22"/>
              </w:rPr>
              <w:t>Wiederaufnahme der Behandlung mit Glivec in der vorherigen Dosierung (d. h. vor dem Auftreten der schweren Nebenwirkung).</w:t>
            </w:r>
          </w:p>
          <w:p w14:paraId="1DBEEEE3" w14:textId="77777777" w:rsidR="006830C5" w:rsidRPr="00B30A12" w:rsidRDefault="00080DDF" w:rsidP="00537E23">
            <w:pPr>
              <w:widowControl w:val="0"/>
              <w:ind w:left="361" w:hanging="361"/>
              <w:rPr>
                <w:color w:val="000000"/>
                <w:sz w:val="22"/>
                <w:szCs w:val="22"/>
              </w:rPr>
            </w:pPr>
            <w:r w:rsidRPr="00B30A12">
              <w:rPr>
                <w:color w:val="000000"/>
                <w:sz w:val="22"/>
                <w:szCs w:val="22"/>
              </w:rPr>
              <w:t>3.</w:t>
            </w:r>
            <w:r w:rsidRPr="00B30A12">
              <w:rPr>
                <w:color w:val="000000"/>
                <w:sz w:val="22"/>
                <w:szCs w:val="22"/>
              </w:rPr>
              <w:tab/>
            </w:r>
            <w:r w:rsidR="006830C5" w:rsidRPr="00B30A12">
              <w:rPr>
                <w:color w:val="000000"/>
                <w:sz w:val="22"/>
                <w:szCs w:val="22"/>
              </w:rPr>
              <w:t>Bei Wiederauftreten von ANC &lt; 1,0 x 10</w:t>
            </w:r>
            <w:r w:rsidR="006830C5" w:rsidRPr="00B30A12">
              <w:rPr>
                <w:color w:val="000000"/>
                <w:sz w:val="22"/>
                <w:szCs w:val="22"/>
                <w:vertAlign w:val="superscript"/>
              </w:rPr>
              <w:t>9</w:t>
            </w:r>
            <w:r w:rsidR="006830C5" w:rsidRPr="00B30A12">
              <w:rPr>
                <w:color w:val="000000"/>
                <w:sz w:val="22"/>
                <w:szCs w:val="22"/>
              </w:rPr>
              <w:t>/l und / oder Thrombozyten &lt; 50 x 10</w:t>
            </w:r>
            <w:r w:rsidR="006830C5" w:rsidRPr="00B30A12">
              <w:rPr>
                <w:color w:val="000000"/>
                <w:sz w:val="22"/>
                <w:szCs w:val="22"/>
                <w:vertAlign w:val="superscript"/>
              </w:rPr>
              <w:t>9</w:t>
            </w:r>
            <w:r w:rsidR="006830C5" w:rsidRPr="00B30A12">
              <w:rPr>
                <w:color w:val="000000"/>
                <w:sz w:val="22"/>
                <w:szCs w:val="22"/>
              </w:rPr>
              <w:t>/l Schritt 1 wiederholen und die Be</w:t>
            </w:r>
            <w:r w:rsidR="006830C5" w:rsidRPr="00B30A12">
              <w:rPr>
                <w:color w:val="000000"/>
                <w:sz w:val="22"/>
                <w:szCs w:val="22"/>
              </w:rPr>
              <w:softHyphen/>
              <w:t>handlung mit der reduzierten Dosis von 260 mg/m</w:t>
            </w:r>
            <w:r w:rsidR="006830C5" w:rsidRPr="00B30A12">
              <w:rPr>
                <w:color w:val="000000"/>
                <w:sz w:val="22"/>
                <w:szCs w:val="22"/>
                <w:vertAlign w:val="superscript"/>
              </w:rPr>
              <w:t>2</w:t>
            </w:r>
            <w:r w:rsidR="006830C5" w:rsidRPr="00B30A12">
              <w:rPr>
                <w:color w:val="000000"/>
                <w:sz w:val="22"/>
                <w:szCs w:val="22"/>
              </w:rPr>
              <w:t xml:space="preserve"> Glivec wieder aufnehmen.</w:t>
            </w:r>
          </w:p>
        </w:tc>
      </w:tr>
      <w:tr w:rsidR="006830C5" w:rsidRPr="00B30A12" w14:paraId="49276341" w14:textId="77777777" w:rsidTr="00AD54DF">
        <w:trPr>
          <w:cantSplit/>
        </w:trPr>
        <w:tc>
          <w:tcPr>
            <w:tcW w:w="2093" w:type="dxa"/>
          </w:tcPr>
          <w:p w14:paraId="5119D85F"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CML in der akzele</w:t>
            </w:r>
            <w:r w:rsidRPr="00B30A12">
              <w:rPr>
                <w:color w:val="000000"/>
                <w:szCs w:val="22"/>
              </w:rPr>
              <w:softHyphen/>
              <w:t>rierten Phase und in der Blastenkrise und Ph+ </w:t>
            </w:r>
            <w:smartTag w:uri="urn:schemas-microsoft-com:office:smarttags" w:element="stockticker">
              <w:r w:rsidRPr="00B30A12">
                <w:rPr>
                  <w:color w:val="000000"/>
                  <w:szCs w:val="22"/>
                </w:rPr>
                <w:t>ALL</w:t>
              </w:r>
            </w:smartTag>
            <w:r w:rsidRPr="00B30A12">
              <w:rPr>
                <w:color w:val="000000"/>
                <w:szCs w:val="22"/>
              </w:rPr>
              <w:t xml:space="preserve"> (Startdosis 600 mg)</w:t>
            </w:r>
          </w:p>
        </w:tc>
        <w:tc>
          <w:tcPr>
            <w:tcW w:w="3118" w:type="dxa"/>
          </w:tcPr>
          <w:p w14:paraId="678E97A4" w14:textId="77777777" w:rsidR="006830C5" w:rsidRPr="00B30A12" w:rsidRDefault="00463D41" w:rsidP="00537E23">
            <w:pPr>
              <w:pStyle w:val="Header"/>
              <w:widowControl w:val="0"/>
              <w:tabs>
                <w:tab w:val="clear" w:pos="4320"/>
                <w:tab w:val="clear" w:pos="8640"/>
              </w:tabs>
              <w:rPr>
                <w:color w:val="000000"/>
                <w:szCs w:val="22"/>
              </w:rPr>
            </w:pPr>
            <w:r w:rsidRPr="00B30A12">
              <w:rPr>
                <w:color w:val="000000"/>
                <w:szCs w:val="22"/>
                <w:vertAlign w:val="superscript"/>
              </w:rPr>
              <w:t>a</w:t>
            </w:r>
            <w:r w:rsidR="006830C5" w:rsidRPr="00B30A12">
              <w:rPr>
                <w:color w:val="000000"/>
                <w:szCs w:val="22"/>
              </w:rPr>
              <w:t>ANC &lt; 0,5 x 10</w:t>
            </w:r>
            <w:r w:rsidR="006830C5" w:rsidRPr="00B30A12">
              <w:rPr>
                <w:color w:val="000000"/>
                <w:szCs w:val="22"/>
                <w:vertAlign w:val="superscript"/>
              </w:rPr>
              <w:t>9</w:t>
            </w:r>
            <w:r w:rsidR="006830C5" w:rsidRPr="00B30A12">
              <w:rPr>
                <w:color w:val="000000"/>
                <w:szCs w:val="22"/>
              </w:rPr>
              <w:t>/l</w:t>
            </w:r>
          </w:p>
          <w:p w14:paraId="645C5454" w14:textId="77777777" w:rsidR="006830C5" w:rsidRPr="00B30A12" w:rsidRDefault="006830C5" w:rsidP="00537E23">
            <w:pPr>
              <w:widowControl w:val="0"/>
              <w:rPr>
                <w:color w:val="000000"/>
                <w:sz w:val="22"/>
                <w:szCs w:val="22"/>
              </w:rPr>
            </w:pPr>
            <w:r w:rsidRPr="00B30A12">
              <w:rPr>
                <w:color w:val="000000"/>
                <w:sz w:val="22"/>
                <w:szCs w:val="22"/>
              </w:rPr>
              <w:t>und / oder</w:t>
            </w:r>
          </w:p>
          <w:p w14:paraId="451C0DFB"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rPr>
              <w:t>Thrombozyten &lt; 10 x 10</w:t>
            </w:r>
            <w:r w:rsidRPr="00B30A12">
              <w:rPr>
                <w:color w:val="000000"/>
                <w:szCs w:val="22"/>
                <w:vertAlign w:val="superscript"/>
              </w:rPr>
              <w:t>9</w:t>
            </w:r>
            <w:r w:rsidRPr="00B30A12">
              <w:rPr>
                <w:color w:val="000000"/>
                <w:szCs w:val="22"/>
              </w:rPr>
              <w:t>/l</w:t>
            </w:r>
          </w:p>
        </w:tc>
        <w:tc>
          <w:tcPr>
            <w:tcW w:w="3994" w:type="dxa"/>
            <w:gridSpan w:val="2"/>
          </w:tcPr>
          <w:p w14:paraId="60512C80" w14:textId="77777777" w:rsidR="006830C5" w:rsidRPr="00B30A12" w:rsidRDefault="00080DDF" w:rsidP="00537E23">
            <w:pPr>
              <w:widowControl w:val="0"/>
              <w:ind w:left="361" w:hanging="361"/>
              <w:rPr>
                <w:color w:val="000000"/>
                <w:sz w:val="22"/>
                <w:szCs w:val="22"/>
              </w:rPr>
            </w:pPr>
            <w:r w:rsidRPr="00B30A12">
              <w:rPr>
                <w:color w:val="000000"/>
                <w:sz w:val="22"/>
                <w:szCs w:val="22"/>
              </w:rPr>
              <w:t>1.</w:t>
            </w:r>
            <w:r w:rsidRPr="00B30A12">
              <w:rPr>
                <w:color w:val="000000"/>
                <w:sz w:val="22"/>
                <w:szCs w:val="22"/>
              </w:rPr>
              <w:tab/>
            </w:r>
            <w:r w:rsidR="006830C5" w:rsidRPr="00B30A12">
              <w:rPr>
                <w:color w:val="000000"/>
                <w:sz w:val="22"/>
                <w:szCs w:val="22"/>
              </w:rPr>
              <w:t>Überprüfung, ob die Zytopenie im Zu</w:t>
            </w:r>
            <w:r w:rsidR="006830C5" w:rsidRPr="00B30A12">
              <w:rPr>
                <w:color w:val="000000"/>
                <w:sz w:val="22"/>
                <w:szCs w:val="22"/>
              </w:rPr>
              <w:softHyphen/>
              <w:t>sammenhang mit der Leukämie steht (Knochenmarksaspiration oder Bi</w:t>
            </w:r>
            <w:r w:rsidR="006830C5" w:rsidRPr="00B30A12">
              <w:rPr>
                <w:color w:val="000000"/>
                <w:sz w:val="22"/>
                <w:szCs w:val="22"/>
              </w:rPr>
              <w:softHyphen/>
              <w:t>opsie).</w:t>
            </w:r>
          </w:p>
          <w:p w14:paraId="25250DEF" w14:textId="77777777" w:rsidR="006830C5" w:rsidRPr="00B30A12" w:rsidRDefault="00080DDF" w:rsidP="00537E23">
            <w:pPr>
              <w:widowControl w:val="0"/>
              <w:ind w:left="361" w:hanging="361"/>
              <w:rPr>
                <w:color w:val="000000"/>
                <w:sz w:val="22"/>
                <w:szCs w:val="22"/>
              </w:rPr>
            </w:pPr>
            <w:r w:rsidRPr="00B30A12">
              <w:rPr>
                <w:color w:val="000000"/>
                <w:sz w:val="22"/>
                <w:szCs w:val="22"/>
              </w:rPr>
              <w:t>2.</w:t>
            </w:r>
            <w:r w:rsidRPr="00B30A12">
              <w:rPr>
                <w:color w:val="000000"/>
                <w:sz w:val="22"/>
                <w:szCs w:val="22"/>
              </w:rPr>
              <w:tab/>
            </w:r>
            <w:r w:rsidR="006830C5" w:rsidRPr="00B30A12">
              <w:rPr>
                <w:color w:val="000000"/>
                <w:sz w:val="22"/>
                <w:szCs w:val="22"/>
              </w:rPr>
              <w:t>Wenn kein Zusammenhang zwischen Zytopenie und Leukämie besteht, Re</w:t>
            </w:r>
            <w:r w:rsidR="006830C5" w:rsidRPr="00B30A12">
              <w:rPr>
                <w:color w:val="000000"/>
                <w:sz w:val="22"/>
                <w:szCs w:val="22"/>
              </w:rPr>
              <w:softHyphen/>
              <w:t>duktion der Glivec Dosis auf 400 mg.</w:t>
            </w:r>
          </w:p>
          <w:p w14:paraId="19943EBA" w14:textId="77777777" w:rsidR="006830C5" w:rsidRPr="00B30A12" w:rsidRDefault="00080DDF" w:rsidP="00537E23">
            <w:pPr>
              <w:pStyle w:val="BodyText3"/>
              <w:widowControl w:val="0"/>
              <w:ind w:left="361" w:hanging="361"/>
              <w:rPr>
                <w:color w:val="000000"/>
                <w:szCs w:val="22"/>
              </w:rPr>
            </w:pPr>
            <w:r w:rsidRPr="00B30A12">
              <w:rPr>
                <w:color w:val="000000"/>
                <w:szCs w:val="22"/>
              </w:rPr>
              <w:t>3.</w:t>
            </w:r>
            <w:r w:rsidRPr="00B30A12">
              <w:rPr>
                <w:color w:val="000000"/>
                <w:szCs w:val="22"/>
              </w:rPr>
              <w:tab/>
            </w:r>
            <w:r w:rsidR="006830C5" w:rsidRPr="00B30A12">
              <w:rPr>
                <w:color w:val="000000"/>
                <w:szCs w:val="22"/>
              </w:rPr>
              <w:t>Bei Andauern der Zytopenie über 2 Wochen weitere Dosisreduktion auf 300 mg.</w:t>
            </w:r>
          </w:p>
          <w:p w14:paraId="6737222F" w14:textId="77777777" w:rsidR="006830C5" w:rsidRPr="00B30A12" w:rsidRDefault="00080DDF" w:rsidP="00537E23">
            <w:pPr>
              <w:widowControl w:val="0"/>
              <w:ind w:left="361" w:hanging="361"/>
              <w:rPr>
                <w:color w:val="000000"/>
                <w:sz w:val="22"/>
                <w:szCs w:val="22"/>
              </w:rPr>
            </w:pPr>
            <w:r w:rsidRPr="00B30A12">
              <w:rPr>
                <w:color w:val="000000"/>
                <w:sz w:val="22"/>
                <w:szCs w:val="22"/>
              </w:rPr>
              <w:t>4.</w:t>
            </w:r>
            <w:r w:rsidRPr="00B30A12">
              <w:rPr>
                <w:color w:val="000000"/>
                <w:sz w:val="22"/>
                <w:szCs w:val="22"/>
              </w:rPr>
              <w:tab/>
            </w:r>
            <w:r w:rsidR="006830C5" w:rsidRPr="00B30A12">
              <w:rPr>
                <w:color w:val="000000"/>
                <w:sz w:val="22"/>
                <w:szCs w:val="22"/>
              </w:rPr>
              <w:t>Bei Andauern der Zytopenie über 4 Wochen und weiterhin keinem Zu</w:t>
            </w:r>
            <w:r w:rsidR="006830C5" w:rsidRPr="00B30A12">
              <w:rPr>
                <w:color w:val="000000"/>
                <w:sz w:val="22"/>
                <w:szCs w:val="22"/>
              </w:rPr>
              <w:softHyphen/>
              <w:t>sammenhang mit der Leukämie die Behandlung mit Glivec so lange unter</w:t>
            </w:r>
            <w:r w:rsidR="006830C5" w:rsidRPr="00B30A12">
              <w:rPr>
                <w:color w:val="000000"/>
                <w:sz w:val="22"/>
                <w:szCs w:val="22"/>
              </w:rPr>
              <w:softHyphen/>
              <w:t xml:space="preserve">brechen, bis ANC </w:t>
            </w:r>
            <w:r w:rsidR="006830C5" w:rsidRPr="00B30A12">
              <w:rPr>
                <w:color w:val="000000"/>
                <w:sz w:val="22"/>
                <w:szCs w:val="22"/>
              </w:rPr>
              <w:sym w:font="Symbol" w:char="F0B3"/>
            </w:r>
            <w:r w:rsidR="006830C5" w:rsidRPr="00B30A12">
              <w:rPr>
                <w:color w:val="000000"/>
                <w:sz w:val="22"/>
                <w:szCs w:val="22"/>
              </w:rPr>
              <w:t> 1 x 10</w:t>
            </w:r>
            <w:r w:rsidR="006830C5" w:rsidRPr="00B30A12">
              <w:rPr>
                <w:color w:val="000000"/>
                <w:sz w:val="22"/>
                <w:szCs w:val="22"/>
                <w:vertAlign w:val="superscript"/>
              </w:rPr>
              <w:t>9</w:t>
            </w:r>
            <w:r w:rsidR="006830C5" w:rsidRPr="00B30A12">
              <w:rPr>
                <w:color w:val="000000"/>
                <w:sz w:val="22"/>
                <w:szCs w:val="22"/>
              </w:rPr>
              <w:t xml:space="preserve">/l und Thrombozyten </w:t>
            </w:r>
            <w:r w:rsidR="006830C5" w:rsidRPr="00B30A12">
              <w:rPr>
                <w:color w:val="000000"/>
                <w:sz w:val="22"/>
                <w:szCs w:val="22"/>
              </w:rPr>
              <w:sym w:font="Symbol" w:char="F0B3"/>
            </w:r>
            <w:r w:rsidR="006830C5" w:rsidRPr="00B30A12">
              <w:rPr>
                <w:color w:val="000000"/>
                <w:sz w:val="22"/>
                <w:szCs w:val="22"/>
              </w:rPr>
              <w:t> 20 x 10</w:t>
            </w:r>
            <w:r w:rsidR="006830C5" w:rsidRPr="00B30A12">
              <w:rPr>
                <w:color w:val="000000"/>
                <w:sz w:val="22"/>
                <w:szCs w:val="22"/>
                <w:vertAlign w:val="superscript"/>
              </w:rPr>
              <w:t>9</w:t>
            </w:r>
            <w:r w:rsidR="006830C5" w:rsidRPr="00B30A12">
              <w:rPr>
                <w:color w:val="000000"/>
                <w:sz w:val="22"/>
                <w:szCs w:val="22"/>
              </w:rPr>
              <w:t>/l, und dann die Behandlung mit 300 mg wieder aufnehmen.</w:t>
            </w:r>
          </w:p>
        </w:tc>
      </w:tr>
      <w:tr w:rsidR="006830C5" w:rsidRPr="00B30A12" w14:paraId="23E7AFB6" w14:textId="77777777" w:rsidTr="00AD54DF">
        <w:trPr>
          <w:gridAfter w:val="1"/>
          <w:wAfter w:w="25" w:type="dxa"/>
          <w:cantSplit/>
        </w:trPr>
        <w:tc>
          <w:tcPr>
            <w:tcW w:w="2093" w:type="dxa"/>
          </w:tcPr>
          <w:p w14:paraId="071789F6" w14:textId="77777777" w:rsidR="006830C5" w:rsidRPr="00B30A12" w:rsidRDefault="006830C5" w:rsidP="00537E23">
            <w:pPr>
              <w:widowControl w:val="0"/>
              <w:rPr>
                <w:color w:val="000000"/>
                <w:sz w:val="22"/>
                <w:szCs w:val="22"/>
                <w:vertAlign w:val="superscript"/>
              </w:rPr>
            </w:pPr>
            <w:r w:rsidRPr="00B30A12">
              <w:rPr>
                <w:color w:val="000000"/>
                <w:sz w:val="22"/>
                <w:szCs w:val="22"/>
              </w:rPr>
              <w:lastRenderedPageBreak/>
              <w:t>CML in der akzele</w:t>
            </w:r>
            <w:r w:rsidRPr="00B30A12">
              <w:rPr>
                <w:color w:val="000000"/>
                <w:sz w:val="22"/>
                <w:szCs w:val="22"/>
              </w:rPr>
              <w:softHyphen/>
              <w:t>rierten Phase und in der Blastenkrise bei Kindern (Startdosis 340 mg/m</w:t>
            </w:r>
            <w:r w:rsidRPr="00B30A12">
              <w:rPr>
                <w:color w:val="000000"/>
                <w:sz w:val="22"/>
                <w:szCs w:val="22"/>
                <w:vertAlign w:val="superscript"/>
              </w:rPr>
              <w:t>2</w:t>
            </w:r>
            <w:r w:rsidRPr="00B30A12">
              <w:rPr>
                <w:color w:val="000000"/>
                <w:sz w:val="22"/>
                <w:szCs w:val="22"/>
              </w:rPr>
              <w:t>)</w:t>
            </w:r>
          </w:p>
        </w:tc>
        <w:tc>
          <w:tcPr>
            <w:tcW w:w="3118" w:type="dxa"/>
          </w:tcPr>
          <w:p w14:paraId="2D145193" w14:textId="77777777" w:rsidR="006830C5" w:rsidRPr="00B30A12" w:rsidRDefault="006830C5" w:rsidP="00537E23">
            <w:pPr>
              <w:pStyle w:val="Header"/>
              <w:widowControl w:val="0"/>
              <w:tabs>
                <w:tab w:val="clear" w:pos="4320"/>
                <w:tab w:val="clear" w:pos="8640"/>
              </w:tabs>
              <w:rPr>
                <w:color w:val="000000"/>
                <w:szCs w:val="22"/>
              </w:rPr>
            </w:pPr>
            <w:r w:rsidRPr="00B30A12">
              <w:rPr>
                <w:color w:val="000000"/>
                <w:szCs w:val="22"/>
                <w:vertAlign w:val="superscript"/>
              </w:rPr>
              <w:t>a</w:t>
            </w:r>
            <w:r w:rsidRPr="00B30A12">
              <w:rPr>
                <w:color w:val="000000"/>
                <w:szCs w:val="22"/>
              </w:rPr>
              <w:t>ANC &lt; 0,5 x 10</w:t>
            </w:r>
            <w:r w:rsidRPr="00B30A12">
              <w:rPr>
                <w:color w:val="000000"/>
                <w:szCs w:val="22"/>
                <w:vertAlign w:val="superscript"/>
              </w:rPr>
              <w:t>9</w:t>
            </w:r>
            <w:r w:rsidRPr="00B30A12">
              <w:rPr>
                <w:color w:val="000000"/>
                <w:szCs w:val="22"/>
              </w:rPr>
              <w:t>/l</w:t>
            </w:r>
          </w:p>
          <w:p w14:paraId="7F8A3882" w14:textId="77777777" w:rsidR="006830C5" w:rsidRPr="00B30A12" w:rsidRDefault="006830C5" w:rsidP="00537E23">
            <w:pPr>
              <w:widowControl w:val="0"/>
              <w:rPr>
                <w:color w:val="000000"/>
                <w:sz w:val="22"/>
                <w:szCs w:val="22"/>
              </w:rPr>
            </w:pPr>
            <w:r w:rsidRPr="00B30A12">
              <w:rPr>
                <w:color w:val="000000"/>
                <w:sz w:val="22"/>
                <w:szCs w:val="22"/>
              </w:rPr>
              <w:t>und / oder</w:t>
            </w:r>
          </w:p>
          <w:p w14:paraId="74A6D7B2" w14:textId="77777777" w:rsidR="006830C5" w:rsidRPr="00B30A12" w:rsidRDefault="006830C5" w:rsidP="00537E23">
            <w:pPr>
              <w:widowControl w:val="0"/>
              <w:rPr>
                <w:color w:val="000000"/>
                <w:sz w:val="22"/>
                <w:szCs w:val="22"/>
                <w:vertAlign w:val="superscript"/>
              </w:rPr>
            </w:pPr>
            <w:r w:rsidRPr="00B30A12">
              <w:rPr>
                <w:color w:val="000000"/>
                <w:sz w:val="22"/>
                <w:szCs w:val="22"/>
              </w:rPr>
              <w:t>Thrombozyten &lt; 10 x 10</w:t>
            </w:r>
            <w:r w:rsidRPr="00B30A12">
              <w:rPr>
                <w:color w:val="000000"/>
                <w:sz w:val="22"/>
                <w:szCs w:val="22"/>
                <w:vertAlign w:val="superscript"/>
              </w:rPr>
              <w:t>9</w:t>
            </w:r>
            <w:r w:rsidRPr="00B30A12">
              <w:rPr>
                <w:color w:val="000000"/>
                <w:sz w:val="22"/>
                <w:szCs w:val="22"/>
              </w:rPr>
              <w:t>/l</w:t>
            </w:r>
          </w:p>
        </w:tc>
        <w:tc>
          <w:tcPr>
            <w:tcW w:w="3969" w:type="dxa"/>
          </w:tcPr>
          <w:p w14:paraId="3FADCD43" w14:textId="77777777" w:rsidR="006830C5" w:rsidRPr="00B30A12" w:rsidRDefault="00080DDF" w:rsidP="00537E23">
            <w:pPr>
              <w:widowControl w:val="0"/>
              <w:ind w:left="361" w:hanging="361"/>
              <w:rPr>
                <w:color w:val="000000"/>
                <w:sz w:val="22"/>
                <w:szCs w:val="22"/>
              </w:rPr>
            </w:pPr>
            <w:r w:rsidRPr="00B30A12">
              <w:rPr>
                <w:color w:val="000000"/>
                <w:sz w:val="22"/>
                <w:szCs w:val="22"/>
              </w:rPr>
              <w:t>1.</w:t>
            </w:r>
            <w:r w:rsidRPr="00B30A12">
              <w:rPr>
                <w:color w:val="000000"/>
                <w:sz w:val="22"/>
                <w:szCs w:val="22"/>
              </w:rPr>
              <w:tab/>
            </w:r>
            <w:r w:rsidR="006830C5" w:rsidRPr="00B30A12">
              <w:rPr>
                <w:color w:val="000000"/>
                <w:sz w:val="22"/>
                <w:szCs w:val="22"/>
              </w:rPr>
              <w:t>Überprüfung, ob die Zytopenie im Zu</w:t>
            </w:r>
            <w:r w:rsidR="006830C5" w:rsidRPr="00B30A12">
              <w:rPr>
                <w:color w:val="000000"/>
                <w:sz w:val="22"/>
                <w:szCs w:val="22"/>
              </w:rPr>
              <w:softHyphen/>
              <w:t>sammenhang mit der Leukämie steht (Knochenmarksaspiration oder Bi</w:t>
            </w:r>
            <w:r w:rsidR="006830C5" w:rsidRPr="00B30A12">
              <w:rPr>
                <w:color w:val="000000"/>
                <w:sz w:val="22"/>
                <w:szCs w:val="22"/>
              </w:rPr>
              <w:softHyphen/>
              <w:t>opsie).</w:t>
            </w:r>
          </w:p>
          <w:p w14:paraId="09A85816" w14:textId="77777777" w:rsidR="006830C5" w:rsidRPr="00B30A12" w:rsidRDefault="00080DDF" w:rsidP="00537E23">
            <w:pPr>
              <w:widowControl w:val="0"/>
              <w:ind w:left="361" w:hanging="361"/>
              <w:rPr>
                <w:color w:val="000000"/>
                <w:sz w:val="22"/>
                <w:szCs w:val="22"/>
              </w:rPr>
            </w:pPr>
            <w:r w:rsidRPr="00B30A12">
              <w:rPr>
                <w:color w:val="000000"/>
                <w:sz w:val="22"/>
                <w:szCs w:val="22"/>
              </w:rPr>
              <w:t>2.</w:t>
            </w:r>
            <w:r w:rsidRPr="00B30A12">
              <w:rPr>
                <w:color w:val="000000"/>
                <w:sz w:val="22"/>
                <w:szCs w:val="22"/>
              </w:rPr>
              <w:tab/>
            </w:r>
            <w:r w:rsidR="006830C5" w:rsidRPr="00B30A12">
              <w:rPr>
                <w:color w:val="000000"/>
                <w:sz w:val="22"/>
                <w:szCs w:val="22"/>
              </w:rPr>
              <w:t>Wenn kein Zusammenhang zwischen Zytopenie und Leukämie besteht, Re</w:t>
            </w:r>
            <w:r w:rsidR="006830C5" w:rsidRPr="00B30A12">
              <w:rPr>
                <w:color w:val="000000"/>
                <w:sz w:val="22"/>
                <w:szCs w:val="22"/>
              </w:rPr>
              <w:softHyphen/>
              <w:t>duktion der Glivec-Dosis auf 260 mg/m</w:t>
            </w:r>
            <w:r w:rsidR="006830C5" w:rsidRPr="00B30A12">
              <w:rPr>
                <w:color w:val="000000"/>
                <w:sz w:val="22"/>
                <w:szCs w:val="22"/>
                <w:vertAlign w:val="superscript"/>
              </w:rPr>
              <w:t>2</w:t>
            </w:r>
            <w:r w:rsidR="006830C5" w:rsidRPr="00B30A12">
              <w:rPr>
                <w:color w:val="000000"/>
                <w:sz w:val="22"/>
                <w:szCs w:val="22"/>
              </w:rPr>
              <w:t>.</w:t>
            </w:r>
          </w:p>
          <w:p w14:paraId="1A48082E" w14:textId="77777777" w:rsidR="006830C5" w:rsidRPr="00B30A12" w:rsidRDefault="00080DDF" w:rsidP="00537E23">
            <w:pPr>
              <w:pStyle w:val="BodyText3"/>
              <w:widowControl w:val="0"/>
              <w:ind w:left="361" w:hanging="361"/>
              <w:rPr>
                <w:color w:val="000000"/>
                <w:szCs w:val="22"/>
              </w:rPr>
            </w:pPr>
            <w:r w:rsidRPr="00B30A12">
              <w:rPr>
                <w:color w:val="000000"/>
                <w:szCs w:val="22"/>
              </w:rPr>
              <w:t>3.</w:t>
            </w:r>
            <w:r w:rsidRPr="00B30A12">
              <w:rPr>
                <w:color w:val="000000"/>
                <w:szCs w:val="22"/>
              </w:rPr>
              <w:tab/>
            </w:r>
            <w:r w:rsidR="006830C5" w:rsidRPr="00B30A12">
              <w:rPr>
                <w:color w:val="000000"/>
                <w:szCs w:val="22"/>
              </w:rPr>
              <w:t>Bei Andauern der Zytopenie über 2 Wochen weitere Dosisreduktion auf 200 mg/m</w:t>
            </w:r>
            <w:r w:rsidR="006830C5" w:rsidRPr="00B30A12">
              <w:rPr>
                <w:color w:val="000000"/>
                <w:szCs w:val="22"/>
                <w:vertAlign w:val="superscript"/>
              </w:rPr>
              <w:t>2</w:t>
            </w:r>
            <w:r w:rsidR="006830C5" w:rsidRPr="00B30A12">
              <w:rPr>
                <w:color w:val="000000"/>
                <w:szCs w:val="22"/>
              </w:rPr>
              <w:t>.</w:t>
            </w:r>
          </w:p>
          <w:p w14:paraId="586E8B6D" w14:textId="77777777" w:rsidR="006830C5" w:rsidRPr="00B30A12" w:rsidRDefault="00080DDF" w:rsidP="00537E23">
            <w:pPr>
              <w:pStyle w:val="BodyText3"/>
              <w:widowControl w:val="0"/>
              <w:ind w:left="361" w:hanging="361"/>
              <w:rPr>
                <w:color w:val="000000"/>
                <w:szCs w:val="22"/>
                <w:vertAlign w:val="superscript"/>
              </w:rPr>
            </w:pPr>
            <w:r w:rsidRPr="00B30A12">
              <w:rPr>
                <w:color w:val="000000"/>
                <w:szCs w:val="22"/>
              </w:rPr>
              <w:t>4.</w:t>
            </w:r>
            <w:r w:rsidRPr="00B30A12">
              <w:rPr>
                <w:color w:val="000000"/>
                <w:szCs w:val="22"/>
              </w:rPr>
              <w:tab/>
            </w:r>
            <w:r w:rsidR="006830C5" w:rsidRPr="00B30A12">
              <w:rPr>
                <w:color w:val="000000"/>
                <w:szCs w:val="22"/>
              </w:rPr>
              <w:t>Bei Andauern der Zytopenie über 4 Wochen und weiterhin keinem Zu</w:t>
            </w:r>
            <w:r w:rsidR="006830C5" w:rsidRPr="00B30A12">
              <w:rPr>
                <w:color w:val="000000"/>
                <w:szCs w:val="22"/>
              </w:rPr>
              <w:softHyphen/>
              <w:t>sammenhang mit der Leukämie die Behandlung mit Glivec so lange unter</w:t>
            </w:r>
            <w:r w:rsidR="006830C5" w:rsidRPr="00B30A12">
              <w:rPr>
                <w:color w:val="000000"/>
                <w:szCs w:val="22"/>
              </w:rPr>
              <w:softHyphen/>
              <w:t xml:space="preserve">brechen, bis ANC </w:t>
            </w:r>
            <w:r w:rsidR="006830C5" w:rsidRPr="00B30A12">
              <w:rPr>
                <w:color w:val="000000"/>
                <w:szCs w:val="22"/>
              </w:rPr>
              <w:sym w:font="Symbol" w:char="F0B3"/>
            </w:r>
            <w:r w:rsidR="006830C5" w:rsidRPr="00B30A12">
              <w:rPr>
                <w:color w:val="000000"/>
                <w:szCs w:val="22"/>
              </w:rPr>
              <w:t> 1 x 10</w:t>
            </w:r>
            <w:r w:rsidR="006830C5" w:rsidRPr="00B30A12">
              <w:rPr>
                <w:color w:val="000000"/>
                <w:szCs w:val="22"/>
                <w:vertAlign w:val="superscript"/>
              </w:rPr>
              <w:t>9</w:t>
            </w:r>
            <w:r w:rsidR="006830C5" w:rsidRPr="00B30A12">
              <w:rPr>
                <w:color w:val="000000"/>
                <w:szCs w:val="22"/>
              </w:rPr>
              <w:t xml:space="preserve">/l und Thrombozyten </w:t>
            </w:r>
            <w:r w:rsidR="006830C5" w:rsidRPr="00B30A12">
              <w:rPr>
                <w:color w:val="000000"/>
                <w:szCs w:val="22"/>
              </w:rPr>
              <w:sym w:font="Symbol" w:char="F0B3"/>
            </w:r>
            <w:r w:rsidR="006830C5" w:rsidRPr="00B30A12">
              <w:rPr>
                <w:color w:val="000000"/>
                <w:szCs w:val="22"/>
              </w:rPr>
              <w:t> 20 x 10</w:t>
            </w:r>
            <w:r w:rsidR="006830C5" w:rsidRPr="00B30A12">
              <w:rPr>
                <w:color w:val="000000"/>
                <w:szCs w:val="22"/>
                <w:vertAlign w:val="superscript"/>
              </w:rPr>
              <w:t>9</w:t>
            </w:r>
            <w:r w:rsidR="006830C5" w:rsidRPr="00B30A12">
              <w:rPr>
                <w:color w:val="000000"/>
                <w:szCs w:val="22"/>
              </w:rPr>
              <w:t>/l, und dann die Behandlung mit 200 mg/m</w:t>
            </w:r>
            <w:r w:rsidR="006830C5" w:rsidRPr="00B30A12">
              <w:rPr>
                <w:color w:val="000000"/>
                <w:szCs w:val="22"/>
                <w:vertAlign w:val="superscript"/>
              </w:rPr>
              <w:t>2</w:t>
            </w:r>
            <w:r w:rsidR="006830C5" w:rsidRPr="00B30A12">
              <w:rPr>
                <w:color w:val="000000"/>
                <w:szCs w:val="22"/>
              </w:rPr>
              <w:t xml:space="preserve"> wieder aufnehmen.</w:t>
            </w:r>
          </w:p>
        </w:tc>
      </w:tr>
      <w:tr w:rsidR="006830C5" w:rsidRPr="00B30A12" w14:paraId="51093B80" w14:textId="77777777" w:rsidTr="00AD54DF">
        <w:trPr>
          <w:cantSplit/>
        </w:trPr>
        <w:tc>
          <w:tcPr>
            <w:tcW w:w="2093" w:type="dxa"/>
          </w:tcPr>
          <w:p w14:paraId="0A4CAE2A" w14:textId="77777777" w:rsidR="006830C5" w:rsidRPr="00B30A12" w:rsidRDefault="006830C5" w:rsidP="00AD54DF">
            <w:pPr>
              <w:pStyle w:val="Header"/>
              <w:keepNext/>
              <w:widowControl w:val="0"/>
              <w:tabs>
                <w:tab w:val="clear" w:pos="4320"/>
                <w:tab w:val="clear" w:pos="8640"/>
              </w:tabs>
              <w:rPr>
                <w:color w:val="000000"/>
                <w:szCs w:val="22"/>
              </w:rPr>
            </w:pPr>
            <w:r w:rsidRPr="00B30A12">
              <w:rPr>
                <w:color w:val="000000"/>
                <w:szCs w:val="22"/>
              </w:rPr>
              <w:t>DFSP (Dosierung 800 mg)</w:t>
            </w:r>
          </w:p>
        </w:tc>
        <w:tc>
          <w:tcPr>
            <w:tcW w:w="3118" w:type="dxa"/>
          </w:tcPr>
          <w:p w14:paraId="3AC23AF4" w14:textId="77777777" w:rsidR="006830C5" w:rsidRPr="00B30A12" w:rsidRDefault="006830C5" w:rsidP="00AD54DF">
            <w:pPr>
              <w:pStyle w:val="Header"/>
              <w:keepNext/>
              <w:widowControl w:val="0"/>
              <w:tabs>
                <w:tab w:val="clear" w:pos="4320"/>
                <w:tab w:val="clear" w:pos="8640"/>
              </w:tabs>
              <w:rPr>
                <w:color w:val="000000"/>
                <w:szCs w:val="22"/>
              </w:rPr>
            </w:pPr>
            <w:r w:rsidRPr="00B30A12">
              <w:rPr>
                <w:color w:val="000000"/>
                <w:szCs w:val="22"/>
              </w:rPr>
              <w:t>ANC &lt; 1,0 x 10</w:t>
            </w:r>
            <w:r w:rsidRPr="00B30A12">
              <w:rPr>
                <w:color w:val="000000"/>
                <w:szCs w:val="22"/>
                <w:vertAlign w:val="superscript"/>
              </w:rPr>
              <w:t>9</w:t>
            </w:r>
            <w:r w:rsidRPr="00B30A12">
              <w:rPr>
                <w:color w:val="000000"/>
                <w:szCs w:val="22"/>
              </w:rPr>
              <w:t>/l</w:t>
            </w:r>
          </w:p>
          <w:p w14:paraId="485C773C" w14:textId="77777777" w:rsidR="006830C5" w:rsidRPr="00B30A12" w:rsidRDefault="006830C5" w:rsidP="00AD54DF">
            <w:pPr>
              <w:keepNext/>
              <w:widowControl w:val="0"/>
              <w:rPr>
                <w:color w:val="000000"/>
                <w:sz w:val="22"/>
                <w:szCs w:val="22"/>
              </w:rPr>
            </w:pPr>
            <w:r w:rsidRPr="00B30A12">
              <w:rPr>
                <w:color w:val="000000"/>
                <w:sz w:val="22"/>
                <w:szCs w:val="22"/>
              </w:rPr>
              <w:t>und / oder</w:t>
            </w:r>
          </w:p>
          <w:p w14:paraId="1E571569" w14:textId="77777777" w:rsidR="006830C5" w:rsidRPr="00B30A12" w:rsidDel="003474B5" w:rsidRDefault="006830C5" w:rsidP="00AD54DF">
            <w:pPr>
              <w:pStyle w:val="Header"/>
              <w:keepNext/>
              <w:widowControl w:val="0"/>
              <w:tabs>
                <w:tab w:val="clear" w:pos="4320"/>
                <w:tab w:val="clear" w:pos="8640"/>
              </w:tabs>
              <w:rPr>
                <w:color w:val="000000"/>
                <w:szCs w:val="22"/>
              </w:rPr>
            </w:pPr>
            <w:r w:rsidRPr="00B30A12">
              <w:rPr>
                <w:color w:val="000000"/>
                <w:szCs w:val="22"/>
              </w:rPr>
              <w:t>Thrombozyten &lt; 50 x 10</w:t>
            </w:r>
            <w:r w:rsidRPr="00B30A12">
              <w:rPr>
                <w:color w:val="000000"/>
                <w:szCs w:val="22"/>
                <w:vertAlign w:val="superscript"/>
              </w:rPr>
              <w:t>9</w:t>
            </w:r>
            <w:r w:rsidRPr="00B30A12">
              <w:rPr>
                <w:color w:val="000000"/>
                <w:szCs w:val="22"/>
              </w:rPr>
              <w:t>/l</w:t>
            </w:r>
          </w:p>
        </w:tc>
        <w:tc>
          <w:tcPr>
            <w:tcW w:w="3994" w:type="dxa"/>
            <w:gridSpan w:val="2"/>
          </w:tcPr>
          <w:p w14:paraId="0DDD241B" w14:textId="77777777" w:rsidR="006830C5" w:rsidRPr="00B30A12" w:rsidRDefault="00080DDF" w:rsidP="00AD54DF">
            <w:pPr>
              <w:keepNext/>
              <w:widowControl w:val="0"/>
              <w:ind w:left="361" w:hanging="361"/>
              <w:rPr>
                <w:color w:val="000000"/>
                <w:sz w:val="22"/>
                <w:szCs w:val="22"/>
              </w:rPr>
            </w:pPr>
            <w:r w:rsidRPr="00B30A12">
              <w:rPr>
                <w:color w:val="000000"/>
                <w:sz w:val="22"/>
                <w:szCs w:val="22"/>
              </w:rPr>
              <w:t>1.</w:t>
            </w:r>
            <w:r w:rsidRPr="00B30A12">
              <w:rPr>
                <w:color w:val="000000"/>
                <w:sz w:val="22"/>
                <w:szCs w:val="22"/>
              </w:rPr>
              <w:tab/>
            </w:r>
            <w:r w:rsidR="006830C5" w:rsidRPr="00B30A12">
              <w:rPr>
                <w:color w:val="000000"/>
                <w:sz w:val="22"/>
                <w:szCs w:val="22"/>
              </w:rPr>
              <w:t>Stopp der Behandlung mit Glivec bis ANC ≥ 1,5 x 10</w:t>
            </w:r>
            <w:r w:rsidR="006830C5" w:rsidRPr="00B30A12">
              <w:rPr>
                <w:color w:val="000000"/>
                <w:sz w:val="22"/>
                <w:szCs w:val="22"/>
                <w:vertAlign w:val="superscript"/>
              </w:rPr>
              <w:t>9</w:t>
            </w:r>
            <w:r w:rsidR="006830C5" w:rsidRPr="00B30A12">
              <w:rPr>
                <w:color w:val="000000"/>
                <w:sz w:val="22"/>
                <w:szCs w:val="22"/>
              </w:rPr>
              <w:t>/l und Thrombozyten ≥ 75 x 10</w:t>
            </w:r>
            <w:r w:rsidR="006830C5" w:rsidRPr="00B30A12">
              <w:rPr>
                <w:color w:val="000000"/>
                <w:sz w:val="22"/>
                <w:szCs w:val="22"/>
                <w:vertAlign w:val="superscript"/>
              </w:rPr>
              <w:t>9</w:t>
            </w:r>
            <w:r w:rsidR="006830C5" w:rsidRPr="00B30A12">
              <w:rPr>
                <w:color w:val="000000"/>
                <w:sz w:val="22"/>
                <w:szCs w:val="22"/>
              </w:rPr>
              <w:t>/l.</w:t>
            </w:r>
          </w:p>
          <w:p w14:paraId="77BED3CE" w14:textId="77777777" w:rsidR="006830C5" w:rsidRPr="00B30A12" w:rsidRDefault="00080DDF" w:rsidP="00AD54DF">
            <w:pPr>
              <w:keepNext/>
              <w:widowControl w:val="0"/>
              <w:ind w:left="361" w:hanging="361"/>
              <w:rPr>
                <w:color w:val="000000"/>
                <w:sz w:val="22"/>
                <w:szCs w:val="22"/>
              </w:rPr>
            </w:pPr>
            <w:r w:rsidRPr="00B30A12">
              <w:rPr>
                <w:color w:val="000000"/>
                <w:sz w:val="22"/>
                <w:szCs w:val="22"/>
              </w:rPr>
              <w:t>2.</w:t>
            </w:r>
            <w:r w:rsidRPr="00B30A12">
              <w:rPr>
                <w:color w:val="000000"/>
                <w:sz w:val="22"/>
                <w:szCs w:val="22"/>
              </w:rPr>
              <w:tab/>
            </w:r>
            <w:r w:rsidR="006830C5" w:rsidRPr="00B30A12">
              <w:rPr>
                <w:color w:val="000000"/>
                <w:sz w:val="22"/>
                <w:szCs w:val="22"/>
              </w:rPr>
              <w:t>Wiederaufnahme der Behandlung mit 600 mg Glivec.</w:t>
            </w:r>
          </w:p>
          <w:p w14:paraId="6ED08849" w14:textId="77777777" w:rsidR="006830C5" w:rsidRPr="00B30A12" w:rsidRDefault="00080DDF" w:rsidP="00AD54DF">
            <w:pPr>
              <w:keepNext/>
              <w:widowControl w:val="0"/>
              <w:ind w:left="361" w:hanging="361"/>
              <w:rPr>
                <w:color w:val="000000"/>
                <w:sz w:val="22"/>
                <w:szCs w:val="22"/>
              </w:rPr>
            </w:pPr>
            <w:r w:rsidRPr="00B30A12">
              <w:rPr>
                <w:color w:val="000000"/>
                <w:sz w:val="22"/>
                <w:szCs w:val="22"/>
              </w:rPr>
              <w:t>3.</w:t>
            </w:r>
            <w:r w:rsidRPr="00B30A12">
              <w:rPr>
                <w:color w:val="000000"/>
                <w:sz w:val="22"/>
                <w:szCs w:val="22"/>
              </w:rPr>
              <w:tab/>
            </w:r>
            <w:r w:rsidR="006830C5" w:rsidRPr="00B30A12">
              <w:rPr>
                <w:color w:val="000000"/>
                <w:sz w:val="22"/>
                <w:szCs w:val="22"/>
              </w:rPr>
              <w:t>Bei Wiederauftreten von ANC &lt; 1,0 x 10</w:t>
            </w:r>
            <w:r w:rsidR="006830C5" w:rsidRPr="00B30A12">
              <w:rPr>
                <w:color w:val="000000"/>
                <w:sz w:val="22"/>
                <w:szCs w:val="22"/>
                <w:vertAlign w:val="superscript"/>
              </w:rPr>
              <w:t>9</w:t>
            </w:r>
            <w:r w:rsidR="006830C5" w:rsidRPr="00B30A12">
              <w:rPr>
                <w:color w:val="000000"/>
                <w:sz w:val="22"/>
                <w:szCs w:val="22"/>
              </w:rPr>
              <w:t>/l und / oder Thrombozyten &lt; 50 x 10</w:t>
            </w:r>
            <w:r w:rsidR="006830C5" w:rsidRPr="00B30A12">
              <w:rPr>
                <w:color w:val="000000"/>
                <w:sz w:val="22"/>
                <w:szCs w:val="22"/>
                <w:vertAlign w:val="superscript"/>
              </w:rPr>
              <w:t>9</w:t>
            </w:r>
            <w:r w:rsidR="006830C5" w:rsidRPr="00B30A12">
              <w:rPr>
                <w:color w:val="000000"/>
                <w:sz w:val="22"/>
                <w:szCs w:val="22"/>
              </w:rPr>
              <w:t>/l Schritt 1 wiederholen und die Be</w:t>
            </w:r>
            <w:r w:rsidR="006830C5" w:rsidRPr="00B30A12">
              <w:rPr>
                <w:color w:val="000000"/>
                <w:sz w:val="22"/>
                <w:szCs w:val="22"/>
              </w:rPr>
              <w:softHyphen/>
              <w:t>handlung mit der reduzierten Dosis von 400 mg Glivec wieder aufnehmen.</w:t>
            </w:r>
          </w:p>
        </w:tc>
      </w:tr>
      <w:tr w:rsidR="006830C5" w:rsidRPr="00B30A12" w14:paraId="2C7059A4" w14:textId="77777777" w:rsidTr="00AD54DF">
        <w:trPr>
          <w:cantSplit/>
        </w:trPr>
        <w:tc>
          <w:tcPr>
            <w:tcW w:w="9205" w:type="dxa"/>
            <w:gridSpan w:val="4"/>
          </w:tcPr>
          <w:p w14:paraId="6A3C7563" w14:textId="77777777" w:rsidR="006830C5" w:rsidRPr="00B30A12" w:rsidRDefault="006830C5" w:rsidP="00537E23">
            <w:pPr>
              <w:widowControl w:val="0"/>
              <w:rPr>
                <w:color w:val="000000"/>
                <w:sz w:val="22"/>
                <w:szCs w:val="22"/>
              </w:rPr>
            </w:pPr>
            <w:r w:rsidRPr="00B30A12">
              <w:rPr>
                <w:color w:val="000000"/>
                <w:sz w:val="22"/>
                <w:szCs w:val="22"/>
                <w:vertAlign w:val="superscript"/>
              </w:rPr>
              <w:t>a</w:t>
            </w:r>
            <w:r w:rsidRPr="00B30A12">
              <w:rPr>
                <w:color w:val="000000"/>
                <w:sz w:val="22"/>
                <w:szCs w:val="22"/>
              </w:rPr>
              <w:t xml:space="preserve"> Auftreten nach mindestens 1-monatiger Behandlung</w:t>
            </w:r>
            <w:r w:rsidRPr="00B30A12">
              <w:rPr>
                <w:color w:val="000000"/>
                <w:sz w:val="22"/>
                <w:szCs w:val="22"/>
                <w:vertAlign w:val="superscript"/>
              </w:rPr>
              <w:t xml:space="preserve"> </w:t>
            </w:r>
          </w:p>
        </w:tc>
      </w:tr>
    </w:tbl>
    <w:p w14:paraId="6D2BBA06" w14:textId="77777777" w:rsidR="006615F9" w:rsidRPr="00B30A12" w:rsidRDefault="006615F9" w:rsidP="00537E23">
      <w:pPr>
        <w:widowControl w:val="0"/>
        <w:ind w:firstLine="3"/>
        <w:rPr>
          <w:color w:val="000000"/>
          <w:sz w:val="22"/>
          <w:szCs w:val="22"/>
        </w:rPr>
      </w:pPr>
    </w:p>
    <w:p w14:paraId="418C6307" w14:textId="77777777" w:rsidR="009477F2" w:rsidRPr="00B30A12" w:rsidRDefault="004E6738" w:rsidP="00463D41">
      <w:pPr>
        <w:pStyle w:val="BodyTextIndent2"/>
        <w:keepNext/>
        <w:ind w:firstLine="6"/>
        <w:rPr>
          <w:color w:val="000000"/>
          <w:szCs w:val="22"/>
          <w:u w:val="single"/>
        </w:rPr>
      </w:pPr>
      <w:r w:rsidRPr="00B30A12">
        <w:rPr>
          <w:color w:val="000000"/>
          <w:szCs w:val="22"/>
          <w:u w:val="single"/>
        </w:rPr>
        <w:t>Besondere</w:t>
      </w:r>
      <w:r w:rsidR="009477F2" w:rsidRPr="00B30A12">
        <w:rPr>
          <w:color w:val="000000"/>
          <w:szCs w:val="22"/>
          <w:u w:val="single"/>
        </w:rPr>
        <w:t xml:space="preserve"> Patientenpopulationen</w:t>
      </w:r>
    </w:p>
    <w:p w14:paraId="41BFDE48" w14:textId="77777777" w:rsidR="006615F9" w:rsidRPr="00B30A12" w:rsidRDefault="006615F9" w:rsidP="00537E23">
      <w:pPr>
        <w:pStyle w:val="BodyTextIndent2"/>
        <w:rPr>
          <w:color w:val="000000"/>
          <w:szCs w:val="22"/>
        </w:rPr>
      </w:pPr>
      <w:r w:rsidRPr="00B30A12">
        <w:rPr>
          <w:i/>
          <w:color w:val="000000"/>
          <w:szCs w:val="22"/>
        </w:rPr>
        <w:t>Behandlung von Kindern:</w:t>
      </w:r>
      <w:r w:rsidRPr="00B30A12">
        <w:rPr>
          <w:color w:val="000000"/>
          <w:szCs w:val="22"/>
        </w:rPr>
        <w:t xml:space="preserve"> </w:t>
      </w:r>
      <w:r w:rsidR="00B836EA" w:rsidRPr="00B30A12">
        <w:rPr>
          <w:noProof/>
          <w:color w:val="000000"/>
          <w:szCs w:val="22"/>
        </w:rPr>
        <w:t>Es gibt keine Erfahrungen bei Kindern unter 2 Jahren mit CML</w:t>
      </w:r>
      <w:r w:rsidR="00B44F52" w:rsidRPr="00B30A12">
        <w:rPr>
          <w:noProof/>
          <w:color w:val="000000"/>
          <w:szCs w:val="22"/>
        </w:rPr>
        <w:t xml:space="preserve"> und bei Kindern unter 1 Jahr</w:t>
      </w:r>
      <w:r w:rsidR="00C42B63" w:rsidRPr="00B30A12">
        <w:rPr>
          <w:noProof/>
          <w:color w:val="000000"/>
          <w:szCs w:val="22"/>
        </w:rPr>
        <w:t xml:space="preserve"> mit Ph+ ALL</w:t>
      </w:r>
      <w:r w:rsidR="00B836EA" w:rsidRPr="00B30A12">
        <w:rPr>
          <w:noProof/>
          <w:color w:val="000000"/>
          <w:szCs w:val="22"/>
        </w:rPr>
        <w:t xml:space="preserve"> (siehe Abschnitt 5.1). Die Erfahrung bei Kindern mit </w:t>
      </w:r>
      <w:r w:rsidR="004B7E0F" w:rsidRPr="00B30A12">
        <w:rPr>
          <w:noProof/>
          <w:color w:val="000000"/>
          <w:szCs w:val="22"/>
        </w:rPr>
        <w:t>MDS/MPD</w:t>
      </w:r>
      <w:r w:rsidR="00EF6590" w:rsidRPr="00B30A12">
        <w:rPr>
          <w:noProof/>
          <w:color w:val="000000"/>
          <w:szCs w:val="22"/>
        </w:rPr>
        <w:t>,</w:t>
      </w:r>
      <w:r w:rsidR="004B7E0F" w:rsidRPr="00B30A12">
        <w:rPr>
          <w:noProof/>
          <w:color w:val="000000"/>
          <w:szCs w:val="22"/>
        </w:rPr>
        <w:t xml:space="preserve"> DFSP</w:t>
      </w:r>
      <w:r w:rsidR="00EF6590" w:rsidRPr="00B30A12">
        <w:rPr>
          <w:noProof/>
          <w:color w:val="000000"/>
          <w:szCs w:val="22"/>
        </w:rPr>
        <w:t>,</w:t>
      </w:r>
      <w:r w:rsidR="004B7E0F" w:rsidRPr="00B30A12">
        <w:rPr>
          <w:noProof/>
          <w:color w:val="000000"/>
          <w:szCs w:val="22"/>
        </w:rPr>
        <w:t xml:space="preserve"> </w:t>
      </w:r>
      <w:r w:rsidR="00EF6590" w:rsidRPr="00B30A12">
        <w:rPr>
          <w:noProof/>
          <w:color w:val="000000"/>
          <w:szCs w:val="22"/>
        </w:rPr>
        <w:t xml:space="preserve">GIST und HES/CEL </w:t>
      </w:r>
      <w:r w:rsidR="00B44F52" w:rsidRPr="00B30A12">
        <w:rPr>
          <w:noProof/>
          <w:color w:val="000000"/>
          <w:szCs w:val="22"/>
        </w:rPr>
        <w:t xml:space="preserve">ist </w:t>
      </w:r>
      <w:r w:rsidR="004B7E0F" w:rsidRPr="00B30A12">
        <w:rPr>
          <w:noProof/>
          <w:color w:val="000000"/>
          <w:szCs w:val="22"/>
        </w:rPr>
        <w:t>sehr begrenzt</w:t>
      </w:r>
      <w:r w:rsidR="00B836EA" w:rsidRPr="00B30A12">
        <w:rPr>
          <w:noProof/>
          <w:color w:val="000000"/>
          <w:szCs w:val="22"/>
        </w:rPr>
        <w:t>.</w:t>
      </w:r>
    </w:p>
    <w:p w14:paraId="78BF48B8" w14:textId="77777777" w:rsidR="006615F9" w:rsidRPr="00B30A12" w:rsidRDefault="006615F9" w:rsidP="00537E23">
      <w:pPr>
        <w:widowControl w:val="0"/>
        <w:ind w:firstLine="3"/>
        <w:rPr>
          <w:color w:val="000000"/>
          <w:sz w:val="22"/>
          <w:szCs w:val="22"/>
        </w:rPr>
      </w:pPr>
    </w:p>
    <w:p w14:paraId="5D55AF81" w14:textId="77777777" w:rsidR="00EF6590" w:rsidRPr="00B30A12" w:rsidRDefault="00EF6590" w:rsidP="00537E23">
      <w:pPr>
        <w:widowControl w:val="0"/>
        <w:ind w:firstLine="3"/>
        <w:rPr>
          <w:color w:val="000000"/>
          <w:sz w:val="22"/>
          <w:szCs w:val="22"/>
        </w:rPr>
      </w:pPr>
      <w:r w:rsidRPr="00B30A12">
        <w:rPr>
          <w:color w:val="000000"/>
          <w:sz w:val="22"/>
          <w:szCs w:val="22"/>
        </w:rPr>
        <w:t xml:space="preserve">Die Sicherheit und Wirksamkeit von Imatinib </w:t>
      </w:r>
      <w:r w:rsidR="008D6D65" w:rsidRPr="00B30A12">
        <w:rPr>
          <w:color w:val="000000"/>
          <w:sz w:val="22"/>
          <w:szCs w:val="22"/>
        </w:rPr>
        <w:t>bei</w:t>
      </w:r>
      <w:r w:rsidRPr="00B30A12">
        <w:rPr>
          <w:color w:val="000000"/>
          <w:sz w:val="22"/>
          <w:szCs w:val="22"/>
        </w:rPr>
        <w:t xml:space="preserve"> Kindern</w:t>
      </w:r>
      <w:r w:rsidR="00436BDA" w:rsidRPr="00B30A12">
        <w:rPr>
          <w:color w:val="000000"/>
          <w:sz w:val="22"/>
          <w:szCs w:val="22"/>
        </w:rPr>
        <w:t xml:space="preserve"> unter 18 Jahren</w:t>
      </w:r>
      <w:r w:rsidRPr="00B30A12">
        <w:rPr>
          <w:color w:val="000000"/>
          <w:sz w:val="22"/>
          <w:szCs w:val="22"/>
        </w:rPr>
        <w:t xml:space="preserve"> mit MDS/MPD, DFSP, GIST</w:t>
      </w:r>
      <w:r w:rsidR="001F0D5A" w:rsidRPr="00B30A12">
        <w:rPr>
          <w:color w:val="000000"/>
          <w:sz w:val="22"/>
          <w:szCs w:val="22"/>
        </w:rPr>
        <w:t xml:space="preserve"> und</w:t>
      </w:r>
      <w:r w:rsidRPr="00B30A12">
        <w:rPr>
          <w:color w:val="000000"/>
          <w:sz w:val="22"/>
          <w:szCs w:val="22"/>
        </w:rPr>
        <w:t xml:space="preserve"> HES/</w:t>
      </w:r>
      <w:r w:rsidR="000422AF" w:rsidRPr="00B30A12">
        <w:rPr>
          <w:color w:val="000000"/>
          <w:sz w:val="22"/>
          <w:szCs w:val="22"/>
        </w:rPr>
        <w:t>C</w:t>
      </w:r>
      <w:r w:rsidRPr="00B30A12">
        <w:rPr>
          <w:color w:val="000000"/>
          <w:sz w:val="22"/>
          <w:szCs w:val="22"/>
        </w:rPr>
        <w:t xml:space="preserve">EL </w:t>
      </w:r>
      <w:r w:rsidR="00436BDA" w:rsidRPr="00B30A12">
        <w:rPr>
          <w:color w:val="000000"/>
          <w:sz w:val="22"/>
          <w:szCs w:val="22"/>
        </w:rPr>
        <w:t xml:space="preserve">wurden </w:t>
      </w:r>
      <w:r w:rsidRPr="00B30A12">
        <w:rPr>
          <w:color w:val="000000"/>
          <w:sz w:val="22"/>
          <w:szCs w:val="22"/>
        </w:rPr>
        <w:t xml:space="preserve">in klinischen Studien </w:t>
      </w:r>
      <w:r w:rsidR="003C0612" w:rsidRPr="00B30A12">
        <w:rPr>
          <w:color w:val="000000"/>
          <w:sz w:val="22"/>
          <w:szCs w:val="22"/>
        </w:rPr>
        <w:t>nicht erwiesen</w:t>
      </w:r>
      <w:r w:rsidRPr="00B30A12">
        <w:rPr>
          <w:color w:val="000000"/>
          <w:sz w:val="22"/>
          <w:szCs w:val="22"/>
        </w:rPr>
        <w:t xml:space="preserve">. </w:t>
      </w:r>
      <w:r w:rsidR="003C0612" w:rsidRPr="00B30A12">
        <w:rPr>
          <w:color w:val="000000"/>
          <w:sz w:val="22"/>
          <w:szCs w:val="22"/>
        </w:rPr>
        <w:t>Zurzeit vorliegende</w:t>
      </w:r>
      <w:r w:rsidR="006F021A" w:rsidRPr="00B30A12">
        <w:rPr>
          <w:color w:val="000000"/>
          <w:sz w:val="22"/>
          <w:szCs w:val="22"/>
        </w:rPr>
        <w:t>,</w:t>
      </w:r>
      <w:r w:rsidRPr="00B30A12">
        <w:rPr>
          <w:color w:val="000000"/>
          <w:sz w:val="22"/>
          <w:szCs w:val="22"/>
        </w:rPr>
        <w:t xml:space="preserve"> publizierte Daten werden in Abschnitt</w:t>
      </w:r>
      <w:r w:rsidR="0001711A" w:rsidRPr="00B30A12">
        <w:rPr>
          <w:color w:val="000000"/>
          <w:sz w:val="22"/>
          <w:szCs w:val="22"/>
        </w:rPr>
        <w:t> </w:t>
      </w:r>
      <w:r w:rsidRPr="00B30A12">
        <w:rPr>
          <w:color w:val="000000"/>
          <w:sz w:val="22"/>
          <w:szCs w:val="22"/>
        </w:rPr>
        <w:t>5.1 zusammengefasst</w:t>
      </w:r>
      <w:r w:rsidR="00BE5742" w:rsidRPr="00B30A12">
        <w:rPr>
          <w:color w:val="000000"/>
          <w:sz w:val="22"/>
          <w:szCs w:val="22"/>
        </w:rPr>
        <w:t>, eine Dosierungsempfehlung kann jedoch nicht gegeben werden</w:t>
      </w:r>
      <w:r w:rsidRPr="00B30A12">
        <w:rPr>
          <w:color w:val="000000"/>
          <w:sz w:val="22"/>
          <w:szCs w:val="22"/>
        </w:rPr>
        <w:t>.</w:t>
      </w:r>
    </w:p>
    <w:p w14:paraId="3B3AE106" w14:textId="77777777" w:rsidR="00EF6590" w:rsidRPr="00B30A12" w:rsidRDefault="00EF6590" w:rsidP="00537E23">
      <w:pPr>
        <w:widowControl w:val="0"/>
        <w:ind w:firstLine="3"/>
        <w:rPr>
          <w:color w:val="000000"/>
          <w:sz w:val="22"/>
          <w:szCs w:val="22"/>
        </w:rPr>
      </w:pPr>
    </w:p>
    <w:p w14:paraId="5CD77201" w14:textId="77777777" w:rsidR="006615F9" w:rsidRPr="00B30A12" w:rsidRDefault="006615F9" w:rsidP="00537E23">
      <w:pPr>
        <w:widowControl w:val="0"/>
        <w:ind w:firstLine="3"/>
        <w:rPr>
          <w:color w:val="000000"/>
          <w:sz w:val="22"/>
          <w:szCs w:val="22"/>
        </w:rPr>
      </w:pPr>
      <w:r w:rsidRPr="00B30A12">
        <w:rPr>
          <w:i/>
          <w:color w:val="000000"/>
          <w:sz w:val="22"/>
          <w:szCs w:val="22"/>
        </w:rPr>
        <w:t>Leberinsuffizienz:</w:t>
      </w:r>
      <w:r w:rsidRPr="00B30A12">
        <w:rPr>
          <w:color w:val="000000"/>
          <w:sz w:val="22"/>
          <w:szCs w:val="22"/>
        </w:rPr>
        <w:t xml:space="preserve"> Imatinib </w:t>
      </w:r>
      <w:r w:rsidR="0068071D" w:rsidRPr="00B30A12">
        <w:rPr>
          <w:color w:val="000000"/>
          <w:sz w:val="22"/>
          <w:szCs w:val="22"/>
        </w:rPr>
        <w:t xml:space="preserve">wird </w:t>
      </w:r>
      <w:r w:rsidRPr="00B30A12">
        <w:rPr>
          <w:color w:val="000000"/>
          <w:sz w:val="22"/>
          <w:szCs w:val="22"/>
        </w:rPr>
        <w:t>haup</w:t>
      </w:r>
      <w:r w:rsidR="0068071D" w:rsidRPr="00B30A12">
        <w:rPr>
          <w:color w:val="000000"/>
          <w:sz w:val="22"/>
          <w:szCs w:val="22"/>
        </w:rPr>
        <w:t>t</w:t>
      </w:r>
      <w:r w:rsidRPr="00B30A12">
        <w:rPr>
          <w:color w:val="000000"/>
          <w:sz w:val="22"/>
          <w:szCs w:val="22"/>
        </w:rPr>
        <w:t>sächlich in der Leber metabolisiert</w:t>
      </w:r>
      <w:r w:rsidR="0068071D" w:rsidRPr="00B30A12">
        <w:rPr>
          <w:color w:val="000000"/>
          <w:sz w:val="22"/>
          <w:szCs w:val="22"/>
        </w:rPr>
        <w:t>.</w:t>
      </w:r>
      <w:r w:rsidRPr="00B30A12">
        <w:rPr>
          <w:color w:val="000000"/>
          <w:sz w:val="22"/>
          <w:szCs w:val="22"/>
        </w:rPr>
        <w:t xml:space="preserve"> </w:t>
      </w:r>
      <w:r w:rsidR="0068071D" w:rsidRPr="00B30A12">
        <w:rPr>
          <w:color w:val="000000"/>
          <w:sz w:val="22"/>
          <w:szCs w:val="22"/>
        </w:rPr>
        <w:t xml:space="preserve">Patienten mit leichten, mäßigen oder schweren Leberfunktionsstörungen sollte die niedrigste empfohlene Dosis von 400 mg täglich gegeben werden. Die Dosis kann reduziert werden, wenn </w:t>
      </w:r>
      <w:r w:rsidR="006830C5" w:rsidRPr="00B30A12">
        <w:rPr>
          <w:color w:val="000000"/>
          <w:sz w:val="22"/>
          <w:szCs w:val="22"/>
        </w:rPr>
        <w:t>sie nicht vertragen wird</w:t>
      </w:r>
      <w:r w:rsidR="0068071D" w:rsidRPr="00B30A12">
        <w:rPr>
          <w:color w:val="000000"/>
          <w:sz w:val="22"/>
          <w:szCs w:val="22"/>
        </w:rPr>
        <w:t xml:space="preserve"> </w:t>
      </w:r>
      <w:r w:rsidRPr="00B30A12">
        <w:rPr>
          <w:color w:val="000000"/>
          <w:sz w:val="22"/>
          <w:szCs w:val="22"/>
        </w:rPr>
        <w:t>(siehe Abschnitte 4.4</w:t>
      </w:r>
      <w:r w:rsidR="0068071D" w:rsidRPr="00B30A12">
        <w:rPr>
          <w:color w:val="000000"/>
          <w:sz w:val="22"/>
          <w:szCs w:val="22"/>
        </w:rPr>
        <w:t>,</w:t>
      </w:r>
      <w:r w:rsidRPr="00B30A12">
        <w:rPr>
          <w:color w:val="000000"/>
          <w:sz w:val="22"/>
          <w:szCs w:val="22"/>
        </w:rPr>
        <w:t xml:space="preserve"> 4.8</w:t>
      </w:r>
      <w:r w:rsidR="0068071D" w:rsidRPr="00B30A12">
        <w:rPr>
          <w:color w:val="000000"/>
          <w:sz w:val="22"/>
          <w:szCs w:val="22"/>
        </w:rPr>
        <w:t xml:space="preserve"> und 5.2</w:t>
      </w:r>
      <w:r w:rsidRPr="00B30A12">
        <w:rPr>
          <w:color w:val="000000"/>
          <w:sz w:val="22"/>
          <w:szCs w:val="22"/>
        </w:rPr>
        <w:t>).</w:t>
      </w:r>
    </w:p>
    <w:p w14:paraId="503D6D80" w14:textId="77777777" w:rsidR="006615F9" w:rsidRPr="00B30A12" w:rsidRDefault="006615F9" w:rsidP="00537E23">
      <w:pPr>
        <w:widowControl w:val="0"/>
        <w:ind w:firstLine="3"/>
        <w:rPr>
          <w:color w:val="000000"/>
          <w:sz w:val="22"/>
          <w:szCs w:val="22"/>
        </w:rPr>
      </w:pPr>
    </w:p>
    <w:p w14:paraId="5F9E98DF" w14:textId="77777777" w:rsidR="0068071D" w:rsidRPr="00B30A12" w:rsidRDefault="00B44A30" w:rsidP="00AD54DF">
      <w:pPr>
        <w:keepNext/>
        <w:widowControl w:val="0"/>
        <w:ind w:firstLine="3"/>
        <w:rPr>
          <w:color w:val="000000"/>
          <w:sz w:val="22"/>
          <w:szCs w:val="22"/>
        </w:rPr>
      </w:pPr>
      <w:r w:rsidRPr="00B30A12">
        <w:rPr>
          <w:color w:val="000000"/>
          <w:sz w:val="22"/>
          <w:szCs w:val="22"/>
        </w:rPr>
        <w:lastRenderedPageBreak/>
        <w:t>Klassifizierung der Leberfunktion</w:t>
      </w:r>
      <w:r w:rsidR="003D4E1D" w:rsidRPr="00B30A12">
        <w:rPr>
          <w:color w:val="000000"/>
          <w:sz w:val="22"/>
          <w:szCs w:val="22"/>
        </w:rPr>
        <w:t>sstörungen</w:t>
      </w:r>
      <w:r w:rsidR="00046D23" w:rsidRPr="00B30A12">
        <w:rPr>
          <w:color w:val="000000"/>
          <w:sz w:val="22"/>
          <w:szCs w:val="22"/>
        </w:rPr>
        <w:t>:</w:t>
      </w:r>
    </w:p>
    <w:p w14:paraId="625B86E4" w14:textId="77777777" w:rsidR="00B44A30" w:rsidRPr="00B30A12" w:rsidRDefault="00B44A30" w:rsidP="00AD54DF">
      <w:pPr>
        <w:keepNext/>
        <w:widowControl w:val="0"/>
        <w:ind w:firstLine="3"/>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9"/>
        <w:gridCol w:w="5736"/>
      </w:tblGrid>
      <w:tr w:rsidR="00B44A30" w:rsidRPr="00B30A12" w14:paraId="1520F71B" w14:textId="77777777" w:rsidTr="00AD54DF">
        <w:trPr>
          <w:cantSplit/>
        </w:trPr>
        <w:tc>
          <w:tcPr>
            <w:tcW w:w="3369" w:type="dxa"/>
          </w:tcPr>
          <w:p w14:paraId="6C52B789" w14:textId="77777777" w:rsidR="00B44A30" w:rsidRPr="00B30A12" w:rsidRDefault="00B44A30" w:rsidP="00AD54DF">
            <w:pPr>
              <w:keepNext/>
              <w:widowControl w:val="0"/>
              <w:rPr>
                <w:color w:val="000000"/>
                <w:sz w:val="22"/>
                <w:szCs w:val="22"/>
              </w:rPr>
            </w:pPr>
            <w:r w:rsidRPr="00B30A12">
              <w:rPr>
                <w:color w:val="000000"/>
                <w:sz w:val="22"/>
                <w:szCs w:val="22"/>
              </w:rPr>
              <w:t>Leberfunktionsstörung</w:t>
            </w:r>
          </w:p>
        </w:tc>
        <w:tc>
          <w:tcPr>
            <w:tcW w:w="5912" w:type="dxa"/>
          </w:tcPr>
          <w:p w14:paraId="3C57F363" w14:textId="77777777" w:rsidR="00B44A30" w:rsidRPr="00B30A12" w:rsidRDefault="00B44A30" w:rsidP="00AD54DF">
            <w:pPr>
              <w:keepNext/>
              <w:widowControl w:val="0"/>
              <w:rPr>
                <w:color w:val="000000"/>
                <w:sz w:val="22"/>
                <w:szCs w:val="22"/>
              </w:rPr>
            </w:pPr>
            <w:r w:rsidRPr="00B30A12">
              <w:rPr>
                <w:color w:val="000000"/>
                <w:sz w:val="22"/>
                <w:szCs w:val="22"/>
              </w:rPr>
              <w:t>Leberfunktionstest</w:t>
            </w:r>
          </w:p>
        </w:tc>
      </w:tr>
      <w:tr w:rsidR="00B44A30" w:rsidRPr="00B30A12" w14:paraId="4ECE0C5A" w14:textId="77777777" w:rsidTr="00AD54DF">
        <w:trPr>
          <w:cantSplit/>
        </w:trPr>
        <w:tc>
          <w:tcPr>
            <w:tcW w:w="3369" w:type="dxa"/>
          </w:tcPr>
          <w:p w14:paraId="2CB48DFE" w14:textId="77777777" w:rsidR="00B44A30" w:rsidRPr="00B30A12" w:rsidRDefault="00B44A30" w:rsidP="00AD54DF">
            <w:pPr>
              <w:keepNext/>
              <w:widowControl w:val="0"/>
              <w:rPr>
                <w:color w:val="000000"/>
                <w:sz w:val="22"/>
                <w:szCs w:val="22"/>
              </w:rPr>
            </w:pPr>
            <w:r w:rsidRPr="00B30A12">
              <w:rPr>
                <w:color w:val="000000"/>
                <w:sz w:val="22"/>
                <w:szCs w:val="22"/>
              </w:rPr>
              <w:t>Leicht</w:t>
            </w:r>
          </w:p>
        </w:tc>
        <w:tc>
          <w:tcPr>
            <w:tcW w:w="5912" w:type="dxa"/>
          </w:tcPr>
          <w:p w14:paraId="25B8122E" w14:textId="77777777" w:rsidR="00B44A30" w:rsidRPr="00B30A12" w:rsidRDefault="00B44A30" w:rsidP="00AD54DF">
            <w:pPr>
              <w:keepNext/>
              <w:widowControl w:val="0"/>
              <w:rPr>
                <w:color w:val="000000"/>
                <w:sz w:val="22"/>
                <w:szCs w:val="22"/>
              </w:rPr>
            </w:pPr>
            <w:r w:rsidRPr="00B30A12">
              <w:rPr>
                <w:color w:val="000000"/>
                <w:sz w:val="22"/>
                <w:szCs w:val="22"/>
              </w:rPr>
              <w:t>Gesamtbilirubin = 1,5</w:t>
            </w:r>
            <w:r w:rsidR="009B5307" w:rsidRPr="00B30A12">
              <w:rPr>
                <w:color w:val="000000"/>
                <w:sz w:val="22"/>
                <w:szCs w:val="22"/>
              </w:rPr>
              <w:t> </w:t>
            </w:r>
            <w:r w:rsidRPr="00B30A12">
              <w:rPr>
                <w:color w:val="000000"/>
                <w:sz w:val="22"/>
                <w:szCs w:val="22"/>
              </w:rPr>
              <w:t>ULN</w:t>
            </w:r>
          </w:p>
          <w:p w14:paraId="219E3E70" w14:textId="77777777" w:rsidR="00B44A30" w:rsidRPr="00B30A12" w:rsidRDefault="00BE6E5B" w:rsidP="00AD54DF">
            <w:pPr>
              <w:keepNext/>
              <w:widowControl w:val="0"/>
              <w:rPr>
                <w:color w:val="000000"/>
                <w:sz w:val="22"/>
                <w:szCs w:val="22"/>
              </w:rPr>
            </w:pPr>
            <w:r w:rsidRPr="00B30A12">
              <w:rPr>
                <w:color w:val="000000"/>
                <w:sz w:val="22"/>
                <w:szCs w:val="22"/>
              </w:rPr>
              <w:t>ASAT</w:t>
            </w:r>
            <w:r w:rsidR="00B44A30" w:rsidRPr="00B30A12">
              <w:rPr>
                <w:color w:val="000000"/>
                <w:sz w:val="22"/>
                <w:szCs w:val="22"/>
              </w:rPr>
              <w:t xml:space="preserve"> &gt;</w:t>
            </w:r>
            <w:r w:rsidR="009B5307" w:rsidRPr="00B30A12">
              <w:rPr>
                <w:color w:val="000000"/>
                <w:sz w:val="22"/>
                <w:szCs w:val="22"/>
              </w:rPr>
              <w:t> </w:t>
            </w:r>
            <w:r w:rsidR="00B44A30" w:rsidRPr="00B30A12">
              <w:rPr>
                <w:color w:val="000000"/>
                <w:sz w:val="22"/>
                <w:szCs w:val="22"/>
              </w:rPr>
              <w:t>ULN (kann normal oder &lt; ULN sein, wenn Gesamtbilirubin &gt; ULN ist)</w:t>
            </w:r>
          </w:p>
        </w:tc>
      </w:tr>
      <w:tr w:rsidR="00B44A30" w:rsidRPr="00B30A12" w14:paraId="2915632C" w14:textId="77777777" w:rsidTr="00AD54DF">
        <w:trPr>
          <w:cantSplit/>
        </w:trPr>
        <w:tc>
          <w:tcPr>
            <w:tcW w:w="3369" w:type="dxa"/>
          </w:tcPr>
          <w:p w14:paraId="51BCC557" w14:textId="77777777" w:rsidR="00B44A30" w:rsidRPr="00B30A12" w:rsidRDefault="00B44A30" w:rsidP="00AD54DF">
            <w:pPr>
              <w:keepNext/>
              <w:widowControl w:val="0"/>
              <w:rPr>
                <w:color w:val="000000"/>
                <w:sz w:val="22"/>
                <w:szCs w:val="22"/>
              </w:rPr>
            </w:pPr>
            <w:r w:rsidRPr="00B30A12">
              <w:rPr>
                <w:color w:val="000000"/>
                <w:sz w:val="22"/>
                <w:szCs w:val="22"/>
              </w:rPr>
              <w:t>Mäßig</w:t>
            </w:r>
          </w:p>
        </w:tc>
        <w:tc>
          <w:tcPr>
            <w:tcW w:w="5912" w:type="dxa"/>
          </w:tcPr>
          <w:p w14:paraId="51EB82FB" w14:textId="77777777" w:rsidR="00B44A30" w:rsidRPr="00B30A12" w:rsidRDefault="00B44A30" w:rsidP="00AD54DF">
            <w:pPr>
              <w:keepNext/>
              <w:widowControl w:val="0"/>
              <w:rPr>
                <w:color w:val="000000"/>
                <w:sz w:val="22"/>
                <w:szCs w:val="22"/>
              </w:rPr>
            </w:pPr>
            <w:r w:rsidRPr="00B30A12">
              <w:rPr>
                <w:color w:val="000000"/>
                <w:sz w:val="22"/>
                <w:szCs w:val="22"/>
              </w:rPr>
              <w:t>Gesamtbilirubin &gt; 1,5–3,0</w:t>
            </w:r>
            <w:r w:rsidR="009B5307" w:rsidRPr="00B30A12">
              <w:rPr>
                <w:color w:val="000000"/>
                <w:sz w:val="22"/>
                <w:szCs w:val="22"/>
              </w:rPr>
              <w:t> </w:t>
            </w:r>
            <w:r w:rsidRPr="00B30A12">
              <w:rPr>
                <w:color w:val="000000"/>
                <w:sz w:val="22"/>
                <w:szCs w:val="22"/>
              </w:rPr>
              <w:t>ULN</w:t>
            </w:r>
          </w:p>
          <w:p w14:paraId="530CB1FF" w14:textId="77777777" w:rsidR="00B44A30" w:rsidRPr="00B30A12" w:rsidRDefault="00BE6E5B" w:rsidP="00AD54DF">
            <w:pPr>
              <w:keepNext/>
              <w:widowControl w:val="0"/>
              <w:rPr>
                <w:color w:val="000000"/>
                <w:sz w:val="22"/>
                <w:szCs w:val="22"/>
              </w:rPr>
            </w:pPr>
            <w:r w:rsidRPr="00B30A12">
              <w:rPr>
                <w:color w:val="000000"/>
                <w:sz w:val="22"/>
                <w:szCs w:val="22"/>
              </w:rPr>
              <w:t>ASAT</w:t>
            </w:r>
            <w:r w:rsidR="00B44A30" w:rsidRPr="00B30A12">
              <w:rPr>
                <w:color w:val="000000"/>
                <w:sz w:val="22"/>
                <w:szCs w:val="22"/>
              </w:rPr>
              <w:t>: beliebig</w:t>
            </w:r>
          </w:p>
        </w:tc>
      </w:tr>
      <w:tr w:rsidR="00B44A30" w:rsidRPr="00B30A12" w14:paraId="1761A559" w14:textId="77777777" w:rsidTr="00AD54DF">
        <w:trPr>
          <w:cantSplit/>
        </w:trPr>
        <w:tc>
          <w:tcPr>
            <w:tcW w:w="3369" w:type="dxa"/>
          </w:tcPr>
          <w:p w14:paraId="348A592A" w14:textId="77777777" w:rsidR="00B44A30" w:rsidRPr="00B30A12" w:rsidRDefault="00B44A30" w:rsidP="00AD54DF">
            <w:pPr>
              <w:keepNext/>
              <w:widowControl w:val="0"/>
              <w:rPr>
                <w:color w:val="000000"/>
                <w:sz w:val="22"/>
                <w:szCs w:val="22"/>
              </w:rPr>
            </w:pPr>
            <w:r w:rsidRPr="00B30A12">
              <w:rPr>
                <w:color w:val="000000"/>
                <w:sz w:val="22"/>
                <w:szCs w:val="22"/>
              </w:rPr>
              <w:t>Schwer</w:t>
            </w:r>
          </w:p>
        </w:tc>
        <w:tc>
          <w:tcPr>
            <w:tcW w:w="5912" w:type="dxa"/>
          </w:tcPr>
          <w:p w14:paraId="3A8B735B" w14:textId="77777777" w:rsidR="00B44A30" w:rsidRPr="00B30A12" w:rsidRDefault="00B44A30" w:rsidP="00AD54DF">
            <w:pPr>
              <w:keepNext/>
              <w:widowControl w:val="0"/>
              <w:rPr>
                <w:color w:val="000000"/>
                <w:sz w:val="22"/>
                <w:szCs w:val="22"/>
              </w:rPr>
            </w:pPr>
            <w:r w:rsidRPr="00B30A12">
              <w:rPr>
                <w:color w:val="000000"/>
                <w:sz w:val="22"/>
                <w:szCs w:val="22"/>
              </w:rPr>
              <w:t>Gesamtbilirubin &gt; 3–10</w:t>
            </w:r>
            <w:r w:rsidR="009B5307" w:rsidRPr="00B30A12">
              <w:rPr>
                <w:color w:val="000000"/>
                <w:sz w:val="22"/>
                <w:szCs w:val="22"/>
              </w:rPr>
              <w:t> </w:t>
            </w:r>
            <w:r w:rsidRPr="00B30A12">
              <w:rPr>
                <w:color w:val="000000"/>
                <w:sz w:val="22"/>
                <w:szCs w:val="22"/>
              </w:rPr>
              <w:t>ULN</w:t>
            </w:r>
          </w:p>
          <w:p w14:paraId="12D52E65" w14:textId="77777777" w:rsidR="00B44A30" w:rsidRPr="00B30A12" w:rsidRDefault="00BE6E5B" w:rsidP="00AD54DF">
            <w:pPr>
              <w:keepNext/>
              <w:widowControl w:val="0"/>
              <w:rPr>
                <w:color w:val="000000"/>
                <w:sz w:val="22"/>
                <w:szCs w:val="22"/>
              </w:rPr>
            </w:pPr>
            <w:r w:rsidRPr="00B30A12">
              <w:rPr>
                <w:color w:val="000000"/>
                <w:sz w:val="22"/>
                <w:szCs w:val="22"/>
              </w:rPr>
              <w:t>ASAT</w:t>
            </w:r>
            <w:r w:rsidR="00B44A30" w:rsidRPr="00B30A12">
              <w:rPr>
                <w:color w:val="000000"/>
                <w:sz w:val="22"/>
                <w:szCs w:val="22"/>
              </w:rPr>
              <w:t>: beliebig</w:t>
            </w:r>
          </w:p>
        </w:tc>
      </w:tr>
    </w:tbl>
    <w:p w14:paraId="1810F3D8" w14:textId="77777777" w:rsidR="00B44A30" w:rsidRPr="00B30A12" w:rsidRDefault="00B44A30" w:rsidP="00AD54DF">
      <w:pPr>
        <w:keepNext/>
        <w:widowControl w:val="0"/>
        <w:ind w:firstLine="3"/>
        <w:rPr>
          <w:color w:val="000000"/>
          <w:sz w:val="22"/>
          <w:szCs w:val="22"/>
        </w:rPr>
      </w:pPr>
      <w:r w:rsidRPr="00B30A12">
        <w:rPr>
          <w:color w:val="000000"/>
          <w:sz w:val="22"/>
          <w:szCs w:val="22"/>
        </w:rPr>
        <w:t>ULN: Oberer Normwert für das Labor (Upper Limit of Normal)</w:t>
      </w:r>
    </w:p>
    <w:p w14:paraId="5D6754E6" w14:textId="77777777" w:rsidR="00B44A30" w:rsidRPr="00B30A12" w:rsidRDefault="00BE6E5B" w:rsidP="00AD54DF">
      <w:pPr>
        <w:widowControl w:val="0"/>
        <w:ind w:firstLine="6"/>
        <w:rPr>
          <w:color w:val="000000"/>
          <w:sz w:val="22"/>
          <w:szCs w:val="22"/>
        </w:rPr>
      </w:pPr>
      <w:r w:rsidRPr="00B30A12">
        <w:rPr>
          <w:color w:val="000000"/>
          <w:sz w:val="22"/>
          <w:szCs w:val="22"/>
        </w:rPr>
        <w:t>ASAT</w:t>
      </w:r>
      <w:r w:rsidR="00B44A30" w:rsidRPr="00B30A12">
        <w:rPr>
          <w:color w:val="000000"/>
          <w:sz w:val="22"/>
          <w:szCs w:val="22"/>
        </w:rPr>
        <w:t>: Aspartataminotransferase</w:t>
      </w:r>
    </w:p>
    <w:p w14:paraId="6030D491" w14:textId="77777777" w:rsidR="00B44A30" w:rsidRPr="00B30A12" w:rsidRDefault="00B44A30" w:rsidP="00537E23">
      <w:pPr>
        <w:widowControl w:val="0"/>
        <w:ind w:firstLine="3"/>
        <w:rPr>
          <w:color w:val="000000"/>
          <w:sz w:val="22"/>
          <w:szCs w:val="22"/>
        </w:rPr>
      </w:pPr>
    </w:p>
    <w:p w14:paraId="4C57B6C9" w14:textId="77777777" w:rsidR="006615F9" w:rsidRPr="00B30A12" w:rsidRDefault="006615F9" w:rsidP="00537E23">
      <w:pPr>
        <w:widowControl w:val="0"/>
        <w:ind w:firstLine="3"/>
        <w:rPr>
          <w:color w:val="000000"/>
          <w:sz w:val="22"/>
          <w:szCs w:val="22"/>
        </w:rPr>
      </w:pPr>
      <w:r w:rsidRPr="00B30A12">
        <w:rPr>
          <w:i/>
          <w:color w:val="000000"/>
          <w:sz w:val="22"/>
          <w:szCs w:val="22"/>
        </w:rPr>
        <w:t>Niereninsuffizienz:</w:t>
      </w:r>
      <w:r w:rsidRPr="00B30A12">
        <w:rPr>
          <w:color w:val="000000"/>
          <w:sz w:val="22"/>
          <w:szCs w:val="22"/>
        </w:rPr>
        <w:t xml:space="preserve"> </w:t>
      </w:r>
      <w:r w:rsidR="00451A82" w:rsidRPr="00B30A12">
        <w:rPr>
          <w:color w:val="000000"/>
          <w:sz w:val="22"/>
          <w:szCs w:val="22"/>
        </w:rPr>
        <w:t>Patienten mit Nie</w:t>
      </w:r>
      <w:r w:rsidR="00EF54C1" w:rsidRPr="00B30A12">
        <w:rPr>
          <w:color w:val="000000"/>
          <w:sz w:val="22"/>
          <w:szCs w:val="22"/>
        </w:rPr>
        <w:t>r</w:t>
      </w:r>
      <w:r w:rsidR="00451A82" w:rsidRPr="00B30A12">
        <w:rPr>
          <w:color w:val="000000"/>
          <w:sz w:val="22"/>
          <w:szCs w:val="22"/>
        </w:rPr>
        <w:t>eni</w:t>
      </w:r>
      <w:r w:rsidR="006D5838" w:rsidRPr="00B30A12">
        <w:rPr>
          <w:color w:val="000000"/>
          <w:sz w:val="22"/>
          <w:szCs w:val="22"/>
        </w:rPr>
        <w:t>n</w:t>
      </w:r>
      <w:r w:rsidR="00451A82" w:rsidRPr="00B30A12">
        <w:rPr>
          <w:color w:val="000000"/>
          <w:sz w:val="22"/>
          <w:szCs w:val="22"/>
        </w:rPr>
        <w:t xml:space="preserve">suffizienz </w:t>
      </w:r>
      <w:r w:rsidR="009477F2" w:rsidRPr="00B30A12">
        <w:rPr>
          <w:color w:val="000000"/>
          <w:sz w:val="22"/>
          <w:szCs w:val="22"/>
        </w:rPr>
        <w:t xml:space="preserve">oder </w:t>
      </w:r>
      <w:r w:rsidR="00A609D8" w:rsidRPr="00B30A12">
        <w:rPr>
          <w:color w:val="000000"/>
          <w:sz w:val="22"/>
          <w:szCs w:val="22"/>
        </w:rPr>
        <w:t>dialysepflichtigen P</w:t>
      </w:r>
      <w:r w:rsidR="009477F2" w:rsidRPr="00B30A12">
        <w:rPr>
          <w:color w:val="000000"/>
          <w:sz w:val="22"/>
          <w:szCs w:val="22"/>
        </w:rPr>
        <w:t xml:space="preserve">atienten </w:t>
      </w:r>
      <w:r w:rsidR="00451A82" w:rsidRPr="00B30A12">
        <w:rPr>
          <w:color w:val="000000"/>
          <w:sz w:val="22"/>
          <w:szCs w:val="22"/>
        </w:rPr>
        <w:t xml:space="preserve">sollte die empfohlene Mindestdosis von 400 mg als Anfangsdosis gegeben werden. </w:t>
      </w:r>
      <w:r w:rsidRPr="00B30A12">
        <w:rPr>
          <w:color w:val="000000"/>
          <w:sz w:val="22"/>
          <w:szCs w:val="22"/>
        </w:rPr>
        <w:t xml:space="preserve">Bei </w:t>
      </w:r>
      <w:r w:rsidR="00451A82" w:rsidRPr="00B30A12">
        <w:rPr>
          <w:color w:val="000000"/>
          <w:sz w:val="22"/>
          <w:szCs w:val="22"/>
        </w:rPr>
        <w:t xml:space="preserve">diesen Patienten </w:t>
      </w:r>
      <w:r w:rsidRPr="00B30A12">
        <w:rPr>
          <w:color w:val="000000"/>
          <w:sz w:val="22"/>
          <w:szCs w:val="22"/>
        </w:rPr>
        <w:t>ist jedoch Vorsicht geboten.</w:t>
      </w:r>
      <w:r w:rsidR="00451A82" w:rsidRPr="00B30A12">
        <w:rPr>
          <w:color w:val="000000"/>
          <w:sz w:val="22"/>
          <w:szCs w:val="22"/>
        </w:rPr>
        <w:t xml:space="preserve"> Die Dosis kann reduziert werden, falls sie nicht vertragen wird</w:t>
      </w:r>
      <w:r w:rsidR="009477F2" w:rsidRPr="00B30A12">
        <w:rPr>
          <w:color w:val="000000"/>
          <w:sz w:val="22"/>
          <w:szCs w:val="22"/>
        </w:rPr>
        <w:t>.</w:t>
      </w:r>
      <w:r w:rsidR="00451A82" w:rsidRPr="00B30A12">
        <w:rPr>
          <w:color w:val="000000"/>
          <w:sz w:val="22"/>
          <w:szCs w:val="22"/>
        </w:rPr>
        <w:t xml:space="preserve"> </w:t>
      </w:r>
      <w:r w:rsidR="009477F2" w:rsidRPr="00B30A12">
        <w:rPr>
          <w:color w:val="000000"/>
          <w:sz w:val="22"/>
          <w:szCs w:val="22"/>
        </w:rPr>
        <w:t xml:space="preserve">Falls </w:t>
      </w:r>
      <w:r w:rsidR="00D825E1" w:rsidRPr="00B30A12">
        <w:rPr>
          <w:color w:val="000000"/>
          <w:sz w:val="22"/>
          <w:szCs w:val="22"/>
        </w:rPr>
        <w:t>sie vertragen wird,</w:t>
      </w:r>
      <w:r w:rsidR="009477F2" w:rsidRPr="00B30A12">
        <w:rPr>
          <w:color w:val="000000"/>
          <w:sz w:val="22"/>
          <w:szCs w:val="22"/>
        </w:rPr>
        <w:t xml:space="preserve"> kann die Dosis </w:t>
      </w:r>
      <w:r w:rsidR="00451A82" w:rsidRPr="00B30A12">
        <w:rPr>
          <w:color w:val="000000"/>
          <w:sz w:val="22"/>
          <w:szCs w:val="22"/>
        </w:rPr>
        <w:t>im Falle fehlender Wirksamkeit erhöht werden (siehe Abschnitte 4.4 und 5.2).</w:t>
      </w:r>
    </w:p>
    <w:p w14:paraId="5C0C1D60" w14:textId="77777777" w:rsidR="006615F9" w:rsidRPr="00B30A12" w:rsidRDefault="006615F9" w:rsidP="00537E23">
      <w:pPr>
        <w:widowControl w:val="0"/>
        <w:ind w:firstLine="3"/>
        <w:rPr>
          <w:color w:val="000000"/>
          <w:sz w:val="22"/>
          <w:szCs w:val="22"/>
        </w:rPr>
      </w:pPr>
    </w:p>
    <w:p w14:paraId="57CFDC57" w14:textId="77777777" w:rsidR="006615F9" w:rsidRPr="00B30A12" w:rsidRDefault="006615F9" w:rsidP="00537E23">
      <w:pPr>
        <w:pStyle w:val="BodyTextIndent2"/>
        <w:rPr>
          <w:color w:val="000000"/>
          <w:szCs w:val="22"/>
        </w:rPr>
      </w:pPr>
      <w:r w:rsidRPr="00B30A12">
        <w:rPr>
          <w:i/>
          <w:color w:val="000000"/>
          <w:szCs w:val="22"/>
        </w:rPr>
        <w:t>Ältere P</w:t>
      </w:r>
      <w:r w:rsidR="007A247D" w:rsidRPr="00B30A12">
        <w:rPr>
          <w:i/>
          <w:color w:val="000000"/>
          <w:szCs w:val="22"/>
        </w:rPr>
        <w:t>ersonen</w:t>
      </w:r>
      <w:r w:rsidRPr="00B30A12">
        <w:rPr>
          <w:i/>
          <w:color w:val="000000"/>
          <w:szCs w:val="22"/>
        </w:rPr>
        <w:t>:</w:t>
      </w:r>
      <w:r w:rsidRPr="00B30A12">
        <w:rPr>
          <w:color w:val="000000"/>
          <w:szCs w:val="22"/>
        </w:rPr>
        <w:t xml:space="preserve"> Die Pharmakokinetik von Imatinib wurde bei älteren P</w:t>
      </w:r>
      <w:r w:rsidR="007A247D" w:rsidRPr="00B30A12">
        <w:rPr>
          <w:color w:val="000000"/>
          <w:szCs w:val="22"/>
        </w:rPr>
        <w:t>ersonen</w:t>
      </w:r>
      <w:r w:rsidRPr="00B30A12">
        <w:rPr>
          <w:color w:val="000000"/>
          <w:szCs w:val="22"/>
        </w:rPr>
        <w:t xml:space="preserve"> nicht im Einzelnen untersucht. Bei Erwachsenen wurden keine signifikanten altersspezifischen Unterschiede der Pharmakokinetik in klinischen Studien beobachtet, in denen mehr als 20</w:t>
      </w:r>
      <w:r w:rsidR="006766AC" w:rsidRPr="00B30A12">
        <w:rPr>
          <w:color w:val="000000"/>
          <w:szCs w:val="22"/>
        </w:rPr>
        <w:t>%</w:t>
      </w:r>
      <w:r w:rsidRPr="00B30A12">
        <w:rPr>
          <w:color w:val="000000"/>
          <w:szCs w:val="22"/>
        </w:rPr>
        <w:t xml:space="preserve"> der Patienten 65</w:t>
      </w:r>
      <w:r w:rsidR="00C80819" w:rsidRPr="00B30A12">
        <w:rPr>
          <w:color w:val="000000"/>
          <w:szCs w:val="22"/>
        </w:rPr>
        <w:t> </w:t>
      </w:r>
      <w:r w:rsidRPr="00B30A12">
        <w:rPr>
          <w:color w:val="000000"/>
          <w:szCs w:val="22"/>
        </w:rPr>
        <w:t>Jahre und älter waren. Bei älteren P</w:t>
      </w:r>
      <w:r w:rsidR="007A247D" w:rsidRPr="00B30A12">
        <w:rPr>
          <w:color w:val="000000"/>
          <w:szCs w:val="22"/>
        </w:rPr>
        <w:t>ersonen</w:t>
      </w:r>
      <w:r w:rsidRPr="00B30A12">
        <w:rPr>
          <w:color w:val="000000"/>
          <w:szCs w:val="22"/>
        </w:rPr>
        <w:t xml:space="preserve"> ist keine spezielle Dosisempfehlung notwendig.</w:t>
      </w:r>
    </w:p>
    <w:p w14:paraId="5C44E818" w14:textId="77777777" w:rsidR="006615F9" w:rsidRPr="00B30A12" w:rsidRDefault="006615F9" w:rsidP="00537E23">
      <w:pPr>
        <w:pStyle w:val="Header"/>
        <w:widowControl w:val="0"/>
        <w:tabs>
          <w:tab w:val="clear" w:pos="4320"/>
          <w:tab w:val="clear" w:pos="8640"/>
        </w:tabs>
        <w:rPr>
          <w:color w:val="000000"/>
          <w:szCs w:val="22"/>
        </w:rPr>
      </w:pPr>
    </w:p>
    <w:p w14:paraId="5A88CF89" w14:textId="77777777" w:rsidR="006615F9" w:rsidRPr="00B30A12" w:rsidRDefault="006615F9" w:rsidP="00463D41">
      <w:pPr>
        <w:keepNext/>
        <w:widowControl w:val="0"/>
        <w:ind w:left="567" w:hanging="567"/>
        <w:rPr>
          <w:color w:val="000000"/>
          <w:sz w:val="22"/>
          <w:szCs w:val="22"/>
        </w:rPr>
      </w:pPr>
      <w:r w:rsidRPr="00B30A12">
        <w:rPr>
          <w:b/>
          <w:color w:val="000000"/>
          <w:sz w:val="22"/>
          <w:szCs w:val="22"/>
        </w:rPr>
        <w:t>4.3</w:t>
      </w:r>
      <w:r w:rsidRPr="00B30A12">
        <w:rPr>
          <w:b/>
          <w:color w:val="000000"/>
          <w:sz w:val="22"/>
          <w:szCs w:val="22"/>
        </w:rPr>
        <w:tab/>
        <w:t>Gegenanzeigen</w:t>
      </w:r>
    </w:p>
    <w:p w14:paraId="4D8EAD69" w14:textId="77777777" w:rsidR="006615F9" w:rsidRPr="00B30A12" w:rsidRDefault="006615F9" w:rsidP="00463D41">
      <w:pPr>
        <w:pStyle w:val="BodyText3"/>
        <w:keepNext/>
        <w:widowControl w:val="0"/>
        <w:rPr>
          <w:color w:val="000000"/>
          <w:szCs w:val="22"/>
        </w:rPr>
      </w:pPr>
    </w:p>
    <w:p w14:paraId="759F6B89" w14:textId="77777777" w:rsidR="006615F9" w:rsidRPr="00B30A12" w:rsidRDefault="006615F9" w:rsidP="00537E23">
      <w:pPr>
        <w:pStyle w:val="BodyText3"/>
        <w:widowControl w:val="0"/>
        <w:rPr>
          <w:color w:val="000000"/>
          <w:szCs w:val="22"/>
        </w:rPr>
      </w:pPr>
      <w:r w:rsidRPr="00B30A12">
        <w:rPr>
          <w:color w:val="000000"/>
          <w:szCs w:val="22"/>
        </w:rPr>
        <w:t>Überempfindlichkeit gegen de</w:t>
      </w:r>
      <w:r w:rsidR="00667062" w:rsidRPr="00B30A12">
        <w:rPr>
          <w:color w:val="000000"/>
          <w:szCs w:val="22"/>
        </w:rPr>
        <w:t>n</w:t>
      </w:r>
      <w:r w:rsidRPr="00B30A12">
        <w:rPr>
          <w:color w:val="000000"/>
          <w:szCs w:val="22"/>
        </w:rPr>
        <w:t xml:space="preserve"> Wirkstoff oder eine</w:t>
      </w:r>
      <w:r w:rsidR="00667062" w:rsidRPr="00B30A12">
        <w:rPr>
          <w:color w:val="000000"/>
          <w:szCs w:val="22"/>
        </w:rPr>
        <w:t>n</w:t>
      </w:r>
      <w:r w:rsidRPr="00B30A12">
        <w:rPr>
          <w:color w:val="000000"/>
          <w:szCs w:val="22"/>
        </w:rPr>
        <w:t xml:space="preserve"> der </w:t>
      </w:r>
      <w:r w:rsidR="000B356F" w:rsidRPr="00B30A12">
        <w:rPr>
          <w:color w:val="000000"/>
          <w:szCs w:val="22"/>
        </w:rPr>
        <w:t xml:space="preserve">in Abschnitt 6.1 genannten </w:t>
      </w:r>
      <w:r w:rsidRPr="00B30A12">
        <w:rPr>
          <w:color w:val="000000"/>
          <w:szCs w:val="22"/>
        </w:rPr>
        <w:t>sonstigen Bestandteile.</w:t>
      </w:r>
    </w:p>
    <w:p w14:paraId="7FED512A" w14:textId="77777777" w:rsidR="006615F9" w:rsidRPr="00B30A12" w:rsidRDefault="006615F9" w:rsidP="00537E23">
      <w:pPr>
        <w:widowControl w:val="0"/>
        <w:rPr>
          <w:color w:val="000000"/>
          <w:sz w:val="22"/>
          <w:szCs w:val="22"/>
        </w:rPr>
      </w:pPr>
    </w:p>
    <w:p w14:paraId="4E4FB5C3" w14:textId="77777777" w:rsidR="006615F9" w:rsidRPr="00B30A12" w:rsidRDefault="006615F9" w:rsidP="00463D41">
      <w:pPr>
        <w:keepNext/>
        <w:widowControl w:val="0"/>
        <w:ind w:left="567" w:hanging="567"/>
        <w:rPr>
          <w:color w:val="000000"/>
          <w:sz w:val="22"/>
          <w:szCs w:val="22"/>
        </w:rPr>
      </w:pPr>
      <w:r w:rsidRPr="00B30A12">
        <w:rPr>
          <w:b/>
          <w:color w:val="000000"/>
          <w:sz w:val="22"/>
          <w:szCs w:val="22"/>
        </w:rPr>
        <w:t>4.4</w:t>
      </w:r>
      <w:r w:rsidRPr="00B30A12">
        <w:rPr>
          <w:b/>
          <w:color w:val="000000"/>
          <w:sz w:val="22"/>
          <w:szCs w:val="22"/>
        </w:rPr>
        <w:tab/>
      </w:r>
      <w:r w:rsidR="00667062" w:rsidRPr="00B30A12">
        <w:rPr>
          <w:b/>
          <w:color w:val="000000"/>
          <w:sz w:val="22"/>
          <w:szCs w:val="22"/>
        </w:rPr>
        <w:t xml:space="preserve">Besondere </w:t>
      </w:r>
      <w:r w:rsidRPr="00B30A12">
        <w:rPr>
          <w:b/>
          <w:color w:val="000000"/>
          <w:sz w:val="22"/>
          <w:szCs w:val="22"/>
        </w:rPr>
        <w:t>Warnhinweise und Vorsichtsmaßnahmen für die Anwendung</w:t>
      </w:r>
    </w:p>
    <w:p w14:paraId="62FCDD45" w14:textId="77777777" w:rsidR="006615F9" w:rsidRPr="00B30A12" w:rsidRDefault="006615F9" w:rsidP="00463D41">
      <w:pPr>
        <w:keepNext/>
        <w:widowControl w:val="0"/>
        <w:rPr>
          <w:color w:val="000000"/>
          <w:sz w:val="22"/>
          <w:szCs w:val="22"/>
        </w:rPr>
      </w:pPr>
    </w:p>
    <w:p w14:paraId="19C17B55" w14:textId="77777777" w:rsidR="006615F9" w:rsidRPr="00B30A12" w:rsidRDefault="006615F9" w:rsidP="00537E23">
      <w:pPr>
        <w:widowControl w:val="0"/>
        <w:rPr>
          <w:color w:val="000000"/>
          <w:sz w:val="22"/>
          <w:szCs w:val="22"/>
        </w:rPr>
      </w:pPr>
      <w:r w:rsidRPr="00B30A12">
        <w:rPr>
          <w:color w:val="000000"/>
          <w:sz w:val="22"/>
          <w:szCs w:val="22"/>
        </w:rPr>
        <w:t>Wenn Glivec gemeinsam mit anderen Arzneimitteln gegeben wird, können Wechselwirkungen auftreten</w:t>
      </w:r>
      <w:r w:rsidR="009477F2" w:rsidRPr="00B30A12">
        <w:rPr>
          <w:color w:val="000000"/>
          <w:sz w:val="22"/>
          <w:szCs w:val="22"/>
        </w:rPr>
        <w:t xml:space="preserve">. Vorsicht </w:t>
      </w:r>
      <w:r w:rsidR="005A14CD" w:rsidRPr="00B30A12">
        <w:rPr>
          <w:color w:val="000000"/>
          <w:sz w:val="22"/>
          <w:szCs w:val="22"/>
        </w:rPr>
        <w:t>ist geboten</w:t>
      </w:r>
      <w:r w:rsidR="004A29F3" w:rsidRPr="00B30A12">
        <w:rPr>
          <w:color w:val="000000"/>
          <w:sz w:val="22"/>
          <w:szCs w:val="22"/>
        </w:rPr>
        <w:t xml:space="preserve"> bei der Einnahme von Glivec </w:t>
      </w:r>
      <w:r w:rsidR="009477F2" w:rsidRPr="00B30A12">
        <w:rPr>
          <w:color w:val="000000"/>
          <w:sz w:val="22"/>
          <w:szCs w:val="22"/>
        </w:rPr>
        <w:t xml:space="preserve">mit </w:t>
      </w:r>
      <w:r w:rsidR="00E94B25" w:rsidRPr="00B30A12">
        <w:rPr>
          <w:color w:val="000000"/>
          <w:sz w:val="22"/>
          <w:szCs w:val="22"/>
        </w:rPr>
        <w:t>Proteaseinhibitoren, Azol-</w:t>
      </w:r>
      <w:r w:rsidR="00644A8F" w:rsidRPr="00B30A12">
        <w:rPr>
          <w:color w:val="000000"/>
          <w:sz w:val="22"/>
          <w:szCs w:val="22"/>
        </w:rPr>
        <w:t>Antimykotika, bestimmten</w:t>
      </w:r>
      <w:r w:rsidR="00E94B25" w:rsidRPr="00B30A12">
        <w:rPr>
          <w:color w:val="000000"/>
          <w:sz w:val="22"/>
          <w:szCs w:val="22"/>
        </w:rPr>
        <w:t xml:space="preserve"> Makroliden (siehe Abschnitt 4.5)</w:t>
      </w:r>
      <w:r w:rsidR="009477F2" w:rsidRPr="00B30A12">
        <w:rPr>
          <w:color w:val="000000"/>
          <w:sz w:val="22"/>
          <w:szCs w:val="22"/>
        </w:rPr>
        <w:t>,</w:t>
      </w:r>
      <w:r w:rsidR="004A29F3" w:rsidRPr="00B30A12">
        <w:rPr>
          <w:color w:val="000000"/>
          <w:sz w:val="22"/>
          <w:szCs w:val="22"/>
        </w:rPr>
        <w:t xml:space="preserve"> Substraten von CYP3A4 mit einer engen </w:t>
      </w:r>
      <w:r w:rsidR="002A539F" w:rsidRPr="00B30A12">
        <w:rPr>
          <w:color w:val="000000"/>
          <w:sz w:val="22"/>
          <w:szCs w:val="22"/>
        </w:rPr>
        <w:t>therapeutischen Breite (z. B. Ci</w:t>
      </w:r>
      <w:r w:rsidR="004A29F3" w:rsidRPr="00B30A12">
        <w:rPr>
          <w:color w:val="000000"/>
          <w:sz w:val="22"/>
          <w:szCs w:val="22"/>
        </w:rPr>
        <w:t>closporin</w:t>
      </w:r>
      <w:r w:rsidR="00E94B25" w:rsidRPr="00B30A12">
        <w:rPr>
          <w:color w:val="000000"/>
          <w:sz w:val="22"/>
          <w:szCs w:val="22"/>
        </w:rPr>
        <w:t>,</w:t>
      </w:r>
      <w:r w:rsidR="004A29F3" w:rsidRPr="00B30A12">
        <w:rPr>
          <w:color w:val="000000"/>
          <w:sz w:val="22"/>
          <w:szCs w:val="22"/>
        </w:rPr>
        <w:t xml:space="preserve"> Pimozid</w:t>
      </w:r>
      <w:r w:rsidR="00E94B25" w:rsidRPr="00B30A12">
        <w:rPr>
          <w:color w:val="000000"/>
          <w:sz w:val="22"/>
          <w:szCs w:val="22"/>
        </w:rPr>
        <w:t xml:space="preserve">, Tacrolimus, Sirolimus, Ergotamin, Diergotamin, Fentanyl, Alfentanil, Terfenadin, Bortezomib, Docetaxel, </w:t>
      </w:r>
      <w:r w:rsidR="00644A8F" w:rsidRPr="00B30A12">
        <w:rPr>
          <w:color w:val="000000"/>
          <w:sz w:val="22"/>
          <w:szCs w:val="22"/>
        </w:rPr>
        <w:t>Chinidin</w:t>
      </w:r>
      <w:r w:rsidR="004A29F3" w:rsidRPr="00B30A12">
        <w:rPr>
          <w:color w:val="000000"/>
          <w:sz w:val="22"/>
          <w:szCs w:val="22"/>
        </w:rPr>
        <w:t>) oder Warfarin und andere</w:t>
      </w:r>
      <w:r w:rsidR="00E94B25" w:rsidRPr="00B30A12">
        <w:rPr>
          <w:color w:val="000000"/>
          <w:sz w:val="22"/>
          <w:szCs w:val="22"/>
        </w:rPr>
        <w:t>n</w:t>
      </w:r>
      <w:r w:rsidR="004A29F3" w:rsidRPr="00B30A12">
        <w:rPr>
          <w:color w:val="000000"/>
          <w:sz w:val="22"/>
          <w:szCs w:val="22"/>
        </w:rPr>
        <w:t xml:space="preserve"> Cumarin-Derivate</w:t>
      </w:r>
      <w:r w:rsidR="00E94B25" w:rsidRPr="00B30A12">
        <w:rPr>
          <w:color w:val="000000"/>
          <w:sz w:val="22"/>
          <w:szCs w:val="22"/>
        </w:rPr>
        <w:t>n</w:t>
      </w:r>
      <w:r w:rsidR="004A29F3" w:rsidRPr="00B30A12" w:rsidDel="004A29F3">
        <w:rPr>
          <w:color w:val="000000"/>
          <w:sz w:val="22"/>
          <w:szCs w:val="22"/>
        </w:rPr>
        <w:t xml:space="preserve"> </w:t>
      </w:r>
      <w:r w:rsidRPr="00B30A12">
        <w:rPr>
          <w:color w:val="000000"/>
          <w:sz w:val="22"/>
          <w:szCs w:val="22"/>
        </w:rPr>
        <w:t>(siehe Abschnitt 4.5).</w:t>
      </w:r>
    </w:p>
    <w:p w14:paraId="2EA5287F" w14:textId="77777777" w:rsidR="006615F9" w:rsidRPr="00B30A12" w:rsidRDefault="006615F9" w:rsidP="00537E23">
      <w:pPr>
        <w:widowControl w:val="0"/>
        <w:rPr>
          <w:color w:val="000000"/>
          <w:sz w:val="22"/>
          <w:szCs w:val="22"/>
        </w:rPr>
      </w:pPr>
    </w:p>
    <w:p w14:paraId="110F67F5" w14:textId="77777777" w:rsidR="006615F9" w:rsidRPr="00B30A12" w:rsidRDefault="006615F9" w:rsidP="00537E23">
      <w:pPr>
        <w:widowControl w:val="0"/>
        <w:rPr>
          <w:color w:val="000000"/>
          <w:sz w:val="22"/>
          <w:szCs w:val="22"/>
        </w:rPr>
      </w:pPr>
      <w:r w:rsidRPr="00B30A12">
        <w:rPr>
          <w:color w:val="000000"/>
          <w:sz w:val="22"/>
          <w:szCs w:val="22"/>
        </w:rPr>
        <w:t>Bei gleichzeitiger Anwendung von Imatinib und Arzneimitteln, die die Aktivität von CYP3A4 induzieren (</w:t>
      </w:r>
      <w:r w:rsidR="00E3183D" w:rsidRPr="00B30A12">
        <w:rPr>
          <w:color w:val="000000"/>
          <w:sz w:val="22"/>
          <w:szCs w:val="22"/>
        </w:rPr>
        <w:t>z. B.</w:t>
      </w:r>
      <w:r w:rsidRPr="00B30A12">
        <w:rPr>
          <w:color w:val="000000"/>
          <w:sz w:val="22"/>
          <w:szCs w:val="22"/>
        </w:rPr>
        <w:t xml:space="preserve"> Dexamethason, Phenytoin, Carbamazepin, Rifampicin, Phenobarbital oder Johanniskraut), kann die Imatinib-Konzentration signifikant verringert werden. Dadurch kann möglicherweise das Risiko eines Therapieversagens erhöht werden. Daher soll die gleichzeitige Anwendung von starken CYP3A4-Induktoren und Imatinib vermieden werden (siehe Abschnitt 4.5).</w:t>
      </w:r>
    </w:p>
    <w:p w14:paraId="1713D0FD" w14:textId="77777777" w:rsidR="006615F9" w:rsidRPr="00B30A12" w:rsidRDefault="006615F9" w:rsidP="00537E23">
      <w:pPr>
        <w:widowControl w:val="0"/>
        <w:rPr>
          <w:color w:val="000000"/>
          <w:sz w:val="22"/>
          <w:szCs w:val="22"/>
        </w:rPr>
      </w:pPr>
    </w:p>
    <w:p w14:paraId="6E45291D"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Hypothyreoidismus</w:t>
      </w:r>
    </w:p>
    <w:p w14:paraId="6E472801" w14:textId="77777777" w:rsidR="00EF54C1" w:rsidRPr="00B30A12" w:rsidRDefault="00EF54C1" w:rsidP="00537E23">
      <w:pPr>
        <w:widowControl w:val="0"/>
        <w:rPr>
          <w:color w:val="000000"/>
          <w:sz w:val="22"/>
          <w:szCs w:val="22"/>
        </w:rPr>
      </w:pPr>
      <w:r w:rsidRPr="00B30A12">
        <w:rPr>
          <w:color w:val="000000"/>
          <w:sz w:val="22"/>
          <w:szCs w:val="22"/>
        </w:rPr>
        <w:t xml:space="preserve">Es wurden klinische Fälle von Hypothyreoidismus </w:t>
      </w:r>
      <w:r w:rsidR="00846DCC" w:rsidRPr="00B30A12">
        <w:rPr>
          <w:color w:val="000000"/>
          <w:sz w:val="22"/>
          <w:szCs w:val="22"/>
        </w:rPr>
        <w:t xml:space="preserve">berichtet </w:t>
      </w:r>
      <w:r w:rsidRPr="00B30A12">
        <w:rPr>
          <w:color w:val="000000"/>
          <w:sz w:val="22"/>
          <w:szCs w:val="22"/>
        </w:rPr>
        <w:t xml:space="preserve">bei Patienten </w:t>
      </w:r>
      <w:r w:rsidR="00846DCC" w:rsidRPr="00B30A12">
        <w:rPr>
          <w:color w:val="000000"/>
          <w:sz w:val="22"/>
          <w:szCs w:val="22"/>
        </w:rPr>
        <w:t xml:space="preserve">nach </w:t>
      </w:r>
      <w:r w:rsidRPr="00B30A12">
        <w:rPr>
          <w:color w:val="000000"/>
          <w:sz w:val="22"/>
          <w:szCs w:val="22"/>
        </w:rPr>
        <w:t>Thyreoidektomie</w:t>
      </w:r>
      <w:r w:rsidR="00846DCC" w:rsidRPr="00B30A12">
        <w:rPr>
          <w:color w:val="000000"/>
          <w:sz w:val="22"/>
          <w:szCs w:val="22"/>
        </w:rPr>
        <w:t xml:space="preserve">, die </w:t>
      </w:r>
      <w:r w:rsidR="00786896" w:rsidRPr="00B30A12">
        <w:rPr>
          <w:color w:val="000000"/>
          <w:sz w:val="22"/>
          <w:szCs w:val="22"/>
        </w:rPr>
        <w:t xml:space="preserve">während der Behandlung mit Glivec </w:t>
      </w:r>
      <w:r w:rsidR="00846DCC" w:rsidRPr="00B30A12">
        <w:rPr>
          <w:color w:val="000000"/>
          <w:sz w:val="22"/>
          <w:szCs w:val="22"/>
        </w:rPr>
        <w:t>eine Levothyroxin-Ersatztherapie erhielten</w:t>
      </w:r>
      <w:r w:rsidR="002D31D9" w:rsidRPr="00B30A12">
        <w:rPr>
          <w:color w:val="000000"/>
          <w:sz w:val="22"/>
          <w:szCs w:val="22"/>
        </w:rPr>
        <w:t xml:space="preserve"> (siehe Abschnitt 4.5)</w:t>
      </w:r>
      <w:r w:rsidR="00846DCC" w:rsidRPr="00B30A12">
        <w:rPr>
          <w:color w:val="000000"/>
          <w:sz w:val="22"/>
          <w:szCs w:val="22"/>
        </w:rPr>
        <w:t>. Bei diesen Patienten sollten die TSH-Werte</w:t>
      </w:r>
      <w:r w:rsidR="000F6D5C" w:rsidRPr="00B30A12">
        <w:rPr>
          <w:color w:val="000000"/>
          <w:sz w:val="22"/>
          <w:szCs w:val="22"/>
        </w:rPr>
        <w:t xml:space="preserve"> (Thyreoid-stimulierendes Hormon)</w:t>
      </w:r>
      <w:r w:rsidR="00846DCC" w:rsidRPr="00B30A12">
        <w:rPr>
          <w:color w:val="000000"/>
          <w:sz w:val="22"/>
          <w:szCs w:val="22"/>
        </w:rPr>
        <w:t xml:space="preserve"> engmaschig überwacht werden.</w:t>
      </w:r>
    </w:p>
    <w:p w14:paraId="3AD6B2E9" w14:textId="77777777" w:rsidR="00846DCC" w:rsidRPr="00B30A12" w:rsidRDefault="00846DCC" w:rsidP="00537E23">
      <w:pPr>
        <w:widowControl w:val="0"/>
        <w:rPr>
          <w:color w:val="000000"/>
          <w:sz w:val="22"/>
          <w:szCs w:val="22"/>
        </w:rPr>
      </w:pPr>
    </w:p>
    <w:p w14:paraId="599A7AEC"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Hepatotoxizität</w:t>
      </w:r>
    </w:p>
    <w:p w14:paraId="166A8741" w14:textId="77777777" w:rsidR="006615F9" w:rsidRPr="00B30A12" w:rsidRDefault="006615F9" w:rsidP="00537E23">
      <w:pPr>
        <w:widowControl w:val="0"/>
        <w:rPr>
          <w:color w:val="000000"/>
          <w:sz w:val="22"/>
          <w:szCs w:val="22"/>
        </w:rPr>
      </w:pPr>
      <w:r w:rsidRPr="00B30A12">
        <w:rPr>
          <w:color w:val="000000"/>
          <w:sz w:val="22"/>
          <w:szCs w:val="22"/>
        </w:rPr>
        <w:t>Glivec wird hauptsächlich über die Leber metabolisiert und nur 13</w:t>
      </w:r>
      <w:r w:rsidR="006766AC" w:rsidRPr="00B30A12">
        <w:rPr>
          <w:color w:val="000000"/>
          <w:sz w:val="22"/>
          <w:szCs w:val="22"/>
        </w:rPr>
        <w:t>%</w:t>
      </w:r>
      <w:r w:rsidRPr="00B30A12">
        <w:rPr>
          <w:color w:val="000000"/>
          <w:sz w:val="22"/>
          <w:szCs w:val="22"/>
        </w:rPr>
        <w:t xml:space="preserve"> werden über die Nieren ausgeschieden. </w:t>
      </w:r>
      <w:r w:rsidR="00103EC0" w:rsidRPr="00B30A12">
        <w:rPr>
          <w:color w:val="000000"/>
          <w:sz w:val="22"/>
          <w:szCs w:val="22"/>
        </w:rPr>
        <w:t xml:space="preserve">Bei Patienten mit Leberfunktionsstörungen (leicht, mäßig oder schwer) </w:t>
      </w:r>
      <w:r w:rsidRPr="00B30A12">
        <w:rPr>
          <w:color w:val="000000"/>
          <w:sz w:val="22"/>
          <w:szCs w:val="22"/>
        </w:rPr>
        <w:t>müssen das periphere Blutbild und die Leberen</w:t>
      </w:r>
      <w:r w:rsidRPr="00B30A12">
        <w:rPr>
          <w:color w:val="000000"/>
          <w:sz w:val="22"/>
          <w:szCs w:val="22"/>
        </w:rPr>
        <w:softHyphen/>
        <w:t>zyme sorgfältig überwacht werden (siehe Abschnitte 4.2</w:t>
      </w:r>
      <w:r w:rsidR="00103EC0" w:rsidRPr="00B30A12">
        <w:rPr>
          <w:color w:val="000000"/>
          <w:sz w:val="22"/>
          <w:szCs w:val="22"/>
        </w:rPr>
        <w:t>,</w:t>
      </w:r>
      <w:r w:rsidRPr="00B30A12">
        <w:rPr>
          <w:color w:val="000000"/>
          <w:sz w:val="22"/>
          <w:szCs w:val="22"/>
        </w:rPr>
        <w:t xml:space="preserve"> 4.8</w:t>
      </w:r>
      <w:r w:rsidR="00103EC0" w:rsidRPr="00B30A12">
        <w:rPr>
          <w:color w:val="000000"/>
          <w:sz w:val="22"/>
          <w:szCs w:val="22"/>
        </w:rPr>
        <w:t xml:space="preserve"> und 5.2</w:t>
      </w:r>
      <w:r w:rsidRPr="00B30A12">
        <w:rPr>
          <w:color w:val="000000"/>
          <w:sz w:val="22"/>
          <w:szCs w:val="22"/>
        </w:rPr>
        <w:t>). Es sollte beachtet werden, dass GIST-Patienten Lebermetastasen haben können, die zu einer Funktionseinschränkung der Leber führen können.</w:t>
      </w:r>
    </w:p>
    <w:p w14:paraId="0FD38216" w14:textId="77777777" w:rsidR="002C0958" w:rsidRPr="00B30A12" w:rsidRDefault="002C0958" w:rsidP="00537E23">
      <w:pPr>
        <w:widowControl w:val="0"/>
        <w:rPr>
          <w:color w:val="000000"/>
          <w:sz w:val="22"/>
          <w:szCs w:val="22"/>
        </w:rPr>
      </w:pPr>
    </w:p>
    <w:p w14:paraId="403245AE" w14:textId="77777777" w:rsidR="006615F9" w:rsidRPr="00B30A12" w:rsidRDefault="008F5DF9" w:rsidP="00537E23">
      <w:pPr>
        <w:widowControl w:val="0"/>
        <w:rPr>
          <w:color w:val="000000"/>
          <w:sz w:val="22"/>
          <w:szCs w:val="22"/>
        </w:rPr>
      </w:pPr>
      <w:r w:rsidRPr="00B30A12">
        <w:rPr>
          <w:color w:val="000000"/>
          <w:sz w:val="22"/>
          <w:szCs w:val="22"/>
        </w:rPr>
        <w:lastRenderedPageBreak/>
        <w:t>Es wurden Fälle von Leberschäden, einschließlich Leberversagen und Lebernekrosen berichtet.</w:t>
      </w:r>
      <w:r w:rsidR="00632602" w:rsidRPr="00B30A12">
        <w:rPr>
          <w:color w:val="000000"/>
          <w:sz w:val="22"/>
          <w:szCs w:val="22"/>
        </w:rPr>
        <w:t xml:space="preserve"> Bei der Kombination von</w:t>
      </w:r>
      <w:r w:rsidRPr="00B30A12">
        <w:rPr>
          <w:color w:val="000000"/>
          <w:sz w:val="22"/>
          <w:szCs w:val="22"/>
        </w:rPr>
        <w:t xml:space="preserve"> </w:t>
      </w:r>
      <w:r w:rsidR="002C0958" w:rsidRPr="00B30A12">
        <w:rPr>
          <w:color w:val="000000"/>
          <w:sz w:val="22"/>
          <w:szCs w:val="22"/>
        </w:rPr>
        <w:t xml:space="preserve">Imatinib mit hoch dosierten Chemotherapieschemata </w:t>
      </w:r>
      <w:r w:rsidR="00632602" w:rsidRPr="00B30A12">
        <w:rPr>
          <w:color w:val="000000"/>
          <w:sz w:val="22"/>
          <w:szCs w:val="22"/>
        </w:rPr>
        <w:t>wurde ein</w:t>
      </w:r>
      <w:r w:rsidRPr="00B30A12">
        <w:rPr>
          <w:color w:val="000000"/>
          <w:sz w:val="22"/>
          <w:szCs w:val="22"/>
        </w:rPr>
        <w:t xml:space="preserve"> Anstieg an schwerwiegenden Leberreaktionen festgestellt.</w:t>
      </w:r>
      <w:r w:rsidR="002C0958" w:rsidRPr="00B30A12">
        <w:rPr>
          <w:color w:val="000000"/>
          <w:sz w:val="22"/>
          <w:szCs w:val="22"/>
        </w:rPr>
        <w:t xml:space="preserve"> Die</w:t>
      </w:r>
      <w:r w:rsidRPr="00B30A12">
        <w:rPr>
          <w:color w:val="000000"/>
          <w:sz w:val="22"/>
          <w:szCs w:val="22"/>
        </w:rPr>
        <w:t xml:space="preserve"> </w:t>
      </w:r>
      <w:r w:rsidR="002C0958" w:rsidRPr="00B30A12">
        <w:rPr>
          <w:color w:val="000000"/>
          <w:sz w:val="22"/>
          <w:szCs w:val="22"/>
        </w:rPr>
        <w:t>Leberfunktion</w:t>
      </w:r>
      <w:r w:rsidRPr="00B30A12">
        <w:rPr>
          <w:color w:val="000000"/>
          <w:sz w:val="22"/>
          <w:szCs w:val="22"/>
        </w:rPr>
        <w:t xml:space="preserve"> sollte sorgfältig überwacht werden</w:t>
      </w:r>
      <w:r w:rsidR="002C0958" w:rsidRPr="00B30A12">
        <w:rPr>
          <w:color w:val="000000"/>
          <w:sz w:val="22"/>
          <w:szCs w:val="22"/>
        </w:rPr>
        <w:t>, wenn Imatinib mit Chemotherapieschemata kombiniert wird, die bekanntermaßen eine Leberfunktionsstörung hervorrufen können (siehe Abschnitte 4.5 und 4.8).</w:t>
      </w:r>
    </w:p>
    <w:p w14:paraId="63A80D2F" w14:textId="77777777" w:rsidR="002C0958" w:rsidRPr="00B30A12" w:rsidRDefault="002C0958" w:rsidP="00537E23">
      <w:pPr>
        <w:widowControl w:val="0"/>
        <w:rPr>
          <w:color w:val="000000"/>
          <w:sz w:val="22"/>
          <w:szCs w:val="22"/>
        </w:rPr>
      </w:pPr>
    </w:p>
    <w:p w14:paraId="410EB045"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Flüssigkeitsretention</w:t>
      </w:r>
    </w:p>
    <w:p w14:paraId="6B8D2BFE" w14:textId="77777777" w:rsidR="006615F9" w:rsidRPr="00B30A12" w:rsidRDefault="006615F9" w:rsidP="00537E23">
      <w:pPr>
        <w:widowControl w:val="0"/>
        <w:rPr>
          <w:color w:val="000000"/>
          <w:sz w:val="22"/>
          <w:szCs w:val="22"/>
        </w:rPr>
      </w:pPr>
      <w:r w:rsidRPr="00B30A12">
        <w:rPr>
          <w:color w:val="000000"/>
          <w:sz w:val="22"/>
          <w:szCs w:val="22"/>
        </w:rPr>
        <w:t>Bei etwa 2</w:t>
      </w:r>
      <w:r w:rsidR="00437A19" w:rsidRPr="00B30A12">
        <w:rPr>
          <w:color w:val="000000"/>
          <w:sz w:val="22"/>
          <w:szCs w:val="22"/>
        </w:rPr>
        <w:t>,5</w:t>
      </w:r>
      <w:r w:rsidR="006766AC" w:rsidRPr="00B30A12">
        <w:rPr>
          <w:color w:val="000000"/>
          <w:sz w:val="22"/>
          <w:szCs w:val="22"/>
        </w:rPr>
        <w:t>%</w:t>
      </w:r>
      <w:r w:rsidRPr="00B30A12">
        <w:rPr>
          <w:color w:val="000000"/>
          <w:sz w:val="22"/>
          <w:szCs w:val="22"/>
        </w:rPr>
        <w:t xml:space="preserve"> der Patienten </w:t>
      </w:r>
      <w:r w:rsidR="00437A19" w:rsidRPr="00B30A12">
        <w:rPr>
          <w:color w:val="000000"/>
          <w:sz w:val="22"/>
          <w:szCs w:val="22"/>
        </w:rPr>
        <w:t xml:space="preserve">mit neu diagnostizierter CML </w:t>
      </w:r>
      <w:r w:rsidRPr="00B30A12">
        <w:rPr>
          <w:color w:val="000000"/>
          <w:sz w:val="22"/>
          <w:szCs w:val="22"/>
        </w:rPr>
        <w:t>wurde nach Einnahme von Glivec über das Auftreten einer schweren Flüssigkeitsretention (Pleuraerguss, Ödem, Lungenödem, Aszites</w:t>
      </w:r>
      <w:r w:rsidR="002D31D9" w:rsidRPr="00B30A12">
        <w:rPr>
          <w:color w:val="000000"/>
          <w:sz w:val="22"/>
          <w:szCs w:val="22"/>
        </w:rPr>
        <w:t>, oberflächliches Ödem</w:t>
      </w:r>
      <w:r w:rsidRPr="00B30A12">
        <w:rPr>
          <w:color w:val="000000"/>
          <w:sz w:val="22"/>
          <w:szCs w:val="22"/>
        </w:rPr>
        <w:t>) berichtet. Es wird daher das regelmä</w:t>
      </w:r>
      <w:r w:rsidRPr="00B30A12">
        <w:rPr>
          <w:color w:val="000000"/>
          <w:sz w:val="22"/>
          <w:szCs w:val="22"/>
        </w:rPr>
        <w:softHyphen/>
        <w:t>ßige Wiegen der Patienten dringend empfohlen. Eine unerwartete schnelle Gewichtszunahme muss sorg</w:t>
      </w:r>
      <w:r w:rsidRPr="00B30A12">
        <w:rPr>
          <w:color w:val="000000"/>
          <w:sz w:val="22"/>
          <w:szCs w:val="22"/>
        </w:rPr>
        <w:softHyphen/>
        <w:t>fältig untersucht und soweit erforderlich müssen eine geeignete unterstützende Behandlung und thera</w:t>
      </w:r>
      <w:r w:rsidRPr="00B30A12">
        <w:rPr>
          <w:color w:val="000000"/>
          <w:sz w:val="22"/>
          <w:szCs w:val="22"/>
        </w:rPr>
        <w:softHyphen/>
        <w:t>peutische Maßnahmen eingeleitet werden. In klinischen Studien war die Häufigkeit dieser Ereignisse bei älteren P</w:t>
      </w:r>
      <w:r w:rsidR="007A247D" w:rsidRPr="00B30A12">
        <w:rPr>
          <w:color w:val="000000"/>
          <w:sz w:val="22"/>
          <w:szCs w:val="22"/>
        </w:rPr>
        <w:t>ersonen</w:t>
      </w:r>
      <w:r w:rsidRPr="00B30A12">
        <w:rPr>
          <w:color w:val="000000"/>
          <w:sz w:val="22"/>
          <w:szCs w:val="22"/>
        </w:rPr>
        <w:t xml:space="preserve"> und bei Patienten mit Herzerkrankungen in der Vorgeschichte erhöht. Daher ist bei Patienten mit kardialen Funktionsstörungen Vorsicht angezeigt.</w:t>
      </w:r>
    </w:p>
    <w:p w14:paraId="21DDA2D1" w14:textId="77777777" w:rsidR="006615F9" w:rsidRPr="00B30A12" w:rsidRDefault="006615F9" w:rsidP="00537E23">
      <w:pPr>
        <w:widowControl w:val="0"/>
        <w:rPr>
          <w:color w:val="000000"/>
          <w:sz w:val="22"/>
          <w:szCs w:val="22"/>
        </w:rPr>
      </w:pPr>
    </w:p>
    <w:p w14:paraId="4EBBE2FF"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Patienten mit Herzerkrankungen</w:t>
      </w:r>
    </w:p>
    <w:p w14:paraId="19003DE3" w14:textId="77777777" w:rsidR="007F4DDE" w:rsidRPr="00B30A12" w:rsidRDefault="007F4DDE" w:rsidP="00537E23">
      <w:pPr>
        <w:widowControl w:val="0"/>
        <w:rPr>
          <w:color w:val="000000"/>
          <w:sz w:val="22"/>
          <w:szCs w:val="22"/>
        </w:rPr>
      </w:pPr>
      <w:r w:rsidRPr="00B30A12">
        <w:rPr>
          <w:color w:val="000000"/>
          <w:sz w:val="22"/>
          <w:szCs w:val="22"/>
        </w:rPr>
        <w:t>Patienten mit Herzerkrankungen</w:t>
      </w:r>
      <w:r w:rsidR="00FC34C1" w:rsidRPr="00B30A12">
        <w:rPr>
          <w:color w:val="000000"/>
          <w:sz w:val="22"/>
          <w:szCs w:val="22"/>
        </w:rPr>
        <w:t>,</w:t>
      </w:r>
      <w:r w:rsidRPr="00B30A12">
        <w:rPr>
          <w:color w:val="000000"/>
          <w:sz w:val="22"/>
          <w:szCs w:val="22"/>
        </w:rPr>
        <w:t xml:space="preserve"> Risikofaktoren für eine Herzinsuffizienz</w:t>
      </w:r>
      <w:r w:rsidR="00FC34C1" w:rsidRPr="00B30A12">
        <w:rPr>
          <w:color w:val="000000"/>
          <w:sz w:val="22"/>
          <w:szCs w:val="22"/>
        </w:rPr>
        <w:t xml:space="preserve"> oder </w:t>
      </w:r>
      <w:r w:rsidR="00DF24C8" w:rsidRPr="00B30A12">
        <w:rPr>
          <w:color w:val="000000"/>
          <w:sz w:val="22"/>
          <w:szCs w:val="22"/>
        </w:rPr>
        <w:t>mit Niereninsuffizienz</w:t>
      </w:r>
      <w:r w:rsidRPr="00B30A12">
        <w:rPr>
          <w:color w:val="000000"/>
          <w:sz w:val="22"/>
          <w:szCs w:val="22"/>
        </w:rPr>
        <w:t xml:space="preserve"> </w:t>
      </w:r>
      <w:r w:rsidR="00BC16EB" w:rsidRPr="00B30A12">
        <w:rPr>
          <w:color w:val="000000"/>
          <w:sz w:val="22"/>
          <w:szCs w:val="22"/>
        </w:rPr>
        <w:t xml:space="preserve">in der </w:t>
      </w:r>
      <w:r w:rsidR="000822B7" w:rsidRPr="00B30A12">
        <w:rPr>
          <w:color w:val="000000"/>
          <w:sz w:val="22"/>
          <w:szCs w:val="22"/>
        </w:rPr>
        <w:t>Vorgeschichte</w:t>
      </w:r>
      <w:r w:rsidR="00BC16EB" w:rsidRPr="00B30A12">
        <w:rPr>
          <w:color w:val="000000"/>
          <w:sz w:val="22"/>
          <w:szCs w:val="22"/>
        </w:rPr>
        <w:t xml:space="preserve"> </w:t>
      </w:r>
      <w:r w:rsidRPr="00B30A12">
        <w:rPr>
          <w:color w:val="000000"/>
          <w:sz w:val="22"/>
          <w:szCs w:val="22"/>
        </w:rPr>
        <w:t>sollten sorgfältig überwacht werden. Alle Patienten mit Anzeichen oder Symptomen, die auf eine Herz</w:t>
      </w:r>
      <w:r w:rsidR="00DF24C8" w:rsidRPr="00B30A12">
        <w:rPr>
          <w:color w:val="000000"/>
          <w:sz w:val="22"/>
          <w:szCs w:val="22"/>
        </w:rPr>
        <w:t>-oder Nieren</w:t>
      </w:r>
      <w:r w:rsidRPr="00B30A12">
        <w:rPr>
          <w:color w:val="000000"/>
          <w:sz w:val="22"/>
          <w:szCs w:val="22"/>
        </w:rPr>
        <w:t>insuffizienz hindeuten, sollten untersucht und entsprechend behandelt werden.</w:t>
      </w:r>
    </w:p>
    <w:p w14:paraId="3952DA7F" w14:textId="77777777" w:rsidR="007F4DDE" w:rsidRPr="00B30A12" w:rsidRDefault="007F4DDE" w:rsidP="00537E23">
      <w:pPr>
        <w:widowControl w:val="0"/>
        <w:rPr>
          <w:color w:val="000000"/>
          <w:sz w:val="22"/>
          <w:szCs w:val="22"/>
        </w:rPr>
      </w:pPr>
    </w:p>
    <w:p w14:paraId="3A951A58" w14:textId="77777777" w:rsidR="00DD4EDD" w:rsidRPr="00B30A12" w:rsidRDefault="007F4DDE" w:rsidP="00537E23">
      <w:pPr>
        <w:widowControl w:val="0"/>
        <w:rPr>
          <w:color w:val="000000"/>
          <w:sz w:val="22"/>
          <w:szCs w:val="22"/>
        </w:rPr>
      </w:pPr>
      <w:r w:rsidRPr="00B30A12">
        <w:rPr>
          <w:color w:val="000000"/>
          <w:sz w:val="22"/>
          <w:szCs w:val="22"/>
        </w:rPr>
        <w:t xml:space="preserve">Bei Patienten mit hypereosinophilem Syndrom (HES) mit </w:t>
      </w:r>
      <w:r w:rsidR="00096596" w:rsidRPr="00B30A12">
        <w:rPr>
          <w:color w:val="000000"/>
          <w:sz w:val="22"/>
          <w:szCs w:val="22"/>
        </w:rPr>
        <w:t>okkulter Infiltration</w:t>
      </w:r>
      <w:r w:rsidR="00DD4EDD" w:rsidRPr="00B30A12">
        <w:rPr>
          <w:color w:val="000000"/>
          <w:sz w:val="22"/>
          <w:szCs w:val="22"/>
        </w:rPr>
        <w:t xml:space="preserve"> von HES-Zellen innerhalb des Myokards</w:t>
      </w:r>
      <w:r w:rsidRPr="00B30A12">
        <w:rPr>
          <w:color w:val="000000"/>
          <w:sz w:val="22"/>
          <w:szCs w:val="22"/>
        </w:rPr>
        <w:t xml:space="preserve"> wurden Einzelfälle von kardiogenem Schock/Linksherzinsuffizienz mit </w:t>
      </w:r>
      <w:r w:rsidR="00EB5050" w:rsidRPr="00B30A12">
        <w:rPr>
          <w:color w:val="000000"/>
          <w:sz w:val="22"/>
          <w:szCs w:val="22"/>
        </w:rPr>
        <w:t xml:space="preserve">einer </w:t>
      </w:r>
      <w:r w:rsidR="00B15611" w:rsidRPr="00B30A12">
        <w:rPr>
          <w:color w:val="000000"/>
          <w:sz w:val="22"/>
          <w:szCs w:val="22"/>
        </w:rPr>
        <w:t>HES-Zelldegranulation</w:t>
      </w:r>
      <w:r w:rsidR="00DD4EDD" w:rsidRPr="00B30A12">
        <w:rPr>
          <w:color w:val="000000"/>
          <w:sz w:val="22"/>
          <w:szCs w:val="22"/>
        </w:rPr>
        <w:t xml:space="preserve"> </w:t>
      </w:r>
      <w:r w:rsidR="00B15611" w:rsidRPr="00B30A12">
        <w:rPr>
          <w:color w:val="000000"/>
          <w:sz w:val="22"/>
          <w:szCs w:val="22"/>
        </w:rPr>
        <w:t>nach</w:t>
      </w:r>
      <w:r w:rsidR="00DD4EDD" w:rsidRPr="00B30A12">
        <w:rPr>
          <w:color w:val="000000"/>
          <w:sz w:val="22"/>
          <w:szCs w:val="22"/>
        </w:rPr>
        <w:t xml:space="preserve"> </w:t>
      </w:r>
      <w:r w:rsidRPr="00B30A12">
        <w:rPr>
          <w:color w:val="000000"/>
          <w:sz w:val="22"/>
          <w:szCs w:val="22"/>
        </w:rPr>
        <w:t>dem Beginn der Imatinib-Therapie in Verbindung gebracht. Es wurde berichtet, dass der Zustand durch Gabe systemischer Steroide, kreislaufstützende Maßnahmen und vorübergehendes Absetzen von Imatinib reversibel war. Da gelegentlich kardiale Nebenwirkungen im Zusammenhang mit Imatinib berichtet wurden, sollte bei HES/</w:t>
      </w:r>
      <w:smartTag w:uri="urn:schemas-microsoft-com:office:smarttags" w:element="stockticker">
        <w:r w:rsidRPr="00B30A12">
          <w:rPr>
            <w:color w:val="000000"/>
            <w:sz w:val="22"/>
            <w:szCs w:val="22"/>
          </w:rPr>
          <w:t>CEL</w:t>
        </w:r>
      </w:smartTag>
      <w:r w:rsidRPr="00B30A12">
        <w:rPr>
          <w:color w:val="000000"/>
          <w:sz w:val="22"/>
          <w:szCs w:val="22"/>
        </w:rPr>
        <w:t>-Patienten vor Beginn der Behandlung eine sorgfältige Nutzen-Risiko-Abschätzung erwogen werden.</w:t>
      </w:r>
    </w:p>
    <w:p w14:paraId="05208481" w14:textId="77777777" w:rsidR="00DD4EDD" w:rsidRPr="00B30A12" w:rsidRDefault="00DD4EDD" w:rsidP="00537E23">
      <w:pPr>
        <w:widowControl w:val="0"/>
        <w:rPr>
          <w:color w:val="000000"/>
          <w:sz w:val="22"/>
          <w:szCs w:val="22"/>
        </w:rPr>
      </w:pPr>
    </w:p>
    <w:p w14:paraId="4B87F6DE" w14:textId="77777777" w:rsidR="00712DEA" w:rsidRPr="00B30A12" w:rsidRDefault="00712DEA" w:rsidP="00537E23">
      <w:pPr>
        <w:widowControl w:val="0"/>
        <w:rPr>
          <w:color w:val="000000"/>
          <w:sz w:val="22"/>
          <w:szCs w:val="22"/>
        </w:rPr>
      </w:pPr>
      <w:r w:rsidRPr="00B30A12">
        <w:rPr>
          <w:color w:val="000000"/>
          <w:sz w:val="22"/>
          <w:szCs w:val="22"/>
        </w:rPr>
        <w:t>Myelodysplastische/myeloproliferative Erkrankungen mit PDGFR-Genumlagerungen können von hohen Werten eosinophiler Granulozyten begleitet sein. Daher sollten vor der Gabe von Imatinib die Untersuchung durch einen Kardiologen, die Aufnahme eines Echokardiogramms und die Bestimmung von Serum-Troponin bei 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sowie mit </w:t>
      </w:r>
      <w:smartTag w:uri="urn:schemas-microsoft-com:office:smarttags" w:element="stockticker">
        <w:r w:rsidRPr="00B30A12">
          <w:rPr>
            <w:color w:val="000000"/>
            <w:sz w:val="22"/>
            <w:szCs w:val="22"/>
          </w:rPr>
          <w:t>MDS</w:t>
        </w:r>
      </w:smartTag>
      <w:r w:rsidRPr="00B30A12">
        <w:rPr>
          <w:color w:val="000000"/>
          <w:sz w:val="22"/>
          <w:szCs w:val="22"/>
        </w:rPr>
        <w:t>/MPD in Verbindung mit hohen Eosinophilen-Werten erwogen werden. Wenn einer der Befunde anormal ist, sollten eine weitere Untersuchung durch einen Kardiologen sowie zu Beginn der Therapie prophylaktisch die gleichzeitige Gabe von systemischen Steroiden (1</w:t>
      </w:r>
      <w:r w:rsidRPr="00B30A12">
        <w:rPr>
          <w:color w:val="000000"/>
          <w:sz w:val="22"/>
          <w:szCs w:val="22"/>
        </w:rPr>
        <w:noBreakHyphen/>
        <w:t>2 mg/kg) über ein bis zwei Wochen gemeinsam mit Imatinib erwogen werden.</w:t>
      </w:r>
    </w:p>
    <w:p w14:paraId="3A1690B8" w14:textId="77777777" w:rsidR="007F4DDE" w:rsidRPr="00B30A12" w:rsidRDefault="007F4DDE" w:rsidP="00537E23">
      <w:pPr>
        <w:widowControl w:val="0"/>
        <w:rPr>
          <w:color w:val="000000"/>
          <w:sz w:val="22"/>
          <w:szCs w:val="22"/>
        </w:rPr>
      </w:pPr>
    </w:p>
    <w:p w14:paraId="0EBAB62B"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Gastrointestinale Blutungen</w:t>
      </w:r>
    </w:p>
    <w:p w14:paraId="2BEB4280" w14:textId="77777777" w:rsidR="006615F9" w:rsidRPr="00B30A12" w:rsidRDefault="007356AA" w:rsidP="00537E23">
      <w:pPr>
        <w:widowControl w:val="0"/>
        <w:rPr>
          <w:color w:val="000000"/>
          <w:sz w:val="22"/>
          <w:szCs w:val="22"/>
        </w:rPr>
      </w:pPr>
      <w:r w:rsidRPr="00B30A12">
        <w:rPr>
          <w:color w:val="000000"/>
          <w:sz w:val="22"/>
          <w:szCs w:val="22"/>
        </w:rPr>
        <w:t>In der Studie an Patienten mit nicht-resezierbaren und/oder metastasierten GIST wurden sowohl gastrointestinale als auch intratumorale Blutungen beobachtet (siehe Abschnitt 4.8).</w:t>
      </w:r>
      <w:r w:rsidR="006615F9" w:rsidRPr="00B30A12">
        <w:rPr>
          <w:color w:val="000000"/>
          <w:sz w:val="22"/>
          <w:szCs w:val="22"/>
        </w:rPr>
        <w:t xml:space="preserve"> Ausgehend von den verfügbaren Daten wurden keine Risikofaktoren (</w:t>
      </w:r>
      <w:r w:rsidR="00E3183D" w:rsidRPr="00B30A12">
        <w:rPr>
          <w:color w:val="000000"/>
          <w:sz w:val="22"/>
          <w:szCs w:val="22"/>
        </w:rPr>
        <w:t>z. B.</w:t>
      </w:r>
      <w:r w:rsidR="006615F9" w:rsidRPr="00B30A12">
        <w:rPr>
          <w:color w:val="000000"/>
          <w:sz w:val="22"/>
          <w:szCs w:val="22"/>
        </w:rPr>
        <w:t xml:space="preserve"> Tumorgröße, Tumorlokalisation, Gerinnungsstörungen) dafür gefunden, dass Patienten mit GIST einem höheren Risiko für eine der beiden Blutungsarten ausgesetzt sind. Da eine erhöhte Gefäßversor</w:t>
      </w:r>
      <w:r w:rsidR="006615F9" w:rsidRPr="00B30A12">
        <w:rPr>
          <w:color w:val="000000"/>
          <w:sz w:val="22"/>
          <w:szCs w:val="22"/>
        </w:rPr>
        <w:softHyphen/>
        <w:t>gung und Blutungswahrscheinlichkeit Teil der Eigenschaften und des klinischen Verlaufs von GIST sind, sollten bei allen Patienten Standardvorgehensweisen und Maßnahmen für die Überwachung und Behandlung von Blutungen angewendet werden.</w:t>
      </w:r>
    </w:p>
    <w:p w14:paraId="7B62E8C9" w14:textId="77777777" w:rsidR="00DB563D" w:rsidRPr="00B30A12" w:rsidRDefault="00DB563D" w:rsidP="00537E23">
      <w:pPr>
        <w:widowControl w:val="0"/>
        <w:rPr>
          <w:color w:val="000000"/>
          <w:sz w:val="22"/>
          <w:szCs w:val="22"/>
        </w:rPr>
      </w:pPr>
    </w:p>
    <w:p w14:paraId="1C896161" w14:textId="77777777" w:rsidR="00DB563D" w:rsidRPr="00B30A12" w:rsidRDefault="00DB563D" w:rsidP="00537E23">
      <w:pPr>
        <w:widowControl w:val="0"/>
        <w:rPr>
          <w:color w:val="000000"/>
          <w:sz w:val="22"/>
          <w:szCs w:val="22"/>
        </w:rPr>
      </w:pPr>
      <w:r w:rsidRPr="00B30A12">
        <w:rPr>
          <w:color w:val="000000"/>
          <w:sz w:val="22"/>
          <w:szCs w:val="22"/>
        </w:rPr>
        <w:t xml:space="preserve">Zusätzlich wurde aufgrund von Erfahrungen nach </w:t>
      </w:r>
      <w:r w:rsidR="008E064E" w:rsidRPr="00B30A12">
        <w:rPr>
          <w:color w:val="000000"/>
          <w:sz w:val="22"/>
          <w:szCs w:val="22"/>
        </w:rPr>
        <w:t>Markteinführung</w:t>
      </w:r>
      <w:r w:rsidRPr="00B30A12">
        <w:rPr>
          <w:color w:val="000000"/>
          <w:sz w:val="22"/>
          <w:szCs w:val="22"/>
        </w:rPr>
        <w:t xml:space="preserve"> über gastral-antrale vaskuläre Ektasie (GAVE), eine seltene Ursache für gastrointestinale Blutungen, bei Patienten </w:t>
      </w:r>
      <w:r w:rsidR="00995BE1" w:rsidRPr="00B30A12">
        <w:rPr>
          <w:color w:val="000000"/>
          <w:sz w:val="22"/>
          <w:szCs w:val="22"/>
        </w:rPr>
        <w:t>mit CML, ALL und anderen Erkrankungen berichtet (siehe Abschnitt 4.8).Falls notwendig</w:t>
      </w:r>
      <w:r w:rsidR="00177CEA" w:rsidRPr="00B30A12">
        <w:rPr>
          <w:color w:val="000000"/>
          <w:sz w:val="22"/>
          <w:szCs w:val="22"/>
        </w:rPr>
        <w:t>,</w:t>
      </w:r>
      <w:r w:rsidR="00995BE1" w:rsidRPr="00B30A12">
        <w:rPr>
          <w:color w:val="000000"/>
          <w:sz w:val="22"/>
          <w:szCs w:val="22"/>
        </w:rPr>
        <w:t xml:space="preserve"> kann ein Abbruch der Behandlung mit Glivec in Betracht gezogen werden.</w:t>
      </w:r>
    </w:p>
    <w:p w14:paraId="5D69918A" w14:textId="77777777" w:rsidR="006615F9" w:rsidRPr="00B30A12" w:rsidRDefault="006615F9" w:rsidP="00537E23">
      <w:pPr>
        <w:widowControl w:val="0"/>
        <w:rPr>
          <w:color w:val="000000"/>
          <w:sz w:val="22"/>
          <w:szCs w:val="22"/>
        </w:rPr>
      </w:pPr>
    </w:p>
    <w:p w14:paraId="36014A07" w14:textId="77777777" w:rsidR="000B356F" w:rsidRPr="00B30A12" w:rsidRDefault="000B356F" w:rsidP="00463D41">
      <w:pPr>
        <w:keepNext/>
        <w:widowControl w:val="0"/>
        <w:rPr>
          <w:color w:val="000000"/>
          <w:sz w:val="22"/>
          <w:szCs w:val="22"/>
          <w:u w:val="single"/>
        </w:rPr>
      </w:pPr>
      <w:r w:rsidRPr="00B30A12">
        <w:rPr>
          <w:color w:val="000000"/>
          <w:sz w:val="22"/>
          <w:szCs w:val="22"/>
          <w:u w:val="single"/>
        </w:rPr>
        <w:t>Tumor-Lyse-Syndrom</w:t>
      </w:r>
    </w:p>
    <w:p w14:paraId="6A81C1C9" w14:textId="77777777" w:rsidR="00552F86" w:rsidRPr="00B30A12" w:rsidRDefault="00C96C83" w:rsidP="00537E23">
      <w:pPr>
        <w:widowControl w:val="0"/>
        <w:rPr>
          <w:color w:val="000000"/>
          <w:sz w:val="22"/>
          <w:szCs w:val="22"/>
        </w:rPr>
      </w:pPr>
      <w:r w:rsidRPr="00B30A12">
        <w:rPr>
          <w:color w:val="000000"/>
          <w:sz w:val="22"/>
          <w:szCs w:val="22"/>
        </w:rPr>
        <w:t xml:space="preserve">Wegen des möglichen Auftretens eines Tumor-Lyse-Syndroms (TLS) wird vor </w:t>
      </w:r>
      <w:r w:rsidR="00E749AC" w:rsidRPr="00B30A12">
        <w:rPr>
          <w:color w:val="000000"/>
          <w:sz w:val="22"/>
          <w:szCs w:val="22"/>
        </w:rPr>
        <w:t>dem</w:t>
      </w:r>
      <w:r w:rsidRPr="00B30A12">
        <w:rPr>
          <w:color w:val="000000"/>
          <w:sz w:val="22"/>
          <w:szCs w:val="22"/>
        </w:rPr>
        <w:t xml:space="preserve"> Therapie</w:t>
      </w:r>
      <w:r w:rsidR="00E749AC" w:rsidRPr="00B30A12">
        <w:rPr>
          <w:color w:val="000000"/>
          <w:sz w:val="22"/>
          <w:szCs w:val="22"/>
        </w:rPr>
        <w:t>beginn</w:t>
      </w:r>
      <w:r w:rsidRPr="00B30A12">
        <w:rPr>
          <w:color w:val="000000"/>
          <w:sz w:val="22"/>
          <w:szCs w:val="22"/>
        </w:rPr>
        <w:t xml:space="preserve"> mit Glivec die Korrektur einer klinisch relevanten Dehydratation und die Behandlung hoher </w:t>
      </w:r>
      <w:r w:rsidRPr="00B30A12">
        <w:rPr>
          <w:color w:val="000000"/>
          <w:sz w:val="22"/>
          <w:szCs w:val="22"/>
        </w:rPr>
        <w:lastRenderedPageBreak/>
        <w:t>Harnsäurespiegel empfohlen</w:t>
      </w:r>
      <w:r w:rsidR="00E24139" w:rsidRPr="00B30A12">
        <w:rPr>
          <w:color w:val="000000"/>
          <w:sz w:val="22"/>
          <w:szCs w:val="22"/>
        </w:rPr>
        <w:t xml:space="preserve"> (siehe Abschnitt 4.8)</w:t>
      </w:r>
      <w:r w:rsidRPr="00B30A12">
        <w:rPr>
          <w:color w:val="000000"/>
          <w:sz w:val="22"/>
          <w:szCs w:val="22"/>
        </w:rPr>
        <w:t>.</w:t>
      </w:r>
    </w:p>
    <w:p w14:paraId="0EF434A8" w14:textId="77777777" w:rsidR="00552F86" w:rsidRPr="00B30A12" w:rsidRDefault="00552F86" w:rsidP="00537E23">
      <w:pPr>
        <w:widowControl w:val="0"/>
        <w:rPr>
          <w:color w:val="000000"/>
          <w:sz w:val="22"/>
          <w:szCs w:val="22"/>
        </w:rPr>
      </w:pPr>
    </w:p>
    <w:p w14:paraId="4994D571" w14:textId="77777777" w:rsidR="00552F86" w:rsidRPr="00B30A12" w:rsidRDefault="00552F86" w:rsidP="00463D41">
      <w:pPr>
        <w:keepNext/>
        <w:widowControl w:val="0"/>
        <w:rPr>
          <w:color w:val="000000"/>
          <w:sz w:val="22"/>
          <w:szCs w:val="22"/>
          <w:u w:val="single"/>
        </w:rPr>
      </w:pPr>
      <w:r w:rsidRPr="00B30A12">
        <w:rPr>
          <w:color w:val="000000"/>
          <w:sz w:val="22"/>
          <w:szCs w:val="22"/>
          <w:u w:val="single"/>
        </w:rPr>
        <w:t>Hepatitis-B-Reaktivierung</w:t>
      </w:r>
    </w:p>
    <w:p w14:paraId="6DCD23AB" w14:textId="77777777" w:rsidR="00552F86" w:rsidRPr="00B30A12" w:rsidRDefault="00552F86" w:rsidP="00537E23">
      <w:pPr>
        <w:widowControl w:val="0"/>
        <w:rPr>
          <w:sz w:val="22"/>
          <w:szCs w:val="22"/>
        </w:rPr>
      </w:pPr>
      <w:r w:rsidRPr="00B30A12">
        <w:rPr>
          <w:color w:val="000000"/>
          <w:sz w:val="22"/>
          <w:szCs w:val="22"/>
        </w:rPr>
        <w:t xml:space="preserve">Bei Patienten, die chronische Träger dieses Virus sind, ist eine Hepatitis-B-Reaktivierung aufgetreten, nachdem sie BCR-ABL-Tyrosinkinase-Inhibitoren erhalten hatten. Einige Fälle führten zu akutem </w:t>
      </w:r>
      <w:r w:rsidR="002333C7" w:rsidRPr="00B30A12">
        <w:rPr>
          <w:sz w:val="22"/>
          <w:szCs w:val="22"/>
        </w:rPr>
        <w:t>Leberversagen oder zu fulminanter Hepatitis, die eine Lebertransplantation notwendig machten oder zum Tod führten.</w:t>
      </w:r>
    </w:p>
    <w:p w14:paraId="71DE4C3B" w14:textId="77777777" w:rsidR="00552F86" w:rsidRPr="00B30A12" w:rsidRDefault="00552F86" w:rsidP="00537E23">
      <w:pPr>
        <w:widowControl w:val="0"/>
        <w:rPr>
          <w:sz w:val="22"/>
          <w:szCs w:val="22"/>
        </w:rPr>
      </w:pPr>
    </w:p>
    <w:p w14:paraId="781F7009" w14:textId="77777777" w:rsidR="002333C7" w:rsidRPr="00B30A12" w:rsidRDefault="002333C7" w:rsidP="00537E23">
      <w:pPr>
        <w:widowControl w:val="0"/>
        <w:rPr>
          <w:sz w:val="22"/>
          <w:szCs w:val="22"/>
          <w:u w:val="single"/>
        </w:rPr>
      </w:pPr>
      <w:r w:rsidRPr="00B30A12">
        <w:rPr>
          <w:sz w:val="22"/>
          <w:szCs w:val="22"/>
        </w:rPr>
        <w:t>Patienten sollten vor Beginn der Behandlung mit Glivec auf eine HBV-Infektion hin untersucht werden. Vor Einleitung der Behandlung bei Patienten mit positiver Hepatitis-B-Serologie (einschließlich jener mit aktiver Erkrankung) sollten Experten für Lebererkrankungen und für die Behandlung von Hepatitis B zurate gezogen werden; dies sollte auch bei Patienten erfolgen, die während der Behandlung positiv auf eine HBV-Infektion getestet werden. HBV-Träger, die mit Glivec behandelt werden, sollten während der Behandlung und über einige Monate nach Ende der Therapie engmaschig bezüglich der Anzeichen und Symptome einer aktiven HBV-Infektion überwacht werden (siehe Abschnitt</w:t>
      </w:r>
      <w:r w:rsidR="00EB60E4" w:rsidRPr="00B30A12">
        <w:rPr>
          <w:sz w:val="22"/>
          <w:szCs w:val="22"/>
        </w:rPr>
        <w:t> </w:t>
      </w:r>
      <w:r w:rsidRPr="00B30A12">
        <w:rPr>
          <w:sz w:val="22"/>
          <w:szCs w:val="22"/>
        </w:rPr>
        <w:t>4.8).</w:t>
      </w:r>
    </w:p>
    <w:p w14:paraId="691A0C2B" w14:textId="77777777" w:rsidR="00E60A37" w:rsidRPr="002A051A" w:rsidRDefault="00E60A37" w:rsidP="00E60A37">
      <w:pPr>
        <w:widowControl w:val="0"/>
        <w:rPr>
          <w:sz w:val="22"/>
          <w:szCs w:val="22"/>
        </w:rPr>
      </w:pPr>
    </w:p>
    <w:p w14:paraId="2751B40D" w14:textId="77777777" w:rsidR="00E60A37" w:rsidRPr="00547136" w:rsidRDefault="00E60A37" w:rsidP="00E60A37">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547136">
        <w:rPr>
          <w:i w:val="0"/>
          <w:color w:val="000000"/>
          <w:szCs w:val="22"/>
          <w:u w:val="single"/>
          <w:lang w:val="de-DE"/>
        </w:rPr>
        <w:t>Phototoxizität</w:t>
      </w:r>
    </w:p>
    <w:p w14:paraId="047515D1" w14:textId="77777777" w:rsidR="002333C7" w:rsidRPr="00816CCA" w:rsidRDefault="009D4270" w:rsidP="000235CB">
      <w:pPr>
        <w:widowControl w:val="0"/>
        <w:rPr>
          <w:sz w:val="22"/>
          <w:szCs w:val="22"/>
        </w:rPr>
      </w:pPr>
      <w:r w:rsidRPr="00547136">
        <w:rPr>
          <w:sz w:val="22"/>
          <w:szCs w:val="22"/>
        </w:rPr>
        <w:t>D</w:t>
      </w:r>
      <w:r w:rsidR="000235CB" w:rsidRPr="00547136">
        <w:rPr>
          <w:sz w:val="22"/>
          <w:szCs w:val="22"/>
        </w:rPr>
        <w:t xml:space="preserve">ie </w:t>
      </w:r>
      <w:r w:rsidR="00E60A37" w:rsidRPr="00547136">
        <w:rPr>
          <w:sz w:val="22"/>
          <w:szCs w:val="22"/>
        </w:rPr>
        <w:t xml:space="preserve">Exposition </w:t>
      </w:r>
      <w:r w:rsidR="000235CB" w:rsidRPr="00547136">
        <w:rPr>
          <w:sz w:val="22"/>
          <w:szCs w:val="22"/>
        </w:rPr>
        <w:t xml:space="preserve">gegenüber direktem Sonnenlicht </w:t>
      </w:r>
      <w:r w:rsidRPr="00547136">
        <w:rPr>
          <w:sz w:val="22"/>
          <w:szCs w:val="22"/>
        </w:rPr>
        <w:t xml:space="preserve">sollte </w:t>
      </w:r>
      <w:r w:rsidR="00E60A37" w:rsidRPr="00547136">
        <w:rPr>
          <w:sz w:val="22"/>
          <w:szCs w:val="22"/>
        </w:rPr>
        <w:t xml:space="preserve">vermieden </w:t>
      </w:r>
      <w:r w:rsidR="000235CB" w:rsidRPr="00547136">
        <w:rPr>
          <w:sz w:val="22"/>
          <w:szCs w:val="22"/>
        </w:rPr>
        <w:t>oder auf ein Minimum reduziert werden</w:t>
      </w:r>
      <w:r w:rsidRPr="00547136">
        <w:rPr>
          <w:sz w:val="22"/>
          <w:szCs w:val="22"/>
        </w:rPr>
        <w:t>, da das Risiko einer Phototoxizität im Zusammenhang mit der Imatinib-Behandlung besteht.</w:t>
      </w:r>
      <w:r w:rsidR="00E60A37" w:rsidRPr="00547136">
        <w:rPr>
          <w:sz w:val="22"/>
          <w:szCs w:val="22"/>
        </w:rPr>
        <w:t xml:space="preserve"> </w:t>
      </w:r>
      <w:r w:rsidR="000235CB" w:rsidRPr="00547136">
        <w:rPr>
          <w:sz w:val="22"/>
          <w:szCs w:val="22"/>
        </w:rPr>
        <w:t>Patienten sollten angewiesen werden</w:t>
      </w:r>
      <w:r w:rsidR="00547136" w:rsidRPr="00547136">
        <w:rPr>
          <w:sz w:val="22"/>
          <w:szCs w:val="22"/>
        </w:rPr>
        <w:t>,</w:t>
      </w:r>
      <w:r w:rsidR="000235CB" w:rsidRPr="00547136">
        <w:rPr>
          <w:sz w:val="22"/>
          <w:szCs w:val="22"/>
        </w:rPr>
        <w:t xml:space="preserve"> </w:t>
      </w:r>
      <w:r w:rsidRPr="00547136">
        <w:rPr>
          <w:sz w:val="22"/>
          <w:szCs w:val="22"/>
        </w:rPr>
        <w:t>M</w:t>
      </w:r>
      <w:r w:rsidR="000235CB" w:rsidRPr="00547136">
        <w:rPr>
          <w:sz w:val="22"/>
          <w:szCs w:val="22"/>
        </w:rPr>
        <w:t>aßnahmen zu ergreifen</w:t>
      </w:r>
      <w:r w:rsidR="00FA07D5" w:rsidRPr="00547136">
        <w:rPr>
          <w:sz w:val="22"/>
          <w:szCs w:val="22"/>
        </w:rPr>
        <w:t>, wie das T</w:t>
      </w:r>
      <w:r w:rsidR="000235CB" w:rsidRPr="00547136">
        <w:rPr>
          <w:sz w:val="22"/>
          <w:szCs w:val="22"/>
        </w:rPr>
        <w:t xml:space="preserve">ragen </w:t>
      </w:r>
      <w:r w:rsidRPr="00547136">
        <w:rPr>
          <w:sz w:val="22"/>
          <w:szCs w:val="22"/>
        </w:rPr>
        <w:t>vor Sonne</w:t>
      </w:r>
      <w:r w:rsidR="00547136" w:rsidRPr="00547136">
        <w:rPr>
          <w:sz w:val="22"/>
          <w:szCs w:val="22"/>
        </w:rPr>
        <w:t>nlicht</w:t>
      </w:r>
      <w:r w:rsidRPr="00547136">
        <w:rPr>
          <w:sz w:val="22"/>
          <w:szCs w:val="22"/>
        </w:rPr>
        <w:t xml:space="preserve"> schützender </w:t>
      </w:r>
      <w:r w:rsidR="000235CB" w:rsidRPr="00547136">
        <w:rPr>
          <w:sz w:val="22"/>
          <w:szCs w:val="22"/>
        </w:rPr>
        <w:t xml:space="preserve">Kleidung und </w:t>
      </w:r>
      <w:r w:rsidR="00816CCA" w:rsidRPr="00547136">
        <w:rPr>
          <w:sz w:val="22"/>
          <w:szCs w:val="22"/>
        </w:rPr>
        <w:t xml:space="preserve">die Verwendung </w:t>
      </w:r>
      <w:r w:rsidR="000235CB" w:rsidRPr="00547136">
        <w:rPr>
          <w:sz w:val="22"/>
          <w:szCs w:val="22"/>
        </w:rPr>
        <w:t>ein</w:t>
      </w:r>
      <w:r w:rsidR="00816CCA" w:rsidRPr="00547136">
        <w:rPr>
          <w:sz w:val="22"/>
          <w:szCs w:val="22"/>
        </w:rPr>
        <w:t>es</w:t>
      </w:r>
      <w:r w:rsidR="000235CB" w:rsidRPr="00547136">
        <w:rPr>
          <w:sz w:val="22"/>
          <w:szCs w:val="22"/>
        </w:rPr>
        <w:t xml:space="preserve"> Sonnenschutzmittel</w:t>
      </w:r>
      <w:r w:rsidRPr="00547136">
        <w:rPr>
          <w:sz w:val="22"/>
          <w:szCs w:val="22"/>
        </w:rPr>
        <w:t>s</w:t>
      </w:r>
      <w:r w:rsidR="000235CB" w:rsidRPr="00547136">
        <w:rPr>
          <w:sz w:val="22"/>
          <w:szCs w:val="22"/>
        </w:rPr>
        <w:t xml:space="preserve"> mit hohem Lichtschutzfaktor (LSF)</w:t>
      </w:r>
      <w:r w:rsidR="00E60A37" w:rsidRPr="00547136">
        <w:rPr>
          <w:sz w:val="22"/>
          <w:szCs w:val="22"/>
        </w:rPr>
        <w:t>.</w:t>
      </w:r>
    </w:p>
    <w:p w14:paraId="1AD2A428" w14:textId="77777777" w:rsidR="00A52EA6" w:rsidRPr="002A051A" w:rsidRDefault="00A52EA6" w:rsidP="00A52EA6">
      <w:pPr>
        <w:widowControl w:val="0"/>
        <w:rPr>
          <w:sz w:val="22"/>
          <w:szCs w:val="22"/>
        </w:rPr>
      </w:pPr>
    </w:p>
    <w:p w14:paraId="1DF052F9" w14:textId="77777777" w:rsidR="00A52EA6" w:rsidRPr="00547136" w:rsidRDefault="00A52EA6" w:rsidP="00A52EA6">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A52EA6">
        <w:rPr>
          <w:i w:val="0"/>
          <w:color w:val="000000"/>
          <w:szCs w:val="22"/>
          <w:u w:val="single"/>
          <w:lang w:val="de-DE"/>
        </w:rPr>
        <w:t>Thrombotische Mikroangiopathie</w:t>
      </w:r>
    </w:p>
    <w:p w14:paraId="27ABD607" w14:textId="77777777" w:rsidR="00A52EA6" w:rsidRPr="00816CCA" w:rsidRDefault="00A52EA6" w:rsidP="00A52EA6">
      <w:pPr>
        <w:widowControl w:val="0"/>
        <w:rPr>
          <w:sz w:val="22"/>
          <w:szCs w:val="22"/>
        </w:rPr>
      </w:pPr>
      <w:r w:rsidRPr="00B30A12">
        <w:rPr>
          <w:color w:val="000000"/>
          <w:sz w:val="22"/>
          <w:szCs w:val="22"/>
        </w:rPr>
        <w:t xml:space="preserve">BCR-ABL-Tyrosinkinase-Inhibitoren </w:t>
      </w:r>
      <w:r w:rsidRPr="00A52EA6">
        <w:rPr>
          <w:sz w:val="22"/>
          <w:szCs w:val="22"/>
        </w:rPr>
        <w:t xml:space="preserve">(TKIs) wurden mit der thrombotischen Mikroangiopathie (TMA) in </w:t>
      </w:r>
      <w:r w:rsidR="00B80FD0">
        <w:rPr>
          <w:sz w:val="22"/>
          <w:szCs w:val="22"/>
        </w:rPr>
        <w:t>Zusammenhang</w:t>
      </w:r>
      <w:r w:rsidRPr="00A52EA6">
        <w:rPr>
          <w:sz w:val="22"/>
          <w:szCs w:val="22"/>
        </w:rPr>
        <w:t xml:space="preserve"> gebracht, </w:t>
      </w:r>
      <w:r w:rsidR="001C0DB5">
        <w:rPr>
          <w:sz w:val="22"/>
          <w:szCs w:val="22"/>
        </w:rPr>
        <w:t xml:space="preserve">unter anderem in </w:t>
      </w:r>
      <w:r w:rsidRPr="00A52EA6">
        <w:rPr>
          <w:sz w:val="22"/>
          <w:szCs w:val="22"/>
        </w:rPr>
        <w:t xml:space="preserve">Einzelfallberichten </w:t>
      </w:r>
      <w:r w:rsidR="001C0DB5">
        <w:rPr>
          <w:sz w:val="22"/>
          <w:szCs w:val="22"/>
        </w:rPr>
        <w:t>zu</w:t>
      </w:r>
      <w:r w:rsidR="006B3D38">
        <w:rPr>
          <w:sz w:val="22"/>
          <w:szCs w:val="22"/>
        </w:rPr>
        <w:t xml:space="preserve"> Glivec (siehe Abschnitt </w:t>
      </w:r>
      <w:r w:rsidRPr="00A52EA6">
        <w:rPr>
          <w:sz w:val="22"/>
          <w:szCs w:val="22"/>
        </w:rPr>
        <w:t xml:space="preserve">4.8). Treten bei einem Patienten, der Glivec </w:t>
      </w:r>
      <w:r w:rsidR="006B3D38">
        <w:rPr>
          <w:sz w:val="22"/>
          <w:szCs w:val="22"/>
        </w:rPr>
        <w:t>einnimmt</w:t>
      </w:r>
      <w:r w:rsidRPr="00A52EA6">
        <w:rPr>
          <w:sz w:val="22"/>
          <w:szCs w:val="22"/>
        </w:rPr>
        <w:t xml:space="preserve">, Labor- oder klinische Befunde </w:t>
      </w:r>
      <w:r w:rsidR="001C0DB5">
        <w:rPr>
          <w:sz w:val="22"/>
          <w:szCs w:val="22"/>
        </w:rPr>
        <w:t>auf, die</w:t>
      </w:r>
      <w:r w:rsidRPr="00A52EA6">
        <w:rPr>
          <w:sz w:val="22"/>
          <w:szCs w:val="22"/>
        </w:rPr>
        <w:t xml:space="preserve"> mit TMA </w:t>
      </w:r>
      <w:r w:rsidR="001C0DB5">
        <w:rPr>
          <w:sz w:val="22"/>
          <w:szCs w:val="22"/>
        </w:rPr>
        <w:t>zusammenhängen</w:t>
      </w:r>
      <w:r w:rsidRPr="00A52EA6">
        <w:rPr>
          <w:sz w:val="22"/>
          <w:szCs w:val="22"/>
        </w:rPr>
        <w:t xml:space="preserve">, sollte die Behandlung abgebrochen und eine gründliche </w:t>
      </w:r>
      <w:r w:rsidR="001C0DB5">
        <w:rPr>
          <w:sz w:val="22"/>
          <w:szCs w:val="22"/>
        </w:rPr>
        <w:t>Untersuchung auf</w:t>
      </w:r>
      <w:r w:rsidRPr="00A52EA6">
        <w:rPr>
          <w:sz w:val="22"/>
          <w:szCs w:val="22"/>
        </w:rPr>
        <w:t xml:space="preserve"> TMA, einschließlich </w:t>
      </w:r>
      <w:r w:rsidR="00B80FD0">
        <w:rPr>
          <w:sz w:val="22"/>
          <w:szCs w:val="22"/>
        </w:rPr>
        <w:t xml:space="preserve">der Bestimmung der </w:t>
      </w:r>
      <w:r w:rsidRPr="00A52EA6">
        <w:rPr>
          <w:sz w:val="22"/>
          <w:szCs w:val="22"/>
        </w:rPr>
        <w:t xml:space="preserve">ADAMTS13-Aktivität und </w:t>
      </w:r>
      <w:r w:rsidR="00B80FD0">
        <w:rPr>
          <w:sz w:val="22"/>
          <w:szCs w:val="22"/>
        </w:rPr>
        <w:t xml:space="preserve">von </w:t>
      </w:r>
      <w:r w:rsidRPr="00A52EA6">
        <w:rPr>
          <w:sz w:val="22"/>
          <w:szCs w:val="22"/>
        </w:rPr>
        <w:t>A</w:t>
      </w:r>
      <w:r w:rsidR="001C0DB5">
        <w:rPr>
          <w:sz w:val="22"/>
          <w:szCs w:val="22"/>
        </w:rPr>
        <w:t>nti</w:t>
      </w:r>
      <w:r w:rsidR="001C0DB5">
        <w:rPr>
          <w:sz w:val="22"/>
          <w:szCs w:val="22"/>
        </w:rPr>
        <w:noBreakHyphen/>
      </w:r>
      <w:r w:rsidR="00B80FD0">
        <w:rPr>
          <w:sz w:val="22"/>
          <w:szCs w:val="22"/>
        </w:rPr>
        <w:t>ADAMTS13-Antikörper</w:t>
      </w:r>
      <w:r w:rsidR="00A14A5C">
        <w:rPr>
          <w:sz w:val="22"/>
          <w:szCs w:val="22"/>
        </w:rPr>
        <w:t>n</w:t>
      </w:r>
      <w:r w:rsidRPr="00A52EA6">
        <w:rPr>
          <w:sz w:val="22"/>
          <w:szCs w:val="22"/>
        </w:rPr>
        <w:t xml:space="preserve">, </w:t>
      </w:r>
      <w:r w:rsidR="001C0DB5">
        <w:rPr>
          <w:sz w:val="22"/>
          <w:szCs w:val="22"/>
        </w:rPr>
        <w:t>durchgeführt</w:t>
      </w:r>
      <w:r w:rsidR="006B3D38">
        <w:rPr>
          <w:sz w:val="22"/>
          <w:szCs w:val="22"/>
        </w:rPr>
        <w:t xml:space="preserve"> werden. Wenn Anti</w:t>
      </w:r>
      <w:r w:rsidR="006B3D38">
        <w:rPr>
          <w:sz w:val="22"/>
          <w:szCs w:val="22"/>
        </w:rPr>
        <w:noBreakHyphen/>
      </w:r>
      <w:r w:rsidRPr="00A52EA6">
        <w:rPr>
          <w:sz w:val="22"/>
          <w:szCs w:val="22"/>
        </w:rPr>
        <w:t xml:space="preserve">ADAMTS13-Antikörper in </w:t>
      </w:r>
      <w:r w:rsidR="000E22AA">
        <w:rPr>
          <w:sz w:val="22"/>
          <w:szCs w:val="22"/>
        </w:rPr>
        <w:t>Verbindung</w:t>
      </w:r>
      <w:r w:rsidRPr="00A52EA6">
        <w:rPr>
          <w:sz w:val="22"/>
          <w:szCs w:val="22"/>
        </w:rPr>
        <w:t xml:space="preserve"> mit einer geringen AD</w:t>
      </w:r>
      <w:r w:rsidR="00B80FD0">
        <w:rPr>
          <w:sz w:val="22"/>
          <w:szCs w:val="22"/>
        </w:rPr>
        <w:t>AMTS13-Aktivität erhöht sind</w:t>
      </w:r>
      <w:r w:rsidRPr="00A52EA6">
        <w:rPr>
          <w:sz w:val="22"/>
          <w:szCs w:val="22"/>
        </w:rPr>
        <w:t>, sollte die Behandlung mit Glivec nicht wieder aufgenommen werden.</w:t>
      </w:r>
    </w:p>
    <w:p w14:paraId="063E8D88" w14:textId="77777777" w:rsidR="00E60A37" w:rsidRPr="00A52EA6" w:rsidRDefault="00E60A37" w:rsidP="00E60A37">
      <w:pPr>
        <w:widowControl w:val="0"/>
        <w:rPr>
          <w:sz w:val="22"/>
          <w:szCs w:val="22"/>
        </w:rPr>
      </w:pPr>
    </w:p>
    <w:p w14:paraId="28C85CB8" w14:textId="77777777" w:rsidR="006615F9" w:rsidRPr="00B30A12" w:rsidRDefault="006615F9" w:rsidP="00463D41">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B30A12">
        <w:rPr>
          <w:i w:val="0"/>
          <w:color w:val="000000"/>
          <w:szCs w:val="22"/>
          <w:u w:val="single"/>
          <w:lang w:val="de-DE"/>
        </w:rPr>
        <w:t>Laboruntersuchungen</w:t>
      </w:r>
    </w:p>
    <w:p w14:paraId="2999CF2B" w14:textId="77777777" w:rsidR="00D72F2D" w:rsidRPr="00B30A12" w:rsidRDefault="006615F9" w:rsidP="00537E23">
      <w:pPr>
        <w:widowControl w:val="0"/>
        <w:rPr>
          <w:color w:val="000000"/>
          <w:sz w:val="22"/>
          <w:szCs w:val="22"/>
        </w:rPr>
      </w:pPr>
      <w:r w:rsidRPr="00B30A12">
        <w:rPr>
          <w:color w:val="000000"/>
          <w:sz w:val="22"/>
          <w:szCs w:val="22"/>
        </w:rPr>
        <w:t>Ein vollständiges Blutbild muss während der Therapie mit Glivec regelmäßig durchgeführt werden. Bei der Behandlung von Patienten mit einer CML mit Glivec können eine Neutropenie oder eine Thrombo</w:t>
      </w:r>
      <w:r w:rsidRPr="00B30A12">
        <w:rPr>
          <w:color w:val="000000"/>
          <w:sz w:val="22"/>
          <w:szCs w:val="22"/>
        </w:rPr>
        <w:softHyphen/>
        <w:t>zytopenie auftreten. Das Auftreten dieser Zytopenien im Blut ist jedoch wahrscheinlich vom Stadium der behandelten Erkrankung abhängig und trat häufiger bei Patienten in der akzelerierten Phase der CML oder der Blastenkrise auf als bei Patienten in der chronischen Phase der CML. Wie in Abschnitt 4.2 empfohlen, kann die Behandlung mit Glivec unterbro</w:t>
      </w:r>
      <w:r w:rsidRPr="00B30A12">
        <w:rPr>
          <w:color w:val="000000"/>
          <w:sz w:val="22"/>
          <w:szCs w:val="22"/>
        </w:rPr>
        <w:softHyphen/>
        <w:t>chen oder die Dosis reduziert werden.</w:t>
      </w:r>
    </w:p>
    <w:p w14:paraId="0CAD73AD" w14:textId="77777777" w:rsidR="006615F9" w:rsidRPr="00B30A12" w:rsidRDefault="006615F9" w:rsidP="00537E23">
      <w:pPr>
        <w:widowControl w:val="0"/>
        <w:rPr>
          <w:color w:val="000000"/>
          <w:sz w:val="22"/>
          <w:szCs w:val="22"/>
        </w:rPr>
      </w:pPr>
    </w:p>
    <w:p w14:paraId="753B5929" w14:textId="77777777" w:rsidR="00D72F2D" w:rsidRPr="00B30A12" w:rsidRDefault="006615F9" w:rsidP="00537E23">
      <w:pPr>
        <w:widowControl w:val="0"/>
        <w:rPr>
          <w:color w:val="000000"/>
          <w:sz w:val="22"/>
          <w:szCs w:val="22"/>
        </w:rPr>
      </w:pPr>
      <w:r w:rsidRPr="00B30A12">
        <w:rPr>
          <w:color w:val="000000"/>
          <w:sz w:val="22"/>
          <w:szCs w:val="22"/>
        </w:rPr>
        <w:t>Bei Patienten, die Glivec erhalten, muss die Leberfunktion (Transaminasen, Bilirubin, alkalische Phosphatase) in regelmäßigen Abständen untersucht werden.</w:t>
      </w:r>
    </w:p>
    <w:p w14:paraId="00D86545" w14:textId="77777777" w:rsidR="006615F9" w:rsidRPr="00B30A12" w:rsidRDefault="006615F9" w:rsidP="00537E23">
      <w:pPr>
        <w:widowControl w:val="0"/>
        <w:rPr>
          <w:color w:val="000000"/>
          <w:sz w:val="22"/>
          <w:szCs w:val="22"/>
        </w:rPr>
      </w:pPr>
    </w:p>
    <w:p w14:paraId="08B1C6C9" w14:textId="77777777" w:rsidR="004D2A30" w:rsidRPr="00B30A12" w:rsidRDefault="00437A19" w:rsidP="00537E23">
      <w:pPr>
        <w:widowControl w:val="0"/>
        <w:rPr>
          <w:color w:val="000000"/>
          <w:sz w:val="22"/>
          <w:szCs w:val="22"/>
        </w:rPr>
      </w:pPr>
      <w:r w:rsidRPr="00B30A12">
        <w:rPr>
          <w:color w:val="000000"/>
          <w:sz w:val="22"/>
          <w:szCs w:val="22"/>
        </w:rPr>
        <w:t>Bei Patienten mit beeinträchtigter Nierenfunktion scheint die Plasmaexposition von Imatinib höher zu sein als bei Patienten mit normaler Nierenfunktion, möglicherweise auf Grund eines erhöhten Plasmaspiegels von alphasaurem Glycoprotein (AGP), einem Imatinib-bindenden Protein</w:t>
      </w:r>
      <w:r w:rsidR="008F564E" w:rsidRPr="00B30A12">
        <w:rPr>
          <w:color w:val="000000"/>
          <w:sz w:val="22"/>
          <w:szCs w:val="22"/>
        </w:rPr>
        <w:t>,</w:t>
      </w:r>
      <w:r w:rsidR="009669BB" w:rsidRPr="00B30A12">
        <w:rPr>
          <w:color w:val="000000"/>
          <w:sz w:val="22"/>
          <w:szCs w:val="22"/>
        </w:rPr>
        <w:t xml:space="preserve"> bei </w:t>
      </w:r>
      <w:r w:rsidR="008F564E" w:rsidRPr="00B30A12">
        <w:rPr>
          <w:color w:val="000000"/>
          <w:sz w:val="22"/>
          <w:szCs w:val="22"/>
        </w:rPr>
        <w:t xml:space="preserve">diesen </w:t>
      </w:r>
      <w:r w:rsidR="009669BB" w:rsidRPr="00B30A12">
        <w:rPr>
          <w:color w:val="000000"/>
          <w:sz w:val="22"/>
          <w:szCs w:val="22"/>
        </w:rPr>
        <w:t xml:space="preserve">Patienten. </w:t>
      </w:r>
      <w:r w:rsidR="008F564E" w:rsidRPr="00B30A12">
        <w:rPr>
          <w:color w:val="000000"/>
          <w:sz w:val="22"/>
          <w:szCs w:val="22"/>
        </w:rPr>
        <w:t>Patienten mit Nieren</w:t>
      </w:r>
      <w:r w:rsidR="004419FA" w:rsidRPr="00B30A12">
        <w:rPr>
          <w:color w:val="000000"/>
          <w:sz w:val="22"/>
          <w:szCs w:val="22"/>
        </w:rPr>
        <w:t>in</w:t>
      </w:r>
      <w:r w:rsidR="008F564E" w:rsidRPr="00B30A12">
        <w:rPr>
          <w:color w:val="000000"/>
          <w:sz w:val="22"/>
          <w:szCs w:val="22"/>
        </w:rPr>
        <w:t xml:space="preserve">suffizienz sollten die minimale Anfangsdosis erhalten. Patienten mit schwerer Niereninsuffizienz sollten mit Vorsicht behandelt werden. </w:t>
      </w:r>
      <w:r w:rsidR="00980A98" w:rsidRPr="00B30A12">
        <w:rPr>
          <w:color w:val="000000"/>
          <w:sz w:val="22"/>
          <w:szCs w:val="22"/>
        </w:rPr>
        <w:t>D</w:t>
      </w:r>
      <w:r w:rsidR="009669BB" w:rsidRPr="00B30A12">
        <w:rPr>
          <w:color w:val="000000"/>
          <w:sz w:val="22"/>
          <w:szCs w:val="22"/>
        </w:rPr>
        <w:t xml:space="preserve">ie </w:t>
      </w:r>
      <w:r w:rsidR="008F564E" w:rsidRPr="00B30A12">
        <w:rPr>
          <w:color w:val="000000"/>
          <w:sz w:val="22"/>
          <w:szCs w:val="22"/>
        </w:rPr>
        <w:t>D</w:t>
      </w:r>
      <w:r w:rsidR="009669BB" w:rsidRPr="00B30A12">
        <w:rPr>
          <w:color w:val="000000"/>
          <w:sz w:val="22"/>
          <w:szCs w:val="22"/>
        </w:rPr>
        <w:t xml:space="preserve">osis </w:t>
      </w:r>
      <w:r w:rsidR="00980A98" w:rsidRPr="00B30A12">
        <w:rPr>
          <w:color w:val="000000"/>
          <w:sz w:val="22"/>
          <w:szCs w:val="22"/>
        </w:rPr>
        <w:t xml:space="preserve">kann </w:t>
      </w:r>
      <w:r w:rsidR="009669BB" w:rsidRPr="00B30A12">
        <w:rPr>
          <w:color w:val="000000"/>
          <w:sz w:val="22"/>
          <w:szCs w:val="22"/>
        </w:rPr>
        <w:t>bei Unverträglichkeit reduziert werden</w:t>
      </w:r>
      <w:r w:rsidR="008F564E" w:rsidRPr="00B30A12">
        <w:rPr>
          <w:color w:val="000000"/>
          <w:sz w:val="22"/>
          <w:szCs w:val="22"/>
        </w:rPr>
        <w:t xml:space="preserve"> (siehe Abschnitte 4.2 und 5.2)</w:t>
      </w:r>
      <w:r w:rsidR="009669BB" w:rsidRPr="00B30A12">
        <w:rPr>
          <w:color w:val="000000"/>
          <w:sz w:val="22"/>
          <w:szCs w:val="22"/>
        </w:rPr>
        <w:t>.</w:t>
      </w:r>
    </w:p>
    <w:p w14:paraId="2723C1C6" w14:textId="77777777" w:rsidR="0089263E" w:rsidRPr="00B30A12" w:rsidRDefault="0089263E" w:rsidP="00537E23">
      <w:pPr>
        <w:widowControl w:val="0"/>
        <w:rPr>
          <w:color w:val="000000"/>
          <w:sz w:val="22"/>
          <w:szCs w:val="22"/>
        </w:rPr>
      </w:pPr>
    </w:p>
    <w:p w14:paraId="21CD831D" w14:textId="77777777" w:rsidR="0089263E" w:rsidRPr="00B30A12" w:rsidRDefault="0089263E" w:rsidP="00537E23">
      <w:pPr>
        <w:widowControl w:val="0"/>
        <w:rPr>
          <w:color w:val="000000"/>
          <w:sz w:val="22"/>
          <w:szCs w:val="22"/>
        </w:rPr>
      </w:pPr>
      <w:r w:rsidRPr="00B30A12">
        <w:rPr>
          <w:color w:val="000000"/>
          <w:sz w:val="22"/>
          <w:szCs w:val="22"/>
        </w:rPr>
        <w:t>Eine Langzeitbehandlung mit Imatinib kann mit einer klinisch signifikanten Verschlechterung der Nier</w:t>
      </w:r>
      <w:r w:rsidR="00770B2B" w:rsidRPr="00B30A12">
        <w:rPr>
          <w:color w:val="000000"/>
          <w:sz w:val="22"/>
          <w:szCs w:val="22"/>
        </w:rPr>
        <w:t>en</w:t>
      </w:r>
      <w:r w:rsidRPr="00B30A12">
        <w:rPr>
          <w:color w:val="000000"/>
          <w:sz w:val="22"/>
          <w:szCs w:val="22"/>
        </w:rPr>
        <w:t>funktion einhergehen. Die Nierenfunktion sollte daher vor Beginn der</w:t>
      </w:r>
      <w:r w:rsidR="00DF2C91" w:rsidRPr="00B30A12">
        <w:rPr>
          <w:color w:val="000000"/>
          <w:sz w:val="22"/>
          <w:szCs w:val="22"/>
        </w:rPr>
        <w:t xml:space="preserve"> Imatinib-Therapie </w:t>
      </w:r>
      <w:r w:rsidR="006604D5" w:rsidRPr="00B30A12">
        <w:rPr>
          <w:color w:val="000000"/>
          <w:sz w:val="22"/>
          <w:szCs w:val="22"/>
        </w:rPr>
        <w:t>bestimmt</w:t>
      </w:r>
      <w:r w:rsidR="00DF2C91" w:rsidRPr="00B30A12">
        <w:rPr>
          <w:color w:val="000000"/>
          <w:sz w:val="22"/>
          <w:szCs w:val="22"/>
        </w:rPr>
        <w:t xml:space="preserve"> und während der Therapie eng</w:t>
      </w:r>
      <w:r w:rsidR="006604D5" w:rsidRPr="00B30A12">
        <w:rPr>
          <w:color w:val="000000"/>
          <w:sz w:val="22"/>
          <w:szCs w:val="22"/>
        </w:rPr>
        <w:t>maschig</w:t>
      </w:r>
      <w:r w:rsidR="00DF2C91" w:rsidRPr="00B30A12">
        <w:rPr>
          <w:color w:val="000000"/>
          <w:sz w:val="22"/>
          <w:szCs w:val="22"/>
        </w:rPr>
        <w:t xml:space="preserve"> überwacht werden, wobei besonders auf Patienten</w:t>
      </w:r>
      <w:r w:rsidR="00F25DC3" w:rsidRPr="00B30A12">
        <w:rPr>
          <w:color w:val="000000"/>
          <w:sz w:val="22"/>
          <w:szCs w:val="22"/>
        </w:rPr>
        <w:t xml:space="preserve"> geachtet werden muss</w:t>
      </w:r>
      <w:r w:rsidR="00DF2C91" w:rsidRPr="00B30A12">
        <w:rPr>
          <w:color w:val="000000"/>
          <w:sz w:val="22"/>
          <w:szCs w:val="22"/>
        </w:rPr>
        <w:t>, die Risikofaktoren für eine Niereninsuffizienz aufweisen.</w:t>
      </w:r>
      <w:r w:rsidR="00F25DC3" w:rsidRPr="00B30A12">
        <w:rPr>
          <w:color w:val="000000"/>
          <w:sz w:val="22"/>
          <w:szCs w:val="22"/>
        </w:rPr>
        <w:t xml:space="preserve"> W</w:t>
      </w:r>
      <w:r w:rsidR="009F44AC" w:rsidRPr="00B30A12">
        <w:rPr>
          <w:color w:val="000000"/>
          <w:sz w:val="22"/>
          <w:szCs w:val="22"/>
        </w:rPr>
        <w:t>ird</w:t>
      </w:r>
      <w:r w:rsidR="00F25DC3" w:rsidRPr="00B30A12">
        <w:rPr>
          <w:color w:val="000000"/>
          <w:sz w:val="22"/>
          <w:szCs w:val="22"/>
        </w:rPr>
        <w:t xml:space="preserve"> ein</w:t>
      </w:r>
      <w:r w:rsidR="00770B2B" w:rsidRPr="00B30A12">
        <w:rPr>
          <w:color w:val="000000"/>
          <w:sz w:val="22"/>
          <w:szCs w:val="22"/>
        </w:rPr>
        <w:t>e</w:t>
      </w:r>
      <w:r w:rsidR="00F25DC3" w:rsidRPr="00B30A12">
        <w:rPr>
          <w:color w:val="000000"/>
          <w:sz w:val="22"/>
          <w:szCs w:val="22"/>
        </w:rPr>
        <w:t xml:space="preserve"> </w:t>
      </w:r>
      <w:r w:rsidR="00F25DC3" w:rsidRPr="00B30A12">
        <w:rPr>
          <w:color w:val="000000"/>
          <w:sz w:val="22"/>
          <w:szCs w:val="22"/>
        </w:rPr>
        <w:lastRenderedPageBreak/>
        <w:t>Niereninsuffizienz festgestellt, sollten</w:t>
      </w:r>
      <w:r w:rsidR="00770B2B" w:rsidRPr="00B30A12">
        <w:rPr>
          <w:color w:val="000000"/>
          <w:sz w:val="22"/>
          <w:szCs w:val="22"/>
        </w:rPr>
        <w:t xml:space="preserve"> entsprechend der standardisierten Leitlinien</w:t>
      </w:r>
      <w:r w:rsidR="00F25DC3" w:rsidRPr="00B30A12">
        <w:rPr>
          <w:color w:val="000000"/>
          <w:sz w:val="22"/>
          <w:szCs w:val="22"/>
        </w:rPr>
        <w:t xml:space="preserve"> geeignete Maßnahmen </w:t>
      </w:r>
      <w:r w:rsidR="009F44AC" w:rsidRPr="00B30A12">
        <w:rPr>
          <w:color w:val="000000"/>
          <w:sz w:val="22"/>
          <w:szCs w:val="22"/>
        </w:rPr>
        <w:t xml:space="preserve">ergriffen </w:t>
      </w:r>
      <w:r w:rsidR="00F25DC3" w:rsidRPr="00B30A12">
        <w:rPr>
          <w:color w:val="000000"/>
          <w:sz w:val="22"/>
          <w:szCs w:val="22"/>
        </w:rPr>
        <w:t xml:space="preserve">und </w:t>
      </w:r>
      <w:r w:rsidR="00770B2B" w:rsidRPr="00B30A12">
        <w:rPr>
          <w:color w:val="000000"/>
          <w:sz w:val="22"/>
          <w:szCs w:val="22"/>
        </w:rPr>
        <w:t xml:space="preserve">eine geeignete Behandlung </w:t>
      </w:r>
      <w:r w:rsidR="009F44AC" w:rsidRPr="00B30A12">
        <w:rPr>
          <w:color w:val="000000"/>
          <w:sz w:val="22"/>
          <w:szCs w:val="22"/>
        </w:rPr>
        <w:t>eingeleitet</w:t>
      </w:r>
      <w:r w:rsidR="00770B2B" w:rsidRPr="00B30A12">
        <w:rPr>
          <w:color w:val="000000"/>
          <w:sz w:val="22"/>
          <w:szCs w:val="22"/>
        </w:rPr>
        <w:t xml:space="preserve"> werden.</w:t>
      </w:r>
    </w:p>
    <w:p w14:paraId="642BB7E0" w14:textId="77777777" w:rsidR="004D2A30" w:rsidRPr="00B30A12" w:rsidRDefault="004D2A30" w:rsidP="00537E23">
      <w:pPr>
        <w:widowControl w:val="0"/>
        <w:rPr>
          <w:color w:val="000000"/>
          <w:sz w:val="22"/>
          <w:szCs w:val="22"/>
        </w:rPr>
      </w:pPr>
    </w:p>
    <w:p w14:paraId="7C3A07BE" w14:textId="77777777" w:rsidR="004D2A30" w:rsidRPr="00B30A12" w:rsidRDefault="004D2A30" w:rsidP="00463D41">
      <w:pPr>
        <w:keepNext/>
        <w:widowControl w:val="0"/>
        <w:rPr>
          <w:color w:val="000000"/>
          <w:sz w:val="22"/>
          <w:szCs w:val="22"/>
          <w:u w:val="single"/>
        </w:rPr>
      </w:pPr>
      <w:r w:rsidRPr="00B30A12">
        <w:rPr>
          <w:color w:val="000000"/>
          <w:sz w:val="22"/>
          <w:szCs w:val="22"/>
          <w:u w:val="single"/>
        </w:rPr>
        <w:t>Kinder und Jugendliche</w:t>
      </w:r>
    </w:p>
    <w:p w14:paraId="5947F3D1" w14:textId="77777777" w:rsidR="004D2A30" w:rsidRPr="00B30A12" w:rsidRDefault="004D2A30" w:rsidP="00537E23">
      <w:pPr>
        <w:widowControl w:val="0"/>
        <w:rPr>
          <w:color w:val="000000"/>
          <w:sz w:val="22"/>
          <w:szCs w:val="22"/>
        </w:rPr>
      </w:pPr>
      <w:r w:rsidRPr="00B30A12">
        <w:rPr>
          <w:color w:val="000000"/>
          <w:sz w:val="22"/>
          <w:szCs w:val="22"/>
        </w:rPr>
        <w:t>Es gibt Fallberichte über Wachstumsverzögerung bei Kindern und Jugendlichen</w:t>
      </w:r>
      <w:r w:rsidR="00C23C35" w:rsidRPr="00B30A12">
        <w:rPr>
          <w:color w:val="000000"/>
          <w:sz w:val="22"/>
          <w:szCs w:val="22"/>
        </w:rPr>
        <w:t xml:space="preserve"> vor </w:t>
      </w:r>
      <w:r w:rsidR="00C23C35" w:rsidRPr="009D78AA">
        <w:rPr>
          <w:color w:val="000000"/>
          <w:sz w:val="22"/>
          <w:szCs w:val="22"/>
        </w:rPr>
        <w:t>der Pu</w:t>
      </w:r>
      <w:r w:rsidR="00DC16E3" w:rsidRPr="009D78AA">
        <w:rPr>
          <w:color w:val="000000"/>
          <w:sz w:val="22"/>
          <w:szCs w:val="22"/>
        </w:rPr>
        <w:t>b</w:t>
      </w:r>
      <w:r w:rsidR="00C23C35" w:rsidRPr="009D78AA">
        <w:rPr>
          <w:color w:val="000000"/>
          <w:sz w:val="22"/>
          <w:szCs w:val="22"/>
        </w:rPr>
        <w:t>ertät</w:t>
      </w:r>
      <w:r w:rsidRPr="009D78AA">
        <w:rPr>
          <w:color w:val="000000"/>
          <w:sz w:val="22"/>
          <w:szCs w:val="22"/>
        </w:rPr>
        <w:t xml:space="preserve"> unter Imatinib. </w:t>
      </w:r>
      <w:r w:rsidR="002643A1" w:rsidRPr="009D78AA">
        <w:rPr>
          <w:color w:val="000000"/>
          <w:sz w:val="22"/>
          <w:szCs w:val="22"/>
        </w:rPr>
        <w:t>In einer Beobachtungsstudie bei Kindern und Jugendlichen mit CML</w:t>
      </w:r>
      <w:r w:rsidR="00485026" w:rsidRPr="009D78AA">
        <w:rPr>
          <w:color w:val="000000"/>
          <w:sz w:val="22"/>
          <w:szCs w:val="22"/>
        </w:rPr>
        <w:t xml:space="preserve"> wurde </w:t>
      </w:r>
      <w:r w:rsidR="00E12E83" w:rsidRPr="009D78AA">
        <w:rPr>
          <w:color w:val="000000"/>
          <w:sz w:val="22"/>
          <w:szCs w:val="22"/>
        </w:rPr>
        <w:t xml:space="preserve">ein </w:t>
      </w:r>
      <w:r w:rsidR="00242CC6" w:rsidRPr="009D78AA">
        <w:rPr>
          <w:color w:val="000000"/>
          <w:sz w:val="22"/>
          <w:szCs w:val="22"/>
        </w:rPr>
        <w:t>statistisch signifikanter Rückgang (jedoch mit un</w:t>
      </w:r>
      <w:r w:rsidR="00094B8D" w:rsidRPr="009D78AA">
        <w:rPr>
          <w:color w:val="000000"/>
          <w:sz w:val="22"/>
          <w:szCs w:val="22"/>
        </w:rPr>
        <w:t>klarer</w:t>
      </w:r>
      <w:r w:rsidR="00242CC6" w:rsidRPr="009D78AA">
        <w:rPr>
          <w:color w:val="000000"/>
          <w:sz w:val="22"/>
          <w:szCs w:val="22"/>
        </w:rPr>
        <w:t xml:space="preserve"> klinische</w:t>
      </w:r>
      <w:r w:rsidR="00442653" w:rsidRPr="009D78AA">
        <w:rPr>
          <w:color w:val="000000"/>
          <w:sz w:val="22"/>
          <w:szCs w:val="22"/>
        </w:rPr>
        <w:t>r</w:t>
      </w:r>
      <w:r w:rsidR="00242CC6" w:rsidRPr="009D78AA">
        <w:rPr>
          <w:color w:val="000000"/>
          <w:sz w:val="22"/>
          <w:szCs w:val="22"/>
        </w:rPr>
        <w:t xml:space="preserve"> Relevanz) </w:t>
      </w:r>
      <w:r w:rsidR="00485026" w:rsidRPr="009D78AA">
        <w:rPr>
          <w:color w:val="000000"/>
          <w:sz w:val="22"/>
          <w:szCs w:val="22"/>
        </w:rPr>
        <w:t>der SDS</w:t>
      </w:r>
      <w:r w:rsidR="00C92052" w:rsidRPr="009D78AA">
        <w:rPr>
          <w:color w:val="000000"/>
          <w:sz w:val="22"/>
          <w:szCs w:val="22"/>
        </w:rPr>
        <w:t>-Werte</w:t>
      </w:r>
      <w:r w:rsidR="00485026" w:rsidRPr="009D78AA">
        <w:rPr>
          <w:color w:val="000000"/>
          <w:sz w:val="22"/>
          <w:szCs w:val="22"/>
        </w:rPr>
        <w:t xml:space="preserve"> (</w:t>
      </w:r>
      <w:r w:rsidR="00485026" w:rsidRPr="009D78AA">
        <w:rPr>
          <w:i/>
          <w:color w:val="000000"/>
          <w:sz w:val="22"/>
          <w:szCs w:val="22"/>
        </w:rPr>
        <w:t>standard deviation scores</w:t>
      </w:r>
      <w:r w:rsidR="00485026" w:rsidRPr="009D78AA">
        <w:rPr>
          <w:color w:val="000000"/>
          <w:sz w:val="22"/>
          <w:szCs w:val="22"/>
        </w:rPr>
        <w:t>) der medianen</w:t>
      </w:r>
      <w:r w:rsidR="002643A1" w:rsidRPr="009D78AA">
        <w:rPr>
          <w:color w:val="000000"/>
          <w:sz w:val="22"/>
          <w:szCs w:val="22"/>
        </w:rPr>
        <w:t xml:space="preserve"> Körpergröße</w:t>
      </w:r>
      <w:r w:rsidR="00485026" w:rsidRPr="009D78AA">
        <w:rPr>
          <w:color w:val="000000"/>
          <w:sz w:val="22"/>
          <w:szCs w:val="22"/>
        </w:rPr>
        <w:t xml:space="preserve"> nach 12 und 24 Behandlungsmonaten für </w:t>
      </w:r>
      <w:r w:rsidR="00E12E83" w:rsidRPr="009D78AA">
        <w:rPr>
          <w:color w:val="000000"/>
          <w:sz w:val="22"/>
          <w:szCs w:val="22"/>
        </w:rPr>
        <w:t>zwei</w:t>
      </w:r>
      <w:r w:rsidR="00485026" w:rsidRPr="009D78AA">
        <w:rPr>
          <w:color w:val="000000"/>
          <w:sz w:val="22"/>
          <w:szCs w:val="22"/>
        </w:rPr>
        <w:t xml:space="preserve"> kleine</w:t>
      </w:r>
      <w:r w:rsidR="00485026">
        <w:rPr>
          <w:color w:val="000000"/>
          <w:sz w:val="22"/>
          <w:szCs w:val="22"/>
        </w:rPr>
        <w:t xml:space="preserve"> Untergruppen unabhängig vom Pubertätssta</w:t>
      </w:r>
      <w:r w:rsidR="00E12E83">
        <w:rPr>
          <w:color w:val="000000"/>
          <w:sz w:val="22"/>
          <w:szCs w:val="22"/>
        </w:rPr>
        <w:t>tus</w:t>
      </w:r>
      <w:r w:rsidR="00485026">
        <w:rPr>
          <w:color w:val="000000"/>
          <w:sz w:val="22"/>
          <w:szCs w:val="22"/>
        </w:rPr>
        <w:t xml:space="preserve"> </w:t>
      </w:r>
      <w:r w:rsidR="00E12E83">
        <w:rPr>
          <w:color w:val="000000"/>
          <w:sz w:val="22"/>
          <w:szCs w:val="22"/>
        </w:rPr>
        <w:t xml:space="preserve">oder Geschlecht </w:t>
      </w:r>
      <w:r w:rsidR="00485026">
        <w:rPr>
          <w:color w:val="000000"/>
          <w:sz w:val="22"/>
          <w:szCs w:val="22"/>
        </w:rPr>
        <w:t>berichtet</w:t>
      </w:r>
      <w:r w:rsidR="00E12E83">
        <w:rPr>
          <w:color w:val="000000"/>
          <w:sz w:val="22"/>
          <w:szCs w:val="22"/>
        </w:rPr>
        <w:t>.</w:t>
      </w:r>
      <w:r w:rsidR="00485026">
        <w:rPr>
          <w:color w:val="000000"/>
          <w:sz w:val="22"/>
          <w:szCs w:val="22"/>
        </w:rPr>
        <w:t xml:space="preserve"> </w:t>
      </w:r>
      <w:r w:rsidR="00E12E83">
        <w:rPr>
          <w:color w:val="000000"/>
          <w:sz w:val="22"/>
          <w:szCs w:val="22"/>
        </w:rPr>
        <w:t>E</w:t>
      </w:r>
      <w:r w:rsidRPr="00B30A12">
        <w:rPr>
          <w:color w:val="000000"/>
          <w:sz w:val="22"/>
          <w:szCs w:val="22"/>
        </w:rPr>
        <w:t>ine enge Überwachung des Wachstums bei Kindern während der Imatinib</w:t>
      </w:r>
      <w:r w:rsidR="00C23C35" w:rsidRPr="00B30A12">
        <w:rPr>
          <w:color w:val="000000"/>
          <w:sz w:val="22"/>
          <w:szCs w:val="22"/>
        </w:rPr>
        <w:t>-B</w:t>
      </w:r>
      <w:r w:rsidRPr="00B30A12">
        <w:rPr>
          <w:color w:val="000000"/>
          <w:sz w:val="22"/>
          <w:szCs w:val="22"/>
        </w:rPr>
        <w:t xml:space="preserve">ehandlung </w:t>
      </w:r>
      <w:r w:rsidR="00E12E83">
        <w:rPr>
          <w:color w:val="000000"/>
          <w:sz w:val="22"/>
          <w:szCs w:val="22"/>
        </w:rPr>
        <w:t xml:space="preserve">wird </w:t>
      </w:r>
      <w:r w:rsidRPr="00B30A12">
        <w:rPr>
          <w:color w:val="000000"/>
          <w:sz w:val="22"/>
          <w:szCs w:val="22"/>
        </w:rPr>
        <w:t>empfohlen (siehe Abschnitt 4.8).</w:t>
      </w:r>
    </w:p>
    <w:p w14:paraId="38617311" w14:textId="77777777" w:rsidR="006615F9" w:rsidRPr="00B30A12" w:rsidRDefault="006615F9" w:rsidP="00537E23">
      <w:pPr>
        <w:pStyle w:val="Header"/>
        <w:widowControl w:val="0"/>
        <w:tabs>
          <w:tab w:val="clear" w:pos="4320"/>
          <w:tab w:val="clear" w:pos="8640"/>
        </w:tabs>
        <w:rPr>
          <w:color w:val="000000"/>
          <w:szCs w:val="22"/>
        </w:rPr>
      </w:pPr>
    </w:p>
    <w:p w14:paraId="0D881A5C" w14:textId="77777777" w:rsidR="006615F9" w:rsidRPr="00B30A12" w:rsidRDefault="006615F9" w:rsidP="00463D41">
      <w:pPr>
        <w:keepNext/>
        <w:widowControl w:val="0"/>
        <w:ind w:left="567" w:hanging="567"/>
        <w:rPr>
          <w:b/>
          <w:color w:val="000000"/>
          <w:sz w:val="22"/>
          <w:szCs w:val="22"/>
        </w:rPr>
      </w:pPr>
      <w:r w:rsidRPr="00B30A12">
        <w:rPr>
          <w:b/>
          <w:color w:val="000000"/>
          <w:sz w:val="22"/>
          <w:szCs w:val="22"/>
        </w:rPr>
        <w:t>4.5</w:t>
      </w:r>
      <w:r w:rsidRPr="00B30A12">
        <w:rPr>
          <w:b/>
          <w:color w:val="000000"/>
          <w:sz w:val="22"/>
          <w:szCs w:val="22"/>
        </w:rPr>
        <w:tab/>
        <w:t>Wechselwirkungen mit anderen Arzneimitteln und sonstige Wechselwirkungen</w:t>
      </w:r>
    </w:p>
    <w:p w14:paraId="39680454" w14:textId="77777777" w:rsidR="006615F9" w:rsidRPr="00B30A12" w:rsidRDefault="006615F9" w:rsidP="00463D41">
      <w:pPr>
        <w:pStyle w:val="Header"/>
        <w:keepNext/>
        <w:widowControl w:val="0"/>
        <w:tabs>
          <w:tab w:val="clear" w:pos="4320"/>
          <w:tab w:val="clear" w:pos="8640"/>
        </w:tabs>
        <w:rPr>
          <w:color w:val="000000"/>
          <w:szCs w:val="22"/>
        </w:rPr>
      </w:pPr>
    </w:p>
    <w:p w14:paraId="667ADA3D" w14:textId="77777777" w:rsidR="006615F9" w:rsidRPr="00B30A12" w:rsidRDefault="00667062" w:rsidP="00463D41">
      <w:pPr>
        <w:keepNext/>
        <w:widowControl w:val="0"/>
        <w:rPr>
          <w:color w:val="000000"/>
          <w:sz w:val="22"/>
          <w:szCs w:val="22"/>
          <w:u w:val="single"/>
        </w:rPr>
      </w:pPr>
      <w:r w:rsidRPr="00B30A12">
        <w:rPr>
          <w:color w:val="000000"/>
          <w:sz w:val="22"/>
          <w:szCs w:val="22"/>
          <w:u w:val="single"/>
        </w:rPr>
        <w:t>Wirkstoffe</w:t>
      </w:r>
      <w:r w:rsidR="006615F9" w:rsidRPr="00B30A12">
        <w:rPr>
          <w:color w:val="000000"/>
          <w:sz w:val="22"/>
          <w:szCs w:val="22"/>
          <w:u w:val="single"/>
        </w:rPr>
        <w:t xml:space="preserve">, welche die Plasmakonzentrationen von Imatinib </w:t>
      </w:r>
      <w:r w:rsidR="006615F9" w:rsidRPr="00B30A12">
        <w:rPr>
          <w:b/>
          <w:color w:val="000000"/>
          <w:sz w:val="22"/>
          <w:szCs w:val="22"/>
          <w:u w:val="single"/>
        </w:rPr>
        <w:t xml:space="preserve">erhöhen </w:t>
      </w:r>
      <w:r w:rsidR="006615F9" w:rsidRPr="00B30A12">
        <w:rPr>
          <w:color w:val="000000"/>
          <w:sz w:val="22"/>
          <w:szCs w:val="22"/>
          <w:u w:val="single"/>
        </w:rPr>
        <w:t>können:</w:t>
      </w:r>
    </w:p>
    <w:p w14:paraId="12133A31" w14:textId="77777777" w:rsidR="006615F9" w:rsidRPr="00B30A12" w:rsidRDefault="006615F9" w:rsidP="00537E23">
      <w:pPr>
        <w:widowControl w:val="0"/>
        <w:rPr>
          <w:color w:val="000000"/>
          <w:sz w:val="22"/>
          <w:szCs w:val="22"/>
        </w:rPr>
      </w:pPr>
      <w:r w:rsidRPr="00B30A12">
        <w:rPr>
          <w:color w:val="000000"/>
          <w:sz w:val="22"/>
          <w:szCs w:val="22"/>
        </w:rPr>
        <w:t>Substanzen, welche die Aktivität des Cytochrom</w:t>
      </w:r>
      <w:r w:rsidR="0079386C" w:rsidRPr="00B30A12">
        <w:rPr>
          <w:color w:val="000000"/>
          <w:sz w:val="22"/>
          <w:szCs w:val="22"/>
        </w:rPr>
        <w:t>-</w:t>
      </w:r>
      <w:r w:rsidRPr="00B30A12">
        <w:rPr>
          <w:color w:val="000000"/>
          <w:sz w:val="22"/>
          <w:szCs w:val="22"/>
        </w:rPr>
        <w:t>P450-Isoenzyms CYP3A4 hemmen (</w:t>
      </w:r>
      <w:r w:rsidR="00E3183D" w:rsidRPr="00B30A12">
        <w:rPr>
          <w:color w:val="000000"/>
          <w:sz w:val="22"/>
          <w:szCs w:val="22"/>
        </w:rPr>
        <w:t>z. B.</w:t>
      </w:r>
      <w:r w:rsidRPr="00B30A12">
        <w:rPr>
          <w:color w:val="000000"/>
          <w:sz w:val="22"/>
          <w:szCs w:val="22"/>
        </w:rPr>
        <w:t xml:space="preserve"> </w:t>
      </w:r>
      <w:r w:rsidR="00E5019A" w:rsidRPr="00B30A12">
        <w:rPr>
          <w:color w:val="000000"/>
          <w:sz w:val="22"/>
          <w:szCs w:val="22"/>
        </w:rPr>
        <w:t xml:space="preserve">Proteaseinhibitoren wie Indinavir, Lopinavir/Ritonavir, Ritonavir, Saquinavir, Telaprevir, Nelfinavir, Boceprevir; Azol-Antimykotika einschließlich </w:t>
      </w:r>
      <w:r w:rsidRPr="00B30A12">
        <w:rPr>
          <w:color w:val="000000"/>
          <w:sz w:val="22"/>
          <w:szCs w:val="22"/>
        </w:rPr>
        <w:t>Ketoconazol, Itraconazol,</w:t>
      </w:r>
      <w:r w:rsidR="00BC4BDF" w:rsidRPr="00B30A12">
        <w:rPr>
          <w:color w:val="000000"/>
          <w:sz w:val="22"/>
          <w:szCs w:val="22"/>
        </w:rPr>
        <w:t xml:space="preserve"> Posaconazol, Voriconazol; bestimmte</w:t>
      </w:r>
      <w:r w:rsidR="00E5019A" w:rsidRPr="00B30A12">
        <w:rPr>
          <w:color w:val="000000"/>
          <w:sz w:val="22"/>
          <w:szCs w:val="22"/>
        </w:rPr>
        <w:t xml:space="preserve"> Makrolide wie</w:t>
      </w:r>
      <w:r w:rsidRPr="00B30A12">
        <w:rPr>
          <w:color w:val="000000"/>
          <w:sz w:val="22"/>
          <w:szCs w:val="22"/>
        </w:rPr>
        <w:t xml:space="preserve"> Erythromycin, Clarithromycin</w:t>
      </w:r>
      <w:r w:rsidR="00E5019A" w:rsidRPr="00B30A12">
        <w:rPr>
          <w:color w:val="000000"/>
          <w:sz w:val="22"/>
          <w:szCs w:val="22"/>
        </w:rPr>
        <w:t xml:space="preserve"> und Telithromycin</w:t>
      </w:r>
      <w:r w:rsidRPr="00B30A12">
        <w:rPr>
          <w:color w:val="000000"/>
          <w:sz w:val="22"/>
          <w:szCs w:val="22"/>
        </w:rPr>
        <w:t>), können den Metabolismus von Imatinib vermindern und die Konzentrationen von Imatinib erhöhen. Bei gleichzeitiger Einmalgabe von Ketoconazol (ein CYP3A4-Inhibitor) zeigte sich bei Probanden eine signifikante Erhöhung der Imatinib-Konzentration (Zunahme der mittleren C</w:t>
      </w:r>
      <w:r w:rsidRPr="00B30A12">
        <w:rPr>
          <w:color w:val="000000"/>
          <w:sz w:val="22"/>
          <w:szCs w:val="22"/>
          <w:vertAlign w:val="subscript"/>
        </w:rPr>
        <w:t>max</w:t>
      </w:r>
      <w:r w:rsidRPr="00B30A12">
        <w:rPr>
          <w:color w:val="000000"/>
          <w:sz w:val="22"/>
          <w:szCs w:val="22"/>
        </w:rPr>
        <w:t xml:space="preserve"> und AUC [Area Under the Curve = Fläche unter der Kurve] von Imatinib um 26% bzw. 40%). Vorsicht ist geboten bei gleichzeitiger Gabe von Glivec mit Inhibitoren der CYP3A4-Fami</w:t>
      </w:r>
      <w:r w:rsidRPr="00B30A12">
        <w:rPr>
          <w:color w:val="000000"/>
          <w:sz w:val="22"/>
          <w:szCs w:val="22"/>
        </w:rPr>
        <w:softHyphen/>
        <w:t>lie.</w:t>
      </w:r>
    </w:p>
    <w:p w14:paraId="06AC3016" w14:textId="77777777" w:rsidR="006615F9" w:rsidRPr="00B30A12" w:rsidRDefault="006615F9" w:rsidP="00537E23">
      <w:pPr>
        <w:widowControl w:val="0"/>
        <w:rPr>
          <w:color w:val="000000"/>
          <w:sz w:val="22"/>
          <w:szCs w:val="22"/>
          <w:u w:val="single"/>
        </w:rPr>
      </w:pPr>
    </w:p>
    <w:p w14:paraId="16BD7E02" w14:textId="77777777" w:rsidR="006615F9" w:rsidRPr="00B30A12" w:rsidRDefault="00667062" w:rsidP="00463D41">
      <w:pPr>
        <w:keepNext/>
        <w:widowControl w:val="0"/>
        <w:rPr>
          <w:color w:val="000000"/>
          <w:sz w:val="22"/>
          <w:szCs w:val="22"/>
          <w:u w:val="single"/>
        </w:rPr>
      </w:pPr>
      <w:r w:rsidRPr="00B30A12">
        <w:rPr>
          <w:color w:val="000000"/>
          <w:sz w:val="22"/>
          <w:szCs w:val="22"/>
          <w:u w:val="single"/>
        </w:rPr>
        <w:t>Wirkstoffe</w:t>
      </w:r>
      <w:r w:rsidR="006615F9" w:rsidRPr="00B30A12">
        <w:rPr>
          <w:color w:val="000000"/>
          <w:sz w:val="22"/>
          <w:szCs w:val="22"/>
          <w:u w:val="single"/>
        </w:rPr>
        <w:t xml:space="preserve">, welche die Plasmakonzentrationen von Imatinib </w:t>
      </w:r>
      <w:r w:rsidR="006615F9" w:rsidRPr="00B30A12">
        <w:rPr>
          <w:b/>
          <w:color w:val="000000"/>
          <w:sz w:val="22"/>
          <w:szCs w:val="22"/>
          <w:u w:val="single"/>
        </w:rPr>
        <w:t xml:space="preserve">vermindern </w:t>
      </w:r>
      <w:r w:rsidR="006615F9" w:rsidRPr="00B30A12">
        <w:rPr>
          <w:color w:val="000000"/>
          <w:sz w:val="22"/>
          <w:szCs w:val="22"/>
          <w:u w:val="single"/>
        </w:rPr>
        <w:t>können:</w:t>
      </w:r>
    </w:p>
    <w:p w14:paraId="7E97C72C" w14:textId="77777777" w:rsidR="006615F9"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Substanzen, welche die Cytochrom</w:t>
      </w:r>
      <w:r w:rsidR="00B53510" w:rsidRPr="00B30A12">
        <w:rPr>
          <w:rFonts w:ascii="Times New Roman" w:hAnsi="Times New Roman"/>
          <w:color w:val="000000"/>
          <w:szCs w:val="22"/>
        </w:rPr>
        <w:t>-</w:t>
      </w:r>
      <w:r w:rsidRPr="00B30A12">
        <w:rPr>
          <w:rFonts w:ascii="Times New Roman" w:hAnsi="Times New Roman"/>
          <w:color w:val="000000"/>
          <w:szCs w:val="22"/>
        </w:rPr>
        <w:t>CYP3A4-Aktivität induzieren (</w:t>
      </w:r>
      <w:r w:rsidR="00E3183D" w:rsidRPr="00B30A12">
        <w:rPr>
          <w:rFonts w:ascii="Times New Roman" w:hAnsi="Times New Roman"/>
          <w:color w:val="000000"/>
          <w:szCs w:val="22"/>
        </w:rPr>
        <w:t>z. B.</w:t>
      </w:r>
      <w:r w:rsidRPr="00B30A12">
        <w:rPr>
          <w:rFonts w:ascii="Times New Roman" w:hAnsi="Times New Roman"/>
          <w:color w:val="000000"/>
          <w:szCs w:val="22"/>
        </w:rPr>
        <w:t xml:space="preserve"> Dexamethason, Phenytoin, Carbamazepin, Rifampicin, Phenobarbital</w:t>
      </w:r>
      <w:r w:rsidR="00D11149" w:rsidRPr="00B30A12">
        <w:rPr>
          <w:rFonts w:ascii="Times New Roman" w:hAnsi="Times New Roman"/>
          <w:color w:val="000000"/>
          <w:szCs w:val="22"/>
        </w:rPr>
        <w:t>, Fosphenytoin, Primidon</w:t>
      </w:r>
      <w:r w:rsidRPr="00B30A12">
        <w:rPr>
          <w:rFonts w:ascii="Times New Roman" w:hAnsi="Times New Roman"/>
          <w:color w:val="000000"/>
          <w:szCs w:val="22"/>
        </w:rPr>
        <w:t xml:space="preserve"> oder Johannis</w:t>
      </w:r>
      <w:r w:rsidRPr="00B30A12">
        <w:rPr>
          <w:rFonts w:ascii="Times New Roman" w:hAnsi="Times New Roman"/>
          <w:color w:val="000000"/>
          <w:szCs w:val="22"/>
        </w:rPr>
        <w:softHyphen/>
        <w:t>kraut), können die Imatinib-Konzentration signifikant vermindern. Dadurch kann möglicherweise das Risiko eines Therapieversagens erhöht werden. Die Vorbehandlung mit Mehrfachdosen von 600</w:t>
      </w:r>
      <w:r w:rsidR="001922B0" w:rsidRPr="00B30A12">
        <w:rPr>
          <w:rFonts w:ascii="Times New Roman" w:hAnsi="Times New Roman"/>
          <w:color w:val="000000"/>
          <w:szCs w:val="22"/>
        </w:rPr>
        <w:t> mg</w:t>
      </w:r>
      <w:r w:rsidRPr="00B30A12">
        <w:rPr>
          <w:rFonts w:ascii="Times New Roman" w:hAnsi="Times New Roman"/>
          <w:color w:val="000000"/>
          <w:szCs w:val="22"/>
        </w:rPr>
        <w:t xml:space="preserve"> Rifampicin, gefolgt von einer Einzeldo</w:t>
      </w:r>
      <w:r w:rsidRPr="00B30A12">
        <w:rPr>
          <w:rFonts w:ascii="Times New Roman" w:hAnsi="Times New Roman"/>
          <w:color w:val="000000"/>
          <w:szCs w:val="22"/>
        </w:rPr>
        <w:softHyphen/>
        <w:t>sis von 400</w:t>
      </w:r>
      <w:r w:rsidR="001922B0" w:rsidRPr="00B30A12">
        <w:rPr>
          <w:rFonts w:ascii="Times New Roman" w:hAnsi="Times New Roman"/>
          <w:color w:val="000000"/>
          <w:szCs w:val="22"/>
        </w:rPr>
        <w:t> mg</w:t>
      </w:r>
      <w:r w:rsidRPr="00B30A12">
        <w:rPr>
          <w:rFonts w:ascii="Times New Roman" w:hAnsi="Times New Roman"/>
          <w:color w:val="000000"/>
          <w:szCs w:val="22"/>
        </w:rPr>
        <w:t xml:space="preserve"> Glivec, führte zu einer Abnahme von C</w:t>
      </w:r>
      <w:r w:rsidRPr="00B30A12">
        <w:rPr>
          <w:rFonts w:ascii="Times New Roman" w:hAnsi="Times New Roman"/>
          <w:color w:val="000000"/>
          <w:szCs w:val="22"/>
          <w:vertAlign w:val="subscript"/>
        </w:rPr>
        <w:t>max</w:t>
      </w:r>
      <w:r w:rsidRPr="00B30A12">
        <w:rPr>
          <w:rFonts w:ascii="Times New Roman" w:hAnsi="Times New Roman"/>
          <w:color w:val="000000"/>
          <w:szCs w:val="22"/>
        </w:rPr>
        <w:t xml:space="preserve"> und AUC</w:t>
      </w:r>
      <w:r w:rsidRPr="00B30A12">
        <w:rPr>
          <w:rFonts w:ascii="Times New Roman" w:hAnsi="Times New Roman"/>
          <w:color w:val="000000"/>
          <w:szCs w:val="22"/>
          <w:vertAlign w:val="subscript"/>
        </w:rPr>
        <w:t>(0-∞)</w:t>
      </w:r>
      <w:r w:rsidRPr="00B30A12">
        <w:rPr>
          <w:rFonts w:ascii="Times New Roman" w:hAnsi="Times New Roman"/>
          <w:color w:val="000000"/>
          <w:szCs w:val="22"/>
        </w:rPr>
        <w:t xml:space="preserve"> um mindestens 54</w:t>
      </w:r>
      <w:r w:rsidR="006766AC" w:rsidRPr="00B30A12">
        <w:rPr>
          <w:rFonts w:ascii="Times New Roman" w:hAnsi="Times New Roman"/>
          <w:color w:val="000000"/>
          <w:szCs w:val="22"/>
        </w:rPr>
        <w:t>%</w:t>
      </w:r>
      <w:r w:rsidRPr="00B30A12">
        <w:rPr>
          <w:rFonts w:ascii="Times New Roman" w:hAnsi="Times New Roman"/>
          <w:color w:val="000000"/>
          <w:szCs w:val="22"/>
        </w:rPr>
        <w:t xml:space="preserve"> und 74</w:t>
      </w:r>
      <w:r w:rsidR="006766AC" w:rsidRPr="00B30A12">
        <w:rPr>
          <w:rFonts w:ascii="Times New Roman" w:hAnsi="Times New Roman"/>
          <w:color w:val="000000"/>
          <w:szCs w:val="22"/>
        </w:rPr>
        <w:t>%</w:t>
      </w:r>
      <w:r w:rsidRPr="00B30A12">
        <w:rPr>
          <w:rFonts w:ascii="Times New Roman" w:hAnsi="Times New Roman"/>
          <w:color w:val="000000"/>
          <w:szCs w:val="22"/>
        </w:rPr>
        <w:t xml:space="preserve"> der entsprechenden Werte ohne Rifampicin-Behandlung. </w:t>
      </w:r>
      <w:r w:rsidR="007A521B" w:rsidRPr="00B30A12">
        <w:rPr>
          <w:rFonts w:ascii="Times New Roman" w:hAnsi="Times New Roman"/>
          <w:color w:val="000000"/>
          <w:szCs w:val="22"/>
        </w:rPr>
        <w:t>Vergleichbare Ergebnisse wurden bei Patienten mit malignen Gliomen</w:t>
      </w:r>
      <w:r w:rsidR="003D1CC8" w:rsidRPr="00B30A12">
        <w:rPr>
          <w:rFonts w:ascii="Times New Roman" w:hAnsi="Times New Roman"/>
          <w:color w:val="000000"/>
          <w:szCs w:val="22"/>
        </w:rPr>
        <w:t xml:space="preserve"> beobachtet</w:t>
      </w:r>
      <w:r w:rsidR="007A521B" w:rsidRPr="00B30A12">
        <w:rPr>
          <w:rFonts w:ascii="Times New Roman" w:hAnsi="Times New Roman"/>
          <w:color w:val="000000"/>
          <w:szCs w:val="22"/>
        </w:rPr>
        <w:t xml:space="preserve">, die während der Glivec-Behandlung </w:t>
      </w:r>
      <w:r w:rsidR="006D5838" w:rsidRPr="00B30A12">
        <w:rPr>
          <w:rFonts w:ascii="Times New Roman" w:hAnsi="Times New Roman"/>
          <w:color w:val="000000"/>
          <w:szCs w:val="22"/>
        </w:rPr>
        <w:t>e</w:t>
      </w:r>
      <w:r w:rsidR="007A521B" w:rsidRPr="00B30A12">
        <w:rPr>
          <w:rFonts w:ascii="Times New Roman" w:hAnsi="Times New Roman"/>
          <w:color w:val="000000"/>
          <w:szCs w:val="22"/>
        </w:rPr>
        <w:t xml:space="preserve">nzyminduzierende antiepileptische Substanzen (EIAEDs) wie Carbamazepin, </w:t>
      </w:r>
      <w:r w:rsidR="007356AA" w:rsidRPr="00B30A12">
        <w:rPr>
          <w:rFonts w:ascii="Times New Roman" w:hAnsi="Times New Roman"/>
          <w:color w:val="000000"/>
          <w:szCs w:val="22"/>
        </w:rPr>
        <w:t>Oxcarbazepin</w:t>
      </w:r>
      <w:r w:rsidR="007422AA" w:rsidRPr="00B30A12">
        <w:rPr>
          <w:rFonts w:ascii="Times New Roman" w:hAnsi="Times New Roman"/>
          <w:color w:val="000000"/>
          <w:szCs w:val="22"/>
        </w:rPr>
        <w:t xml:space="preserve"> und</w:t>
      </w:r>
      <w:r w:rsidR="007A521B" w:rsidRPr="00B30A12">
        <w:rPr>
          <w:rFonts w:ascii="Times New Roman" w:hAnsi="Times New Roman"/>
          <w:color w:val="000000"/>
          <w:szCs w:val="22"/>
        </w:rPr>
        <w:t xml:space="preserve"> Phenytoin angewendet haben. Die AUC von Imatinib im Plasma </w:t>
      </w:r>
      <w:r w:rsidR="00A90FA4" w:rsidRPr="00B30A12">
        <w:rPr>
          <w:rFonts w:ascii="Times New Roman" w:hAnsi="Times New Roman"/>
          <w:color w:val="000000"/>
          <w:szCs w:val="22"/>
        </w:rPr>
        <w:t>nahm</w:t>
      </w:r>
      <w:r w:rsidR="007A521B" w:rsidRPr="00B30A12">
        <w:rPr>
          <w:rFonts w:ascii="Times New Roman" w:hAnsi="Times New Roman"/>
          <w:color w:val="000000"/>
          <w:szCs w:val="22"/>
        </w:rPr>
        <w:t xml:space="preserve"> im Vergleich mit Patienten, die nicht mit EIAEDs behandelt wurden, um 73%</w:t>
      </w:r>
      <w:r w:rsidR="00A90FA4" w:rsidRPr="00B30A12">
        <w:rPr>
          <w:rFonts w:ascii="Times New Roman" w:hAnsi="Times New Roman"/>
          <w:color w:val="000000"/>
          <w:szCs w:val="22"/>
        </w:rPr>
        <w:t xml:space="preserve"> ab</w:t>
      </w:r>
      <w:r w:rsidR="007A521B" w:rsidRPr="00B30A12">
        <w:rPr>
          <w:rFonts w:ascii="Times New Roman" w:hAnsi="Times New Roman"/>
          <w:color w:val="000000"/>
          <w:szCs w:val="22"/>
        </w:rPr>
        <w:t xml:space="preserve">. </w:t>
      </w:r>
      <w:r w:rsidRPr="00B30A12">
        <w:rPr>
          <w:rFonts w:ascii="Times New Roman" w:hAnsi="Times New Roman"/>
          <w:color w:val="000000"/>
          <w:szCs w:val="22"/>
        </w:rPr>
        <w:t xml:space="preserve">Die gleichzeitige Anwendung von </w:t>
      </w:r>
      <w:r w:rsidR="00593254" w:rsidRPr="00B30A12">
        <w:rPr>
          <w:rFonts w:ascii="Times New Roman" w:hAnsi="Times New Roman"/>
          <w:color w:val="000000"/>
          <w:szCs w:val="22"/>
        </w:rPr>
        <w:t xml:space="preserve">Rifampicin oder anderen </w:t>
      </w:r>
      <w:r w:rsidRPr="00B30A12">
        <w:rPr>
          <w:rFonts w:ascii="Times New Roman" w:hAnsi="Times New Roman"/>
          <w:color w:val="000000"/>
          <w:szCs w:val="22"/>
        </w:rPr>
        <w:t>starken CYP3A4-Induktoren und Imatinib sollte vermieden werden.</w:t>
      </w:r>
    </w:p>
    <w:p w14:paraId="1FC0E8E2" w14:textId="77777777" w:rsidR="006615F9" w:rsidRPr="00B30A12" w:rsidRDefault="006615F9" w:rsidP="00537E23">
      <w:pPr>
        <w:pStyle w:val="BodyTextIndent3"/>
        <w:ind w:left="0"/>
        <w:rPr>
          <w:rFonts w:ascii="Times New Roman" w:hAnsi="Times New Roman"/>
          <w:color w:val="000000"/>
          <w:szCs w:val="22"/>
        </w:rPr>
      </w:pPr>
    </w:p>
    <w:p w14:paraId="46B2F05B" w14:textId="77777777" w:rsidR="006615F9" w:rsidRPr="00B30A12" w:rsidRDefault="009C0FAE" w:rsidP="00463D41">
      <w:pPr>
        <w:pStyle w:val="BodyTextIndent3"/>
        <w:keepNext/>
        <w:ind w:left="0"/>
        <w:rPr>
          <w:rFonts w:ascii="Times New Roman" w:hAnsi="Times New Roman"/>
          <w:b/>
          <w:color w:val="000000"/>
          <w:szCs w:val="22"/>
        </w:rPr>
      </w:pPr>
      <w:r w:rsidRPr="00B30A12">
        <w:rPr>
          <w:rFonts w:ascii="Times New Roman" w:hAnsi="Times New Roman"/>
          <w:b/>
          <w:color w:val="000000"/>
          <w:szCs w:val="22"/>
        </w:rPr>
        <w:t>Wirkstoffe</w:t>
      </w:r>
      <w:r w:rsidR="006615F9" w:rsidRPr="00B30A12">
        <w:rPr>
          <w:rFonts w:ascii="Times New Roman" w:hAnsi="Times New Roman"/>
          <w:b/>
          <w:color w:val="000000"/>
          <w:szCs w:val="22"/>
        </w:rPr>
        <w:t>, deren Plasmakonzentrationen durch Glivec verändert werden können</w:t>
      </w:r>
    </w:p>
    <w:p w14:paraId="59BBAD1F" w14:textId="77777777" w:rsidR="00D72F2D"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Imatinib erhöht die mittlere C</w:t>
      </w:r>
      <w:r w:rsidRPr="00B30A12">
        <w:rPr>
          <w:rFonts w:ascii="Times New Roman" w:hAnsi="Times New Roman"/>
          <w:color w:val="000000"/>
          <w:szCs w:val="22"/>
          <w:vertAlign w:val="subscript"/>
        </w:rPr>
        <w:t>max</w:t>
      </w:r>
      <w:r w:rsidRPr="00B30A12">
        <w:rPr>
          <w:rFonts w:ascii="Times New Roman" w:hAnsi="Times New Roman"/>
          <w:color w:val="000000"/>
          <w:szCs w:val="22"/>
        </w:rPr>
        <w:t xml:space="preserve"> und AUC von Simvastatin (CYP3A4-Substrat) 2- bzw. 3,5fach, ein Hinweis auf die Inhibition von CYP3A4 durch Imatinib. Die Anwendung von Glivec mit CYP3A4-Sub</w:t>
      </w:r>
      <w:r w:rsidRPr="00B30A12">
        <w:rPr>
          <w:rFonts w:ascii="Times New Roman" w:hAnsi="Times New Roman"/>
          <w:color w:val="000000"/>
          <w:szCs w:val="22"/>
        </w:rPr>
        <w:softHyphen/>
        <w:t>straten mit einer engen therapeutischen Breite (</w:t>
      </w:r>
      <w:r w:rsidR="00E3183D" w:rsidRPr="00B30A12">
        <w:rPr>
          <w:rFonts w:ascii="Times New Roman" w:hAnsi="Times New Roman"/>
          <w:color w:val="000000"/>
          <w:szCs w:val="22"/>
        </w:rPr>
        <w:t>z. B.</w:t>
      </w:r>
      <w:r w:rsidRPr="00B30A12">
        <w:rPr>
          <w:rFonts w:ascii="Times New Roman" w:hAnsi="Times New Roman"/>
          <w:color w:val="000000"/>
          <w:szCs w:val="22"/>
        </w:rPr>
        <w:t xml:space="preserve"> C</w:t>
      </w:r>
      <w:r w:rsidR="0031633A" w:rsidRPr="00B30A12">
        <w:rPr>
          <w:rFonts w:ascii="Times New Roman" w:hAnsi="Times New Roman"/>
          <w:color w:val="000000"/>
          <w:szCs w:val="22"/>
        </w:rPr>
        <w:t>i</w:t>
      </w:r>
      <w:r w:rsidRPr="00B30A12">
        <w:rPr>
          <w:rFonts w:ascii="Times New Roman" w:hAnsi="Times New Roman"/>
          <w:color w:val="000000"/>
          <w:szCs w:val="22"/>
        </w:rPr>
        <w:t>closporin</w:t>
      </w:r>
      <w:r w:rsidR="0026386B" w:rsidRPr="00B30A12">
        <w:rPr>
          <w:rFonts w:ascii="Times New Roman" w:hAnsi="Times New Roman"/>
          <w:color w:val="000000"/>
          <w:szCs w:val="22"/>
        </w:rPr>
        <w:t>,</w:t>
      </w:r>
      <w:r w:rsidRPr="00B30A12">
        <w:rPr>
          <w:rFonts w:ascii="Times New Roman" w:hAnsi="Times New Roman"/>
          <w:color w:val="000000"/>
          <w:szCs w:val="22"/>
        </w:rPr>
        <w:t xml:space="preserve"> Pimozid</w:t>
      </w:r>
      <w:r w:rsidR="0026386B" w:rsidRPr="00B30A12">
        <w:rPr>
          <w:rFonts w:ascii="Times New Roman" w:hAnsi="Times New Roman"/>
          <w:color w:val="000000"/>
          <w:szCs w:val="22"/>
        </w:rPr>
        <w:t xml:space="preserve">, Tacrolimus, Sirolimus, Ergotamin, Diergotamin, Fentanyl, Alfentanil, Terfenadin, Bortezomib, Docetaxel und </w:t>
      </w:r>
      <w:r w:rsidR="00096596" w:rsidRPr="00B30A12">
        <w:rPr>
          <w:rFonts w:ascii="Times New Roman" w:hAnsi="Times New Roman"/>
          <w:color w:val="000000"/>
          <w:szCs w:val="22"/>
        </w:rPr>
        <w:t>Chinidin</w:t>
      </w:r>
      <w:r w:rsidRPr="00B30A12">
        <w:rPr>
          <w:rFonts w:ascii="Times New Roman" w:hAnsi="Times New Roman"/>
          <w:color w:val="000000"/>
          <w:szCs w:val="22"/>
        </w:rPr>
        <w:t>) muss daher mit Vorsicht erfolgen. Glivec kann die Plasmakonzentration von ander</w:t>
      </w:r>
      <w:r w:rsidR="0031633A" w:rsidRPr="00B30A12">
        <w:rPr>
          <w:rFonts w:ascii="Times New Roman" w:hAnsi="Times New Roman"/>
          <w:color w:val="000000"/>
          <w:szCs w:val="22"/>
        </w:rPr>
        <w:t>e</w:t>
      </w:r>
      <w:r w:rsidRPr="00B30A12">
        <w:rPr>
          <w:rFonts w:ascii="Times New Roman" w:hAnsi="Times New Roman"/>
          <w:color w:val="000000"/>
          <w:szCs w:val="22"/>
        </w:rPr>
        <w:t>n Substanzen, die über CYP3A4 metaboli</w:t>
      </w:r>
      <w:r w:rsidRPr="00B30A12">
        <w:rPr>
          <w:rFonts w:ascii="Times New Roman" w:hAnsi="Times New Roman"/>
          <w:color w:val="000000"/>
          <w:szCs w:val="22"/>
        </w:rPr>
        <w:softHyphen/>
        <w:t>siert werden, erhöhen (</w:t>
      </w:r>
      <w:r w:rsidR="00E3183D" w:rsidRPr="00B30A12">
        <w:rPr>
          <w:rFonts w:ascii="Times New Roman" w:hAnsi="Times New Roman"/>
          <w:color w:val="000000"/>
          <w:szCs w:val="22"/>
        </w:rPr>
        <w:t>z. B.</w:t>
      </w:r>
      <w:r w:rsidRPr="00B30A12">
        <w:rPr>
          <w:rFonts w:ascii="Times New Roman" w:hAnsi="Times New Roman"/>
          <w:color w:val="000000"/>
          <w:szCs w:val="22"/>
        </w:rPr>
        <w:t xml:space="preserve"> Triazol-Benzodiazepine, Kalziumkanalblocker vom Dihydropyridintyp, be</w:t>
      </w:r>
      <w:r w:rsidRPr="00B30A12">
        <w:rPr>
          <w:rFonts w:ascii="Times New Roman" w:hAnsi="Times New Roman"/>
          <w:color w:val="000000"/>
          <w:szCs w:val="22"/>
        </w:rPr>
        <w:softHyphen/>
        <w:t xml:space="preserve">stimmte </w:t>
      </w:r>
      <w:smartTag w:uri="urn:schemas-microsoft-com:office:smarttags" w:element="stockticker">
        <w:r w:rsidRPr="00B30A12">
          <w:rPr>
            <w:rFonts w:ascii="Times New Roman" w:hAnsi="Times New Roman"/>
            <w:color w:val="000000"/>
            <w:szCs w:val="22"/>
          </w:rPr>
          <w:t>HMG</w:t>
        </w:r>
      </w:smartTag>
      <w:r w:rsidRPr="00B30A12">
        <w:rPr>
          <w:rFonts w:ascii="Times New Roman" w:hAnsi="Times New Roman"/>
          <w:color w:val="000000"/>
          <w:szCs w:val="22"/>
        </w:rPr>
        <w:t>-CoA</w:t>
      </w:r>
      <w:r w:rsidR="00B53510" w:rsidRPr="00B30A12">
        <w:rPr>
          <w:rFonts w:ascii="Times New Roman" w:hAnsi="Times New Roman"/>
          <w:color w:val="000000"/>
          <w:szCs w:val="22"/>
        </w:rPr>
        <w:t>-</w:t>
      </w:r>
      <w:r w:rsidRPr="00B30A12">
        <w:rPr>
          <w:rFonts w:ascii="Times New Roman" w:hAnsi="Times New Roman"/>
          <w:color w:val="000000"/>
          <w:szCs w:val="22"/>
        </w:rPr>
        <w:t>Reduktase</w:t>
      </w:r>
      <w:r w:rsidR="00B53510" w:rsidRPr="00B30A12">
        <w:rPr>
          <w:rFonts w:ascii="Times New Roman" w:hAnsi="Times New Roman"/>
          <w:color w:val="000000"/>
          <w:szCs w:val="22"/>
        </w:rPr>
        <w:t>-</w:t>
      </w:r>
      <w:r w:rsidRPr="00B30A12">
        <w:rPr>
          <w:rFonts w:ascii="Times New Roman" w:hAnsi="Times New Roman"/>
          <w:color w:val="000000"/>
          <w:szCs w:val="22"/>
        </w:rPr>
        <w:t>Inhibitoren wie die Statine etc.).</w:t>
      </w:r>
    </w:p>
    <w:p w14:paraId="0FED64D8" w14:textId="77777777" w:rsidR="006615F9" w:rsidRPr="00B30A12" w:rsidRDefault="006615F9" w:rsidP="00537E23">
      <w:pPr>
        <w:pStyle w:val="BodyTextIndent3"/>
        <w:ind w:left="0"/>
        <w:rPr>
          <w:rFonts w:ascii="Times New Roman" w:hAnsi="Times New Roman"/>
          <w:color w:val="000000"/>
          <w:szCs w:val="22"/>
        </w:rPr>
      </w:pPr>
    </w:p>
    <w:p w14:paraId="21425922" w14:textId="77777777" w:rsidR="006615F9" w:rsidRPr="00B30A12" w:rsidRDefault="006A7B68" w:rsidP="00537E23">
      <w:pPr>
        <w:pStyle w:val="BodyTextIndent3"/>
        <w:ind w:left="0"/>
        <w:rPr>
          <w:rFonts w:ascii="Times New Roman" w:hAnsi="Times New Roman"/>
          <w:color w:val="000000"/>
          <w:szCs w:val="22"/>
        </w:rPr>
      </w:pPr>
      <w:r w:rsidRPr="00B30A12">
        <w:rPr>
          <w:rFonts w:ascii="Times New Roman" w:hAnsi="Times New Roman"/>
          <w:color w:val="000000"/>
          <w:szCs w:val="22"/>
        </w:rPr>
        <w:t>Aufgrund des bekannten erhö</w:t>
      </w:r>
      <w:r w:rsidR="009E1202" w:rsidRPr="00B30A12">
        <w:rPr>
          <w:rFonts w:ascii="Times New Roman" w:hAnsi="Times New Roman"/>
          <w:color w:val="000000"/>
          <w:szCs w:val="22"/>
        </w:rPr>
        <w:t>h</w:t>
      </w:r>
      <w:r w:rsidRPr="00B30A12">
        <w:rPr>
          <w:rFonts w:ascii="Times New Roman" w:hAnsi="Times New Roman"/>
          <w:color w:val="000000"/>
          <w:szCs w:val="22"/>
        </w:rPr>
        <w:t>ten Risikos für Blutungen in Verbindung mit der Anwendung von Imatinib (z.</w:t>
      </w:r>
      <w:r w:rsidR="009E1202" w:rsidRPr="00B30A12">
        <w:rPr>
          <w:rFonts w:ascii="Times New Roman" w:hAnsi="Times New Roman"/>
          <w:color w:val="000000"/>
          <w:szCs w:val="22"/>
        </w:rPr>
        <w:t> </w:t>
      </w:r>
      <w:r w:rsidRPr="00B30A12">
        <w:rPr>
          <w:rFonts w:ascii="Times New Roman" w:hAnsi="Times New Roman"/>
          <w:color w:val="000000"/>
          <w:szCs w:val="22"/>
        </w:rPr>
        <w:t>B. Hämorrhagie)</w:t>
      </w:r>
      <w:r w:rsidR="006615F9" w:rsidRPr="00B30A12">
        <w:rPr>
          <w:rFonts w:ascii="Times New Roman" w:hAnsi="Times New Roman"/>
          <w:color w:val="000000"/>
          <w:szCs w:val="22"/>
        </w:rPr>
        <w:t xml:space="preserve"> sollten Patienten, die eine Antikoagulation benötigen, niedermolekulares oder Standardheparin</w:t>
      </w:r>
      <w:r w:rsidRPr="00B30A12">
        <w:rPr>
          <w:rFonts w:ascii="Times New Roman" w:hAnsi="Times New Roman"/>
          <w:color w:val="000000"/>
          <w:szCs w:val="22"/>
        </w:rPr>
        <w:t xml:space="preserve"> anstelle von Cumarin-Derivaten wie Warfarin</w:t>
      </w:r>
      <w:r w:rsidR="006615F9" w:rsidRPr="00B30A12">
        <w:rPr>
          <w:rFonts w:ascii="Times New Roman" w:hAnsi="Times New Roman"/>
          <w:color w:val="000000"/>
          <w:szCs w:val="22"/>
        </w:rPr>
        <w:t xml:space="preserve"> erhalten.</w:t>
      </w:r>
    </w:p>
    <w:p w14:paraId="09623CB4" w14:textId="77777777" w:rsidR="006615F9" w:rsidRPr="00B30A12" w:rsidRDefault="006615F9" w:rsidP="00537E23">
      <w:pPr>
        <w:pStyle w:val="BodyTextIndent3"/>
        <w:ind w:left="0"/>
        <w:rPr>
          <w:rFonts w:ascii="Times New Roman" w:hAnsi="Times New Roman"/>
          <w:color w:val="000000"/>
          <w:szCs w:val="22"/>
        </w:rPr>
      </w:pPr>
    </w:p>
    <w:p w14:paraId="18BF8695" w14:textId="77777777" w:rsidR="006615F9" w:rsidRPr="00B30A12" w:rsidRDefault="006615F9" w:rsidP="00537E23">
      <w:pPr>
        <w:pStyle w:val="BodyTextIndent3"/>
        <w:ind w:left="0"/>
        <w:rPr>
          <w:rFonts w:ascii="Times New Roman" w:hAnsi="Times New Roman"/>
          <w:color w:val="000000"/>
          <w:szCs w:val="22"/>
        </w:rPr>
      </w:pPr>
      <w:r w:rsidRPr="00B30A12">
        <w:rPr>
          <w:rFonts w:ascii="Times New Roman" w:hAnsi="Times New Roman"/>
          <w:i/>
          <w:color w:val="000000"/>
          <w:szCs w:val="22"/>
        </w:rPr>
        <w:t>In vitro</w:t>
      </w:r>
      <w:r w:rsidRPr="00B30A12">
        <w:rPr>
          <w:rFonts w:ascii="Times New Roman" w:hAnsi="Times New Roman"/>
          <w:color w:val="000000"/>
          <w:szCs w:val="22"/>
        </w:rPr>
        <w:t xml:space="preserve"> inhibiert Glivec die Aktivität des Cytochrom</w:t>
      </w:r>
      <w:r w:rsidR="00B53510" w:rsidRPr="00B30A12">
        <w:rPr>
          <w:rFonts w:ascii="Times New Roman" w:hAnsi="Times New Roman"/>
          <w:color w:val="000000"/>
          <w:szCs w:val="22"/>
        </w:rPr>
        <w:t>-</w:t>
      </w:r>
      <w:r w:rsidRPr="00B30A12">
        <w:rPr>
          <w:rFonts w:ascii="Times New Roman" w:hAnsi="Times New Roman"/>
          <w:color w:val="000000"/>
          <w:szCs w:val="22"/>
        </w:rPr>
        <w:t xml:space="preserve">P450-Isoenzyms CYP2D6 bei den gleichen Konzentrationen, die auch die CYP3A4-Aktivität hemmen. </w:t>
      </w:r>
      <w:r w:rsidR="00D11149" w:rsidRPr="00B30A12">
        <w:rPr>
          <w:rFonts w:ascii="Times New Roman" w:hAnsi="Times New Roman"/>
          <w:color w:val="000000"/>
          <w:szCs w:val="22"/>
        </w:rPr>
        <w:t>Imatinib in einer Dosierung von zweimal täglich 400 mg hatte einen inhibitorischen Effekt auf die CYP2D6-vermittelte Metabolisierung von Metoprolol, wobei C</w:t>
      </w:r>
      <w:r w:rsidR="00D11149" w:rsidRPr="00B30A12">
        <w:rPr>
          <w:rFonts w:ascii="Times New Roman" w:hAnsi="Times New Roman"/>
          <w:color w:val="000000"/>
          <w:szCs w:val="22"/>
          <w:vertAlign w:val="subscript"/>
        </w:rPr>
        <w:t>max</w:t>
      </w:r>
      <w:r w:rsidR="00D11149" w:rsidRPr="00B30A12">
        <w:rPr>
          <w:rFonts w:ascii="Times New Roman" w:hAnsi="Times New Roman"/>
          <w:color w:val="000000"/>
          <w:szCs w:val="22"/>
        </w:rPr>
        <w:t xml:space="preserve"> und AUC von Metoprolol um etwa 23% (90% Konfidenzintervall [1,16</w:t>
      </w:r>
      <w:r w:rsidR="009B3309" w:rsidRPr="00B30A12">
        <w:rPr>
          <w:rFonts w:ascii="Times New Roman" w:hAnsi="Times New Roman"/>
          <w:color w:val="000000"/>
          <w:szCs w:val="22"/>
        </w:rPr>
        <w:noBreakHyphen/>
      </w:r>
      <w:r w:rsidR="00D11149" w:rsidRPr="00B30A12">
        <w:rPr>
          <w:rFonts w:ascii="Times New Roman" w:hAnsi="Times New Roman"/>
          <w:color w:val="000000"/>
          <w:szCs w:val="22"/>
        </w:rPr>
        <w:t>1,30]) angehoben wurden. Dosisanpassungen scheinen nicht erforderlich zu sein, wenn Imatinib gleichzeitig mit CYP2D6-Substraten verabreicht wird. Bei CYP2D6-Substraten mit engem therapeutische</w:t>
      </w:r>
      <w:r w:rsidR="00BB0C48" w:rsidRPr="00B30A12">
        <w:rPr>
          <w:rFonts w:ascii="Times New Roman" w:hAnsi="Times New Roman"/>
          <w:color w:val="000000"/>
          <w:szCs w:val="22"/>
        </w:rPr>
        <w:t>m</w:t>
      </w:r>
      <w:r w:rsidR="00D11149" w:rsidRPr="00B30A12">
        <w:rPr>
          <w:rFonts w:ascii="Times New Roman" w:hAnsi="Times New Roman"/>
          <w:color w:val="000000"/>
          <w:szCs w:val="22"/>
        </w:rPr>
        <w:t xml:space="preserve"> </w:t>
      </w:r>
      <w:r w:rsidR="00D11149" w:rsidRPr="00B30A12">
        <w:rPr>
          <w:rFonts w:ascii="Times New Roman" w:hAnsi="Times New Roman"/>
          <w:color w:val="000000"/>
          <w:szCs w:val="22"/>
        </w:rPr>
        <w:lastRenderedPageBreak/>
        <w:t>Fenster wie Metoprolol ist jedoch Vorsicht geboten. Bei Patienten, die mit Metoprolol behandelt werden, sollte eine klinische Überwachung in Erwägung gezogen werden.</w:t>
      </w:r>
    </w:p>
    <w:p w14:paraId="069AB6A8" w14:textId="77777777" w:rsidR="00EE7F88" w:rsidRPr="00B30A12" w:rsidRDefault="00EE7F88" w:rsidP="00537E23">
      <w:pPr>
        <w:pStyle w:val="BodyTextIndent3"/>
        <w:ind w:left="0"/>
        <w:rPr>
          <w:rFonts w:ascii="Times New Roman" w:hAnsi="Times New Roman"/>
          <w:color w:val="000000"/>
          <w:szCs w:val="22"/>
        </w:rPr>
      </w:pPr>
    </w:p>
    <w:p w14:paraId="785E0B2B" w14:textId="77777777" w:rsidR="00EE7F88" w:rsidRPr="00B30A12" w:rsidRDefault="00EE7F88" w:rsidP="00537E23">
      <w:pPr>
        <w:pStyle w:val="BodyTextIndent3"/>
        <w:ind w:left="0"/>
        <w:rPr>
          <w:rFonts w:ascii="Times New Roman" w:hAnsi="Times New Roman"/>
          <w:color w:val="000000"/>
          <w:szCs w:val="22"/>
        </w:rPr>
      </w:pPr>
      <w:r w:rsidRPr="00B30A12">
        <w:rPr>
          <w:rFonts w:ascii="Times New Roman" w:hAnsi="Times New Roman"/>
          <w:i/>
          <w:color w:val="000000"/>
          <w:szCs w:val="22"/>
        </w:rPr>
        <w:t>In vitro</w:t>
      </w:r>
      <w:r w:rsidRPr="00B30A12">
        <w:rPr>
          <w:rFonts w:ascii="Times New Roman" w:hAnsi="Times New Roman"/>
          <w:color w:val="000000"/>
          <w:szCs w:val="22"/>
        </w:rPr>
        <w:t xml:space="preserve"> inhibiert Glivec die O-Glukuronidierung von Paracetamol </w:t>
      </w:r>
      <w:r w:rsidR="00E45F54" w:rsidRPr="00B30A12">
        <w:rPr>
          <w:rFonts w:ascii="Times New Roman" w:hAnsi="Times New Roman"/>
          <w:color w:val="000000"/>
          <w:szCs w:val="22"/>
        </w:rPr>
        <w:t xml:space="preserve">mit einem </w:t>
      </w:r>
      <w:r w:rsidRPr="00B30A12">
        <w:rPr>
          <w:rFonts w:ascii="Times New Roman" w:hAnsi="Times New Roman"/>
          <w:color w:val="000000"/>
          <w:szCs w:val="22"/>
        </w:rPr>
        <w:t>K</w:t>
      </w:r>
      <w:r w:rsidRPr="00B30A12">
        <w:rPr>
          <w:rFonts w:ascii="Times New Roman" w:hAnsi="Times New Roman"/>
          <w:color w:val="000000"/>
          <w:szCs w:val="22"/>
          <w:vertAlign w:val="subscript"/>
        </w:rPr>
        <w:t>i</w:t>
      </w:r>
      <w:r w:rsidRPr="00B30A12">
        <w:rPr>
          <w:rFonts w:ascii="Times New Roman" w:hAnsi="Times New Roman"/>
          <w:color w:val="000000"/>
          <w:szCs w:val="22"/>
        </w:rPr>
        <w:t>-Wert</w:t>
      </w:r>
      <w:r w:rsidR="00E45F54" w:rsidRPr="00B30A12">
        <w:rPr>
          <w:rFonts w:ascii="Times New Roman" w:hAnsi="Times New Roman"/>
          <w:color w:val="000000"/>
          <w:szCs w:val="22"/>
        </w:rPr>
        <w:t xml:space="preserve"> von</w:t>
      </w:r>
      <w:r w:rsidRPr="00B30A12">
        <w:rPr>
          <w:rFonts w:ascii="Times New Roman" w:hAnsi="Times New Roman"/>
          <w:color w:val="000000"/>
          <w:szCs w:val="22"/>
        </w:rPr>
        <w:t xml:space="preserve"> 58,5 </w:t>
      </w:r>
      <w:r w:rsidR="00E41E32" w:rsidRPr="00B30A12">
        <w:rPr>
          <w:rFonts w:ascii="Times New Roman" w:hAnsi="Times New Roman"/>
          <w:color w:val="000000"/>
          <w:szCs w:val="22"/>
        </w:rPr>
        <w:t>M</w:t>
      </w:r>
      <w:r w:rsidRPr="00B30A12">
        <w:rPr>
          <w:rFonts w:ascii="Times New Roman" w:hAnsi="Times New Roman"/>
          <w:color w:val="000000"/>
          <w:szCs w:val="22"/>
        </w:rPr>
        <w:t>i</w:t>
      </w:r>
      <w:r w:rsidR="00E41E32" w:rsidRPr="00B30A12">
        <w:rPr>
          <w:rFonts w:ascii="Times New Roman" w:hAnsi="Times New Roman"/>
          <w:color w:val="000000"/>
          <w:szCs w:val="22"/>
        </w:rPr>
        <w:t>k</w:t>
      </w:r>
      <w:r w:rsidRPr="00B30A12">
        <w:rPr>
          <w:rFonts w:ascii="Times New Roman" w:hAnsi="Times New Roman"/>
          <w:color w:val="000000"/>
          <w:szCs w:val="22"/>
        </w:rPr>
        <w:t>romol/l.</w:t>
      </w:r>
      <w:r w:rsidR="00E45F54" w:rsidRPr="00B30A12">
        <w:rPr>
          <w:rFonts w:ascii="Times New Roman" w:hAnsi="Times New Roman"/>
          <w:color w:val="000000"/>
          <w:szCs w:val="22"/>
        </w:rPr>
        <w:t xml:space="preserve"> </w:t>
      </w:r>
      <w:r w:rsidR="00E45F54" w:rsidRPr="00B30A12">
        <w:rPr>
          <w:rFonts w:ascii="Times New Roman" w:hAnsi="Times New Roman"/>
          <w:i/>
          <w:color w:val="000000"/>
          <w:szCs w:val="22"/>
        </w:rPr>
        <w:t>In vivo</w:t>
      </w:r>
      <w:r w:rsidR="00E45F54" w:rsidRPr="00B30A12">
        <w:rPr>
          <w:rFonts w:ascii="Times New Roman" w:hAnsi="Times New Roman"/>
          <w:color w:val="000000"/>
          <w:szCs w:val="22"/>
        </w:rPr>
        <w:t xml:space="preserve"> wurde diese Hemmung nach der Anwendung von 400 mg</w:t>
      </w:r>
      <w:r w:rsidR="00E01891" w:rsidRPr="00B30A12">
        <w:rPr>
          <w:rFonts w:ascii="Times New Roman" w:hAnsi="Times New Roman"/>
          <w:color w:val="000000"/>
          <w:szCs w:val="22"/>
        </w:rPr>
        <w:t xml:space="preserve"> Glivec</w:t>
      </w:r>
      <w:r w:rsidR="00E45F54" w:rsidRPr="00B30A12">
        <w:rPr>
          <w:rFonts w:ascii="Times New Roman" w:hAnsi="Times New Roman"/>
          <w:color w:val="000000"/>
          <w:szCs w:val="22"/>
        </w:rPr>
        <w:t xml:space="preserve"> </w:t>
      </w:r>
      <w:r w:rsidR="00E01891" w:rsidRPr="00B30A12">
        <w:rPr>
          <w:rFonts w:ascii="Times New Roman" w:hAnsi="Times New Roman"/>
          <w:color w:val="000000"/>
          <w:szCs w:val="22"/>
        </w:rPr>
        <w:t xml:space="preserve">und </w:t>
      </w:r>
      <w:r w:rsidR="00E45F54" w:rsidRPr="00B30A12">
        <w:rPr>
          <w:rFonts w:ascii="Times New Roman" w:hAnsi="Times New Roman"/>
          <w:color w:val="000000"/>
          <w:szCs w:val="22"/>
        </w:rPr>
        <w:t>1000 mg</w:t>
      </w:r>
      <w:r w:rsidR="00E01891" w:rsidRPr="00B30A12">
        <w:rPr>
          <w:rFonts w:ascii="Times New Roman" w:hAnsi="Times New Roman"/>
          <w:color w:val="000000"/>
          <w:szCs w:val="22"/>
        </w:rPr>
        <w:t xml:space="preserve"> Paracetamol</w:t>
      </w:r>
      <w:r w:rsidR="00E45F54" w:rsidRPr="00B30A12">
        <w:rPr>
          <w:rFonts w:ascii="Times New Roman" w:hAnsi="Times New Roman"/>
          <w:color w:val="000000"/>
          <w:szCs w:val="22"/>
        </w:rPr>
        <w:t xml:space="preserve"> nicht beobachtet. Höhere Dosen </w:t>
      </w:r>
      <w:r w:rsidR="00E01891" w:rsidRPr="00B30A12">
        <w:rPr>
          <w:rFonts w:ascii="Times New Roman" w:hAnsi="Times New Roman"/>
          <w:color w:val="000000"/>
          <w:szCs w:val="22"/>
        </w:rPr>
        <w:t xml:space="preserve">von </w:t>
      </w:r>
      <w:r w:rsidR="00E45F54" w:rsidRPr="00B30A12">
        <w:rPr>
          <w:rFonts w:ascii="Times New Roman" w:hAnsi="Times New Roman"/>
          <w:color w:val="000000"/>
          <w:szCs w:val="22"/>
        </w:rPr>
        <w:t>Glivec und Paracetamol wurden nicht untersucht.</w:t>
      </w:r>
    </w:p>
    <w:p w14:paraId="4ADF5D0B" w14:textId="77777777" w:rsidR="00EE7F88" w:rsidRPr="00B30A12" w:rsidRDefault="00EE7F88" w:rsidP="00537E23">
      <w:pPr>
        <w:pStyle w:val="BodyTextIndent3"/>
        <w:ind w:left="0"/>
        <w:rPr>
          <w:rFonts w:ascii="Times New Roman" w:hAnsi="Times New Roman"/>
          <w:color w:val="000000"/>
          <w:szCs w:val="22"/>
        </w:rPr>
      </w:pPr>
    </w:p>
    <w:p w14:paraId="7601428A" w14:textId="77777777" w:rsidR="00EE7F88" w:rsidRPr="00B30A12" w:rsidRDefault="00EE7F88" w:rsidP="00537E23">
      <w:pPr>
        <w:pStyle w:val="BodyTextIndent3"/>
        <w:ind w:left="0"/>
        <w:rPr>
          <w:rFonts w:ascii="Times New Roman" w:hAnsi="Times New Roman"/>
          <w:color w:val="000000"/>
          <w:szCs w:val="22"/>
        </w:rPr>
      </w:pPr>
      <w:r w:rsidRPr="00B30A12">
        <w:rPr>
          <w:rFonts w:ascii="Times New Roman" w:hAnsi="Times New Roman"/>
          <w:color w:val="000000"/>
          <w:szCs w:val="22"/>
        </w:rPr>
        <w:t>Daher ist Vorsicht geboten, wenn Glivec und Paracetamol gleichzeitig</w:t>
      </w:r>
      <w:r w:rsidR="00175A62" w:rsidRPr="00B30A12">
        <w:rPr>
          <w:rFonts w:ascii="Times New Roman" w:hAnsi="Times New Roman"/>
          <w:color w:val="000000"/>
          <w:szCs w:val="22"/>
        </w:rPr>
        <w:t xml:space="preserve"> in hohen Dosen</w:t>
      </w:r>
      <w:r w:rsidRPr="00B30A12">
        <w:rPr>
          <w:rFonts w:ascii="Times New Roman" w:hAnsi="Times New Roman"/>
          <w:color w:val="000000"/>
          <w:szCs w:val="22"/>
        </w:rPr>
        <w:t xml:space="preserve"> gegeben werden.</w:t>
      </w:r>
    </w:p>
    <w:p w14:paraId="29629647" w14:textId="77777777" w:rsidR="00EE7F88" w:rsidRPr="00B30A12" w:rsidRDefault="00EE7F88" w:rsidP="00537E23">
      <w:pPr>
        <w:pStyle w:val="BodyTextIndent3"/>
        <w:ind w:left="0"/>
        <w:rPr>
          <w:rFonts w:ascii="Times New Roman" w:hAnsi="Times New Roman"/>
          <w:color w:val="000000"/>
          <w:szCs w:val="22"/>
        </w:rPr>
      </w:pPr>
    </w:p>
    <w:p w14:paraId="462BFC3B" w14:textId="77777777" w:rsidR="00466E74" w:rsidRPr="00B30A12" w:rsidRDefault="00EE7F88" w:rsidP="00537E23">
      <w:pPr>
        <w:widowControl w:val="0"/>
        <w:rPr>
          <w:color w:val="000000"/>
          <w:sz w:val="22"/>
          <w:szCs w:val="22"/>
        </w:rPr>
      </w:pPr>
      <w:r w:rsidRPr="00B30A12">
        <w:rPr>
          <w:color w:val="000000"/>
          <w:sz w:val="22"/>
          <w:szCs w:val="22"/>
        </w:rPr>
        <w:t xml:space="preserve">Bei </w:t>
      </w:r>
      <w:r w:rsidR="00466E74" w:rsidRPr="00B30A12">
        <w:rPr>
          <w:color w:val="000000"/>
          <w:sz w:val="22"/>
          <w:szCs w:val="22"/>
        </w:rPr>
        <w:t xml:space="preserve">Patienten, die </w:t>
      </w:r>
      <w:r w:rsidR="004419FA" w:rsidRPr="00B30A12">
        <w:rPr>
          <w:color w:val="000000"/>
          <w:sz w:val="22"/>
          <w:szCs w:val="22"/>
        </w:rPr>
        <w:t xml:space="preserve">nach Thyreoidektomie </w:t>
      </w:r>
      <w:r w:rsidR="00466E74" w:rsidRPr="00B30A12">
        <w:rPr>
          <w:color w:val="000000"/>
          <w:sz w:val="22"/>
          <w:szCs w:val="22"/>
        </w:rPr>
        <w:t xml:space="preserve">Levothyroxin erhalten, kann die Plasmakonzentration von Levothyroxin bei gleichzeitiger Gabe von Glivec herabgesetzt sein (siehe Abschnitt 4.4). Daher ist Vorsicht geboten. Der Mechanismus dieser beobachteten Wechselwirkung ist jedoch gegenwärtig </w:t>
      </w:r>
      <w:r w:rsidR="00FF7DC4" w:rsidRPr="00B30A12">
        <w:rPr>
          <w:color w:val="000000"/>
          <w:sz w:val="22"/>
          <w:szCs w:val="22"/>
        </w:rPr>
        <w:t xml:space="preserve">nicht </w:t>
      </w:r>
      <w:r w:rsidR="00466E74" w:rsidRPr="00B30A12">
        <w:rPr>
          <w:color w:val="000000"/>
          <w:sz w:val="22"/>
          <w:szCs w:val="22"/>
        </w:rPr>
        <w:t>bekannt.</w:t>
      </w:r>
    </w:p>
    <w:p w14:paraId="2078467E" w14:textId="77777777" w:rsidR="00466E74" w:rsidRPr="00B30A12" w:rsidRDefault="00466E74" w:rsidP="00537E23">
      <w:pPr>
        <w:pStyle w:val="BodyTextIndent3"/>
        <w:ind w:left="0"/>
        <w:rPr>
          <w:rFonts w:ascii="Times New Roman" w:hAnsi="Times New Roman"/>
          <w:color w:val="000000"/>
          <w:szCs w:val="22"/>
        </w:rPr>
      </w:pPr>
    </w:p>
    <w:p w14:paraId="41350832" w14:textId="77777777" w:rsidR="002C0958" w:rsidRPr="00B30A12" w:rsidRDefault="002C0958" w:rsidP="00537E23">
      <w:pPr>
        <w:pStyle w:val="BodyTextIndent3"/>
        <w:ind w:left="0"/>
        <w:rPr>
          <w:rFonts w:ascii="Times New Roman" w:hAnsi="Times New Roman"/>
          <w:color w:val="000000"/>
          <w:szCs w:val="22"/>
        </w:rPr>
      </w:pPr>
      <w:r w:rsidRPr="00B30A12">
        <w:rPr>
          <w:rFonts w:ascii="Times New Roman" w:hAnsi="Times New Roman"/>
          <w:color w:val="000000"/>
          <w:szCs w:val="22"/>
        </w:rPr>
        <w:t>Bei Patienten mit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liegen klinische Erfahrungen mit der gleichzeitigen Gabe von Glivec und Chemotherapeutika vor (siehe Abschnitt 5.1), jedoch sind Arzneimittelwechselwirkungen zwischen Imatinib und Chemotherapie-Schemata nicht gut beschrieben. Unerwünschte Wirkungen von Imatinib, d. h. Hepatotoxizität, Myelosuppression oder andere Nebenwirkungen, können verstärkt werden. Es wurde berichtet, dass die gleichzeitige Anwendung von L-Asparaginase mit einer erhöhten Lebertoxizität verbunden sein kann (siehe Abschnitt 4.8). Daher erfordert die Anwendung von Glivec in Kombinationen besondere Vorsicht.</w:t>
      </w:r>
    </w:p>
    <w:p w14:paraId="2A883763" w14:textId="77777777" w:rsidR="006615F9" w:rsidRPr="00B30A12" w:rsidRDefault="006615F9" w:rsidP="00537E23">
      <w:pPr>
        <w:widowControl w:val="0"/>
        <w:rPr>
          <w:color w:val="000000"/>
          <w:sz w:val="22"/>
          <w:szCs w:val="22"/>
        </w:rPr>
      </w:pPr>
    </w:p>
    <w:p w14:paraId="46C1A6E8" w14:textId="77777777" w:rsidR="006615F9" w:rsidRPr="00B30A12" w:rsidRDefault="006615F9" w:rsidP="00463D41">
      <w:pPr>
        <w:keepNext/>
        <w:widowControl w:val="0"/>
        <w:ind w:left="567" w:hanging="567"/>
        <w:rPr>
          <w:color w:val="000000"/>
          <w:sz w:val="22"/>
          <w:szCs w:val="22"/>
        </w:rPr>
      </w:pPr>
      <w:r w:rsidRPr="00B30A12">
        <w:rPr>
          <w:b/>
          <w:color w:val="000000"/>
          <w:sz w:val="22"/>
          <w:szCs w:val="22"/>
        </w:rPr>
        <w:t>4.6</w:t>
      </w:r>
      <w:r w:rsidRPr="00B30A12">
        <w:rPr>
          <w:b/>
          <w:color w:val="000000"/>
          <w:sz w:val="22"/>
          <w:szCs w:val="22"/>
        </w:rPr>
        <w:tab/>
      </w:r>
      <w:r w:rsidR="00AB53A1" w:rsidRPr="00B30A12">
        <w:rPr>
          <w:b/>
          <w:color w:val="000000"/>
          <w:sz w:val="22"/>
          <w:szCs w:val="22"/>
        </w:rPr>
        <w:t xml:space="preserve">Fertilität, </w:t>
      </w:r>
      <w:r w:rsidRPr="00B30A12">
        <w:rPr>
          <w:b/>
          <w:color w:val="000000"/>
          <w:sz w:val="22"/>
          <w:szCs w:val="22"/>
        </w:rPr>
        <w:t>Schwangerschaft und Stillzeit</w:t>
      </w:r>
    </w:p>
    <w:p w14:paraId="0E2CF93C" w14:textId="77777777" w:rsidR="006615F9" w:rsidRPr="00B30A12" w:rsidRDefault="006615F9" w:rsidP="00463D41">
      <w:pPr>
        <w:keepNext/>
        <w:widowControl w:val="0"/>
        <w:rPr>
          <w:color w:val="000000"/>
          <w:sz w:val="22"/>
          <w:szCs w:val="22"/>
          <w:u w:val="single"/>
        </w:rPr>
      </w:pPr>
    </w:p>
    <w:p w14:paraId="6E623C4D" w14:textId="77777777" w:rsidR="007A247D" w:rsidRPr="00B30A12" w:rsidRDefault="007A247D" w:rsidP="00463D41">
      <w:pPr>
        <w:pStyle w:val="Text"/>
        <w:keepNext/>
        <w:widowControl w:val="0"/>
        <w:spacing w:before="0"/>
        <w:jc w:val="left"/>
        <w:rPr>
          <w:sz w:val="22"/>
          <w:szCs w:val="22"/>
          <w:u w:val="single"/>
          <w:lang w:val="de-DE"/>
        </w:rPr>
      </w:pPr>
      <w:r w:rsidRPr="00B30A12">
        <w:rPr>
          <w:sz w:val="22"/>
          <w:szCs w:val="22"/>
          <w:u w:val="single"/>
          <w:lang w:val="de-DE"/>
        </w:rPr>
        <w:t>Frauen im gebärfähigen Alter</w:t>
      </w:r>
    </w:p>
    <w:p w14:paraId="49B03714" w14:textId="77777777" w:rsidR="007A247D" w:rsidRPr="00B30A12" w:rsidRDefault="007A247D" w:rsidP="00537E23">
      <w:pPr>
        <w:pStyle w:val="Text"/>
        <w:widowControl w:val="0"/>
        <w:spacing w:before="0"/>
        <w:jc w:val="left"/>
        <w:rPr>
          <w:sz w:val="22"/>
          <w:szCs w:val="22"/>
          <w:lang w:val="de-DE"/>
        </w:rPr>
      </w:pPr>
      <w:r w:rsidRPr="00B30A12">
        <w:rPr>
          <w:sz w:val="22"/>
          <w:szCs w:val="22"/>
          <w:lang w:val="de-DE"/>
        </w:rPr>
        <w:t xml:space="preserve">Frauen im gebärfähigen Alter </w:t>
      </w:r>
      <w:r w:rsidR="006879EA" w:rsidRPr="00B30A12">
        <w:rPr>
          <w:sz w:val="22"/>
          <w:szCs w:val="22"/>
          <w:lang w:val="de-DE"/>
        </w:rPr>
        <w:t xml:space="preserve">müssen darüber aufgeklärt werden, </w:t>
      </w:r>
      <w:r w:rsidRPr="00B30A12">
        <w:rPr>
          <w:sz w:val="22"/>
          <w:szCs w:val="22"/>
          <w:lang w:val="de-DE"/>
        </w:rPr>
        <w:t xml:space="preserve">während der Behandlung </w:t>
      </w:r>
      <w:r w:rsidR="002A051A" w:rsidRPr="002A051A">
        <w:rPr>
          <w:sz w:val="22"/>
          <w:szCs w:val="22"/>
          <w:lang w:val="de-DE"/>
        </w:rPr>
        <w:t xml:space="preserve">und </w:t>
      </w:r>
      <w:r w:rsidR="002A051A">
        <w:rPr>
          <w:sz w:val="22"/>
          <w:szCs w:val="22"/>
          <w:lang w:val="de-DE"/>
        </w:rPr>
        <w:t>für mindestens 15 Tage</w:t>
      </w:r>
      <w:r w:rsidR="002A051A" w:rsidRPr="002A051A">
        <w:rPr>
          <w:sz w:val="22"/>
          <w:szCs w:val="22"/>
          <w:lang w:val="de-DE"/>
        </w:rPr>
        <w:t xml:space="preserve"> nach Beendigung der Behandlung </w:t>
      </w:r>
      <w:r w:rsidR="002A051A">
        <w:rPr>
          <w:sz w:val="22"/>
          <w:szCs w:val="22"/>
          <w:lang w:val="de-DE"/>
        </w:rPr>
        <w:t xml:space="preserve">mit Glivec </w:t>
      </w:r>
      <w:r w:rsidRPr="00B30A12">
        <w:rPr>
          <w:sz w:val="22"/>
          <w:szCs w:val="22"/>
          <w:lang w:val="de-DE"/>
        </w:rPr>
        <w:t>eine zuverlässige</w:t>
      </w:r>
      <w:r w:rsidR="0006487A" w:rsidRPr="00B30A12">
        <w:rPr>
          <w:sz w:val="22"/>
          <w:szCs w:val="22"/>
          <w:lang w:val="de-DE"/>
        </w:rPr>
        <w:t xml:space="preserve"> Verhütungsmethode </w:t>
      </w:r>
      <w:r w:rsidR="006879EA" w:rsidRPr="00B30A12">
        <w:rPr>
          <w:sz w:val="22"/>
          <w:szCs w:val="22"/>
          <w:lang w:val="de-DE"/>
        </w:rPr>
        <w:t>anzuwenden</w:t>
      </w:r>
      <w:r w:rsidRPr="00B30A12">
        <w:rPr>
          <w:sz w:val="22"/>
          <w:szCs w:val="22"/>
          <w:lang w:val="de-DE"/>
        </w:rPr>
        <w:t>.</w:t>
      </w:r>
    </w:p>
    <w:p w14:paraId="083DE3B2" w14:textId="77777777" w:rsidR="007A247D" w:rsidRPr="00B30A12" w:rsidRDefault="007A247D" w:rsidP="00537E23">
      <w:pPr>
        <w:widowControl w:val="0"/>
        <w:rPr>
          <w:color w:val="000000"/>
          <w:sz w:val="22"/>
          <w:szCs w:val="22"/>
          <w:u w:val="single"/>
        </w:rPr>
      </w:pPr>
    </w:p>
    <w:p w14:paraId="4954C695" w14:textId="77777777" w:rsidR="006615F9" w:rsidRPr="00B30A12" w:rsidRDefault="006615F9" w:rsidP="00463D41">
      <w:pPr>
        <w:keepNext/>
        <w:widowControl w:val="0"/>
        <w:rPr>
          <w:color w:val="000000"/>
          <w:sz w:val="22"/>
          <w:szCs w:val="22"/>
          <w:u w:val="single"/>
        </w:rPr>
      </w:pPr>
      <w:r w:rsidRPr="00B30A12">
        <w:rPr>
          <w:color w:val="000000"/>
          <w:sz w:val="22"/>
          <w:szCs w:val="22"/>
          <w:u w:val="single"/>
        </w:rPr>
        <w:t>Schwangerschaft</w:t>
      </w:r>
    </w:p>
    <w:p w14:paraId="54530E54" w14:textId="77777777" w:rsidR="00DE55DC" w:rsidRPr="00B30A12" w:rsidRDefault="006615F9" w:rsidP="00537E23">
      <w:pPr>
        <w:widowControl w:val="0"/>
        <w:rPr>
          <w:color w:val="000000"/>
          <w:sz w:val="22"/>
          <w:szCs w:val="22"/>
        </w:rPr>
      </w:pPr>
      <w:r w:rsidRPr="00B30A12">
        <w:rPr>
          <w:color w:val="000000"/>
          <w:sz w:val="22"/>
          <w:szCs w:val="22"/>
        </w:rPr>
        <w:t xml:space="preserve">Es liegen </w:t>
      </w:r>
      <w:r w:rsidR="00524A5C" w:rsidRPr="00B30A12">
        <w:rPr>
          <w:color w:val="000000"/>
          <w:sz w:val="22"/>
          <w:szCs w:val="22"/>
        </w:rPr>
        <w:t>begrenzte</w:t>
      </w:r>
      <w:r w:rsidRPr="00B30A12">
        <w:rPr>
          <w:color w:val="000000"/>
          <w:sz w:val="22"/>
          <w:szCs w:val="22"/>
        </w:rPr>
        <w:t xml:space="preserve"> Daten für die Verwendung von Imatinib bei Schwangeren vor. </w:t>
      </w:r>
      <w:r w:rsidR="001D0B49" w:rsidRPr="00B30A12">
        <w:rPr>
          <w:color w:val="000000"/>
          <w:sz w:val="22"/>
          <w:szCs w:val="22"/>
        </w:rPr>
        <w:t xml:space="preserve">Wie Berichte </w:t>
      </w:r>
      <w:r w:rsidR="00C90F27" w:rsidRPr="00B30A12">
        <w:rPr>
          <w:color w:val="000000"/>
          <w:sz w:val="22"/>
          <w:szCs w:val="22"/>
        </w:rPr>
        <w:t xml:space="preserve">nach Markteinführung zeigten, kann Imatinib Fehlgeburten oder Geburtsfehler verursachen, wenn es bei schwangeren Frauen angewendet wird. </w:t>
      </w:r>
      <w:r w:rsidRPr="00B30A12">
        <w:rPr>
          <w:color w:val="000000"/>
          <w:sz w:val="22"/>
          <w:szCs w:val="22"/>
        </w:rPr>
        <w:t>Tierexperimentelle Studien haben jedoch eine Reproduktionstoxizität gezeigt (</w:t>
      </w:r>
      <w:r w:rsidR="00DE55DC" w:rsidRPr="00B30A12">
        <w:rPr>
          <w:color w:val="000000"/>
          <w:sz w:val="22"/>
          <w:szCs w:val="22"/>
        </w:rPr>
        <w:t>siehe</w:t>
      </w:r>
      <w:r w:rsidRPr="00B30A12">
        <w:rPr>
          <w:color w:val="000000"/>
          <w:sz w:val="22"/>
          <w:szCs w:val="22"/>
        </w:rPr>
        <w:t xml:space="preserve"> Abschnitt 5.3) und das potenzielle Risiko für den </w:t>
      </w:r>
      <w:r w:rsidR="00B53510" w:rsidRPr="00B30A12">
        <w:rPr>
          <w:color w:val="000000"/>
          <w:sz w:val="22"/>
          <w:szCs w:val="22"/>
        </w:rPr>
        <w:t xml:space="preserve">Fetus </w:t>
      </w:r>
      <w:r w:rsidRPr="00B30A12">
        <w:rPr>
          <w:color w:val="000000"/>
          <w:sz w:val="22"/>
          <w:szCs w:val="22"/>
        </w:rPr>
        <w:t>ist</w:t>
      </w:r>
      <w:r w:rsidR="00094914" w:rsidRPr="00B30A12">
        <w:rPr>
          <w:color w:val="000000"/>
          <w:sz w:val="22"/>
          <w:szCs w:val="22"/>
        </w:rPr>
        <w:t xml:space="preserve"> </w:t>
      </w:r>
      <w:r w:rsidRPr="00B30A12">
        <w:rPr>
          <w:color w:val="000000"/>
          <w:sz w:val="22"/>
          <w:szCs w:val="22"/>
        </w:rPr>
        <w:t xml:space="preserve">nicht bekannt. Glivec darf während der Schwangerschaft </w:t>
      </w:r>
      <w:r w:rsidR="00DE55DC" w:rsidRPr="00B30A12">
        <w:rPr>
          <w:color w:val="000000"/>
          <w:sz w:val="22"/>
          <w:szCs w:val="22"/>
        </w:rPr>
        <w:t>nicht ange</w:t>
      </w:r>
      <w:r w:rsidRPr="00B30A12">
        <w:rPr>
          <w:color w:val="000000"/>
          <w:sz w:val="22"/>
          <w:szCs w:val="22"/>
        </w:rPr>
        <w:t xml:space="preserve">wendet werden, es sei denn, dies ist eindeutig erforderlich. Wenn es während einer Schwangerschaft angewendet wird, muss die Patientin über ein mögliches Risiko für den </w:t>
      </w:r>
      <w:r w:rsidR="00B53510" w:rsidRPr="00B30A12">
        <w:rPr>
          <w:color w:val="000000"/>
          <w:sz w:val="22"/>
          <w:szCs w:val="22"/>
        </w:rPr>
        <w:t xml:space="preserve">Fetus </w:t>
      </w:r>
      <w:r w:rsidRPr="00B30A12">
        <w:rPr>
          <w:color w:val="000000"/>
          <w:sz w:val="22"/>
          <w:szCs w:val="22"/>
        </w:rPr>
        <w:t>informiert werden.</w:t>
      </w:r>
    </w:p>
    <w:p w14:paraId="1159A24E" w14:textId="77777777" w:rsidR="006615F9" w:rsidRPr="00B30A12" w:rsidRDefault="006615F9" w:rsidP="00537E23">
      <w:pPr>
        <w:pStyle w:val="Header"/>
        <w:widowControl w:val="0"/>
        <w:tabs>
          <w:tab w:val="clear" w:pos="4320"/>
          <w:tab w:val="clear" w:pos="8640"/>
        </w:tabs>
        <w:rPr>
          <w:color w:val="000000"/>
          <w:szCs w:val="22"/>
        </w:rPr>
      </w:pPr>
    </w:p>
    <w:p w14:paraId="36B4527E" w14:textId="77777777" w:rsidR="006615F9" w:rsidRPr="00B30A12" w:rsidRDefault="006615F9" w:rsidP="00463D41">
      <w:pPr>
        <w:keepNext/>
        <w:widowControl w:val="0"/>
        <w:rPr>
          <w:color w:val="000000"/>
          <w:sz w:val="22"/>
          <w:szCs w:val="22"/>
          <w:u w:val="single"/>
        </w:rPr>
      </w:pPr>
      <w:r w:rsidRPr="00B30A12">
        <w:rPr>
          <w:color w:val="000000"/>
          <w:sz w:val="22"/>
          <w:szCs w:val="22"/>
          <w:u w:val="single"/>
        </w:rPr>
        <w:t>Stillzeit</w:t>
      </w:r>
    </w:p>
    <w:p w14:paraId="3ECD828A" w14:textId="77B615D0" w:rsidR="006615F9" w:rsidRPr="00B30A12" w:rsidRDefault="00070F54" w:rsidP="00537E23">
      <w:pPr>
        <w:widowControl w:val="0"/>
        <w:rPr>
          <w:color w:val="000000"/>
          <w:sz w:val="22"/>
          <w:szCs w:val="22"/>
        </w:rPr>
      </w:pPr>
      <w:r w:rsidRPr="00B30A12">
        <w:rPr>
          <w:color w:val="000000"/>
          <w:sz w:val="22"/>
          <w:szCs w:val="22"/>
        </w:rPr>
        <w:t>Es liegen begrenzte Informationen zum Übergang von Imatinib in die Muttermilch vor. Studien mit zwei stillenden Frauen haben gezeigt, dass s</w:t>
      </w:r>
      <w:r w:rsidR="00DE130E" w:rsidRPr="00B30A12">
        <w:rPr>
          <w:color w:val="000000"/>
          <w:sz w:val="22"/>
          <w:szCs w:val="22"/>
        </w:rPr>
        <w:t>owohl Imatinib als auch sein</w:t>
      </w:r>
      <w:r w:rsidR="002369F0" w:rsidRPr="00B30A12">
        <w:rPr>
          <w:color w:val="000000"/>
          <w:sz w:val="22"/>
          <w:szCs w:val="22"/>
        </w:rPr>
        <w:t xml:space="preserve"> aktive</w:t>
      </w:r>
      <w:r w:rsidR="00DE130E" w:rsidRPr="00B30A12">
        <w:rPr>
          <w:color w:val="000000"/>
          <w:sz w:val="22"/>
          <w:szCs w:val="22"/>
        </w:rPr>
        <w:t>r</w:t>
      </w:r>
      <w:r w:rsidR="00306F0E" w:rsidRPr="00B30A12">
        <w:rPr>
          <w:color w:val="000000"/>
          <w:sz w:val="22"/>
          <w:szCs w:val="22"/>
        </w:rPr>
        <w:t xml:space="preserve"> Metabolit </w:t>
      </w:r>
      <w:r w:rsidR="002369F0" w:rsidRPr="00B30A12">
        <w:rPr>
          <w:color w:val="000000"/>
          <w:sz w:val="22"/>
          <w:szCs w:val="22"/>
        </w:rPr>
        <w:t xml:space="preserve">in die Muttermilch </w:t>
      </w:r>
      <w:r w:rsidR="00B6506E" w:rsidRPr="00B30A12">
        <w:rPr>
          <w:color w:val="000000"/>
          <w:sz w:val="22"/>
          <w:szCs w:val="22"/>
        </w:rPr>
        <w:t>übergehen</w:t>
      </w:r>
      <w:r w:rsidR="00306F0E" w:rsidRPr="00B30A12">
        <w:rPr>
          <w:color w:val="000000"/>
          <w:sz w:val="22"/>
          <w:szCs w:val="22"/>
        </w:rPr>
        <w:t xml:space="preserve"> können</w:t>
      </w:r>
      <w:r w:rsidR="002369F0" w:rsidRPr="00B30A12">
        <w:rPr>
          <w:color w:val="000000"/>
          <w:sz w:val="22"/>
          <w:szCs w:val="22"/>
        </w:rPr>
        <w:t xml:space="preserve">. Der Milch-Plasma-Quotient </w:t>
      </w:r>
      <w:r w:rsidR="00306F0E" w:rsidRPr="00B30A12">
        <w:rPr>
          <w:color w:val="000000"/>
          <w:sz w:val="22"/>
          <w:szCs w:val="22"/>
        </w:rPr>
        <w:t>für Imatinib wurde bei einer einzelnen Patientin</w:t>
      </w:r>
      <w:r w:rsidR="002369F0" w:rsidRPr="00B30A12">
        <w:rPr>
          <w:color w:val="000000"/>
          <w:sz w:val="22"/>
          <w:szCs w:val="22"/>
        </w:rPr>
        <w:t xml:space="preserve"> mit 0,5 und für den Metaboliten mit 0,9 bestimmt, was auf eine größere Verteilung des Metaboliten in die M</w:t>
      </w:r>
      <w:r w:rsidR="00B6506E" w:rsidRPr="00B30A12">
        <w:rPr>
          <w:color w:val="000000"/>
          <w:sz w:val="22"/>
          <w:szCs w:val="22"/>
        </w:rPr>
        <w:t>utterm</w:t>
      </w:r>
      <w:r w:rsidR="002369F0" w:rsidRPr="00B30A12">
        <w:rPr>
          <w:color w:val="000000"/>
          <w:sz w:val="22"/>
          <w:szCs w:val="22"/>
        </w:rPr>
        <w:t xml:space="preserve">ilch schließen lässt. </w:t>
      </w:r>
      <w:r w:rsidR="00B6506E" w:rsidRPr="00B30A12">
        <w:rPr>
          <w:color w:val="000000"/>
          <w:sz w:val="22"/>
          <w:szCs w:val="22"/>
        </w:rPr>
        <w:t>Bezüglich</w:t>
      </w:r>
      <w:r w:rsidR="00951527" w:rsidRPr="00B30A12">
        <w:rPr>
          <w:color w:val="000000"/>
          <w:sz w:val="22"/>
          <w:szCs w:val="22"/>
        </w:rPr>
        <w:t xml:space="preserve"> der</w:t>
      </w:r>
      <w:r w:rsidR="000839B7" w:rsidRPr="00B30A12">
        <w:rPr>
          <w:color w:val="000000"/>
          <w:sz w:val="22"/>
          <w:szCs w:val="22"/>
        </w:rPr>
        <w:t xml:space="preserve"> </w:t>
      </w:r>
      <w:r w:rsidR="00B6506E" w:rsidRPr="00B30A12">
        <w:rPr>
          <w:color w:val="000000"/>
          <w:sz w:val="22"/>
          <w:szCs w:val="22"/>
        </w:rPr>
        <w:t>Gesamt</w:t>
      </w:r>
      <w:r w:rsidR="00FB7FE7" w:rsidRPr="00B30A12">
        <w:rPr>
          <w:color w:val="000000"/>
          <w:sz w:val="22"/>
          <w:szCs w:val="22"/>
        </w:rPr>
        <w:t>k</w:t>
      </w:r>
      <w:r w:rsidR="000839B7" w:rsidRPr="00B30A12">
        <w:rPr>
          <w:color w:val="000000"/>
          <w:sz w:val="22"/>
          <w:szCs w:val="22"/>
        </w:rPr>
        <w:t>onzentration von Imatinib un</w:t>
      </w:r>
      <w:r w:rsidR="00951527" w:rsidRPr="00B30A12">
        <w:rPr>
          <w:color w:val="000000"/>
          <w:sz w:val="22"/>
          <w:szCs w:val="22"/>
        </w:rPr>
        <w:t>d</w:t>
      </w:r>
      <w:r w:rsidR="00FB7FE7" w:rsidRPr="00B30A12">
        <w:rPr>
          <w:color w:val="000000"/>
          <w:sz w:val="22"/>
          <w:szCs w:val="22"/>
        </w:rPr>
        <w:t xml:space="preserve"> </w:t>
      </w:r>
      <w:r w:rsidR="00DE130E" w:rsidRPr="00B30A12">
        <w:rPr>
          <w:color w:val="000000"/>
          <w:sz w:val="22"/>
          <w:szCs w:val="22"/>
        </w:rPr>
        <w:t xml:space="preserve">dem </w:t>
      </w:r>
      <w:r w:rsidR="00FB7FE7" w:rsidRPr="00B30A12">
        <w:rPr>
          <w:color w:val="000000"/>
          <w:sz w:val="22"/>
          <w:szCs w:val="22"/>
        </w:rPr>
        <w:t>M</w:t>
      </w:r>
      <w:r w:rsidR="000839B7" w:rsidRPr="00B30A12">
        <w:rPr>
          <w:color w:val="000000"/>
          <w:sz w:val="22"/>
          <w:szCs w:val="22"/>
        </w:rPr>
        <w:t xml:space="preserve">etaboliten </w:t>
      </w:r>
      <w:r w:rsidR="00B6506E" w:rsidRPr="00B30A12">
        <w:rPr>
          <w:color w:val="000000"/>
          <w:sz w:val="22"/>
          <w:szCs w:val="22"/>
        </w:rPr>
        <w:t>sowie</w:t>
      </w:r>
      <w:r w:rsidR="00FB7FE7" w:rsidRPr="00B30A12">
        <w:rPr>
          <w:color w:val="000000"/>
          <w:sz w:val="22"/>
          <w:szCs w:val="22"/>
        </w:rPr>
        <w:t xml:space="preserve"> der maximalen täglichen Milchaufnahme von Kindern </w:t>
      </w:r>
      <w:r w:rsidR="00B6506E" w:rsidRPr="00B30A12">
        <w:rPr>
          <w:color w:val="000000"/>
          <w:sz w:val="22"/>
          <w:szCs w:val="22"/>
        </w:rPr>
        <w:t>kann von einer geringen Gesamtexposition ausgegangen werden</w:t>
      </w:r>
      <w:r w:rsidR="00FB7FE7" w:rsidRPr="00B30A12">
        <w:rPr>
          <w:color w:val="000000"/>
          <w:sz w:val="22"/>
          <w:szCs w:val="22"/>
        </w:rPr>
        <w:t xml:space="preserve"> (</w:t>
      </w:r>
      <w:r w:rsidR="00FB7FE7" w:rsidRPr="00B30A12">
        <w:rPr>
          <w:color w:val="000000"/>
          <w:sz w:val="22"/>
          <w:szCs w:val="22"/>
        </w:rPr>
        <w:sym w:font="Symbol" w:char="F07E"/>
      </w:r>
      <w:r w:rsidR="00FB7FE7" w:rsidRPr="00B30A12">
        <w:rPr>
          <w:color w:val="000000"/>
          <w:sz w:val="22"/>
          <w:szCs w:val="22"/>
        </w:rPr>
        <w:t>10% einer therapeutischen Dosis).</w:t>
      </w:r>
      <w:r w:rsidR="00BB24ED" w:rsidRPr="00B30A12">
        <w:rPr>
          <w:color w:val="000000"/>
          <w:sz w:val="22"/>
          <w:szCs w:val="22"/>
        </w:rPr>
        <w:t xml:space="preserve"> Da allerdings die </w:t>
      </w:r>
      <w:r w:rsidR="00B6506E" w:rsidRPr="00B30A12">
        <w:rPr>
          <w:color w:val="000000"/>
          <w:sz w:val="22"/>
          <w:szCs w:val="22"/>
        </w:rPr>
        <w:t>Wirkungen</w:t>
      </w:r>
      <w:r w:rsidR="00BB24ED" w:rsidRPr="00B30A12">
        <w:rPr>
          <w:color w:val="000000"/>
          <w:sz w:val="22"/>
          <w:szCs w:val="22"/>
        </w:rPr>
        <w:t xml:space="preserve"> einer niedrig</w:t>
      </w:r>
      <w:r w:rsidR="00B6506E" w:rsidRPr="00B30A12">
        <w:rPr>
          <w:color w:val="000000"/>
          <w:sz w:val="22"/>
          <w:szCs w:val="22"/>
        </w:rPr>
        <w:t xml:space="preserve"> </w:t>
      </w:r>
      <w:r w:rsidR="00BB24ED" w:rsidRPr="00B30A12">
        <w:rPr>
          <w:color w:val="000000"/>
          <w:sz w:val="22"/>
          <w:szCs w:val="22"/>
        </w:rPr>
        <w:t>dosierten Exposition eines Kindes mit Imatinib nicht bekannt sind, dürfen</w:t>
      </w:r>
      <w:r w:rsidR="00987D6A" w:rsidRPr="00B30A12">
        <w:rPr>
          <w:color w:val="000000"/>
          <w:sz w:val="22"/>
          <w:szCs w:val="22"/>
        </w:rPr>
        <w:t xml:space="preserve"> Frauen </w:t>
      </w:r>
      <w:r w:rsidR="002A051A" w:rsidRPr="00B30A12">
        <w:rPr>
          <w:sz w:val="22"/>
          <w:szCs w:val="22"/>
        </w:rPr>
        <w:t xml:space="preserve">während der Behandlung </w:t>
      </w:r>
      <w:r w:rsidR="002A051A" w:rsidRPr="002A051A">
        <w:rPr>
          <w:sz w:val="22"/>
          <w:szCs w:val="22"/>
        </w:rPr>
        <w:t xml:space="preserve">und </w:t>
      </w:r>
      <w:r w:rsidR="002A051A">
        <w:rPr>
          <w:sz w:val="22"/>
          <w:szCs w:val="22"/>
        </w:rPr>
        <w:t>für mindestens 15 Tage</w:t>
      </w:r>
      <w:r w:rsidR="002A051A" w:rsidRPr="002A051A">
        <w:rPr>
          <w:sz w:val="22"/>
          <w:szCs w:val="22"/>
        </w:rPr>
        <w:t xml:space="preserve"> nach Beendigung der Behandlung </w:t>
      </w:r>
      <w:r w:rsidR="002A051A">
        <w:rPr>
          <w:sz w:val="22"/>
          <w:szCs w:val="22"/>
        </w:rPr>
        <w:t xml:space="preserve">mit Glivec </w:t>
      </w:r>
      <w:r w:rsidR="00BB24ED" w:rsidRPr="00B30A12">
        <w:rPr>
          <w:color w:val="000000"/>
          <w:sz w:val="22"/>
          <w:szCs w:val="22"/>
        </w:rPr>
        <w:t>nicht stillen.</w:t>
      </w:r>
    </w:p>
    <w:p w14:paraId="6D15CF02" w14:textId="77777777" w:rsidR="00DE55DC" w:rsidRPr="00B30A12" w:rsidRDefault="00DE55DC" w:rsidP="00537E23">
      <w:pPr>
        <w:widowControl w:val="0"/>
        <w:rPr>
          <w:color w:val="000000"/>
          <w:sz w:val="22"/>
          <w:szCs w:val="22"/>
        </w:rPr>
      </w:pPr>
    </w:p>
    <w:p w14:paraId="78B3689F" w14:textId="77777777" w:rsidR="00DE55DC" w:rsidRPr="00B30A12" w:rsidRDefault="00DE55DC" w:rsidP="00463D41">
      <w:pPr>
        <w:keepNext/>
        <w:widowControl w:val="0"/>
        <w:rPr>
          <w:color w:val="000000"/>
          <w:sz w:val="22"/>
          <w:szCs w:val="22"/>
          <w:u w:val="single"/>
        </w:rPr>
      </w:pPr>
      <w:r w:rsidRPr="00B30A12">
        <w:rPr>
          <w:color w:val="000000"/>
          <w:sz w:val="22"/>
          <w:szCs w:val="22"/>
          <w:u w:val="single"/>
        </w:rPr>
        <w:t>Fertilität</w:t>
      </w:r>
    </w:p>
    <w:p w14:paraId="15C1A75B" w14:textId="77777777" w:rsidR="006615F9" w:rsidRPr="00B30A12" w:rsidRDefault="00524A5C" w:rsidP="00537E23">
      <w:pPr>
        <w:pStyle w:val="Header"/>
        <w:widowControl w:val="0"/>
        <w:tabs>
          <w:tab w:val="clear" w:pos="4320"/>
          <w:tab w:val="clear" w:pos="8640"/>
        </w:tabs>
        <w:rPr>
          <w:color w:val="000000"/>
          <w:szCs w:val="22"/>
        </w:rPr>
      </w:pPr>
      <w:r w:rsidRPr="00B30A12">
        <w:rPr>
          <w:color w:val="000000"/>
          <w:szCs w:val="22"/>
        </w:rPr>
        <w:t xml:space="preserve">In nicht-klinischen Studien war die Fertilität von männlichen und weiblichen Ratten nicht </w:t>
      </w:r>
      <w:r w:rsidR="0019450A" w:rsidRPr="00B30A12">
        <w:rPr>
          <w:color w:val="000000"/>
          <w:szCs w:val="22"/>
        </w:rPr>
        <w:t>beeinträchtigt</w:t>
      </w:r>
      <w:r w:rsidR="00131F7A">
        <w:rPr>
          <w:color w:val="000000"/>
          <w:szCs w:val="22"/>
        </w:rPr>
        <w:t>,</w:t>
      </w:r>
      <w:r w:rsidR="00131F7A" w:rsidRPr="00131F7A">
        <w:t xml:space="preserve"> </w:t>
      </w:r>
      <w:r w:rsidR="00131F7A">
        <w:rPr>
          <w:color w:val="000000"/>
          <w:szCs w:val="22"/>
        </w:rPr>
        <w:t>wobei jedoch</w:t>
      </w:r>
      <w:r w:rsidR="00131F7A" w:rsidRPr="00131F7A">
        <w:rPr>
          <w:color w:val="000000"/>
          <w:szCs w:val="22"/>
        </w:rPr>
        <w:t xml:space="preserve"> Auswirkungen auf die Reproduktionsparameter beobachtet wurden</w:t>
      </w:r>
      <w:r w:rsidR="0019450A" w:rsidRPr="00B30A12">
        <w:rPr>
          <w:color w:val="000000"/>
          <w:szCs w:val="22"/>
        </w:rPr>
        <w:t xml:space="preserve"> (siehe Abschnitt 5.3). </w:t>
      </w:r>
      <w:r w:rsidR="00DE55DC" w:rsidRPr="00B30A12">
        <w:rPr>
          <w:color w:val="000000"/>
          <w:szCs w:val="22"/>
        </w:rPr>
        <w:t>Studien mit Patienten, die Glivec erhalten</w:t>
      </w:r>
      <w:r w:rsidR="009845F6" w:rsidRPr="00B30A12">
        <w:rPr>
          <w:color w:val="000000"/>
          <w:szCs w:val="22"/>
        </w:rPr>
        <w:t>,</w:t>
      </w:r>
      <w:r w:rsidR="00DE55DC" w:rsidRPr="00B30A12">
        <w:rPr>
          <w:color w:val="000000"/>
          <w:szCs w:val="22"/>
        </w:rPr>
        <w:t xml:space="preserve"> und die den Effekt auf die Fertilität und die </w:t>
      </w:r>
      <w:r w:rsidR="009F7CD9" w:rsidRPr="00B30A12">
        <w:rPr>
          <w:color w:val="000000"/>
          <w:szCs w:val="22"/>
        </w:rPr>
        <w:t>Gametogenese</w:t>
      </w:r>
      <w:r w:rsidR="00DE55DC" w:rsidRPr="00B30A12">
        <w:rPr>
          <w:color w:val="000000"/>
          <w:szCs w:val="22"/>
        </w:rPr>
        <w:t xml:space="preserve"> untersuchen, wurden nicht durchgeführt. Patienten, die während der Behandlung mit </w:t>
      </w:r>
      <w:r w:rsidR="00DE55DC" w:rsidRPr="00B30A12">
        <w:rPr>
          <w:color w:val="000000"/>
          <w:szCs w:val="22"/>
        </w:rPr>
        <w:lastRenderedPageBreak/>
        <w:t xml:space="preserve">Glivec um ihre Fertilität besorgt sind, sollten dies mit ihrem Arzt </w:t>
      </w:r>
      <w:r w:rsidR="0019450A" w:rsidRPr="00B30A12">
        <w:rPr>
          <w:color w:val="000000"/>
          <w:szCs w:val="22"/>
        </w:rPr>
        <w:t>besprechen</w:t>
      </w:r>
      <w:r w:rsidR="00DE55DC" w:rsidRPr="00B30A12">
        <w:rPr>
          <w:color w:val="000000"/>
          <w:szCs w:val="22"/>
        </w:rPr>
        <w:t>.</w:t>
      </w:r>
    </w:p>
    <w:p w14:paraId="413E10D2" w14:textId="77777777" w:rsidR="00DE55DC" w:rsidRPr="00B30A12" w:rsidRDefault="00DE55DC" w:rsidP="00537E23">
      <w:pPr>
        <w:pStyle w:val="Header"/>
        <w:widowControl w:val="0"/>
        <w:tabs>
          <w:tab w:val="clear" w:pos="4320"/>
          <w:tab w:val="clear" w:pos="8640"/>
        </w:tabs>
        <w:rPr>
          <w:color w:val="000000"/>
          <w:szCs w:val="22"/>
        </w:rPr>
      </w:pPr>
    </w:p>
    <w:p w14:paraId="05181C10" w14:textId="77777777" w:rsidR="006615F9" w:rsidRPr="00B30A12" w:rsidRDefault="006615F9" w:rsidP="00AD54DF">
      <w:pPr>
        <w:keepNext/>
        <w:keepLines/>
        <w:widowControl w:val="0"/>
        <w:ind w:left="567" w:hanging="567"/>
        <w:rPr>
          <w:color w:val="000000"/>
          <w:sz w:val="22"/>
          <w:szCs w:val="22"/>
        </w:rPr>
      </w:pPr>
      <w:r w:rsidRPr="00B30A12">
        <w:rPr>
          <w:b/>
          <w:color w:val="000000"/>
          <w:sz w:val="22"/>
          <w:szCs w:val="22"/>
        </w:rPr>
        <w:t>4.7</w:t>
      </w:r>
      <w:r w:rsidRPr="00B30A12">
        <w:rPr>
          <w:b/>
          <w:color w:val="000000"/>
          <w:sz w:val="22"/>
          <w:szCs w:val="22"/>
        </w:rPr>
        <w:tab/>
        <w:t xml:space="preserve">Auswirkungen auf die Verkehrstüchtigkeit und </w:t>
      </w:r>
      <w:r w:rsidR="00707B86" w:rsidRPr="00B30A12">
        <w:rPr>
          <w:b/>
          <w:color w:val="000000"/>
          <w:sz w:val="22"/>
          <w:szCs w:val="22"/>
        </w:rPr>
        <w:t xml:space="preserve">die Fähigkeit zum </w:t>
      </w:r>
      <w:r w:rsidRPr="00B30A12">
        <w:rPr>
          <w:b/>
          <w:color w:val="000000"/>
          <w:sz w:val="22"/>
          <w:szCs w:val="22"/>
        </w:rPr>
        <w:t>Bedienen von Maschinen</w:t>
      </w:r>
    </w:p>
    <w:p w14:paraId="08F94824" w14:textId="77777777" w:rsidR="006615F9" w:rsidRPr="00AD54DF" w:rsidRDefault="006615F9" w:rsidP="00463D41">
      <w:pPr>
        <w:keepNext/>
        <w:widowControl w:val="0"/>
        <w:rPr>
          <w:color w:val="000000"/>
          <w:sz w:val="22"/>
          <w:szCs w:val="22"/>
        </w:rPr>
      </w:pPr>
    </w:p>
    <w:p w14:paraId="5E5134A4" w14:textId="77777777" w:rsidR="006615F9" w:rsidRPr="00B30A12" w:rsidRDefault="006615F9" w:rsidP="00537E23">
      <w:pPr>
        <w:widowControl w:val="0"/>
        <w:rPr>
          <w:color w:val="000000"/>
          <w:sz w:val="22"/>
          <w:szCs w:val="22"/>
        </w:rPr>
      </w:pPr>
      <w:r w:rsidRPr="00B30A12">
        <w:rPr>
          <w:snapToGrid w:val="0"/>
          <w:color w:val="000000"/>
          <w:sz w:val="22"/>
          <w:szCs w:val="22"/>
        </w:rPr>
        <w:t xml:space="preserve">Patienten </w:t>
      </w:r>
      <w:r w:rsidR="00B0050A" w:rsidRPr="00B30A12">
        <w:rPr>
          <w:snapToGrid w:val="0"/>
          <w:color w:val="000000"/>
          <w:sz w:val="22"/>
          <w:szCs w:val="22"/>
        </w:rPr>
        <w:t xml:space="preserve">müssen </w:t>
      </w:r>
      <w:r w:rsidRPr="00B30A12">
        <w:rPr>
          <w:snapToGrid w:val="0"/>
          <w:color w:val="000000"/>
          <w:sz w:val="22"/>
          <w:szCs w:val="22"/>
        </w:rPr>
        <w:t xml:space="preserve">darüber informiert werden, </w:t>
      </w:r>
      <w:r w:rsidR="00B53510" w:rsidRPr="00B30A12">
        <w:rPr>
          <w:snapToGrid w:val="0"/>
          <w:color w:val="000000"/>
          <w:sz w:val="22"/>
          <w:szCs w:val="22"/>
        </w:rPr>
        <w:t xml:space="preserve">dass </w:t>
      </w:r>
      <w:r w:rsidRPr="00B30A12">
        <w:rPr>
          <w:snapToGrid w:val="0"/>
          <w:color w:val="000000"/>
          <w:sz w:val="22"/>
          <w:szCs w:val="22"/>
        </w:rPr>
        <w:t>bei ih</w:t>
      </w:r>
      <w:r w:rsidRPr="00B30A12">
        <w:rPr>
          <w:snapToGrid w:val="0"/>
          <w:color w:val="000000"/>
          <w:sz w:val="22"/>
          <w:szCs w:val="22"/>
        </w:rPr>
        <w:softHyphen/>
        <w:t>nen unerwünschte Wirkungen wie Schwindel</w:t>
      </w:r>
      <w:r w:rsidR="00DA7D3F" w:rsidRPr="00B30A12">
        <w:rPr>
          <w:snapToGrid w:val="0"/>
          <w:color w:val="000000"/>
          <w:sz w:val="22"/>
          <w:szCs w:val="22"/>
        </w:rPr>
        <w:t>,</w:t>
      </w:r>
      <w:r w:rsidRPr="00B30A12">
        <w:rPr>
          <w:snapToGrid w:val="0"/>
          <w:color w:val="000000"/>
          <w:sz w:val="22"/>
          <w:szCs w:val="22"/>
        </w:rPr>
        <w:t xml:space="preserve"> verschwommenes Sehen </w:t>
      </w:r>
      <w:r w:rsidR="00DA7D3F" w:rsidRPr="00B30A12">
        <w:rPr>
          <w:snapToGrid w:val="0"/>
          <w:color w:val="000000"/>
          <w:sz w:val="22"/>
          <w:szCs w:val="22"/>
        </w:rPr>
        <w:t xml:space="preserve">oder Schläfrigkeit </w:t>
      </w:r>
      <w:r w:rsidRPr="00B30A12">
        <w:rPr>
          <w:snapToGrid w:val="0"/>
          <w:color w:val="000000"/>
          <w:sz w:val="22"/>
          <w:szCs w:val="22"/>
        </w:rPr>
        <w:t>während der Behandlung mit Imatinib auftreten können. Daher sollte das Autofahren oder das Bedienen von Maschinen mit Vorsicht erfolgen.</w:t>
      </w:r>
    </w:p>
    <w:p w14:paraId="6C5D4DD1" w14:textId="77777777" w:rsidR="006615F9" w:rsidRPr="00B30A12" w:rsidRDefault="006615F9" w:rsidP="00537E23">
      <w:pPr>
        <w:widowControl w:val="0"/>
        <w:rPr>
          <w:color w:val="000000"/>
          <w:sz w:val="22"/>
          <w:szCs w:val="22"/>
        </w:rPr>
      </w:pPr>
    </w:p>
    <w:p w14:paraId="527F4DC0" w14:textId="77777777" w:rsidR="006615F9" w:rsidRPr="00B30A12" w:rsidRDefault="006615F9" w:rsidP="00463D41">
      <w:pPr>
        <w:keepNext/>
        <w:widowControl w:val="0"/>
        <w:ind w:left="567" w:hanging="567"/>
        <w:rPr>
          <w:color w:val="000000"/>
          <w:sz w:val="22"/>
          <w:szCs w:val="22"/>
        </w:rPr>
      </w:pPr>
      <w:r w:rsidRPr="00B30A12">
        <w:rPr>
          <w:b/>
          <w:color w:val="000000"/>
          <w:sz w:val="22"/>
          <w:szCs w:val="22"/>
        </w:rPr>
        <w:t>4.8</w:t>
      </w:r>
      <w:r w:rsidRPr="00B30A12">
        <w:rPr>
          <w:b/>
          <w:color w:val="000000"/>
          <w:sz w:val="22"/>
          <w:szCs w:val="22"/>
        </w:rPr>
        <w:tab/>
        <w:t>Nebenwirkungen</w:t>
      </w:r>
    </w:p>
    <w:p w14:paraId="78D69E48" w14:textId="77777777" w:rsidR="006615F9" w:rsidRPr="00B30A12" w:rsidRDefault="006615F9" w:rsidP="00463D41">
      <w:pPr>
        <w:keepNext/>
        <w:widowControl w:val="0"/>
        <w:rPr>
          <w:color w:val="000000"/>
          <w:sz w:val="22"/>
          <w:szCs w:val="22"/>
        </w:rPr>
      </w:pPr>
    </w:p>
    <w:p w14:paraId="5C8320B2" w14:textId="77777777" w:rsidR="006615F9" w:rsidRPr="00B30A12" w:rsidRDefault="006615F9" w:rsidP="00537E23">
      <w:pPr>
        <w:widowControl w:val="0"/>
        <w:rPr>
          <w:color w:val="000000"/>
          <w:sz w:val="22"/>
          <w:szCs w:val="22"/>
        </w:rPr>
      </w:pPr>
      <w:r w:rsidRPr="00B30A12">
        <w:rPr>
          <w:color w:val="000000"/>
          <w:sz w:val="22"/>
          <w:szCs w:val="22"/>
        </w:rPr>
        <w:t xml:space="preserve">Patienten im fortgeschrittenen Stadium </w:t>
      </w:r>
      <w:r w:rsidR="002C0958" w:rsidRPr="00B30A12">
        <w:rPr>
          <w:color w:val="000000"/>
          <w:sz w:val="22"/>
          <w:szCs w:val="22"/>
        </w:rPr>
        <w:t xml:space="preserve">maligner Erkrankungen </w:t>
      </w:r>
      <w:r w:rsidRPr="00B30A12">
        <w:rPr>
          <w:color w:val="000000"/>
          <w:sz w:val="22"/>
          <w:szCs w:val="22"/>
        </w:rPr>
        <w:t>können zahlreiche und teilweise überlappende medizinische Befunde aufweisen, die eine Kausalitätsbewertung unerwünschter Er</w:t>
      </w:r>
      <w:r w:rsidRPr="00B30A12">
        <w:rPr>
          <w:color w:val="000000"/>
          <w:sz w:val="22"/>
          <w:szCs w:val="22"/>
        </w:rPr>
        <w:softHyphen/>
        <w:t xml:space="preserve">eignisse wegen der Symptomvielfalt der Grunderkrankung, deren Progression und </w:t>
      </w:r>
      <w:r w:rsidR="0031633A" w:rsidRPr="00B30A12">
        <w:rPr>
          <w:color w:val="000000"/>
          <w:sz w:val="22"/>
          <w:szCs w:val="22"/>
        </w:rPr>
        <w:t xml:space="preserve">der </w:t>
      </w:r>
      <w:r w:rsidRPr="00B30A12">
        <w:rPr>
          <w:color w:val="000000"/>
          <w:sz w:val="22"/>
          <w:szCs w:val="22"/>
        </w:rPr>
        <w:t>gleichzeitige</w:t>
      </w:r>
      <w:r w:rsidR="0031633A" w:rsidRPr="00B30A12">
        <w:rPr>
          <w:color w:val="000000"/>
          <w:sz w:val="22"/>
          <w:szCs w:val="22"/>
        </w:rPr>
        <w:t>n</w:t>
      </w:r>
      <w:r w:rsidRPr="00B30A12">
        <w:rPr>
          <w:color w:val="000000"/>
          <w:sz w:val="22"/>
          <w:szCs w:val="22"/>
        </w:rPr>
        <w:t xml:space="preserve"> Gabe zahlreicher anderer Arzneimittel erschweren.</w:t>
      </w:r>
    </w:p>
    <w:p w14:paraId="2D8A4646" w14:textId="77777777" w:rsidR="006615F9" w:rsidRPr="00B30A12" w:rsidRDefault="006615F9" w:rsidP="00537E23">
      <w:pPr>
        <w:widowControl w:val="0"/>
        <w:rPr>
          <w:color w:val="000000"/>
          <w:sz w:val="22"/>
          <w:szCs w:val="22"/>
        </w:rPr>
      </w:pPr>
    </w:p>
    <w:p w14:paraId="2CB6BDB4" w14:textId="77777777" w:rsidR="006615F9" w:rsidRPr="00B30A12" w:rsidRDefault="006615F9" w:rsidP="00537E23">
      <w:pPr>
        <w:widowControl w:val="0"/>
        <w:rPr>
          <w:color w:val="000000"/>
          <w:sz w:val="22"/>
          <w:szCs w:val="22"/>
        </w:rPr>
      </w:pPr>
      <w:r w:rsidRPr="00B30A12">
        <w:rPr>
          <w:color w:val="000000"/>
          <w:sz w:val="22"/>
          <w:szCs w:val="22"/>
        </w:rPr>
        <w:t xml:space="preserve">In den klinischen Studien </w:t>
      </w:r>
      <w:r w:rsidR="00B51E6B" w:rsidRPr="00B30A12">
        <w:rPr>
          <w:color w:val="000000"/>
          <w:sz w:val="22"/>
          <w:szCs w:val="22"/>
        </w:rPr>
        <w:t xml:space="preserve">bei CML </w:t>
      </w:r>
      <w:r w:rsidRPr="00B30A12">
        <w:rPr>
          <w:color w:val="000000"/>
          <w:sz w:val="22"/>
          <w:szCs w:val="22"/>
        </w:rPr>
        <w:t xml:space="preserve">wurde ein Behandlungsabbruch auf Grund </w:t>
      </w:r>
      <w:r w:rsidR="00BB0C48" w:rsidRPr="00B30A12">
        <w:rPr>
          <w:color w:val="000000"/>
          <w:sz w:val="22"/>
          <w:szCs w:val="22"/>
        </w:rPr>
        <w:t>a</w:t>
      </w:r>
      <w:r w:rsidRPr="00B30A12">
        <w:rPr>
          <w:color w:val="000000"/>
          <w:sz w:val="22"/>
          <w:szCs w:val="22"/>
        </w:rPr>
        <w:t xml:space="preserve">rzneimittelbedingter Nebenwirkungen bei </w:t>
      </w:r>
      <w:r w:rsidR="00B51E6B" w:rsidRPr="00B30A12">
        <w:rPr>
          <w:color w:val="000000"/>
          <w:sz w:val="22"/>
          <w:szCs w:val="22"/>
        </w:rPr>
        <w:t>2</w:t>
      </w:r>
      <w:r w:rsidR="009669BB" w:rsidRPr="00B30A12">
        <w:rPr>
          <w:color w:val="000000"/>
          <w:sz w:val="22"/>
          <w:szCs w:val="22"/>
        </w:rPr>
        <w:t>,4</w:t>
      </w:r>
      <w:r w:rsidR="00B51E6B" w:rsidRPr="00B30A12">
        <w:rPr>
          <w:color w:val="000000"/>
          <w:sz w:val="22"/>
          <w:szCs w:val="22"/>
        </w:rPr>
        <w:t>% der neu diagnostizierten Patienten, bei 4</w:t>
      </w:r>
      <w:r w:rsidR="006766AC" w:rsidRPr="00B30A12">
        <w:rPr>
          <w:color w:val="000000"/>
          <w:sz w:val="22"/>
          <w:szCs w:val="22"/>
        </w:rPr>
        <w:t>%</w:t>
      </w:r>
      <w:r w:rsidRPr="00B30A12">
        <w:rPr>
          <w:color w:val="000000"/>
          <w:sz w:val="22"/>
          <w:szCs w:val="22"/>
        </w:rPr>
        <w:t xml:space="preserve"> der Patienten in der </w:t>
      </w:r>
      <w:r w:rsidR="00B51E6B" w:rsidRPr="00B30A12">
        <w:rPr>
          <w:color w:val="000000"/>
          <w:sz w:val="22"/>
          <w:szCs w:val="22"/>
        </w:rPr>
        <w:t xml:space="preserve">späten </w:t>
      </w:r>
      <w:r w:rsidRPr="00B30A12">
        <w:rPr>
          <w:color w:val="000000"/>
          <w:sz w:val="22"/>
          <w:szCs w:val="22"/>
        </w:rPr>
        <w:t>chronischen Phase</w:t>
      </w:r>
      <w:r w:rsidR="00B51E6B" w:rsidRPr="00B30A12">
        <w:rPr>
          <w:color w:val="000000"/>
          <w:sz w:val="22"/>
          <w:szCs w:val="22"/>
        </w:rPr>
        <w:t xml:space="preserve"> nach Versagen von Interferon</w:t>
      </w:r>
      <w:r w:rsidRPr="00B30A12">
        <w:rPr>
          <w:color w:val="000000"/>
          <w:sz w:val="22"/>
          <w:szCs w:val="22"/>
        </w:rPr>
        <w:t xml:space="preserve">, bei </w:t>
      </w:r>
      <w:r w:rsidR="00B51E6B" w:rsidRPr="00B30A12">
        <w:rPr>
          <w:color w:val="000000"/>
          <w:sz w:val="22"/>
          <w:szCs w:val="22"/>
        </w:rPr>
        <w:t>4</w:t>
      </w:r>
      <w:r w:rsidR="006766AC" w:rsidRPr="00B30A12">
        <w:rPr>
          <w:color w:val="000000"/>
          <w:sz w:val="22"/>
          <w:szCs w:val="22"/>
        </w:rPr>
        <w:t>%</w:t>
      </w:r>
      <w:r w:rsidRPr="00B30A12">
        <w:rPr>
          <w:color w:val="000000"/>
          <w:sz w:val="22"/>
          <w:szCs w:val="22"/>
        </w:rPr>
        <w:t xml:space="preserve"> der Patienten in der akzelerierten Phase </w:t>
      </w:r>
      <w:r w:rsidR="00B51E6B" w:rsidRPr="00B30A12">
        <w:rPr>
          <w:color w:val="000000"/>
          <w:sz w:val="22"/>
          <w:szCs w:val="22"/>
        </w:rPr>
        <w:t xml:space="preserve">nach Versagen von Interferon </w:t>
      </w:r>
      <w:r w:rsidRPr="00B30A12">
        <w:rPr>
          <w:color w:val="000000"/>
          <w:sz w:val="22"/>
          <w:szCs w:val="22"/>
        </w:rPr>
        <w:t>und bei 5</w:t>
      </w:r>
      <w:r w:rsidR="006766AC" w:rsidRPr="00B30A12">
        <w:rPr>
          <w:color w:val="000000"/>
          <w:sz w:val="22"/>
          <w:szCs w:val="22"/>
        </w:rPr>
        <w:t>%</w:t>
      </w:r>
      <w:r w:rsidRPr="00B30A12">
        <w:rPr>
          <w:color w:val="000000"/>
          <w:sz w:val="22"/>
          <w:szCs w:val="22"/>
        </w:rPr>
        <w:t xml:space="preserve"> der Patienten in der Blastenkrise </w:t>
      </w:r>
      <w:r w:rsidR="00B51E6B" w:rsidRPr="00B30A12">
        <w:rPr>
          <w:color w:val="000000"/>
          <w:sz w:val="22"/>
          <w:szCs w:val="22"/>
        </w:rPr>
        <w:t xml:space="preserve">nach Versagen von Interferon </w:t>
      </w:r>
      <w:r w:rsidRPr="00B30A12">
        <w:rPr>
          <w:color w:val="000000"/>
          <w:sz w:val="22"/>
          <w:szCs w:val="22"/>
        </w:rPr>
        <w:t>beobachtet. Bei GIST wurde die Gabe der Studien</w:t>
      </w:r>
      <w:r w:rsidRPr="00B30A12">
        <w:rPr>
          <w:color w:val="000000"/>
          <w:sz w:val="22"/>
          <w:szCs w:val="22"/>
        </w:rPr>
        <w:softHyphen/>
        <w:t xml:space="preserve">medikation bei </w:t>
      </w:r>
      <w:r w:rsidR="00B51E6B" w:rsidRPr="00B30A12">
        <w:rPr>
          <w:color w:val="000000"/>
          <w:sz w:val="22"/>
          <w:szCs w:val="22"/>
        </w:rPr>
        <w:t>4</w:t>
      </w:r>
      <w:r w:rsidR="006766AC" w:rsidRPr="00B30A12">
        <w:rPr>
          <w:color w:val="000000"/>
          <w:sz w:val="22"/>
          <w:szCs w:val="22"/>
        </w:rPr>
        <w:t>%</w:t>
      </w:r>
      <w:r w:rsidRPr="00B30A12">
        <w:rPr>
          <w:color w:val="000000"/>
          <w:sz w:val="22"/>
          <w:szCs w:val="22"/>
        </w:rPr>
        <w:t xml:space="preserve"> der Patienten auf Grund von </w:t>
      </w:r>
      <w:r w:rsidR="00BB0C48" w:rsidRPr="00B30A12">
        <w:rPr>
          <w:color w:val="000000"/>
          <w:sz w:val="22"/>
          <w:szCs w:val="22"/>
        </w:rPr>
        <w:t>a</w:t>
      </w:r>
      <w:r w:rsidR="00B53510" w:rsidRPr="00B30A12">
        <w:rPr>
          <w:color w:val="000000"/>
          <w:sz w:val="22"/>
          <w:szCs w:val="22"/>
        </w:rPr>
        <w:t>rzneimittel</w:t>
      </w:r>
      <w:r w:rsidRPr="00B30A12">
        <w:rPr>
          <w:color w:val="000000"/>
          <w:sz w:val="22"/>
          <w:szCs w:val="22"/>
        </w:rPr>
        <w:t>bedingten Nebenwirkungen unterbro</w:t>
      </w:r>
      <w:r w:rsidRPr="00B30A12">
        <w:rPr>
          <w:color w:val="000000"/>
          <w:sz w:val="22"/>
          <w:szCs w:val="22"/>
        </w:rPr>
        <w:softHyphen/>
        <w:t>chen.</w:t>
      </w:r>
    </w:p>
    <w:p w14:paraId="799866CC" w14:textId="77777777" w:rsidR="006615F9" w:rsidRPr="00B30A12" w:rsidRDefault="006615F9" w:rsidP="00537E23">
      <w:pPr>
        <w:widowControl w:val="0"/>
        <w:rPr>
          <w:color w:val="000000"/>
          <w:sz w:val="22"/>
          <w:szCs w:val="22"/>
        </w:rPr>
      </w:pPr>
    </w:p>
    <w:p w14:paraId="66AC9A17" w14:textId="77777777" w:rsidR="006615F9" w:rsidRPr="00B30A12" w:rsidRDefault="006615F9" w:rsidP="00537E23">
      <w:pPr>
        <w:widowControl w:val="0"/>
        <w:rPr>
          <w:color w:val="000000"/>
          <w:sz w:val="22"/>
          <w:szCs w:val="22"/>
        </w:rPr>
      </w:pPr>
      <w:r w:rsidRPr="00B30A12">
        <w:rPr>
          <w:color w:val="000000"/>
          <w:sz w:val="22"/>
          <w:szCs w:val="22"/>
        </w:rPr>
        <w:t xml:space="preserve">Die Nebenwirkungen waren bei </w:t>
      </w:r>
      <w:r w:rsidR="002C0958" w:rsidRPr="00B30A12">
        <w:rPr>
          <w:color w:val="000000"/>
          <w:sz w:val="22"/>
          <w:szCs w:val="22"/>
        </w:rPr>
        <w:t xml:space="preserve">allen Indikationen </w:t>
      </w:r>
      <w:r w:rsidRPr="00B30A12">
        <w:rPr>
          <w:color w:val="000000"/>
          <w:sz w:val="22"/>
          <w:szCs w:val="22"/>
        </w:rPr>
        <w:t>mit zwei Ausnahmen vergleichbar. Myelo</w:t>
      </w:r>
      <w:r w:rsidRPr="00B30A12">
        <w:rPr>
          <w:color w:val="000000"/>
          <w:sz w:val="22"/>
          <w:szCs w:val="22"/>
        </w:rPr>
        <w:softHyphen/>
        <w:t>suppression trat bei CML-Patienten häufiger auf als bei GIST. Dies ist wahrscheinlich auf die Grund</w:t>
      </w:r>
      <w:r w:rsidRPr="00B30A12">
        <w:rPr>
          <w:color w:val="000000"/>
          <w:sz w:val="22"/>
          <w:szCs w:val="22"/>
        </w:rPr>
        <w:softHyphen/>
        <w:t xml:space="preserve">erkrankung zurückzuführen. </w:t>
      </w:r>
      <w:r w:rsidR="007356AA" w:rsidRPr="00B30A12">
        <w:rPr>
          <w:color w:val="000000"/>
          <w:sz w:val="22"/>
          <w:szCs w:val="22"/>
        </w:rPr>
        <w:t>In der Studie an Patienten mit nicht-resezierbaren und/oder metastasierten GIST wiesen 7 Patienten (5%)</w:t>
      </w:r>
      <w:r w:rsidRPr="00B30A12">
        <w:rPr>
          <w:color w:val="000000"/>
          <w:sz w:val="22"/>
          <w:szCs w:val="22"/>
        </w:rPr>
        <w:t xml:space="preserve"> Blutungen auf, davon 3</w:t>
      </w:r>
      <w:r w:rsidR="00C80819" w:rsidRPr="00B30A12">
        <w:rPr>
          <w:color w:val="000000"/>
          <w:sz w:val="22"/>
          <w:szCs w:val="22"/>
        </w:rPr>
        <w:t> </w:t>
      </w:r>
      <w:r w:rsidRPr="00B30A12">
        <w:rPr>
          <w:color w:val="000000"/>
          <w:sz w:val="22"/>
          <w:szCs w:val="22"/>
        </w:rPr>
        <w:t>Patienten GI-Blutungen Grad</w:t>
      </w:r>
      <w:r w:rsidR="00C80819" w:rsidRPr="00B30A12">
        <w:rPr>
          <w:color w:val="000000"/>
          <w:sz w:val="22"/>
          <w:szCs w:val="22"/>
        </w:rPr>
        <w:t> </w:t>
      </w:r>
      <w:r w:rsidRPr="00B30A12">
        <w:rPr>
          <w:color w:val="000000"/>
          <w:sz w:val="22"/>
          <w:szCs w:val="22"/>
        </w:rPr>
        <w:t xml:space="preserve">3/4 nach </w:t>
      </w:r>
      <w:smartTag w:uri="urn:schemas-microsoft-com:office:smarttags" w:element="stockticker">
        <w:r w:rsidRPr="00B30A12">
          <w:rPr>
            <w:color w:val="000000"/>
            <w:sz w:val="22"/>
            <w:szCs w:val="22"/>
          </w:rPr>
          <w:t>CTC</w:t>
        </w:r>
      </w:smartTag>
      <w:r w:rsidRPr="00B30A12">
        <w:rPr>
          <w:color w:val="000000"/>
          <w:sz w:val="22"/>
          <w:szCs w:val="22"/>
        </w:rPr>
        <w:t xml:space="preserve"> (Common Toxicity Criteria), 3 Patienten intratu</w:t>
      </w:r>
      <w:r w:rsidRPr="00B30A12">
        <w:rPr>
          <w:color w:val="000000"/>
          <w:sz w:val="22"/>
          <w:szCs w:val="22"/>
        </w:rPr>
        <w:softHyphen/>
        <w:t>morale Blutungen und 1</w:t>
      </w:r>
      <w:r w:rsidR="00C80819" w:rsidRPr="00B30A12">
        <w:rPr>
          <w:color w:val="000000"/>
          <w:sz w:val="22"/>
          <w:szCs w:val="22"/>
        </w:rPr>
        <w:t> </w:t>
      </w:r>
      <w:r w:rsidRPr="00B30A12">
        <w:rPr>
          <w:color w:val="000000"/>
          <w:sz w:val="22"/>
          <w:szCs w:val="22"/>
        </w:rPr>
        <w:t>Patient beide Blutungsarten. GI-Tumoren können auch die Ursache für GI-Blutungen gewesen sein (siehe Abschnitt 4.4). GI- und Tumorblutungen können schwerwiegend sein und manchmal tödlich verlaufen. Die am häufigsten berichteten behandlungsbedingten Nebenwirkungen (</w:t>
      </w:r>
      <w:r w:rsidRPr="00B30A12">
        <w:rPr>
          <w:color w:val="000000"/>
          <w:sz w:val="22"/>
          <w:szCs w:val="22"/>
        </w:rPr>
        <w:sym w:font="Symbol" w:char="F0B3"/>
      </w:r>
      <w:r w:rsidR="00975215" w:rsidRPr="00B30A12">
        <w:rPr>
          <w:color w:val="000000"/>
          <w:sz w:val="22"/>
          <w:szCs w:val="22"/>
        </w:rPr>
        <w:t> </w:t>
      </w:r>
      <w:r w:rsidRPr="00B30A12">
        <w:rPr>
          <w:color w:val="000000"/>
          <w:sz w:val="22"/>
          <w:szCs w:val="22"/>
        </w:rPr>
        <w:t>10</w:t>
      </w:r>
      <w:r w:rsidR="006766AC" w:rsidRPr="00B30A12">
        <w:rPr>
          <w:color w:val="000000"/>
          <w:sz w:val="22"/>
          <w:szCs w:val="22"/>
        </w:rPr>
        <w:t>%</w:t>
      </w:r>
      <w:r w:rsidRPr="00B30A12">
        <w:rPr>
          <w:color w:val="000000"/>
          <w:sz w:val="22"/>
          <w:szCs w:val="22"/>
        </w:rPr>
        <w:t>) in beiden Indikationen waren leichte Übelkeit, Erbrechen, Durchfall, Abdominalschmerzen, Ermüdung, Myalgie, Muskelkrämpfe und Hautrötung. Oberflächenödeme wurden in allen Studien ge</w:t>
      </w:r>
      <w:r w:rsidRPr="00B30A12">
        <w:rPr>
          <w:color w:val="000000"/>
          <w:sz w:val="22"/>
          <w:szCs w:val="22"/>
        </w:rPr>
        <w:softHyphen/>
        <w:t>funden und wurden vorwiegend als periorbitale Ödeme oder Ödeme der unteren Gliedmaßen beschrie</w:t>
      </w:r>
      <w:r w:rsidRPr="00B30A12">
        <w:rPr>
          <w:color w:val="000000"/>
          <w:sz w:val="22"/>
          <w:szCs w:val="22"/>
        </w:rPr>
        <w:softHyphen/>
        <w:t>ben. Diese Ödeme waren jedoch selten schwer und können mit Diuretika, anderen supportiven Maß</w:t>
      </w:r>
      <w:r w:rsidRPr="00B30A12">
        <w:rPr>
          <w:color w:val="000000"/>
          <w:sz w:val="22"/>
          <w:szCs w:val="22"/>
        </w:rPr>
        <w:softHyphen/>
        <w:t>nahmen oder durch Reduktion der Glivec-Dosis beherrscht werden.</w:t>
      </w:r>
    </w:p>
    <w:p w14:paraId="06A05979" w14:textId="77777777" w:rsidR="002C0958" w:rsidRPr="00B30A12" w:rsidRDefault="002C0958" w:rsidP="00537E23">
      <w:pPr>
        <w:widowControl w:val="0"/>
        <w:rPr>
          <w:color w:val="000000"/>
          <w:sz w:val="22"/>
          <w:szCs w:val="22"/>
        </w:rPr>
      </w:pPr>
    </w:p>
    <w:p w14:paraId="509526C3" w14:textId="77777777" w:rsidR="002C0958" w:rsidRPr="00B30A12" w:rsidRDefault="002C0958" w:rsidP="00537E23">
      <w:pPr>
        <w:widowControl w:val="0"/>
        <w:rPr>
          <w:color w:val="000000"/>
          <w:sz w:val="22"/>
          <w:szCs w:val="22"/>
        </w:rPr>
      </w:pPr>
      <w:r w:rsidRPr="00B30A12">
        <w:rPr>
          <w:color w:val="000000"/>
          <w:sz w:val="22"/>
          <w:szCs w:val="22"/>
        </w:rPr>
        <w:t>Im Rahmen der Kombinationstherapie von Imatinib mit Hochdosis-Chemotherapie wurde bei Ph+ </w:t>
      </w:r>
      <w:smartTag w:uri="urn:schemas-microsoft-com:office:smarttags" w:element="stockticker">
        <w:r w:rsidRPr="00B30A12">
          <w:rPr>
            <w:color w:val="000000"/>
            <w:sz w:val="22"/>
            <w:szCs w:val="22"/>
          </w:rPr>
          <w:t>ALL</w:t>
        </w:r>
      </w:smartTag>
      <w:r w:rsidRPr="00B30A12">
        <w:rPr>
          <w:color w:val="000000"/>
          <w:sz w:val="22"/>
          <w:szCs w:val="22"/>
        </w:rPr>
        <w:t>-Patienten eine vorübergehende Lebertoxizität in Form erhöhter Transaminasenwerte und einer Bilirubinämie beobachtet.</w:t>
      </w:r>
      <w:r w:rsidR="00B44F52" w:rsidRPr="00B30A12">
        <w:rPr>
          <w:color w:val="000000"/>
          <w:sz w:val="22"/>
          <w:szCs w:val="22"/>
        </w:rPr>
        <w:t xml:space="preserve"> </w:t>
      </w:r>
      <w:r w:rsidR="007D16E4" w:rsidRPr="00B30A12">
        <w:rPr>
          <w:color w:val="000000"/>
          <w:sz w:val="22"/>
          <w:szCs w:val="22"/>
        </w:rPr>
        <w:t xml:space="preserve">In Anbetracht der begrenzten Sicherheitsdaten sind die bisher berichteten Nebenwirkungen bei Kindern konsistent mit dem bekannten Sicherheitsprofil bei Erwachsenen mit Ph+ ALL. </w:t>
      </w:r>
      <w:r w:rsidR="006C0BC8" w:rsidRPr="00B30A12">
        <w:rPr>
          <w:color w:val="000000"/>
          <w:sz w:val="22"/>
          <w:szCs w:val="22"/>
        </w:rPr>
        <w:t>In der</w:t>
      </w:r>
      <w:r w:rsidR="00D120C6" w:rsidRPr="00B30A12">
        <w:rPr>
          <w:color w:val="000000"/>
          <w:sz w:val="22"/>
          <w:szCs w:val="22"/>
        </w:rPr>
        <w:t xml:space="preserve"> Sicherheitsdatenbank </w:t>
      </w:r>
      <w:r w:rsidR="006C0BC8" w:rsidRPr="00B30A12">
        <w:rPr>
          <w:color w:val="000000"/>
          <w:sz w:val="22"/>
          <w:szCs w:val="22"/>
        </w:rPr>
        <w:t>sind die Informationen für Kinder mit PH+ ALL</w:t>
      </w:r>
      <w:r w:rsidR="00D120C6" w:rsidRPr="00B30A12">
        <w:rPr>
          <w:color w:val="000000"/>
          <w:sz w:val="22"/>
          <w:szCs w:val="22"/>
        </w:rPr>
        <w:t xml:space="preserve"> sehr begrenzt</w:t>
      </w:r>
      <w:r w:rsidR="006C0BC8" w:rsidRPr="00B30A12">
        <w:rPr>
          <w:color w:val="000000"/>
          <w:sz w:val="22"/>
          <w:szCs w:val="22"/>
        </w:rPr>
        <w:t xml:space="preserve"> und es</w:t>
      </w:r>
      <w:r w:rsidR="00D120C6" w:rsidRPr="00B30A12">
        <w:rPr>
          <w:color w:val="000000"/>
          <w:sz w:val="22"/>
          <w:szCs w:val="22"/>
        </w:rPr>
        <w:t xml:space="preserve"> wurden keine neuen Sicherheitsbedenken gefunden.</w:t>
      </w:r>
    </w:p>
    <w:p w14:paraId="04FCDC56" w14:textId="77777777" w:rsidR="006615F9" w:rsidRPr="00B30A12" w:rsidRDefault="006615F9" w:rsidP="00537E23">
      <w:pPr>
        <w:widowControl w:val="0"/>
        <w:rPr>
          <w:color w:val="000000"/>
          <w:sz w:val="22"/>
          <w:szCs w:val="22"/>
        </w:rPr>
      </w:pPr>
    </w:p>
    <w:p w14:paraId="739D8C61" w14:textId="77777777" w:rsidR="006615F9" w:rsidRPr="00B30A12" w:rsidRDefault="006615F9" w:rsidP="00537E23">
      <w:pPr>
        <w:widowControl w:val="0"/>
        <w:rPr>
          <w:color w:val="000000"/>
          <w:sz w:val="22"/>
          <w:szCs w:val="22"/>
        </w:rPr>
      </w:pPr>
      <w:r w:rsidRPr="00B30A12">
        <w:rPr>
          <w:color w:val="000000"/>
          <w:sz w:val="22"/>
          <w:szCs w:val="22"/>
        </w:rPr>
        <w:t>Verschiedene andere Nebenwirkungen wie Pleuraerguss, Aszites, Lungenödem und schnelle Gewichts</w:t>
      </w:r>
      <w:r w:rsidRPr="00B30A12">
        <w:rPr>
          <w:color w:val="000000"/>
          <w:sz w:val="22"/>
          <w:szCs w:val="22"/>
        </w:rPr>
        <w:softHyphen/>
        <w:t>zunahme mit oder ohne Oberflächenödeme können unter dem Begriff „Flüssigkeitsretention“ zusam</w:t>
      </w:r>
      <w:r w:rsidRPr="00B30A12">
        <w:rPr>
          <w:color w:val="000000"/>
          <w:sz w:val="22"/>
          <w:szCs w:val="22"/>
        </w:rPr>
        <w:softHyphen/>
        <w:t>mengefasst werden. Diese Nebenwirkungen können im Allgemeinen durch ein zeitlich befristetes Absetzen von Glivec und durch Diuretika und andere geeignete supportive Maßnahmen beherrscht wer</w:t>
      </w:r>
      <w:r w:rsidRPr="00B30A12">
        <w:rPr>
          <w:color w:val="000000"/>
          <w:sz w:val="22"/>
          <w:szCs w:val="22"/>
        </w:rPr>
        <w:softHyphen/>
        <w:t xml:space="preserve">den. Einige dieser Befunde können jedoch schwer oder lebensbedrohend sein und </w:t>
      </w:r>
      <w:r w:rsidR="00A26893" w:rsidRPr="00B30A12">
        <w:rPr>
          <w:color w:val="000000"/>
          <w:sz w:val="22"/>
          <w:szCs w:val="22"/>
        </w:rPr>
        <w:t xml:space="preserve">mehrere </w:t>
      </w:r>
      <w:r w:rsidRPr="00B30A12">
        <w:rPr>
          <w:color w:val="000000"/>
          <w:sz w:val="22"/>
          <w:szCs w:val="22"/>
        </w:rPr>
        <w:t>Patienten in der Blastenkrise verstarben nach einer komplizierten Krankengeschichte mit Pleuraerguss, Stauungsherzinsuf</w:t>
      </w:r>
      <w:r w:rsidRPr="00B30A12">
        <w:rPr>
          <w:color w:val="000000"/>
          <w:sz w:val="22"/>
          <w:szCs w:val="22"/>
        </w:rPr>
        <w:softHyphen/>
        <w:t>fizienz und Nierenversagen. Es gab keine speziellen sicherheitsrelevanten Befunde in den klinischen Studien bei Kindern.</w:t>
      </w:r>
    </w:p>
    <w:p w14:paraId="7E1F6DD4" w14:textId="77777777" w:rsidR="006615F9" w:rsidRPr="00B30A12" w:rsidRDefault="006615F9" w:rsidP="00537E23">
      <w:pPr>
        <w:widowControl w:val="0"/>
        <w:rPr>
          <w:color w:val="000000"/>
          <w:sz w:val="22"/>
          <w:szCs w:val="22"/>
        </w:rPr>
      </w:pPr>
    </w:p>
    <w:p w14:paraId="16C56351" w14:textId="77777777" w:rsidR="006615F9" w:rsidRPr="00B30A12" w:rsidRDefault="006615F9" w:rsidP="00463D41">
      <w:pPr>
        <w:keepNext/>
        <w:widowControl w:val="0"/>
        <w:rPr>
          <w:b/>
          <w:color w:val="000000"/>
          <w:sz w:val="22"/>
          <w:szCs w:val="22"/>
        </w:rPr>
      </w:pPr>
      <w:r w:rsidRPr="00B30A12">
        <w:rPr>
          <w:b/>
          <w:color w:val="000000"/>
          <w:sz w:val="22"/>
          <w:szCs w:val="22"/>
        </w:rPr>
        <w:t>Nebenwirkungen</w:t>
      </w:r>
    </w:p>
    <w:p w14:paraId="2D7FD34C" w14:textId="77777777" w:rsidR="006615F9" w:rsidRPr="00B30A12" w:rsidRDefault="006615F9" w:rsidP="00537E23">
      <w:pPr>
        <w:pStyle w:val="BodyText"/>
        <w:keepNext w:val="0"/>
        <w:widowControl w:val="0"/>
        <w:spacing w:line="240" w:lineRule="auto"/>
        <w:jc w:val="left"/>
        <w:rPr>
          <w:color w:val="000000"/>
          <w:szCs w:val="22"/>
        </w:rPr>
      </w:pPr>
      <w:r w:rsidRPr="00B30A12">
        <w:rPr>
          <w:color w:val="000000"/>
          <w:szCs w:val="22"/>
        </w:rPr>
        <w:t>Diejenigen Nebenwirkungen, die häufiger als nur in Einzelfällen auftraten, werden im Folgenden geglie</w:t>
      </w:r>
      <w:r w:rsidRPr="00B30A12">
        <w:rPr>
          <w:color w:val="000000"/>
          <w:szCs w:val="22"/>
        </w:rPr>
        <w:softHyphen/>
        <w:t>dert nach Organsystemen und nach Häufigkeitsgruppen aufgelistet. Die Häufigkeitsgruppen sind fol</w:t>
      </w:r>
      <w:r w:rsidRPr="00B30A12">
        <w:rPr>
          <w:color w:val="000000"/>
          <w:szCs w:val="22"/>
        </w:rPr>
        <w:softHyphen/>
        <w:t>gendermaßen definiert: Sehr häufig (</w:t>
      </w:r>
      <w:r w:rsidR="00D774C0" w:rsidRPr="00B30A12">
        <w:rPr>
          <w:color w:val="000000"/>
          <w:szCs w:val="22"/>
        </w:rPr>
        <w:t>≥</w:t>
      </w:r>
      <w:r w:rsidRPr="00B30A12">
        <w:rPr>
          <w:color w:val="000000"/>
          <w:szCs w:val="22"/>
        </w:rPr>
        <w:t>1/10)</w:t>
      </w:r>
      <w:r w:rsidR="00ED3068" w:rsidRPr="00B30A12">
        <w:rPr>
          <w:color w:val="000000"/>
          <w:szCs w:val="22"/>
        </w:rPr>
        <w:t>,</w:t>
      </w:r>
      <w:r w:rsidRPr="00B30A12">
        <w:rPr>
          <w:color w:val="000000"/>
          <w:szCs w:val="22"/>
        </w:rPr>
        <w:t xml:space="preserve"> häufig (</w:t>
      </w:r>
      <w:r w:rsidR="00D774C0" w:rsidRPr="00B30A12">
        <w:rPr>
          <w:color w:val="000000"/>
          <w:szCs w:val="22"/>
        </w:rPr>
        <w:t>≥</w:t>
      </w:r>
      <w:r w:rsidRPr="00B30A12">
        <w:rPr>
          <w:color w:val="000000"/>
          <w:szCs w:val="22"/>
        </w:rPr>
        <w:t xml:space="preserve">1/100, </w:t>
      </w:r>
      <w:r w:rsidR="00D774C0" w:rsidRPr="00B30A12">
        <w:rPr>
          <w:color w:val="000000"/>
          <w:szCs w:val="22"/>
        </w:rPr>
        <w:t>&lt;</w:t>
      </w:r>
      <w:r w:rsidRPr="00B30A12">
        <w:rPr>
          <w:color w:val="000000"/>
          <w:szCs w:val="22"/>
        </w:rPr>
        <w:t>1/10)</w:t>
      </w:r>
      <w:r w:rsidR="00ED3068" w:rsidRPr="00B30A12">
        <w:rPr>
          <w:color w:val="000000"/>
          <w:szCs w:val="22"/>
        </w:rPr>
        <w:t>,</w:t>
      </w:r>
      <w:r w:rsidRPr="00B30A12">
        <w:rPr>
          <w:color w:val="000000"/>
          <w:szCs w:val="22"/>
        </w:rPr>
        <w:t xml:space="preserve"> gelegentlich (</w:t>
      </w:r>
      <w:r w:rsidR="00D774C0" w:rsidRPr="00B30A12">
        <w:rPr>
          <w:color w:val="000000"/>
          <w:szCs w:val="22"/>
        </w:rPr>
        <w:t>≥</w:t>
      </w:r>
      <w:r w:rsidRPr="00B30A12">
        <w:rPr>
          <w:color w:val="000000"/>
          <w:szCs w:val="22"/>
        </w:rPr>
        <w:t>1/1</w:t>
      </w:r>
      <w:r w:rsidR="00BB10C8" w:rsidRPr="00B30A12">
        <w:rPr>
          <w:color w:val="000000"/>
          <w:szCs w:val="22"/>
        </w:rPr>
        <w:t>.</w:t>
      </w:r>
      <w:r w:rsidRPr="00B30A12">
        <w:rPr>
          <w:color w:val="000000"/>
          <w:szCs w:val="22"/>
        </w:rPr>
        <w:t xml:space="preserve">000, </w:t>
      </w:r>
      <w:r w:rsidR="00D774C0" w:rsidRPr="00B30A12">
        <w:rPr>
          <w:color w:val="000000"/>
          <w:szCs w:val="22"/>
        </w:rPr>
        <w:lastRenderedPageBreak/>
        <w:t>&lt;</w:t>
      </w:r>
      <w:r w:rsidRPr="00B30A12">
        <w:rPr>
          <w:color w:val="000000"/>
          <w:szCs w:val="22"/>
        </w:rPr>
        <w:t>1/100)</w:t>
      </w:r>
      <w:r w:rsidR="00ED3068" w:rsidRPr="00B30A12">
        <w:rPr>
          <w:color w:val="000000"/>
          <w:szCs w:val="22"/>
        </w:rPr>
        <w:t>,</w:t>
      </w:r>
      <w:r w:rsidRPr="00B30A12">
        <w:rPr>
          <w:color w:val="000000"/>
          <w:szCs w:val="22"/>
        </w:rPr>
        <w:t xml:space="preserve"> selten (</w:t>
      </w:r>
      <w:r w:rsidR="00D774C0" w:rsidRPr="00B30A12">
        <w:rPr>
          <w:color w:val="000000"/>
          <w:szCs w:val="22"/>
        </w:rPr>
        <w:t>≥</w:t>
      </w:r>
      <w:r w:rsidRPr="00B30A12">
        <w:rPr>
          <w:color w:val="000000"/>
          <w:szCs w:val="22"/>
        </w:rPr>
        <w:t>1/1</w:t>
      </w:r>
      <w:r w:rsidR="00D774C0" w:rsidRPr="00B30A12">
        <w:rPr>
          <w:color w:val="000000"/>
          <w:szCs w:val="22"/>
        </w:rPr>
        <w:t>0</w:t>
      </w:r>
      <w:r w:rsidR="00BB10C8" w:rsidRPr="00B30A12">
        <w:rPr>
          <w:color w:val="000000"/>
          <w:szCs w:val="22"/>
        </w:rPr>
        <w:t>.</w:t>
      </w:r>
      <w:r w:rsidRPr="00B30A12">
        <w:rPr>
          <w:color w:val="000000"/>
          <w:szCs w:val="22"/>
        </w:rPr>
        <w:t>000</w:t>
      </w:r>
      <w:r w:rsidR="00D774C0" w:rsidRPr="00B30A12">
        <w:rPr>
          <w:color w:val="000000"/>
          <w:szCs w:val="22"/>
        </w:rPr>
        <w:t>, &lt;1/1.000</w:t>
      </w:r>
      <w:r w:rsidRPr="00B30A12">
        <w:rPr>
          <w:color w:val="000000"/>
          <w:szCs w:val="22"/>
        </w:rPr>
        <w:t>)</w:t>
      </w:r>
      <w:r w:rsidR="009669BB" w:rsidRPr="00B30A12">
        <w:rPr>
          <w:color w:val="000000"/>
          <w:szCs w:val="22"/>
        </w:rPr>
        <w:t xml:space="preserve">, </w:t>
      </w:r>
      <w:r w:rsidR="00ED3068" w:rsidRPr="00B30A12">
        <w:rPr>
          <w:color w:val="000000"/>
          <w:szCs w:val="22"/>
        </w:rPr>
        <w:t>sehr selten (&lt;1/10.000),</w:t>
      </w:r>
      <w:r w:rsidR="00D774C0" w:rsidRPr="00B30A12">
        <w:rPr>
          <w:color w:val="000000"/>
          <w:szCs w:val="22"/>
        </w:rPr>
        <w:t xml:space="preserve"> </w:t>
      </w:r>
      <w:r w:rsidR="00FF7DC4" w:rsidRPr="00B30A12">
        <w:rPr>
          <w:color w:val="000000"/>
          <w:szCs w:val="22"/>
        </w:rPr>
        <w:t>nicht bekannt (</w:t>
      </w:r>
      <w:r w:rsidR="00D774C0" w:rsidRPr="00B30A12">
        <w:rPr>
          <w:color w:val="000000"/>
          <w:szCs w:val="22"/>
        </w:rPr>
        <w:t xml:space="preserve">Häufigkeit </w:t>
      </w:r>
      <w:r w:rsidR="00FF7DC4" w:rsidRPr="00B30A12">
        <w:rPr>
          <w:color w:val="000000"/>
          <w:szCs w:val="22"/>
        </w:rPr>
        <w:t>auf Grundlage der verfügbaren Daten nicht abschätzbar)</w:t>
      </w:r>
      <w:r w:rsidR="009669BB" w:rsidRPr="00B30A12">
        <w:rPr>
          <w:color w:val="000000"/>
          <w:szCs w:val="22"/>
        </w:rPr>
        <w:t>.</w:t>
      </w:r>
    </w:p>
    <w:p w14:paraId="1BD9DF48" w14:textId="77777777" w:rsidR="00046D23" w:rsidRPr="00B30A12" w:rsidRDefault="00046D23" w:rsidP="00537E23">
      <w:pPr>
        <w:pStyle w:val="BodyText"/>
        <w:keepNext w:val="0"/>
        <w:widowControl w:val="0"/>
        <w:spacing w:line="240" w:lineRule="auto"/>
        <w:jc w:val="left"/>
        <w:rPr>
          <w:color w:val="000000"/>
          <w:szCs w:val="22"/>
        </w:rPr>
      </w:pPr>
    </w:p>
    <w:p w14:paraId="10578A60" w14:textId="77777777" w:rsidR="009D6E18" w:rsidRPr="00B30A12" w:rsidRDefault="009D6E18" w:rsidP="00537E23">
      <w:pPr>
        <w:pStyle w:val="BodyText"/>
        <w:keepNext w:val="0"/>
        <w:widowControl w:val="0"/>
        <w:spacing w:line="240" w:lineRule="auto"/>
        <w:jc w:val="left"/>
        <w:rPr>
          <w:color w:val="000000"/>
          <w:szCs w:val="22"/>
        </w:rPr>
      </w:pPr>
      <w:r w:rsidRPr="00B30A12">
        <w:rPr>
          <w:color w:val="000000"/>
          <w:szCs w:val="22"/>
        </w:rPr>
        <w:t>Innerhalb jeder Häufigkeitsgruppe werden die Nebenwirkungen nach ihrer Häufigkeit angegeben, die häufigsten zuerst.</w:t>
      </w:r>
    </w:p>
    <w:p w14:paraId="096447B7" w14:textId="77777777" w:rsidR="009D6E18" w:rsidRPr="00B30A12" w:rsidRDefault="009D6E18" w:rsidP="00537E23">
      <w:pPr>
        <w:pStyle w:val="Header"/>
        <w:widowControl w:val="0"/>
        <w:tabs>
          <w:tab w:val="clear" w:pos="4320"/>
          <w:tab w:val="clear" w:pos="8640"/>
        </w:tabs>
        <w:rPr>
          <w:color w:val="000000"/>
          <w:szCs w:val="22"/>
        </w:rPr>
      </w:pPr>
    </w:p>
    <w:p w14:paraId="671FEBDA" w14:textId="77777777" w:rsidR="00C21295" w:rsidRPr="00B30A12" w:rsidRDefault="009D6E18" w:rsidP="00463D41">
      <w:pPr>
        <w:pStyle w:val="BodyText"/>
        <w:widowControl w:val="0"/>
        <w:spacing w:line="240" w:lineRule="auto"/>
        <w:jc w:val="left"/>
        <w:rPr>
          <w:color w:val="000000"/>
          <w:szCs w:val="22"/>
        </w:rPr>
      </w:pPr>
      <w:r w:rsidRPr="00B30A12">
        <w:rPr>
          <w:color w:val="000000"/>
          <w:szCs w:val="22"/>
        </w:rPr>
        <w:t xml:space="preserve">Die Nebenwirkungen und ihre Häufigkeitsangaben </w:t>
      </w:r>
      <w:r w:rsidR="00C21295" w:rsidRPr="00B30A12">
        <w:rPr>
          <w:color w:val="000000"/>
          <w:szCs w:val="22"/>
        </w:rPr>
        <w:t xml:space="preserve">sind </w:t>
      </w:r>
      <w:r w:rsidRPr="00B30A12">
        <w:rPr>
          <w:color w:val="000000"/>
          <w:szCs w:val="22"/>
        </w:rPr>
        <w:t xml:space="preserve">in Tabelle 1 </w:t>
      </w:r>
      <w:r w:rsidR="00C21295" w:rsidRPr="00B30A12">
        <w:rPr>
          <w:color w:val="000000"/>
          <w:szCs w:val="22"/>
        </w:rPr>
        <w:t>dargestellt.</w:t>
      </w:r>
    </w:p>
    <w:p w14:paraId="4EA80920" w14:textId="77777777" w:rsidR="009D6E18" w:rsidRPr="00B30A12" w:rsidRDefault="009D6E18" w:rsidP="00463D41">
      <w:pPr>
        <w:pStyle w:val="BodyText"/>
        <w:widowControl w:val="0"/>
        <w:spacing w:line="240" w:lineRule="auto"/>
        <w:jc w:val="left"/>
        <w:rPr>
          <w:color w:val="000000"/>
          <w:szCs w:val="22"/>
        </w:rPr>
      </w:pPr>
    </w:p>
    <w:p w14:paraId="1F72DEED" w14:textId="77777777" w:rsidR="009D6E18" w:rsidRPr="00B30A12" w:rsidRDefault="009D6E18" w:rsidP="00AD54DF">
      <w:pPr>
        <w:keepNext/>
        <w:widowControl w:val="0"/>
        <w:tabs>
          <w:tab w:val="left" w:pos="1134"/>
        </w:tabs>
        <w:rPr>
          <w:b/>
          <w:sz w:val="22"/>
          <w:szCs w:val="22"/>
        </w:rPr>
      </w:pPr>
      <w:r w:rsidRPr="00B30A12">
        <w:rPr>
          <w:b/>
          <w:sz w:val="22"/>
          <w:szCs w:val="22"/>
        </w:rPr>
        <w:t>Tabelle 1</w:t>
      </w:r>
      <w:r w:rsidRPr="00B30A12">
        <w:rPr>
          <w:b/>
          <w:sz w:val="22"/>
          <w:szCs w:val="22"/>
        </w:rPr>
        <w:tab/>
      </w:r>
      <w:r w:rsidR="00A35F65" w:rsidRPr="00B30A12">
        <w:rPr>
          <w:b/>
          <w:sz w:val="22"/>
          <w:szCs w:val="22"/>
        </w:rPr>
        <w:t xml:space="preserve">Tabellarische Zusammenfassung der </w:t>
      </w:r>
      <w:r w:rsidRPr="00B30A12">
        <w:rPr>
          <w:b/>
          <w:sz w:val="22"/>
          <w:szCs w:val="22"/>
        </w:rPr>
        <w:t>Nebenwirkungen</w:t>
      </w:r>
    </w:p>
    <w:p w14:paraId="14DEFCD2" w14:textId="77777777" w:rsidR="009D6E18" w:rsidRPr="00B30A12" w:rsidRDefault="009D6E18" w:rsidP="00AD54DF">
      <w:pPr>
        <w:keepNext/>
        <w:widowControl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9D2819" w:rsidRPr="00B30A12" w14:paraId="12C588B4" w14:textId="77777777" w:rsidTr="00AD54DF">
        <w:trPr>
          <w:cantSplit/>
        </w:trPr>
        <w:tc>
          <w:tcPr>
            <w:tcW w:w="9322" w:type="dxa"/>
            <w:gridSpan w:val="2"/>
          </w:tcPr>
          <w:p w14:paraId="4995CC25" w14:textId="77777777" w:rsidR="009D2819" w:rsidRPr="00B30A12" w:rsidRDefault="009D2819" w:rsidP="00AD54DF">
            <w:pPr>
              <w:keepNext/>
              <w:widowControl w:val="0"/>
              <w:rPr>
                <w:b/>
                <w:color w:val="000000"/>
                <w:sz w:val="22"/>
                <w:szCs w:val="22"/>
                <w:lang w:val="pt-PT"/>
              </w:rPr>
            </w:pPr>
            <w:r w:rsidRPr="00B30A12">
              <w:rPr>
                <w:b/>
                <w:color w:val="000000"/>
                <w:sz w:val="22"/>
                <w:szCs w:val="22"/>
              </w:rPr>
              <w:t>Infektionen und parasitäre Erkrankungen</w:t>
            </w:r>
          </w:p>
        </w:tc>
      </w:tr>
      <w:tr w:rsidR="009D2819" w:rsidRPr="00B30A12" w14:paraId="35E40615" w14:textId="77777777" w:rsidTr="00AD54DF">
        <w:trPr>
          <w:cantSplit/>
        </w:trPr>
        <w:tc>
          <w:tcPr>
            <w:tcW w:w="2235" w:type="dxa"/>
          </w:tcPr>
          <w:p w14:paraId="3F1A0C06" w14:textId="77777777" w:rsidR="009D2819" w:rsidRPr="00B30A12" w:rsidRDefault="009D2819" w:rsidP="00AD54DF">
            <w:pPr>
              <w:keepNext/>
              <w:widowControl w:val="0"/>
              <w:rPr>
                <w:i/>
                <w:color w:val="000000"/>
                <w:sz w:val="22"/>
                <w:szCs w:val="22"/>
              </w:rPr>
            </w:pPr>
            <w:r w:rsidRPr="00B30A12">
              <w:rPr>
                <w:i/>
                <w:color w:val="000000"/>
                <w:sz w:val="22"/>
                <w:szCs w:val="22"/>
              </w:rPr>
              <w:t>Gelegentlich:</w:t>
            </w:r>
          </w:p>
        </w:tc>
        <w:tc>
          <w:tcPr>
            <w:tcW w:w="7087" w:type="dxa"/>
          </w:tcPr>
          <w:p w14:paraId="654C2994" w14:textId="77777777" w:rsidR="009D2819" w:rsidRPr="00B30A12" w:rsidRDefault="009D2819" w:rsidP="00AD54DF">
            <w:pPr>
              <w:keepNext/>
              <w:widowControl w:val="0"/>
              <w:rPr>
                <w:color w:val="000000"/>
                <w:sz w:val="22"/>
                <w:szCs w:val="22"/>
              </w:rPr>
            </w:pPr>
            <w:r w:rsidRPr="00B30A12">
              <w:rPr>
                <w:color w:val="000000"/>
                <w:sz w:val="22"/>
                <w:szCs w:val="22"/>
              </w:rPr>
              <w:t>Herpes zoster, Herpes simplex, Nasopharyngitis, Pneumonie</w:t>
            </w:r>
            <w:r w:rsidR="00880E8B" w:rsidRPr="00B30A12">
              <w:rPr>
                <w:color w:val="000000"/>
                <w:sz w:val="22"/>
                <w:szCs w:val="22"/>
                <w:vertAlign w:val="superscript"/>
              </w:rPr>
              <w:t>1</w:t>
            </w:r>
            <w:r w:rsidR="005B0D60" w:rsidRPr="00B30A12">
              <w:rPr>
                <w:color w:val="000000"/>
                <w:sz w:val="22"/>
                <w:szCs w:val="22"/>
              </w:rPr>
              <w:t>, Sinusitis, Zellulitis</w:t>
            </w:r>
            <w:r w:rsidRPr="00B30A12">
              <w:rPr>
                <w:color w:val="000000"/>
                <w:sz w:val="22"/>
                <w:szCs w:val="22"/>
              </w:rPr>
              <w:t>,</w:t>
            </w:r>
            <w:r w:rsidRPr="00B30A12">
              <w:rPr>
                <w:b/>
                <w:color w:val="000000"/>
                <w:sz w:val="22"/>
                <w:szCs w:val="22"/>
              </w:rPr>
              <w:t xml:space="preserve"> </w:t>
            </w:r>
            <w:r w:rsidRPr="00B30A12">
              <w:rPr>
                <w:color w:val="000000"/>
                <w:sz w:val="22"/>
                <w:szCs w:val="22"/>
              </w:rPr>
              <w:t>Infektionen der oberen Atem</w:t>
            </w:r>
            <w:r w:rsidRPr="00B30A12">
              <w:rPr>
                <w:color w:val="000000"/>
                <w:sz w:val="22"/>
                <w:szCs w:val="22"/>
              </w:rPr>
              <w:softHyphen/>
              <w:t>wege, Influenza, Harnwegsinfektionen, Gastroenteritis, Sepsis</w:t>
            </w:r>
          </w:p>
        </w:tc>
      </w:tr>
      <w:tr w:rsidR="009D2819" w:rsidRPr="00B30A12" w14:paraId="1D957792" w14:textId="77777777" w:rsidTr="00AD54DF">
        <w:trPr>
          <w:cantSplit/>
        </w:trPr>
        <w:tc>
          <w:tcPr>
            <w:tcW w:w="2235" w:type="dxa"/>
          </w:tcPr>
          <w:p w14:paraId="07CA1C03" w14:textId="77777777" w:rsidR="009D2819" w:rsidRPr="00B30A12" w:rsidRDefault="009D2819" w:rsidP="00AD54DF">
            <w:pPr>
              <w:keepNext/>
              <w:widowControl w:val="0"/>
              <w:rPr>
                <w:i/>
                <w:color w:val="000000"/>
                <w:sz w:val="22"/>
                <w:szCs w:val="22"/>
              </w:rPr>
            </w:pPr>
            <w:r w:rsidRPr="00B30A12">
              <w:rPr>
                <w:i/>
                <w:color w:val="000000"/>
                <w:sz w:val="22"/>
                <w:szCs w:val="22"/>
              </w:rPr>
              <w:t>Selten:</w:t>
            </w:r>
          </w:p>
        </w:tc>
        <w:tc>
          <w:tcPr>
            <w:tcW w:w="7087" w:type="dxa"/>
          </w:tcPr>
          <w:p w14:paraId="6FA16465" w14:textId="77777777" w:rsidR="00727E1F" w:rsidRPr="00B30A12" w:rsidRDefault="009D2819" w:rsidP="00AD54DF">
            <w:pPr>
              <w:keepNext/>
              <w:widowControl w:val="0"/>
              <w:rPr>
                <w:color w:val="000000"/>
                <w:sz w:val="22"/>
                <w:szCs w:val="22"/>
              </w:rPr>
            </w:pPr>
            <w:r w:rsidRPr="00B30A12">
              <w:rPr>
                <w:color w:val="000000"/>
                <w:sz w:val="22"/>
                <w:szCs w:val="22"/>
              </w:rPr>
              <w:t>Pilzinfektionen</w:t>
            </w:r>
          </w:p>
        </w:tc>
      </w:tr>
      <w:tr w:rsidR="00727E1F" w:rsidRPr="00B30A12" w14:paraId="076947E7" w14:textId="77777777" w:rsidTr="00AD54DF">
        <w:trPr>
          <w:cantSplit/>
        </w:trPr>
        <w:tc>
          <w:tcPr>
            <w:tcW w:w="2235" w:type="dxa"/>
          </w:tcPr>
          <w:p w14:paraId="0A18DFB4" w14:textId="77777777" w:rsidR="00727E1F" w:rsidRPr="00B30A12" w:rsidRDefault="00727E1F" w:rsidP="00537E23">
            <w:pPr>
              <w:widowControl w:val="0"/>
              <w:rPr>
                <w:i/>
                <w:color w:val="000000"/>
                <w:sz w:val="22"/>
                <w:szCs w:val="22"/>
              </w:rPr>
            </w:pPr>
            <w:r w:rsidRPr="00B30A12">
              <w:rPr>
                <w:i/>
                <w:color w:val="000000"/>
                <w:sz w:val="22"/>
                <w:szCs w:val="22"/>
              </w:rPr>
              <w:t>Nicht bekannt:</w:t>
            </w:r>
          </w:p>
        </w:tc>
        <w:tc>
          <w:tcPr>
            <w:tcW w:w="7087" w:type="dxa"/>
          </w:tcPr>
          <w:p w14:paraId="774AB0B0" w14:textId="77777777" w:rsidR="00727E1F" w:rsidRPr="00B30A12" w:rsidRDefault="00727E1F" w:rsidP="00537E23">
            <w:pPr>
              <w:widowControl w:val="0"/>
              <w:rPr>
                <w:color w:val="000000"/>
                <w:sz w:val="22"/>
                <w:szCs w:val="22"/>
              </w:rPr>
            </w:pPr>
            <w:r w:rsidRPr="00B30A12">
              <w:rPr>
                <w:color w:val="000000"/>
                <w:sz w:val="22"/>
                <w:szCs w:val="22"/>
              </w:rPr>
              <w:t>Hepatitis-B-Reaktivierung*</w:t>
            </w:r>
          </w:p>
        </w:tc>
      </w:tr>
      <w:tr w:rsidR="00C96C83" w:rsidRPr="00B30A12" w14:paraId="044C6D0B" w14:textId="77777777" w:rsidTr="00AD54DF">
        <w:trPr>
          <w:cantSplit/>
        </w:trPr>
        <w:tc>
          <w:tcPr>
            <w:tcW w:w="9322" w:type="dxa"/>
            <w:gridSpan w:val="2"/>
          </w:tcPr>
          <w:p w14:paraId="6CF8150C" w14:textId="77777777" w:rsidR="00C96C83" w:rsidRPr="00B30A12" w:rsidRDefault="00F6642C" w:rsidP="00AD54DF">
            <w:pPr>
              <w:keepNext/>
              <w:widowControl w:val="0"/>
              <w:rPr>
                <w:b/>
                <w:color w:val="000000"/>
                <w:szCs w:val="22"/>
              </w:rPr>
            </w:pPr>
            <w:r w:rsidRPr="00B30A12">
              <w:rPr>
                <w:b/>
                <w:noProof/>
                <w:sz w:val="22"/>
              </w:rPr>
              <w:t>Gutartige, bö</w:t>
            </w:r>
            <w:r w:rsidR="007760F7" w:rsidRPr="00B30A12">
              <w:rPr>
                <w:b/>
                <w:noProof/>
                <w:sz w:val="22"/>
              </w:rPr>
              <w:t>sartige und unspezifische Neubildungen (einschl. Zysten und Polypen)</w:t>
            </w:r>
          </w:p>
        </w:tc>
      </w:tr>
      <w:tr w:rsidR="00C96C83" w:rsidRPr="00B30A12" w14:paraId="17DDAE00" w14:textId="77777777" w:rsidTr="00AD54DF">
        <w:trPr>
          <w:cantSplit/>
        </w:trPr>
        <w:tc>
          <w:tcPr>
            <w:tcW w:w="2235" w:type="dxa"/>
          </w:tcPr>
          <w:p w14:paraId="02FFDFE5" w14:textId="77777777" w:rsidR="00C96C83" w:rsidRPr="00B30A12" w:rsidRDefault="00C96C83" w:rsidP="00AD54DF">
            <w:pPr>
              <w:keepNext/>
              <w:widowControl w:val="0"/>
              <w:rPr>
                <w:i/>
                <w:color w:val="000000"/>
                <w:sz w:val="22"/>
                <w:szCs w:val="22"/>
              </w:rPr>
            </w:pPr>
            <w:r w:rsidRPr="00B30A12">
              <w:rPr>
                <w:i/>
                <w:color w:val="000000"/>
                <w:sz w:val="22"/>
                <w:szCs w:val="22"/>
              </w:rPr>
              <w:t>Selten:</w:t>
            </w:r>
          </w:p>
        </w:tc>
        <w:tc>
          <w:tcPr>
            <w:tcW w:w="7087" w:type="dxa"/>
          </w:tcPr>
          <w:p w14:paraId="2D3CFDB4" w14:textId="77777777" w:rsidR="00C96C83" w:rsidRPr="00B30A12" w:rsidRDefault="00C96C83" w:rsidP="00AD54DF">
            <w:pPr>
              <w:keepNext/>
              <w:widowControl w:val="0"/>
              <w:rPr>
                <w:color w:val="000000"/>
                <w:sz w:val="22"/>
                <w:szCs w:val="22"/>
              </w:rPr>
            </w:pPr>
            <w:r w:rsidRPr="00B30A12">
              <w:rPr>
                <w:color w:val="000000"/>
                <w:sz w:val="22"/>
                <w:szCs w:val="22"/>
              </w:rPr>
              <w:t>Tumor-Lyse-Syndrom</w:t>
            </w:r>
          </w:p>
        </w:tc>
      </w:tr>
      <w:tr w:rsidR="0094523F" w:rsidRPr="00B30A12" w14:paraId="3CFE76A9" w14:textId="77777777" w:rsidTr="00AD54DF">
        <w:trPr>
          <w:cantSplit/>
        </w:trPr>
        <w:tc>
          <w:tcPr>
            <w:tcW w:w="2235" w:type="dxa"/>
          </w:tcPr>
          <w:p w14:paraId="2E68E4AF" w14:textId="77777777" w:rsidR="0094523F" w:rsidRPr="00B30A12" w:rsidRDefault="0094523F" w:rsidP="00537E23">
            <w:pPr>
              <w:widowControl w:val="0"/>
              <w:rPr>
                <w:i/>
                <w:color w:val="000000"/>
                <w:sz w:val="22"/>
                <w:szCs w:val="22"/>
              </w:rPr>
            </w:pPr>
            <w:r w:rsidRPr="00B30A12">
              <w:rPr>
                <w:i/>
                <w:color w:val="000000"/>
                <w:sz w:val="22"/>
                <w:szCs w:val="22"/>
              </w:rPr>
              <w:t>Nicht bekannt:</w:t>
            </w:r>
          </w:p>
        </w:tc>
        <w:tc>
          <w:tcPr>
            <w:tcW w:w="7087" w:type="dxa"/>
          </w:tcPr>
          <w:p w14:paraId="0919C746" w14:textId="77777777" w:rsidR="0094523F" w:rsidRPr="00B30A12" w:rsidRDefault="0094523F" w:rsidP="00537E23">
            <w:pPr>
              <w:widowControl w:val="0"/>
              <w:rPr>
                <w:color w:val="000000"/>
                <w:sz w:val="22"/>
                <w:szCs w:val="22"/>
              </w:rPr>
            </w:pPr>
            <w:r w:rsidRPr="00B30A12">
              <w:rPr>
                <w:color w:val="000000"/>
                <w:sz w:val="22"/>
                <w:szCs w:val="22"/>
              </w:rPr>
              <w:t>Tumorblutungen/Tumornekrose*</w:t>
            </w:r>
          </w:p>
        </w:tc>
      </w:tr>
      <w:tr w:rsidR="00306E78" w:rsidRPr="00B30A12" w14:paraId="6DF529AE" w14:textId="77777777" w:rsidTr="00AD54DF">
        <w:trPr>
          <w:cantSplit/>
        </w:trPr>
        <w:tc>
          <w:tcPr>
            <w:tcW w:w="9322" w:type="dxa"/>
            <w:gridSpan w:val="2"/>
          </w:tcPr>
          <w:p w14:paraId="091B0E02" w14:textId="77777777" w:rsidR="00306E78" w:rsidRPr="00B30A12" w:rsidRDefault="00306E78" w:rsidP="00AD54DF">
            <w:pPr>
              <w:keepNext/>
              <w:widowControl w:val="0"/>
              <w:rPr>
                <w:color w:val="000000"/>
                <w:sz w:val="22"/>
                <w:szCs w:val="22"/>
              </w:rPr>
            </w:pPr>
            <w:r w:rsidRPr="00B30A12">
              <w:rPr>
                <w:b/>
                <w:noProof/>
                <w:sz w:val="22"/>
                <w:szCs w:val="22"/>
              </w:rPr>
              <w:t>Erkrankungen des Immunsystems</w:t>
            </w:r>
          </w:p>
        </w:tc>
      </w:tr>
      <w:tr w:rsidR="00306E78" w:rsidRPr="00B30A12" w14:paraId="0BB27F28" w14:textId="77777777" w:rsidTr="00AD54DF">
        <w:trPr>
          <w:cantSplit/>
        </w:trPr>
        <w:tc>
          <w:tcPr>
            <w:tcW w:w="2235" w:type="dxa"/>
          </w:tcPr>
          <w:p w14:paraId="714CF8EF"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30F6EB6D" w14:textId="77777777" w:rsidR="00306E78" w:rsidRPr="00B30A12" w:rsidRDefault="00306E78" w:rsidP="00537E23">
            <w:pPr>
              <w:widowControl w:val="0"/>
              <w:rPr>
                <w:color w:val="000000"/>
                <w:sz w:val="22"/>
                <w:szCs w:val="22"/>
              </w:rPr>
            </w:pPr>
            <w:r w:rsidRPr="00B30A12">
              <w:rPr>
                <w:color w:val="000000"/>
                <w:sz w:val="22"/>
                <w:szCs w:val="22"/>
              </w:rPr>
              <w:t>Anaphylaktischer Schock*</w:t>
            </w:r>
          </w:p>
        </w:tc>
      </w:tr>
      <w:tr w:rsidR="009D2819" w:rsidRPr="00B30A12" w14:paraId="6DA2B11D" w14:textId="77777777" w:rsidTr="00AD54DF">
        <w:trPr>
          <w:cantSplit/>
        </w:trPr>
        <w:tc>
          <w:tcPr>
            <w:tcW w:w="9322" w:type="dxa"/>
            <w:gridSpan w:val="2"/>
          </w:tcPr>
          <w:p w14:paraId="59C4CABE" w14:textId="77777777" w:rsidR="009D2819" w:rsidRPr="00B30A12" w:rsidRDefault="009D2819" w:rsidP="00AD54DF">
            <w:pPr>
              <w:keepNext/>
              <w:widowControl w:val="0"/>
              <w:rPr>
                <w:b/>
                <w:sz w:val="22"/>
                <w:szCs w:val="22"/>
              </w:rPr>
            </w:pPr>
            <w:r w:rsidRPr="00B30A12">
              <w:rPr>
                <w:b/>
                <w:color w:val="000000"/>
                <w:sz w:val="22"/>
                <w:szCs w:val="22"/>
              </w:rPr>
              <w:t>Erkrankungen des Blutes und des Lymphsystems</w:t>
            </w:r>
          </w:p>
        </w:tc>
      </w:tr>
      <w:tr w:rsidR="009D2819" w:rsidRPr="00B30A12" w14:paraId="60E6C1C7" w14:textId="77777777" w:rsidTr="00AD54DF">
        <w:trPr>
          <w:cantSplit/>
        </w:trPr>
        <w:tc>
          <w:tcPr>
            <w:tcW w:w="2235" w:type="dxa"/>
          </w:tcPr>
          <w:p w14:paraId="15719A6D" w14:textId="77777777" w:rsidR="009D2819" w:rsidRPr="00B30A12" w:rsidRDefault="009D2819" w:rsidP="00AD54DF">
            <w:pPr>
              <w:keepNext/>
              <w:widowControl w:val="0"/>
              <w:rPr>
                <w:sz w:val="22"/>
                <w:szCs w:val="22"/>
              </w:rPr>
            </w:pPr>
            <w:r w:rsidRPr="00B30A12">
              <w:rPr>
                <w:i/>
                <w:color w:val="000000"/>
                <w:sz w:val="22"/>
                <w:szCs w:val="22"/>
              </w:rPr>
              <w:t>Sehr häufig:</w:t>
            </w:r>
          </w:p>
        </w:tc>
        <w:tc>
          <w:tcPr>
            <w:tcW w:w="7087" w:type="dxa"/>
          </w:tcPr>
          <w:p w14:paraId="423E08DC" w14:textId="77777777" w:rsidR="009D2819" w:rsidRPr="00B30A12" w:rsidRDefault="009D2819" w:rsidP="00AD54DF">
            <w:pPr>
              <w:keepNext/>
              <w:widowControl w:val="0"/>
              <w:rPr>
                <w:sz w:val="22"/>
                <w:szCs w:val="22"/>
              </w:rPr>
            </w:pPr>
            <w:r w:rsidRPr="00B30A12">
              <w:rPr>
                <w:color w:val="000000"/>
                <w:sz w:val="22"/>
                <w:szCs w:val="22"/>
              </w:rPr>
              <w:t>Neutrozytopenie, Thrombozytopenie, Anämie</w:t>
            </w:r>
          </w:p>
        </w:tc>
      </w:tr>
      <w:tr w:rsidR="009D2819" w:rsidRPr="00B30A12" w14:paraId="1C6DBA1B" w14:textId="77777777" w:rsidTr="00AD54DF">
        <w:trPr>
          <w:cantSplit/>
        </w:trPr>
        <w:tc>
          <w:tcPr>
            <w:tcW w:w="2235" w:type="dxa"/>
          </w:tcPr>
          <w:p w14:paraId="0FA4D1AD"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410CA048" w14:textId="77777777" w:rsidR="009D2819" w:rsidRPr="00B30A12" w:rsidRDefault="009D2819" w:rsidP="00AD54DF">
            <w:pPr>
              <w:keepNext/>
              <w:widowControl w:val="0"/>
              <w:rPr>
                <w:sz w:val="22"/>
                <w:szCs w:val="22"/>
              </w:rPr>
            </w:pPr>
            <w:r w:rsidRPr="00B30A12">
              <w:rPr>
                <w:color w:val="000000"/>
                <w:sz w:val="22"/>
                <w:szCs w:val="22"/>
              </w:rPr>
              <w:t>Panzytopenie, fiebrige Neutrozytopenie</w:t>
            </w:r>
          </w:p>
        </w:tc>
      </w:tr>
      <w:tr w:rsidR="009D2819" w:rsidRPr="00B30A12" w14:paraId="7144ECD0" w14:textId="77777777" w:rsidTr="00AD54DF">
        <w:trPr>
          <w:cantSplit/>
        </w:trPr>
        <w:tc>
          <w:tcPr>
            <w:tcW w:w="2235" w:type="dxa"/>
          </w:tcPr>
          <w:p w14:paraId="38897061"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0BA91986" w14:textId="77777777" w:rsidR="009D2819" w:rsidRPr="00B30A12" w:rsidRDefault="009D2819" w:rsidP="00AD54DF">
            <w:pPr>
              <w:keepNext/>
              <w:widowControl w:val="0"/>
              <w:rPr>
                <w:sz w:val="22"/>
                <w:szCs w:val="22"/>
              </w:rPr>
            </w:pPr>
            <w:r w:rsidRPr="00B30A12">
              <w:rPr>
                <w:color w:val="000000"/>
                <w:sz w:val="22"/>
                <w:szCs w:val="22"/>
              </w:rPr>
              <w:t>Thrombozythämie, Lymphozytopenie, Knochenmarkdepression, Eosinophilie, Lymphadenopathie</w:t>
            </w:r>
          </w:p>
        </w:tc>
      </w:tr>
      <w:tr w:rsidR="009D2819" w:rsidRPr="00B30A12" w14:paraId="329527B5" w14:textId="77777777" w:rsidTr="00AD54DF">
        <w:trPr>
          <w:cantSplit/>
        </w:trPr>
        <w:tc>
          <w:tcPr>
            <w:tcW w:w="2235" w:type="dxa"/>
          </w:tcPr>
          <w:p w14:paraId="7C3DDE2C" w14:textId="77777777" w:rsidR="009D2819" w:rsidRPr="00B30A12" w:rsidRDefault="009D2819" w:rsidP="00537E23">
            <w:pPr>
              <w:widowControl w:val="0"/>
              <w:rPr>
                <w:i/>
                <w:sz w:val="22"/>
                <w:szCs w:val="22"/>
              </w:rPr>
            </w:pPr>
            <w:r w:rsidRPr="00B30A12">
              <w:rPr>
                <w:i/>
                <w:sz w:val="22"/>
                <w:szCs w:val="22"/>
              </w:rPr>
              <w:t>Selten:</w:t>
            </w:r>
          </w:p>
        </w:tc>
        <w:tc>
          <w:tcPr>
            <w:tcW w:w="7087" w:type="dxa"/>
          </w:tcPr>
          <w:p w14:paraId="6C812C80" w14:textId="77777777" w:rsidR="009D2819" w:rsidRPr="00B30A12" w:rsidRDefault="009D2819" w:rsidP="00537E23">
            <w:pPr>
              <w:widowControl w:val="0"/>
              <w:rPr>
                <w:sz w:val="22"/>
                <w:szCs w:val="22"/>
              </w:rPr>
            </w:pPr>
            <w:r w:rsidRPr="00B30A12">
              <w:rPr>
                <w:sz w:val="22"/>
                <w:szCs w:val="22"/>
              </w:rPr>
              <w:t>Hämolytische Anämie</w:t>
            </w:r>
            <w:r w:rsidR="006B3D38">
              <w:rPr>
                <w:sz w:val="22"/>
                <w:szCs w:val="22"/>
              </w:rPr>
              <w:t>, t</w:t>
            </w:r>
            <w:r w:rsidR="006B3D38" w:rsidRPr="006B3D38">
              <w:rPr>
                <w:sz w:val="22"/>
                <w:szCs w:val="22"/>
              </w:rPr>
              <w:t>hrombotische Mikroangiopathie</w:t>
            </w:r>
          </w:p>
        </w:tc>
      </w:tr>
      <w:tr w:rsidR="00005775" w:rsidRPr="00B30A12" w14:paraId="52C84C72" w14:textId="77777777" w:rsidTr="00AD54DF">
        <w:trPr>
          <w:cantSplit/>
        </w:trPr>
        <w:tc>
          <w:tcPr>
            <w:tcW w:w="9322" w:type="dxa"/>
            <w:gridSpan w:val="2"/>
          </w:tcPr>
          <w:p w14:paraId="1F211250" w14:textId="77777777" w:rsidR="00005775" w:rsidRPr="00B30A12" w:rsidRDefault="00005775" w:rsidP="00AD54DF">
            <w:pPr>
              <w:keepNext/>
              <w:widowControl w:val="0"/>
              <w:rPr>
                <w:b/>
                <w:color w:val="000000"/>
                <w:sz w:val="22"/>
                <w:szCs w:val="22"/>
              </w:rPr>
            </w:pPr>
            <w:r w:rsidRPr="00B30A12">
              <w:rPr>
                <w:b/>
                <w:color w:val="000000"/>
                <w:sz w:val="22"/>
                <w:szCs w:val="22"/>
              </w:rPr>
              <w:t>Stoffwechsel- und Ernährungsstörungen</w:t>
            </w:r>
          </w:p>
        </w:tc>
      </w:tr>
      <w:tr w:rsidR="00005775" w:rsidRPr="00B30A12" w14:paraId="2DCF10C2" w14:textId="77777777" w:rsidTr="00AD54DF">
        <w:trPr>
          <w:cantSplit/>
        </w:trPr>
        <w:tc>
          <w:tcPr>
            <w:tcW w:w="2235" w:type="dxa"/>
          </w:tcPr>
          <w:p w14:paraId="692992E5" w14:textId="77777777" w:rsidR="00005775" w:rsidRPr="00B30A12" w:rsidRDefault="00005775" w:rsidP="00AD54DF">
            <w:pPr>
              <w:keepNext/>
              <w:widowControl w:val="0"/>
              <w:rPr>
                <w:i/>
                <w:color w:val="000000"/>
                <w:sz w:val="22"/>
                <w:szCs w:val="22"/>
              </w:rPr>
            </w:pPr>
            <w:r w:rsidRPr="00B30A12">
              <w:rPr>
                <w:i/>
                <w:color w:val="000000"/>
                <w:sz w:val="22"/>
                <w:szCs w:val="22"/>
              </w:rPr>
              <w:t>Häufig:</w:t>
            </w:r>
          </w:p>
        </w:tc>
        <w:tc>
          <w:tcPr>
            <w:tcW w:w="7087" w:type="dxa"/>
          </w:tcPr>
          <w:p w14:paraId="7AF54117" w14:textId="77777777" w:rsidR="00005775" w:rsidRPr="00B30A12" w:rsidRDefault="00005775" w:rsidP="00AD54DF">
            <w:pPr>
              <w:keepNext/>
              <w:widowControl w:val="0"/>
              <w:rPr>
                <w:color w:val="000000"/>
                <w:sz w:val="22"/>
                <w:szCs w:val="22"/>
              </w:rPr>
            </w:pPr>
            <w:r w:rsidRPr="00B30A12">
              <w:rPr>
                <w:color w:val="000000"/>
                <w:sz w:val="22"/>
                <w:szCs w:val="22"/>
              </w:rPr>
              <w:t>Appetitlosigkeit</w:t>
            </w:r>
          </w:p>
        </w:tc>
      </w:tr>
      <w:tr w:rsidR="00005775" w:rsidRPr="00B30A12" w14:paraId="2948AEAE" w14:textId="77777777" w:rsidTr="00AD54DF">
        <w:trPr>
          <w:cantSplit/>
        </w:trPr>
        <w:tc>
          <w:tcPr>
            <w:tcW w:w="2235" w:type="dxa"/>
          </w:tcPr>
          <w:p w14:paraId="7BC2B0A0" w14:textId="77777777" w:rsidR="00005775" w:rsidRPr="00B30A12" w:rsidRDefault="00005775" w:rsidP="00AD54DF">
            <w:pPr>
              <w:keepNext/>
              <w:widowControl w:val="0"/>
              <w:rPr>
                <w:i/>
                <w:color w:val="000000"/>
                <w:sz w:val="22"/>
                <w:szCs w:val="22"/>
              </w:rPr>
            </w:pPr>
            <w:r w:rsidRPr="00B30A12">
              <w:rPr>
                <w:i/>
                <w:color w:val="000000"/>
                <w:sz w:val="22"/>
                <w:szCs w:val="22"/>
              </w:rPr>
              <w:t>Gelegentlich:</w:t>
            </w:r>
          </w:p>
        </w:tc>
        <w:tc>
          <w:tcPr>
            <w:tcW w:w="7087" w:type="dxa"/>
          </w:tcPr>
          <w:p w14:paraId="76FED545" w14:textId="77777777" w:rsidR="00005775" w:rsidRPr="00B30A12" w:rsidRDefault="00005775" w:rsidP="00AD54DF">
            <w:pPr>
              <w:keepNext/>
              <w:widowControl w:val="0"/>
              <w:rPr>
                <w:color w:val="000000"/>
                <w:sz w:val="22"/>
                <w:szCs w:val="22"/>
              </w:rPr>
            </w:pPr>
            <w:r w:rsidRPr="00B30A12">
              <w:rPr>
                <w:color w:val="000000"/>
                <w:sz w:val="22"/>
                <w:szCs w:val="22"/>
              </w:rPr>
              <w:t>Hypokaliämie, verstärkter Appetit, Hypophosphatämie, verminderter Appetit, Dehydration, Gicht, Hyperurikämie, Hyperkalzämie, Hyperglykämie, Hyponatriämie</w:t>
            </w:r>
          </w:p>
        </w:tc>
      </w:tr>
      <w:tr w:rsidR="00005775" w:rsidRPr="00B30A12" w14:paraId="598C0CE2" w14:textId="77777777" w:rsidTr="00AD54DF">
        <w:trPr>
          <w:cantSplit/>
        </w:trPr>
        <w:tc>
          <w:tcPr>
            <w:tcW w:w="2235" w:type="dxa"/>
          </w:tcPr>
          <w:p w14:paraId="6462115D" w14:textId="77777777" w:rsidR="00005775" w:rsidRPr="00B30A12" w:rsidRDefault="00005775" w:rsidP="00537E23">
            <w:pPr>
              <w:widowControl w:val="0"/>
              <w:rPr>
                <w:i/>
                <w:color w:val="000000"/>
                <w:sz w:val="22"/>
                <w:szCs w:val="22"/>
              </w:rPr>
            </w:pPr>
            <w:r w:rsidRPr="00B30A12">
              <w:rPr>
                <w:i/>
                <w:color w:val="000000"/>
                <w:sz w:val="22"/>
                <w:szCs w:val="22"/>
              </w:rPr>
              <w:t>Selten:</w:t>
            </w:r>
          </w:p>
        </w:tc>
        <w:tc>
          <w:tcPr>
            <w:tcW w:w="7087" w:type="dxa"/>
          </w:tcPr>
          <w:p w14:paraId="214119EB" w14:textId="77777777" w:rsidR="00005775" w:rsidRPr="00B30A12" w:rsidRDefault="00005775" w:rsidP="00537E23">
            <w:pPr>
              <w:widowControl w:val="0"/>
              <w:rPr>
                <w:color w:val="000000"/>
                <w:sz w:val="22"/>
                <w:szCs w:val="22"/>
                <w:lang w:val="pt-PT"/>
              </w:rPr>
            </w:pPr>
            <w:r w:rsidRPr="00B30A12">
              <w:rPr>
                <w:color w:val="000000"/>
                <w:sz w:val="22"/>
                <w:szCs w:val="22"/>
              </w:rPr>
              <w:t>Hyperkaliämie, Hypomagnesiämie</w:t>
            </w:r>
          </w:p>
        </w:tc>
      </w:tr>
      <w:tr w:rsidR="004262D6" w:rsidRPr="00B30A12" w14:paraId="14669C3B" w14:textId="77777777" w:rsidTr="00AD54DF">
        <w:trPr>
          <w:cantSplit/>
        </w:trPr>
        <w:tc>
          <w:tcPr>
            <w:tcW w:w="9322" w:type="dxa"/>
            <w:gridSpan w:val="2"/>
          </w:tcPr>
          <w:p w14:paraId="6CD72300" w14:textId="77777777" w:rsidR="004262D6" w:rsidRPr="00B30A12" w:rsidRDefault="004262D6" w:rsidP="00AD54DF">
            <w:pPr>
              <w:keepNext/>
              <w:widowControl w:val="0"/>
              <w:rPr>
                <w:b/>
                <w:color w:val="000000"/>
                <w:sz w:val="22"/>
                <w:szCs w:val="22"/>
              </w:rPr>
            </w:pPr>
            <w:r w:rsidRPr="00B30A12">
              <w:rPr>
                <w:b/>
                <w:color w:val="000000"/>
                <w:sz w:val="22"/>
                <w:szCs w:val="22"/>
              </w:rPr>
              <w:t>Psychiatrische Erkrankungen</w:t>
            </w:r>
          </w:p>
        </w:tc>
      </w:tr>
      <w:tr w:rsidR="004262D6" w:rsidRPr="00B30A12" w14:paraId="36211083" w14:textId="77777777" w:rsidTr="00AD54DF">
        <w:trPr>
          <w:cantSplit/>
        </w:trPr>
        <w:tc>
          <w:tcPr>
            <w:tcW w:w="2235" w:type="dxa"/>
          </w:tcPr>
          <w:p w14:paraId="3F844632" w14:textId="77777777" w:rsidR="004262D6" w:rsidRPr="00B30A12" w:rsidRDefault="004262D6" w:rsidP="00AD54DF">
            <w:pPr>
              <w:keepNext/>
              <w:widowControl w:val="0"/>
              <w:rPr>
                <w:i/>
                <w:color w:val="000000"/>
                <w:sz w:val="22"/>
                <w:szCs w:val="22"/>
              </w:rPr>
            </w:pPr>
            <w:r w:rsidRPr="00B30A12">
              <w:rPr>
                <w:i/>
                <w:color w:val="000000"/>
                <w:sz w:val="22"/>
                <w:szCs w:val="22"/>
              </w:rPr>
              <w:t>Häufig:</w:t>
            </w:r>
          </w:p>
        </w:tc>
        <w:tc>
          <w:tcPr>
            <w:tcW w:w="7087" w:type="dxa"/>
          </w:tcPr>
          <w:p w14:paraId="5085BFEF" w14:textId="77777777" w:rsidR="004262D6" w:rsidRPr="00B30A12" w:rsidRDefault="004262D6" w:rsidP="00AD54DF">
            <w:pPr>
              <w:keepNext/>
              <w:widowControl w:val="0"/>
              <w:rPr>
                <w:color w:val="000000"/>
                <w:sz w:val="22"/>
                <w:szCs w:val="22"/>
              </w:rPr>
            </w:pPr>
            <w:r w:rsidRPr="00B30A12">
              <w:rPr>
                <w:color w:val="000000"/>
                <w:sz w:val="22"/>
                <w:szCs w:val="22"/>
              </w:rPr>
              <w:t>Schlaflosigkeit</w:t>
            </w:r>
          </w:p>
        </w:tc>
      </w:tr>
      <w:tr w:rsidR="004262D6" w:rsidRPr="00B30A12" w14:paraId="6FF1379F" w14:textId="77777777" w:rsidTr="00AD54DF">
        <w:trPr>
          <w:cantSplit/>
        </w:trPr>
        <w:tc>
          <w:tcPr>
            <w:tcW w:w="2235" w:type="dxa"/>
          </w:tcPr>
          <w:p w14:paraId="2D833F84" w14:textId="77777777" w:rsidR="004262D6" w:rsidRPr="00B30A12" w:rsidRDefault="004262D6" w:rsidP="00AD54DF">
            <w:pPr>
              <w:keepNext/>
              <w:widowControl w:val="0"/>
              <w:rPr>
                <w:i/>
                <w:color w:val="000000"/>
                <w:sz w:val="22"/>
                <w:szCs w:val="22"/>
              </w:rPr>
            </w:pPr>
            <w:r w:rsidRPr="00B30A12">
              <w:rPr>
                <w:i/>
                <w:color w:val="000000"/>
                <w:sz w:val="22"/>
                <w:szCs w:val="22"/>
              </w:rPr>
              <w:t>Gelegentlich:</w:t>
            </w:r>
          </w:p>
        </w:tc>
        <w:tc>
          <w:tcPr>
            <w:tcW w:w="7087" w:type="dxa"/>
          </w:tcPr>
          <w:p w14:paraId="1F288133" w14:textId="77777777" w:rsidR="004262D6" w:rsidRPr="00B30A12" w:rsidRDefault="004262D6" w:rsidP="00AD54DF">
            <w:pPr>
              <w:keepNext/>
              <w:widowControl w:val="0"/>
              <w:rPr>
                <w:color w:val="000000"/>
                <w:sz w:val="22"/>
                <w:szCs w:val="22"/>
              </w:rPr>
            </w:pPr>
            <w:r w:rsidRPr="00B30A12">
              <w:rPr>
                <w:color w:val="000000"/>
                <w:sz w:val="22"/>
                <w:szCs w:val="22"/>
              </w:rPr>
              <w:t>Depression, verminderte Libido, Angstzustände</w:t>
            </w:r>
          </w:p>
        </w:tc>
      </w:tr>
      <w:tr w:rsidR="004262D6" w:rsidRPr="00B30A12" w14:paraId="2690E397" w14:textId="77777777" w:rsidTr="00AD54DF">
        <w:trPr>
          <w:cantSplit/>
        </w:trPr>
        <w:tc>
          <w:tcPr>
            <w:tcW w:w="2235" w:type="dxa"/>
          </w:tcPr>
          <w:p w14:paraId="13EFD483" w14:textId="77777777" w:rsidR="004262D6" w:rsidRPr="00B30A12" w:rsidRDefault="004262D6" w:rsidP="00537E23">
            <w:pPr>
              <w:widowControl w:val="0"/>
              <w:rPr>
                <w:i/>
                <w:color w:val="000000"/>
                <w:sz w:val="22"/>
                <w:szCs w:val="22"/>
              </w:rPr>
            </w:pPr>
            <w:r w:rsidRPr="00B30A12">
              <w:rPr>
                <w:i/>
                <w:color w:val="000000"/>
                <w:sz w:val="22"/>
                <w:szCs w:val="22"/>
              </w:rPr>
              <w:t>Selten:</w:t>
            </w:r>
          </w:p>
        </w:tc>
        <w:tc>
          <w:tcPr>
            <w:tcW w:w="7087" w:type="dxa"/>
          </w:tcPr>
          <w:p w14:paraId="72B861E8" w14:textId="77777777" w:rsidR="004262D6" w:rsidRPr="00B30A12" w:rsidRDefault="003A478D" w:rsidP="00537E23">
            <w:pPr>
              <w:widowControl w:val="0"/>
              <w:rPr>
                <w:color w:val="000000"/>
                <w:sz w:val="22"/>
                <w:szCs w:val="22"/>
              </w:rPr>
            </w:pPr>
            <w:r w:rsidRPr="00B30A12">
              <w:rPr>
                <w:color w:val="000000"/>
                <w:sz w:val="22"/>
                <w:szCs w:val="22"/>
              </w:rPr>
              <w:t>Verwirrtheitszustände</w:t>
            </w:r>
          </w:p>
        </w:tc>
      </w:tr>
      <w:tr w:rsidR="009D2819" w:rsidRPr="00B30A12" w14:paraId="538C38DC" w14:textId="77777777" w:rsidTr="00AD54DF">
        <w:trPr>
          <w:cantSplit/>
        </w:trPr>
        <w:tc>
          <w:tcPr>
            <w:tcW w:w="9322" w:type="dxa"/>
            <w:gridSpan w:val="2"/>
          </w:tcPr>
          <w:p w14:paraId="1F77D752" w14:textId="77777777" w:rsidR="009D2819" w:rsidRPr="00B30A12" w:rsidRDefault="009D2819" w:rsidP="00AD54DF">
            <w:pPr>
              <w:keepNext/>
              <w:widowControl w:val="0"/>
              <w:rPr>
                <w:b/>
                <w:sz w:val="22"/>
                <w:szCs w:val="22"/>
              </w:rPr>
            </w:pPr>
            <w:r w:rsidRPr="00B30A12">
              <w:rPr>
                <w:b/>
                <w:color w:val="000000"/>
                <w:sz w:val="22"/>
                <w:szCs w:val="22"/>
              </w:rPr>
              <w:t>Erkrankungen des Nervensystems</w:t>
            </w:r>
          </w:p>
        </w:tc>
      </w:tr>
      <w:tr w:rsidR="009D2819" w:rsidRPr="00B30A12" w14:paraId="35971D22" w14:textId="77777777" w:rsidTr="00AD54DF">
        <w:trPr>
          <w:cantSplit/>
        </w:trPr>
        <w:tc>
          <w:tcPr>
            <w:tcW w:w="2235" w:type="dxa"/>
          </w:tcPr>
          <w:p w14:paraId="456E221E" w14:textId="77777777" w:rsidR="009D2819" w:rsidRPr="00B30A12" w:rsidRDefault="009D2819" w:rsidP="00AD54DF">
            <w:pPr>
              <w:keepNext/>
              <w:widowControl w:val="0"/>
              <w:rPr>
                <w:sz w:val="22"/>
                <w:szCs w:val="22"/>
              </w:rPr>
            </w:pPr>
            <w:r w:rsidRPr="00B30A12">
              <w:rPr>
                <w:i/>
                <w:color w:val="000000"/>
                <w:sz w:val="22"/>
                <w:szCs w:val="22"/>
              </w:rPr>
              <w:t>Sehr häufig:</w:t>
            </w:r>
          </w:p>
        </w:tc>
        <w:tc>
          <w:tcPr>
            <w:tcW w:w="7087" w:type="dxa"/>
          </w:tcPr>
          <w:p w14:paraId="2D1FBCB4" w14:textId="77777777" w:rsidR="009D2819" w:rsidRPr="00B30A12" w:rsidRDefault="009D2819" w:rsidP="00AD54DF">
            <w:pPr>
              <w:keepNext/>
              <w:widowControl w:val="0"/>
              <w:rPr>
                <w:sz w:val="22"/>
                <w:szCs w:val="22"/>
              </w:rPr>
            </w:pPr>
            <w:r w:rsidRPr="00B30A12">
              <w:rPr>
                <w:color w:val="000000"/>
                <w:sz w:val="22"/>
                <w:szCs w:val="22"/>
              </w:rPr>
              <w:t>Kopfschmerzen</w:t>
            </w:r>
            <w:r w:rsidRPr="00B30A12">
              <w:rPr>
                <w:color w:val="000000"/>
                <w:sz w:val="22"/>
                <w:szCs w:val="22"/>
                <w:vertAlign w:val="superscript"/>
              </w:rPr>
              <w:t>2</w:t>
            </w:r>
          </w:p>
        </w:tc>
      </w:tr>
      <w:tr w:rsidR="009D2819" w:rsidRPr="00B30A12" w14:paraId="17CF2A14" w14:textId="77777777" w:rsidTr="00AD54DF">
        <w:trPr>
          <w:cantSplit/>
          <w:trHeight w:val="374"/>
        </w:trPr>
        <w:tc>
          <w:tcPr>
            <w:tcW w:w="2235" w:type="dxa"/>
          </w:tcPr>
          <w:p w14:paraId="01456FBB"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5FDC0C42" w14:textId="77777777" w:rsidR="009D2819" w:rsidRPr="00B30A12" w:rsidRDefault="009D2819" w:rsidP="00AD54DF">
            <w:pPr>
              <w:keepNext/>
              <w:widowControl w:val="0"/>
              <w:rPr>
                <w:color w:val="000000"/>
                <w:sz w:val="22"/>
                <w:szCs w:val="22"/>
              </w:rPr>
            </w:pPr>
            <w:r w:rsidRPr="00B30A12">
              <w:rPr>
                <w:color w:val="000000"/>
                <w:sz w:val="22"/>
                <w:szCs w:val="22"/>
              </w:rPr>
              <w:t>Schwindel, Pa</w:t>
            </w:r>
            <w:r w:rsidRPr="00B30A12">
              <w:rPr>
                <w:color w:val="000000"/>
                <w:sz w:val="22"/>
                <w:szCs w:val="22"/>
              </w:rPr>
              <w:softHyphen/>
              <w:t>rästhesie, Geschmacksstörungen, Hypästhesie</w:t>
            </w:r>
          </w:p>
        </w:tc>
      </w:tr>
      <w:tr w:rsidR="009D2819" w:rsidRPr="00B30A12" w14:paraId="606C49F4" w14:textId="77777777" w:rsidTr="00AD54DF">
        <w:trPr>
          <w:cantSplit/>
        </w:trPr>
        <w:tc>
          <w:tcPr>
            <w:tcW w:w="2235" w:type="dxa"/>
          </w:tcPr>
          <w:p w14:paraId="018E0801"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40D5AD75" w14:textId="77777777" w:rsidR="009D2819" w:rsidRPr="00B30A12" w:rsidRDefault="009D2819" w:rsidP="00AD54DF">
            <w:pPr>
              <w:keepNext/>
              <w:widowControl w:val="0"/>
              <w:rPr>
                <w:sz w:val="22"/>
                <w:szCs w:val="22"/>
              </w:rPr>
            </w:pPr>
            <w:r w:rsidRPr="00B30A12">
              <w:rPr>
                <w:color w:val="000000"/>
                <w:sz w:val="22"/>
                <w:szCs w:val="22"/>
              </w:rPr>
              <w:t>Migräne, Schläfrigkeit, Synkope, periphere Neuropathie, Gedächtnisschwäche, Ischiasbeschwerden, „Restless-Legs-Syndrom“, Tremor, Hirnblutung</w:t>
            </w:r>
          </w:p>
        </w:tc>
      </w:tr>
      <w:tr w:rsidR="009D2819" w:rsidRPr="00B30A12" w14:paraId="3B658521" w14:textId="77777777" w:rsidTr="00AD54DF">
        <w:trPr>
          <w:cantSplit/>
        </w:trPr>
        <w:tc>
          <w:tcPr>
            <w:tcW w:w="2235" w:type="dxa"/>
          </w:tcPr>
          <w:p w14:paraId="355E02E3" w14:textId="77777777" w:rsidR="009D2819" w:rsidRPr="00B30A12" w:rsidRDefault="009D2819" w:rsidP="00AD54DF">
            <w:pPr>
              <w:keepNext/>
              <w:widowControl w:val="0"/>
              <w:rPr>
                <w:sz w:val="22"/>
                <w:szCs w:val="22"/>
              </w:rPr>
            </w:pPr>
            <w:r w:rsidRPr="00B30A12">
              <w:rPr>
                <w:i/>
                <w:color w:val="000000"/>
                <w:sz w:val="22"/>
                <w:szCs w:val="22"/>
              </w:rPr>
              <w:t>Selten:</w:t>
            </w:r>
          </w:p>
        </w:tc>
        <w:tc>
          <w:tcPr>
            <w:tcW w:w="7087" w:type="dxa"/>
          </w:tcPr>
          <w:p w14:paraId="72A191DB" w14:textId="77777777" w:rsidR="009D2819" w:rsidRPr="00B30A12" w:rsidRDefault="009D2819" w:rsidP="00AD54DF">
            <w:pPr>
              <w:keepNext/>
              <w:widowControl w:val="0"/>
              <w:rPr>
                <w:color w:val="000000"/>
                <w:sz w:val="22"/>
                <w:szCs w:val="22"/>
              </w:rPr>
            </w:pPr>
            <w:r w:rsidRPr="00B30A12">
              <w:rPr>
                <w:color w:val="000000"/>
                <w:sz w:val="22"/>
                <w:szCs w:val="22"/>
              </w:rPr>
              <w:t>Erhöhter intrakra</w:t>
            </w:r>
            <w:r w:rsidRPr="00B30A12">
              <w:rPr>
                <w:color w:val="000000"/>
                <w:sz w:val="22"/>
                <w:szCs w:val="22"/>
              </w:rPr>
              <w:softHyphen/>
              <w:t>nieller Druck, Konvulsionen, Sehnervenentzündung</w:t>
            </w:r>
          </w:p>
        </w:tc>
      </w:tr>
      <w:tr w:rsidR="00306E78" w:rsidRPr="00B30A12" w14:paraId="0140AEA6" w14:textId="77777777" w:rsidTr="00AD54DF">
        <w:trPr>
          <w:cantSplit/>
        </w:trPr>
        <w:tc>
          <w:tcPr>
            <w:tcW w:w="2235" w:type="dxa"/>
          </w:tcPr>
          <w:p w14:paraId="40B12585"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66F933AF" w14:textId="77777777" w:rsidR="00306E78" w:rsidRPr="00B30A12" w:rsidRDefault="00306E78" w:rsidP="00537E23">
            <w:pPr>
              <w:widowControl w:val="0"/>
              <w:rPr>
                <w:color w:val="000000"/>
                <w:sz w:val="22"/>
                <w:szCs w:val="22"/>
              </w:rPr>
            </w:pPr>
            <w:r w:rsidRPr="00B30A12">
              <w:rPr>
                <w:color w:val="000000"/>
                <w:sz w:val="22"/>
                <w:szCs w:val="22"/>
              </w:rPr>
              <w:t>Hirnödem*</w:t>
            </w:r>
          </w:p>
        </w:tc>
      </w:tr>
      <w:tr w:rsidR="009D2819" w:rsidRPr="00B30A12" w14:paraId="18E7BA95" w14:textId="77777777" w:rsidTr="00AD54DF">
        <w:trPr>
          <w:cantSplit/>
        </w:trPr>
        <w:tc>
          <w:tcPr>
            <w:tcW w:w="9322" w:type="dxa"/>
            <w:gridSpan w:val="2"/>
          </w:tcPr>
          <w:p w14:paraId="2978C343" w14:textId="77777777" w:rsidR="009D2819" w:rsidRPr="00B30A12" w:rsidRDefault="009D2819" w:rsidP="00AD54DF">
            <w:pPr>
              <w:keepNext/>
              <w:widowControl w:val="0"/>
              <w:rPr>
                <w:b/>
                <w:sz w:val="22"/>
                <w:szCs w:val="22"/>
              </w:rPr>
            </w:pPr>
            <w:r w:rsidRPr="00B30A12">
              <w:rPr>
                <w:b/>
                <w:color w:val="000000"/>
                <w:sz w:val="22"/>
                <w:szCs w:val="22"/>
              </w:rPr>
              <w:t>Augenerkrankungen</w:t>
            </w:r>
          </w:p>
        </w:tc>
      </w:tr>
      <w:tr w:rsidR="009D2819" w:rsidRPr="00B30A12" w14:paraId="50AFD018" w14:textId="77777777" w:rsidTr="00AD54DF">
        <w:trPr>
          <w:cantSplit/>
        </w:trPr>
        <w:tc>
          <w:tcPr>
            <w:tcW w:w="2235" w:type="dxa"/>
          </w:tcPr>
          <w:p w14:paraId="0CEDB1EC"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15CF6704" w14:textId="77777777" w:rsidR="009D2819" w:rsidRPr="00B30A12" w:rsidRDefault="009D2819" w:rsidP="00AD54DF">
            <w:pPr>
              <w:keepNext/>
              <w:widowControl w:val="0"/>
              <w:rPr>
                <w:sz w:val="22"/>
                <w:szCs w:val="22"/>
              </w:rPr>
            </w:pPr>
            <w:r w:rsidRPr="00B30A12">
              <w:rPr>
                <w:color w:val="000000"/>
                <w:sz w:val="22"/>
                <w:szCs w:val="22"/>
              </w:rPr>
              <w:t>Augenlidödem, vermehrter Trä</w:t>
            </w:r>
            <w:r w:rsidRPr="00B30A12">
              <w:rPr>
                <w:color w:val="000000"/>
                <w:sz w:val="22"/>
                <w:szCs w:val="22"/>
              </w:rPr>
              <w:softHyphen/>
              <w:t>nenfluss, Bindehautblutung, Konjunktivitis, trockene Augen, verschwommenes Sehen</w:t>
            </w:r>
          </w:p>
        </w:tc>
      </w:tr>
      <w:tr w:rsidR="009D2819" w:rsidRPr="00B30A12" w14:paraId="5A1C3C93" w14:textId="77777777" w:rsidTr="00AD54DF">
        <w:trPr>
          <w:cantSplit/>
        </w:trPr>
        <w:tc>
          <w:tcPr>
            <w:tcW w:w="2235" w:type="dxa"/>
          </w:tcPr>
          <w:p w14:paraId="03CEFD6E"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36DD1285" w14:textId="77777777" w:rsidR="009D2819" w:rsidRPr="00B30A12" w:rsidRDefault="009D2819" w:rsidP="00AD54DF">
            <w:pPr>
              <w:keepNext/>
              <w:widowControl w:val="0"/>
              <w:rPr>
                <w:sz w:val="22"/>
                <w:szCs w:val="22"/>
              </w:rPr>
            </w:pPr>
            <w:r w:rsidRPr="00B30A12">
              <w:rPr>
                <w:color w:val="000000"/>
                <w:sz w:val="22"/>
                <w:szCs w:val="22"/>
              </w:rPr>
              <w:t>Augenreizung, Augenschmerzen, Augenhöhlenödem, Glaskörperhä</w:t>
            </w:r>
            <w:r w:rsidRPr="00B30A12">
              <w:rPr>
                <w:color w:val="000000"/>
                <w:sz w:val="22"/>
                <w:szCs w:val="22"/>
              </w:rPr>
              <w:softHyphen/>
              <w:t>morrha</w:t>
            </w:r>
            <w:r w:rsidRPr="00B30A12">
              <w:rPr>
                <w:color w:val="000000"/>
                <w:sz w:val="22"/>
                <w:szCs w:val="22"/>
              </w:rPr>
              <w:softHyphen/>
              <w:t>gie, Retinablutungen, Blepharitis, Makulaödem</w:t>
            </w:r>
          </w:p>
        </w:tc>
      </w:tr>
      <w:tr w:rsidR="009D2819" w:rsidRPr="00B30A12" w14:paraId="1A07DBFD" w14:textId="77777777" w:rsidTr="00AD54DF">
        <w:trPr>
          <w:cantSplit/>
        </w:trPr>
        <w:tc>
          <w:tcPr>
            <w:tcW w:w="2235" w:type="dxa"/>
          </w:tcPr>
          <w:p w14:paraId="084CBF74" w14:textId="77777777" w:rsidR="009D2819" w:rsidRPr="00B30A12" w:rsidRDefault="009D2819" w:rsidP="00AD54DF">
            <w:pPr>
              <w:keepNext/>
              <w:widowControl w:val="0"/>
              <w:rPr>
                <w:sz w:val="22"/>
                <w:szCs w:val="22"/>
              </w:rPr>
            </w:pPr>
            <w:r w:rsidRPr="00B30A12">
              <w:rPr>
                <w:i/>
                <w:color w:val="000000"/>
                <w:sz w:val="22"/>
                <w:szCs w:val="22"/>
              </w:rPr>
              <w:t>Selten:</w:t>
            </w:r>
          </w:p>
        </w:tc>
        <w:tc>
          <w:tcPr>
            <w:tcW w:w="7087" w:type="dxa"/>
          </w:tcPr>
          <w:p w14:paraId="035975C6" w14:textId="77777777" w:rsidR="009D2819" w:rsidRPr="00B30A12" w:rsidRDefault="009D2819" w:rsidP="00AD54DF">
            <w:pPr>
              <w:keepNext/>
              <w:widowControl w:val="0"/>
              <w:rPr>
                <w:sz w:val="22"/>
                <w:szCs w:val="22"/>
              </w:rPr>
            </w:pPr>
            <w:r w:rsidRPr="00B30A12">
              <w:rPr>
                <w:color w:val="000000"/>
                <w:sz w:val="22"/>
                <w:szCs w:val="22"/>
              </w:rPr>
              <w:t>Katarakt, Glaukom, Papillenödem</w:t>
            </w:r>
          </w:p>
        </w:tc>
      </w:tr>
      <w:tr w:rsidR="00306E78" w:rsidRPr="00B30A12" w14:paraId="12C761AC" w14:textId="77777777" w:rsidTr="00AD54DF">
        <w:trPr>
          <w:cantSplit/>
        </w:trPr>
        <w:tc>
          <w:tcPr>
            <w:tcW w:w="2235" w:type="dxa"/>
          </w:tcPr>
          <w:p w14:paraId="3A8F2F15"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220E1EFC" w14:textId="77777777" w:rsidR="00306E78" w:rsidRPr="00B30A12" w:rsidRDefault="00306E78" w:rsidP="00537E23">
            <w:pPr>
              <w:widowControl w:val="0"/>
              <w:rPr>
                <w:color w:val="000000"/>
                <w:sz w:val="22"/>
                <w:szCs w:val="22"/>
              </w:rPr>
            </w:pPr>
            <w:r w:rsidRPr="00B30A12">
              <w:rPr>
                <w:color w:val="000000"/>
                <w:sz w:val="22"/>
                <w:szCs w:val="22"/>
              </w:rPr>
              <w:t>Glaskörperhämorrhagie*</w:t>
            </w:r>
          </w:p>
        </w:tc>
      </w:tr>
      <w:tr w:rsidR="009D2819" w:rsidRPr="00B30A12" w14:paraId="7E91A9CD" w14:textId="77777777" w:rsidTr="00AD54DF">
        <w:trPr>
          <w:cantSplit/>
        </w:trPr>
        <w:tc>
          <w:tcPr>
            <w:tcW w:w="9322" w:type="dxa"/>
            <w:gridSpan w:val="2"/>
          </w:tcPr>
          <w:p w14:paraId="05FAB8D6" w14:textId="77777777" w:rsidR="009D2819" w:rsidRPr="00B30A12" w:rsidRDefault="009D2819" w:rsidP="00AD54DF">
            <w:pPr>
              <w:keepNext/>
              <w:widowControl w:val="0"/>
              <w:rPr>
                <w:b/>
                <w:sz w:val="22"/>
                <w:szCs w:val="22"/>
              </w:rPr>
            </w:pPr>
            <w:r w:rsidRPr="00B30A12">
              <w:rPr>
                <w:b/>
                <w:color w:val="000000"/>
                <w:sz w:val="22"/>
                <w:szCs w:val="22"/>
              </w:rPr>
              <w:t>Erkrankungen des Ohrs und des Labyrinths</w:t>
            </w:r>
          </w:p>
        </w:tc>
      </w:tr>
      <w:tr w:rsidR="009D2819" w:rsidRPr="00B30A12" w14:paraId="711B6F7F" w14:textId="77777777" w:rsidTr="00AD54DF">
        <w:trPr>
          <w:cantSplit/>
        </w:trPr>
        <w:tc>
          <w:tcPr>
            <w:tcW w:w="2235" w:type="dxa"/>
          </w:tcPr>
          <w:p w14:paraId="352C294A" w14:textId="77777777" w:rsidR="009D2819" w:rsidRPr="00B30A12" w:rsidRDefault="009D2819" w:rsidP="00537E23">
            <w:pPr>
              <w:widowControl w:val="0"/>
              <w:rPr>
                <w:sz w:val="22"/>
                <w:szCs w:val="22"/>
              </w:rPr>
            </w:pPr>
            <w:r w:rsidRPr="00B30A12">
              <w:rPr>
                <w:i/>
                <w:color w:val="000000"/>
                <w:sz w:val="22"/>
                <w:szCs w:val="22"/>
              </w:rPr>
              <w:t>Gelegentlich:</w:t>
            </w:r>
          </w:p>
        </w:tc>
        <w:tc>
          <w:tcPr>
            <w:tcW w:w="7087" w:type="dxa"/>
          </w:tcPr>
          <w:p w14:paraId="7A38D39F" w14:textId="77777777" w:rsidR="009D2819" w:rsidRPr="00B30A12" w:rsidRDefault="009D2819" w:rsidP="00537E23">
            <w:pPr>
              <w:widowControl w:val="0"/>
              <w:rPr>
                <w:sz w:val="22"/>
                <w:szCs w:val="22"/>
              </w:rPr>
            </w:pPr>
            <w:r w:rsidRPr="00B30A12">
              <w:rPr>
                <w:color w:val="000000"/>
                <w:sz w:val="22"/>
                <w:szCs w:val="22"/>
              </w:rPr>
              <w:t>Schwindel, Tinnitus</w:t>
            </w:r>
            <w:r w:rsidRPr="00B30A12">
              <w:rPr>
                <w:color w:val="000000"/>
                <w:sz w:val="22"/>
                <w:szCs w:val="22"/>
                <w:lang w:val="it-IT"/>
              </w:rPr>
              <w:t>, Hörverlust</w:t>
            </w:r>
          </w:p>
        </w:tc>
      </w:tr>
      <w:tr w:rsidR="0023449C" w:rsidRPr="00B30A12" w14:paraId="1769EA5B" w14:textId="77777777" w:rsidTr="00AD54DF">
        <w:trPr>
          <w:cantSplit/>
        </w:trPr>
        <w:tc>
          <w:tcPr>
            <w:tcW w:w="9322" w:type="dxa"/>
            <w:gridSpan w:val="2"/>
          </w:tcPr>
          <w:p w14:paraId="44915B57" w14:textId="77777777" w:rsidR="0023449C" w:rsidRPr="00B30A12" w:rsidRDefault="0023449C" w:rsidP="00AD54DF">
            <w:pPr>
              <w:keepNext/>
              <w:widowControl w:val="0"/>
              <w:rPr>
                <w:b/>
                <w:sz w:val="22"/>
                <w:szCs w:val="22"/>
              </w:rPr>
            </w:pPr>
            <w:r w:rsidRPr="00B30A12">
              <w:rPr>
                <w:b/>
                <w:color w:val="000000"/>
                <w:sz w:val="22"/>
                <w:szCs w:val="22"/>
              </w:rPr>
              <w:lastRenderedPageBreak/>
              <w:t>Herzerkrankungen</w:t>
            </w:r>
          </w:p>
        </w:tc>
      </w:tr>
      <w:tr w:rsidR="0023449C" w:rsidRPr="00B30A12" w14:paraId="586C31ED" w14:textId="77777777" w:rsidTr="00AD54DF">
        <w:trPr>
          <w:cantSplit/>
        </w:trPr>
        <w:tc>
          <w:tcPr>
            <w:tcW w:w="2235" w:type="dxa"/>
          </w:tcPr>
          <w:p w14:paraId="55505F0D" w14:textId="77777777" w:rsidR="0023449C" w:rsidRPr="00B30A12" w:rsidRDefault="0023449C" w:rsidP="00AD54DF">
            <w:pPr>
              <w:keepNext/>
              <w:widowControl w:val="0"/>
              <w:rPr>
                <w:sz w:val="22"/>
                <w:szCs w:val="22"/>
              </w:rPr>
            </w:pPr>
            <w:r w:rsidRPr="00B30A12">
              <w:rPr>
                <w:i/>
                <w:color w:val="000000"/>
                <w:sz w:val="22"/>
                <w:szCs w:val="22"/>
              </w:rPr>
              <w:t>Gelegentlich:</w:t>
            </w:r>
          </w:p>
        </w:tc>
        <w:tc>
          <w:tcPr>
            <w:tcW w:w="7087" w:type="dxa"/>
          </w:tcPr>
          <w:p w14:paraId="075B6632" w14:textId="77777777" w:rsidR="0023449C" w:rsidRPr="00B30A12" w:rsidRDefault="0023449C" w:rsidP="00AD54DF">
            <w:pPr>
              <w:keepNext/>
              <w:widowControl w:val="0"/>
              <w:rPr>
                <w:sz w:val="22"/>
                <w:szCs w:val="22"/>
              </w:rPr>
            </w:pPr>
            <w:r w:rsidRPr="00B30A12">
              <w:rPr>
                <w:color w:val="000000"/>
                <w:sz w:val="22"/>
                <w:szCs w:val="22"/>
              </w:rPr>
              <w:t>Palpitationen, Tachykardie, Stauungsherzinsuffizienz</w:t>
            </w:r>
            <w:r w:rsidR="00880E8B" w:rsidRPr="00B30A12">
              <w:rPr>
                <w:color w:val="000000"/>
                <w:sz w:val="22"/>
                <w:szCs w:val="22"/>
                <w:vertAlign w:val="superscript"/>
              </w:rPr>
              <w:t>3</w:t>
            </w:r>
            <w:r w:rsidRPr="00B30A12">
              <w:rPr>
                <w:color w:val="000000"/>
                <w:sz w:val="22"/>
                <w:szCs w:val="22"/>
              </w:rPr>
              <w:t>, Lungenödem</w:t>
            </w:r>
          </w:p>
        </w:tc>
      </w:tr>
      <w:tr w:rsidR="0023449C" w:rsidRPr="00B30A12" w14:paraId="6AA144B2" w14:textId="77777777" w:rsidTr="00AD54DF">
        <w:trPr>
          <w:cantSplit/>
        </w:trPr>
        <w:tc>
          <w:tcPr>
            <w:tcW w:w="2235" w:type="dxa"/>
          </w:tcPr>
          <w:p w14:paraId="49C43FEB" w14:textId="77777777" w:rsidR="0023449C" w:rsidRPr="00B30A12" w:rsidRDefault="0023449C" w:rsidP="00AD54DF">
            <w:pPr>
              <w:keepNext/>
              <w:widowControl w:val="0"/>
              <w:rPr>
                <w:sz w:val="22"/>
                <w:szCs w:val="22"/>
              </w:rPr>
            </w:pPr>
            <w:r w:rsidRPr="00B30A12">
              <w:rPr>
                <w:i/>
                <w:color w:val="000000"/>
                <w:sz w:val="22"/>
                <w:szCs w:val="22"/>
              </w:rPr>
              <w:t>Selten:</w:t>
            </w:r>
          </w:p>
        </w:tc>
        <w:tc>
          <w:tcPr>
            <w:tcW w:w="7087" w:type="dxa"/>
          </w:tcPr>
          <w:p w14:paraId="08D4E6A7" w14:textId="77777777" w:rsidR="0023449C" w:rsidRPr="00B30A12" w:rsidRDefault="0023449C" w:rsidP="00AD54DF">
            <w:pPr>
              <w:keepNext/>
              <w:widowControl w:val="0"/>
              <w:rPr>
                <w:sz w:val="22"/>
                <w:szCs w:val="22"/>
              </w:rPr>
            </w:pPr>
            <w:r w:rsidRPr="00B30A12">
              <w:rPr>
                <w:color w:val="000000"/>
                <w:sz w:val="22"/>
                <w:szCs w:val="22"/>
              </w:rPr>
              <w:t>Arrhythmie, Vorhofflimmern, Herzstillstand, Myokardinfarkt, Angina pectoris, Perikarderguss</w:t>
            </w:r>
          </w:p>
        </w:tc>
      </w:tr>
      <w:tr w:rsidR="00306E78" w:rsidRPr="00B30A12" w14:paraId="06792300" w14:textId="77777777" w:rsidTr="00AD54DF">
        <w:trPr>
          <w:cantSplit/>
        </w:trPr>
        <w:tc>
          <w:tcPr>
            <w:tcW w:w="2235" w:type="dxa"/>
          </w:tcPr>
          <w:p w14:paraId="47D54B10"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5CAD7BF4" w14:textId="77777777" w:rsidR="00306E78" w:rsidRPr="00B30A12" w:rsidRDefault="00306E78" w:rsidP="00537E23">
            <w:pPr>
              <w:widowControl w:val="0"/>
              <w:rPr>
                <w:color w:val="000000"/>
                <w:sz w:val="22"/>
                <w:szCs w:val="22"/>
              </w:rPr>
            </w:pPr>
            <w:r w:rsidRPr="00B30A12">
              <w:rPr>
                <w:color w:val="000000"/>
                <w:sz w:val="22"/>
                <w:szCs w:val="22"/>
              </w:rPr>
              <w:t>Perikarditis*, Herztamponade*</w:t>
            </w:r>
          </w:p>
        </w:tc>
      </w:tr>
      <w:tr w:rsidR="0086594D" w:rsidRPr="00B30A12" w14:paraId="716CE58F" w14:textId="77777777" w:rsidTr="00AD54DF">
        <w:trPr>
          <w:cantSplit/>
        </w:trPr>
        <w:tc>
          <w:tcPr>
            <w:tcW w:w="9322" w:type="dxa"/>
            <w:gridSpan w:val="2"/>
          </w:tcPr>
          <w:p w14:paraId="704064EE" w14:textId="77777777" w:rsidR="0086594D" w:rsidRPr="00B30A12" w:rsidRDefault="0086594D" w:rsidP="00AD54DF">
            <w:pPr>
              <w:keepNext/>
              <w:widowControl w:val="0"/>
              <w:rPr>
                <w:color w:val="000000"/>
                <w:sz w:val="22"/>
                <w:szCs w:val="22"/>
              </w:rPr>
            </w:pPr>
            <w:r w:rsidRPr="00B30A12">
              <w:rPr>
                <w:b/>
                <w:color w:val="000000"/>
                <w:sz w:val="22"/>
                <w:szCs w:val="22"/>
              </w:rPr>
              <w:t>Gefäßerkrankungen</w:t>
            </w:r>
            <w:r w:rsidRPr="00B30A12">
              <w:rPr>
                <w:color w:val="000000"/>
                <w:sz w:val="22"/>
                <w:szCs w:val="22"/>
                <w:vertAlign w:val="superscript"/>
              </w:rPr>
              <w:t xml:space="preserve"> </w:t>
            </w:r>
            <w:r w:rsidR="00880E8B" w:rsidRPr="00B30A12">
              <w:rPr>
                <w:color w:val="000000"/>
                <w:sz w:val="22"/>
                <w:szCs w:val="22"/>
                <w:vertAlign w:val="superscript"/>
              </w:rPr>
              <w:t>4</w:t>
            </w:r>
          </w:p>
        </w:tc>
      </w:tr>
      <w:tr w:rsidR="0086594D" w:rsidRPr="00B30A12" w14:paraId="4186F0F1" w14:textId="77777777" w:rsidTr="00AD54DF">
        <w:trPr>
          <w:cantSplit/>
        </w:trPr>
        <w:tc>
          <w:tcPr>
            <w:tcW w:w="2235" w:type="dxa"/>
          </w:tcPr>
          <w:p w14:paraId="79AF9CC0" w14:textId="77777777" w:rsidR="0086594D" w:rsidRPr="00B30A12" w:rsidRDefault="0086594D" w:rsidP="00AD54DF">
            <w:pPr>
              <w:keepNext/>
              <w:widowControl w:val="0"/>
              <w:rPr>
                <w:i/>
                <w:color w:val="000000"/>
                <w:sz w:val="22"/>
                <w:szCs w:val="22"/>
              </w:rPr>
            </w:pPr>
            <w:r w:rsidRPr="00B30A12">
              <w:rPr>
                <w:i/>
                <w:color w:val="000000"/>
                <w:sz w:val="22"/>
                <w:szCs w:val="22"/>
              </w:rPr>
              <w:t>Häufig:</w:t>
            </w:r>
          </w:p>
        </w:tc>
        <w:tc>
          <w:tcPr>
            <w:tcW w:w="7087" w:type="dxa"/>
          </w:tcPr>
          <w:p w14:paraId="611D710D" w14:textId="77777777" w:rsidR="0086594D" w:rsidRPr="00B30A12" w:rsidRDefault="00DD60D2" w:rsidP="00AD54DF">
            <w:pPr>
              <w:keepNext/>
              <w:widowControl w:val="0"/>
              <w:rPr>
                <w:color w:val="000000"/>
                <w:sz w:val="22"/>
                <w:szCs w:val="22"/>
              </w:rPr>
            </w:pPr>
            <w:r w:rsidRPr="00B30A12">
              <w:rPr>
                <w:color w:val="000000"/>
                <w:sz w:val="22"/>
                <w:szCs w:val="22"/>
              </w:rPr>
              <w:t>Plötzliche Hautrötung („Flushes</w:t>
            </w:r>
            <w:r w:rsidR="0086594D" w:rsidRPr="00B30A12">
              <w:rPr>
                <w:color w:val="000000"/>
                <w:sz w:val="22"/>
                <w:szCs w:val="22"/>
              </w:rPr>
              <w:t>“), Hämorrhagie</w:t>
            </w:r>
          </w:p>
        </w:tc>
      </w:tr>
      <w:tr w:rsidR="0086594D" w:rsidRPr="00B30A12" w:rsidDel="00655175" w14:paraId="0E79BAC1" w14:textId="77777777" w:rsidTr="00AD54DF">
        <w:trPr>
          <w:cantSplit/>
        </w:trPr>
        <w:tc>
          <w:tcPr>
            <w:tcW w:w="2235" w:type="dxa"/>
          </w:tcPr>
          <w:p w14:paraId="70D612A2" w14:textId="77777777" w:rsidR="0086594D" w:rsidRPr="00B30A12" w:rsidDel="00655175" w:rsidRDefault="0086594D" w:rsidP="00AD54DF">
            <w:pPr>
              <w:keepNext/>
              <w:widowControl w:val="0"/>
              <w:rPr>
                <w:i/>
                <w:color w:val="000000"/>
                <w:sz w:val="22"/>
                <w:szCs w:val="22"/>
              </w:rPr>
            </w:pPr>
            <w:r w:rsidRPr="00B30A12">
              <w:rPr>
                <w:i/>
                <w:color w:val="000000"/>
                <w:sz w:val="22"/>
                <w:szCs w:val="22"/>
              </w:rPr>
              <w:t>Gelegentlich:</w:t>
            </w:r>
          </w:p>
        </w:tc>
        <w:tc>
          <w:tcPr>
            <w:tcW w:w="7087" w:type="dxa"/>
          </w:tcPr>
          <w:p w14:paraId="5F95BCD2" w14:textId="77777777" w:rsidR="0086594D" w:rsidRPr="00B30A12" w:rsidDel="00655175" w:rsidRDefault="0086594D" w:rsidP="00AD54DF">
            <w:pPr>
              <w:keepNext/>
              <w:widowControl w:val="0"/>
              <w:rPr>
                <w:color w:val="000000"/>
                <w:sz w:val="22"/>
                <w:szCs w:val="22"/>
              </w:rPr>
            </w:pPr>
            <w:r w:rsidRPr="00B30A12">
              <w:rPr>
                <w:color w:val="000000"/>
                <w:sz w:val="22"/>
                <w:szCs w:val="22"/>
              </w:rPr>
              <w:t xml:space="preserve">Hypertonie, Hämatom, </w:t>
            </w:r>
            <w:r w:rsidR="00EF6590" w:rsidRPr="00B30A12">
              <w:rPr>
                <w:color w:val="000000"/>
                <w:sz w:val="22"/>
                <w:szCs w:val="22"/>
              </w:rPr>
              <w:t>subdurale</w:t>
            </w:r>
            <w:r w:rsidR="006D3C61" w:rsidRPr="00B30A12">
              <w:rPr>
                <w:color w:val="000000"/>
                <w:sz w:val="22"/>
                <w:szCs w:val="22"/>
              </w:rPr>
              <w:t>s</w:t>
            </w:r>
            <w:r w:rsidR="00EF6590" w:rsidRPr="00B30A12">
              <w:rPr>
                <w:color w:val="000000"/>
                <w:sz w:val="22"/>
                <w:szCs w:val="22"/>
              </w:rPr>
              <w:t xml:space="preserve"> Hämatom, </w:t>
            </w:r>
            <w:r w:rsidRPr="00B30A12">
              <w:rPr>
                <w:color w:val="000000"/>
                <w:sz w:val="22"/>
                <w:szCs w:val="22"/>
              </w:rPr>
              <w:t>periphe</w:t>
            </w:r>
            <w:r w:rsidRPr="00B30A12">
              <w:rPr>
                <w:color w:val="000000"/>
                <w:sz w:val="22"/>
                <w:szCs w:val="22"/>
              </w:rPr>
              <w:softHyphen/>
              <w:t>res Kältegefühl, Hypotonie, Raynaud-Syndrom</w:t>
            </w:r>
          </w:p>
        </w:tc>
      </w:tr>
      <w:tr w:rsidR="00306E78" w:rsidRPr="00B30A12" w:rsidDel="00655175" w14:paraId="6F29C7C6" w14:textId="77777777" w:rsidTr="00AD54DF">
        <w:trPr>
          <w:cantSplit/>
        </w:trPr>
        <w:tc>
          <w:tcPr>
            <w:tcW w:w="2235" w:type="dxa"/>
          </w:tcPr>
          <w:p w14:paraId="6EFE3841"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29C11405" w14:textId="77777777" w:rsidR="00306E78" w:rsidRPr="00B30A12" w:rsidRDefault="00306E78" w:rsidP="00537E23">
            <w:pPr>
              <w:widowControl w:val="0"/>
              <w:rPr>
                <w:color w:val="000000"/>
                <w:sz w:val="22"/>
                <w:szCs w:val="22"/>
              </w:rPr>
            </w:pPr>
            <w:r w:rsidRPr="00B30A12">
              <w:rPr>
                <w:color w:val="000000"/>
                <w:sz w:val="22"/>
                <w:szCs w:val="22"/>
              </w:rPr>
              <w:t>Thrombose/Embolie*</w:t>
            </w:r>
          </w:p>
        </w:tc>
      </w:tr>
      <w:tr w:rsidR="009D2819" w:rsidRPr="00B30A12" w14:paraId="665FD5DB" w14:textId="77777777" w:rsidTr="00AD54DF">
        <w:trPr>
          <w:cantSplit/>
        </w:trPr>
        <w:tc>
          <w:tcPr>
            <w:tcW w:w="9322" w:type="dxa"/>
            <w:gridSpan w:val="2"/>
          </w:tcPr>
          <w:p w14:paraId="30E1ED78" w14:textId="77777777" w:rsidR="009D2819" w:rsidRPr="00B30A12" w:rsidRDefault="009D2819" w:rsidP="00AD54DF">
            <w:pPr>
              <w:keepNext/>
              <w:widowControl w:val="0"/>
              <w:rPr>
                <w:b/>
                <w:color w:val="000000"/>
                <w:sz w:val="22"/>
                <w:szCs w:val="22"/>
              </w:rPr>
            </w:pPr>
            <w:r w:rsidRPr="00B30A12">
              <w:rPr>
                <w:b/>
                <w:noProof/>
                <w:color w:val="000000"/>
                <w:sz w:val="22"/>
                <w:szCs w:val="22"/>
              </w:rPr>
              <w:t>Erkrankungen der Atemwege, des Brustraums und Mediastinums</w:t>
            </w:r>
          </w:p>
        </w:tc>
      </w:tr>
      <w:tr w:rsidR="009D2819" w:rsidRPr="00B30A12" w14:paraId="4809D943" w14:textId="77777777" w:rsidTr="00AD54DF">
        <w:trPr>
          <w:cantSplit/>
        </w:trPr>
        <w:tc>
          <w:tcPr>
            <w:tcW w:w="2235" w:type="dxa"/>
          </w:tcPr>
          <w:p w14:paraId="059C146B"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4FC808E3" w14:textId="77777777" w:rsidR="009D2819" w:rsidRPr="00B30A12" w:rsidRDefault="009D2819" w:rsidP="00AD54DF">
            <w:pPr>
              <w:keepNext/>
              <w:widowControl w:val="0"/>
              <w:rPr>
                <w:sz w:val="22"/>
                <w:szCs w:val="22"/>
              </w:rPr>
            </w:pPr>
            <w:r w:rsidRPr="00B30A12">
              <w:rPr>
                <w:color w:val="000000"/>
                <w:sz w:val="22"/>
                <w:szCs w:val="22"/>
                <w:lang w:val="fr-FR"/>
              </w:rPr>
              <w:t>Dyspnoe, Epistaxis, Husten</w:t>
            </w:r>
          </w:p>
        </w:tc>
      </w:tr>
      <w:tr w:rsidR="009D2819" w:rsidRPr="00B30A12" w14:paraId="3E004E6D" w14:textId="77777777" w:rsidTr="00AD54DF">
        <w:trPr>
          <w:cantSplit/>
        </w:trPr>
        <w:tc>
          <w:tcPr>
            <w:tcW w:w="2235" w:type="dxa"/>
          </w:tcPr>
          <w:p w14:paraId="3CE0AF4A"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12B17C75" w14:textId="77777777" w:rsidR="009D2819" w:rsidRPr="00B30A12" w:rsidRDefault="009D2819" w:rsidP="00AD54DF">
            <w:pPr>
              <w:keepNext/>
              <w:widowControl w:val="0"/>
              <w:rPr>
                <w:sz w:val="22"/>
                <w:szCs w:val="22"/>
              </w:rPr>
            </w:pPr>
            <w:r w:rsidRPr="00B30A12">
              <w:rPr>
                <w:color w:val="000000"/>
                <w:sz w:val="22"/>
                <w:szCs w:val="22"/>
              </w:rPr>
              <w:t>Pleuraerguss</w:t>
            </w:r>
            <w:r w:rsidR="00880E8B" w:rsidRPr="00B30A12">
              <w:rPr>
                <w:color w:val="000000"/>
                <w:sz w:val="22"/>
                <w:szCs w:val="22"/>
                <w:vertAlign w:val="superscript"/>
              </w:rPr>
              <w:t>5</w:t>
            </w:r>
            <w:r w:rsidRPr="00B30A12">
              <w:rPr>
                <w:color w:val="000000"/>
                <w:sz w:val="22"/>
                <w:szCs w:val="22"/>
              </w:rPr>
              <w:t>, Rachen- und Kehlkopfschmerzen, Pharyngitis</w:t>
            </w:r>
          </w:p>
        </w:tc>
      </w:tr>
      <w:tr w:rsidR="009D2819" w:rsidRPr="00B30A12" w14:paraId="77EEACF0" w14:textId="77777777" w:rsidTr="00AD54DF">
        <w:trPr>
          <w:cantSplit/>
        </w:trPr>
        <w:tc>
          <w:tcPr>
            <w:tcW w:w="2235" w:type="dxa"/>
          </w:tcPr>
          <w:p w14:paraId="2CCD6EBC" w14:textId="77777777" w:rsidR="009D2819" w:rsidRPr="00B30A12" w:rsidRDefault="009D2819" w:rsidP="00AD54DF">
            <w:pPr>
              <w:keepNext/>
              <w:widowControl w:val="0"/>
              <w:rPr>
                <w:sz w:val="22"/>
                <w:szCs w:val="22"/>
              </w:rPr>
            </w:pPr>
            <w:r w:rsidRPr="00B30A12">
              <w:rPr>
                <w:i/>
                <w:color w:val="000000"/>
                <w:sz w:val="22"/>
                <w:szCs w:val="22"/>
              </w:rPr>
              <w:t>Selten:</w:t>
            </w:r>
          </w:p>
        </w:tc>
        <w:tc>
          <w:tcPr>
            <w:tcW w:w="7087" w:type="dxa"/>
          </w:tcPr>
          <w:p w14:paraId="601DF28B" w14:textId="77777777" w:rsidR="009D2819" w:rsidRPr="00B30A12" w:rsidRDefault="009D2819" w:rsidP="00AD54DF">
            <w:pPr>
              <w:keepNext/>
              <w:widowControl w:val="0"/>
              <w:rPr>
                <w:sz w:val="22"/>
                <w:szCs w:val="22"/>
              </w:rPr>
            </w:pPr>
            <w:r w:rsidRPr="00B30A12">
              <w:rPr>
                <w:color w:val="000000"/>
                <w:sz w:val="22"/>
                <w:szCs w:val="22"/>
              </w:rPr>
              <w:t>Rippenfellschmerzen, Lungenfibrose, pulmonale Hypertonie, Lungenblutung</w:t>
            </w:r>
          </w:p>
        </w:tc>
      </w:tr>
      <w:tr w:rsidR="00306E78" w:rsidRPr="00B30A12" w14:paraId="36B86CEA" w14:textId="77777777" w:rsidTr="00AD54DF">
        <w:trPr>
          <w:cantSplit/>
        </w:trPr>
        <w:tc>
          <w:tcPr>
            <w:tcW w:w="2235" w:type="dxa"/>
          </w:tcPr>
          <w:p w14:paraId="1A6D695A"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726F6667" w14:textId="77777777" w:rsidR="00306E78" w:rsidRPr="00B30A12" w:rsidRDefault="00306E78" w:rsidP="00537E23">
            <w:pPr>
              <w:widowControl w:val="0"/>
              <w:rPr>
                <w:color w:val="000000"/>
                <w:sz w:val="22"/>
                <w:szCs w:val="22"/>
              </w:rPr>
            </w:pPr>
            <w:r w:rsidRPr="00B30A12">
              <w:rPr>
                <w:color w:val="000000"/>
                <w:sz w:val="22"/>
                <w:szCs w:val="22"/>
              </w:rPr>
              <w:t>Akute respiratorische Insuffizienz</w:t>
            </w:r>
            <w:r w:rsidR="00901EC8" w:rsidRPr="00B30A12">
              <w:rPr>
                <w:color w:val="000000"/>
                <w:sz w:val="22"/>
                <w:szCs w:val="22"/>
                <w:vertAlign w:val="superscript"/>
              </w:rPr>
              <w:t>11</w:t>
            </w:r>
            <w:r w:rsidRPr="00B30A12">
              <w:rPr>
                <w:color w:val="000000"/>
                <w:sz w:val="22"/>
                <w:szCs w:val="22"/>
              </w:rPr>
              <w:t>*, interstitielle Lungenerkrankung*</w:t>
            </w:r>
          </w:p>
        </w:tc>
      </w:tr>
      <w:tr w:rsidR="009D2819" w:rsidRPr="00B30A12" w14:paraId="46B85419" w14:textId="77777777" w:rsidTr="00AD54DF">
        <w:trPr>
          <w:cantSplit/>
        </w:trPr>
        <w:tc>
          <w:tcPr>
            <w:tcW w:w="9322" w:type="dxa"/>
            <w:gridSpan w:val="2"/>
          </w:tcPr>
          <w:p w14:paraId="5C370B46" w14:textId="77777777" w:rsidR="009D2819" w:rsidRPr="00B30A12" w:rsidRDefault="009D2819" w:rsidP="00AD54DF">
            <w:pPr>
              <w:keepNext/>
              <w:widowControl w:val="0"/>
              <w:rPr>
                <w:b/>
                <w:sz w:val="22"/>
                <w:szCs w:val="22"/>
                <w:lang w:val="fr-FR"/>
              </w:rPr>
            </w:pPr>
            <w:r w:rsidRPr="00B30A12">
              <w:rPr>
                <w:b/>
                <w:noProof/>
                <w:color w:val="000000"/>
                <w:sz w:val="22"/>
                <w:szCs w:val="22"/>
              </w:rPr>
              <w:t>Erkrankungen des Gastrointestinaltrakts</w:t>
            </w:r>
          </w:p>
        </w:tc>
      </w:tr>
      <w:tr w:rsidR="009D2819" w:rsidRPr="00B30A12" w14:paraId="3266BD12" w14:textId="77777777" w:rsidTr="00AD54DF">
        <w:trPr>
          <w:cantSplit/>
        </w:trPr>
        <w:tc>
          <w:tcPr>
            <w:tcW w:w="2235" w:type="dxa"/>
          </w:tcPr>
          <w:p w14:paraId="287F0A7E" w14:textId="77777777" w:rsidR="009D2819" w:rsidRPr="00B30A12" w:rsidRDefault="009D2819" w:rsidP="00AD54DF">
            <w:pPr>
              <w:keepNext/>
              <w:widowControl w:val="0"/>
              <w:rPr>
                <w:sz w:val="22"/>
                <w:szCs w:val="22"/>
              </w:rPr>
            </w:pPr>
            <w:r w:rsidRPr="00B30A12">
              <w:rPr>
                <w:i/>
                <w:color w:val="000000"/>
                <w:sz w:val="22"/>
                <w:szCs w:val="22"/>
              </w:rPr>
              <w:t>Sehr häufig:</w:t>
            </w:r>
          </w:p>
        </w:tc>
        <w:tc>
          <w:tcPr>
            <w:tcW w:w="7087" w:type="dxa"/>
          </w:tcPr>
          <w:p w14:paraId="2CC23B39" w14:textId="77777777" w:rsidR="009D2819" w:rsidRPr="00B30A12" w:rsidRDefault="009D2819" w:rsidP="00AD54DF">
            <w:pPr>
              <w:keepNext/>
              <w:widowControl w:val="0"/>
              <w:rPr>
                <w:sz w:val="22"/>
                <w:szCs w:val="22"/>
              </w:rPr>
            </w:pPr>
            <w:r w:rsidRPr="00B30A12">
              <w:rPr>
                <w:color w:val="000000"/>
                <w:sz w:val="22"/>
                <w:szCs w:val="22"/>
              </w:rPr>
              <w:t>Übelkeit, Durchfall, Erbrechen, Dyspepsie, Abdominalschmerzen</w:t>
            </w:r>
            <w:r w:rsidR="00880E8B" w:rsidRPr="00B30A12">
              <w:rPr>
                <w:color w:val="000000"/>
                <w:sz w:val="22"/>
                <w:szCs w:val="22"/>
                <w:vertAlign w:val="superscript"/>
              </w:rPr>
              <w:t>6</w:t>
            </w:r>
          </w:p>
        </w:tc>
      </w:tr>
      <w:tr w:rsidR="009D2819" w:rsidRPr="00B30A12" w14:paraId="366AC081" w14:textId="77777777" w:rsidTr="00AD54DF">
        <w:trPr>
          <w:cantSplit/>
        </w:trPr>
        <w:tc>
          <w:tcPr>
            <w:tcW w:w="2235" w:type="dxa"/>
          </w:tcPr>
          <w:p w14:paraId="2A701A55"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29AEEA99" w14:textId="77777777" w:rsidR="009D2819" w:rsidRPr="00B30A12" w:rsidRDefault="009D2819" w:rsidP="00AD54DF">
            <w:pPr>
              <w:keepNext/>
              <w:widowControl w:val="0"/>
              <w:rPr>
                <w:sz w:val="22"/>
                <w:szCs w:val="22"/>
              </w:rPr>
            </w:pPr>
            <w:r w:rsidRPr="00B30A12">
              <w:rPr>
                <w:color w:val="000000"/>
                <w:sz w:val="22"/>
                <w:szCs w:val="22"/>
              </w:rPr>
              <w:t>Flatulenz, geblähter Bauch, Magen- und Speiseröhrenreflux, Verstopfung, Mundtrockenheit, Gastritis</w:t>
            </w:r>
          </w:p>
        </w:tc>
      </w:tr>
      <w:tr w:rsidR="009D2819" w:rsidRPr="00B30A12" w14:paraId="5F2A4294" w14:textId="77777777" w:rsidTr="00AD54DF">
        <w:trPr>
          <w:cantSplit/>
        </w:trPr>
        <w:tc>
          <w:tcPr>
            <w:tcW w:w="2235" w:type="dxa"/>
          </w:tcPr>
          <w:p w14:paraId="3867F54C"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073A35B0" w14:textId="77777777" w:rsidR="009D2819" w:rsidRPr="00B30A12" w:rsidRDefault="009D2819" w:rsidP="00AD54DF">
            <w:pPr>
              <w:keepNext/>
              <w:widowControl w:val="0"/>
              <w:rPr>
                <w:sz w:val="22"/>
                <w:szCs w:val="22"/>
              </w:rPr>
            </w:pPr>
            <w:r w:rsidRPr="00B30A12">
              <w:rPr>
                <w:color w:val="000000"/>
                <w:sz w:val="22"/>
                <w:szCs w:val="22"/>
              </w:rPr>
              <w:t>Stomatitis, Mundulzera, Blutungen im Gastrointestinaltrakt</w:t>
            </w:r>
            <w:r w:rsidRPr="00B30A12">
              <w:rPr>
                <w:color w:val="000000"/>
                <w:sz w:val="22"/>
                <w:szCs w:val="22"/>
                <w:vertAlign w:val="superscript"/>
              </w:rPr>
              <w:t xml:space="preserve"> </w:t>
            </w:r>
            <w:r w:rsidR="00880E8B" w:rsidRPr="00B30A12">
              <w:rPr>
                <w:color w:val="000000"/>
                <w:sz w:val="22"/>
                <w:szCs w:val="22"/>
                <w:vertAlign w:val="superscript"/>
              </w:rPr>
              <w:t>7</w:t>
            </w:r>
            <w:r w:rsidRPr="00B30A12">
              <w:rPr>
                <w:color w:val="000000"/>
                <w:sz w:val="22"/>
                <w:szCs w:val="22"/>
              </w:rPr>
              <w:t xml:space="preserve">, </w:t>
            </w:r>
            <w:r w:rsidRPr="00B30A12">
              <w:rPr>
                <w:color w:val="000000"/>
                <w:sz w:val="22"/>
                <w:szCs w:val="22"/>
              </w:rPr>
              <w:softHyphen/>
            </w:r>
            <w:r w:rsidRPr="00B30A12">
              <w:rPr>
                <w:color w:val="000000"/>
                <w:sz w:val="22"/>
                <w:szCs w:val="22"/>
              </w:rPr>
              <w:softHyphen/>
              <w:t>Aufstoßen, Meläna, Ösophagitis, Aszites, Magengeschwür, Hämatemesis, Lippenentzündung, Dysphagie, Pankreatitis</w:t>
            </w:r>
          </w:p>
        </w:tc>
      </w:tr>
      <w:tr w:rsidR="009D2819" w:rsidRPr="00B30A12" w14:paraId="3E5F217D" w14:textId="77777777" w:rsidTr="00AD54DF">
        <w:trPr>
          <w:cantSplit/>
        </w:trPr>
        <w:tc>
          <w:tcPr>
            <w:tcW w:w="2235" w:type="dxa"/>
          </w:tcPr>
          <w:p w14:paraId="734916F5" w14:textId="77777777" w:rsidR="009D2819" w:rsidRPr="00B30A12" w:rsidRDefault="009D2819" w:rsidP="00AD54DF">
            <w:pPr>
              <w:keepNext/>
              <w:widowControl w:val="0"/>
              <w:rPr>
                <w:sz w:val="22"/>
                <w:szCs w:val="22"/>
              </w:rPr>
            </w:pPr>
            <w:r w:rsidRPr="00B30A12">
              <w:rPr>
                <w:i/>
                <w:color w:val="000000"/>
                <w:sz w:val="22"/>
                <w:szCs w:val="22"/>
              </w:rPr>
              <w:t>Selten:</w:t>
            </w:r>
          </w:p>
        </w:tc>
        <w:tc>
          <w:tcPr>
            <w:tcW w:w="7087" w:type="dxa"/>
          </w:tcPr>
          <w:p w14:paraId="5602A41F" w14:textId="77777777" w:rsidR="009D2819" w:rsidRPr="00B30A12" w:rsidRDefault="009D2819" w:rsidP="00AD54DF">
            <w:pPr>
              <w:keepNext/>
              <w:widowControl w:val="0"/>
              <w:rPr>
                <w:snapToGrid w:val="0"/>
                <w:color w:val="000000"/>
                <w:sz w:val="22"/>
                <w:szCs w:val="22"/>
                <w:lang w:val="en-US"/>
              </w:rPr>
            </w:pPr>
            <w:r w:rsidRPr="00B30A12">
              <w:rPr>
                <w:color w:val="000000"/>
                <w:sz w:val="22"/>
                <w:szCs w:val="22"/>
                <w:lang w:val="en-US"/>
              </w:rPr>
              <w:t>Kolitis, I</w:t>
            </w:r>
            <w:r w:rsidRPr="00B30A12">
              <w:rPr>
                <w:snapToGrid w:val="0"/>
                <w:color w:val="000000"/>
                <w:sz w:val="22"/>
                <w:szCs w:val="22"/>
                <w:lang w:val="en-US"/>
              </w:rPr>
              <w:t>leus, Darmentzündung</w:t>
            </w:r>
          </w:p>
        </w:tc>
      </w:tr>
      <w:tr w:rsidR="00306E78" w:rsidRPr="00B30A12" w14:paraId="449F120A" w14:textId="77777777" w:rsidTr="00AD54DF">
        <w:trPr>
          <w:cantSplit/>
        </w:trPr>
        <w:tc>
          <w:tcPr>
            <w:tcW w:w="2235" w:type="dxa"/>
          </w:tcPr>
          <w:p w14:paraId="62948549" w14:textId="77777777" w:rsidR="00306E78" w:rsidRPr="00B30A12" w:rsidRDefault="00306E78" w:rsidP="00537E23">
            <w:pPr>
              <w:widowControl w:val="0"/>
              <w:rPr>
                <w:i/>
                <w:color w:val="000000"/>
                <w:sz w:val="22"/>
                <w:szCs w:val="22"/>
              </w:rPr>
            </w:pPr>
            <w:r w:rsidRPr="00B30A12">
              <w:rPr>
                <w:i/>
                <w:color w:val="000000"/>
                <w:sz w:val="22"/>
                <w:szCs w:val="22"/>
              </w:rPr>
              <w:t>Nicht bekannt:</w:t>
            </w:r>
          </w:p>
        </w:tc>
        <w:tc>
          <w:tcPr>
            <w:tcW w:w="7087" w:type="dxa"/>
          </w:tcPr>
          <w:p w14:paraId="76CA294B" w14:textId="77777777" w:rsidR="00306E78" w:rsidRPr="00B30A12" w:rsidRDefault="00306E78" w:rsidP="00537E23">
            <w:pPr>
              <w:widowControl w:val="0"/>
              <w:rPr>
                <w:color w:val="000000"/>
                <w:sz w:val="22"/>
                <w:szCs w:val="22"/>
              </w:rPr>
            </w:pPr>
            <w:r w:rsidRPr="00B30A12">
              <w:rPr>
                <w:color w:val="000000"/>
                <w:sz w:val="22"/>
                <w:szCs w:val="22"/>
              </w:rPr>
              <w:t>Ileus/Darmobstruktion</w:t>
            </w:r>
            <w:r w:rsidR="0094523F" w:rsidRPr="00B30A12">
              <w:rPr>
                <w:color w:val="000000"/>
                <w:sz w:val="22"/>
                <w:szCs w:val="22"/>
              </w:rPr>
              <w:t>*</w:t>
            </w:r>
            <w:r w:rsidRPr="00B30A12">
              <w:rPr>
                <w:color w:val="000000"/>
                <w:sz w:val="22"/>
                <w:szCs w:val="22"/>
              </w:rPr>
              <w:t>, gastrointestinale Perforation</w:t>
            </w:r>
            <w:r w:rsidR="002017DA" w:rsidRPr="00B30A12">
              <w:rPr>
                <w:color w:val="000000"/>
                <w:sz w:val="22"/>
                <w:szCs w:val="22"/>
              </w:rPr>
              <w:t>*</w:t>
            </w:r>
            <w:r w:rsidRPr="00B30A12">
              <w:rPr>
                <w:color w:val="000000"/>
                <w:sz w:val="22"/>
                <w:szCs w:val="22"/>
              </w:rPr>
              <w:t>, Divertikulitis</w:t>
            </w:r>
            <w:r w:rsidR="002017DA" w:rsidRPr="00B30A12">
              <w:rPr>
                <w:color w:val="000000"/>
                <w:sz w:val="22"/>
                <w:szCs w:val="22"/>
              </w:rPr>
              <w:t>*</w:t>
            </w:r>
            <w:r w:rsidRPr="00B30A12">
              <w:rPr>
                <w:color w:val="000000"/>
                <w:sz w:val="22"/>
                <w:szCs w:val="22"/>
              </w:rPr>
              <w:t>, gastral-antrale vaskuläre Ektasie (GAVE)</w:t>
            </w:r>
            <w:r w:rsidR="002017DA" w:rsidRPr="00B30A12">
              <w:rPr>
                <w:color w:val="000000"/>
                <w:sz w:val="22"/>
                <w:szCs w:val="22"/>
              </w:rPr>
              <w:t>*</w:t>
            </w:r>
          </w:p>
        </w:tc>
      </w:tr>
      <w:tr w:rsidR="0070587C" w:rsidRPr="00B30A12" w14:paraId="4FC5EA1C" w14:textId="77777777" w:rsidTr="00AD54DF">
        <w:trPr>
          <w:cantSplit/>
        </w:trPr>
        <w:tc>
          <w:tcPr>
            <w:tcW w:w="9322" w:type="dxa"/>
            <w:gridSpan w:val="2"/>
          </w:tcPr>
          <w:p w14:paraId="2583E3C6" w14:textId="77777777" w:rsidR="0070587C" w:rsidRPr="00B30A12" w:rsidRDefault="0070587C" w:rsidP="00AD54DF">
            <w:pPr>
              <w:keepNext/>
              <w:widowControl w:val="0"/>
              <w:rPr>
                <w:b/>
                <w:snapToGrid w:val="0"/>
                <w:color w:val="000000"/>
                <w:sz w:val="22"/>
                <w:szCs w:val="22"/>
                <w:lang w:val="fr-FR"/>
              </w:rPr>
            </w:pPr>
            <w:r w:rsidRPr="00B30A12">
              <w:rPr>
                <w:b/>
                <w:noProof/>
                <w:color w:val="000000"/>
                <w:sz w:val="22"/>
                <w:szCs w:val="22"/>
              </w:rPr>
              <w:t>Leber- und Gallenerkrankungen</w:t>
            </w:r>
          </w:p>
        </w:tc>
      </w:tr>
      <w:tr w:rsidR="0070587C" w:rsidRPr="00B30A12" w14:paraId="6FAA10F5" w14:textId="77777777" w:rsidTr="00AD54DF">
        <w:trPr>
          <w:cantSplit/>
        </w:trPr>
        <w:tc>
          <w:tcPr>
            <w:tcW w:w="2235" w:type="dxa"/>
          </w:tcPr>
          <w:p w14:paraId="76B32370" w14:textId="77777777" w:rsidR="0070587C" w:rsidRPr="00B30A12" w:rsidRDefault="0070587C" w:rsidP="00AD54DF">
            <w:pPr>
              <w:keepNext/>
              <w:widowControl w:val="0"/>
              <w:rPr>
                <w:i/>
                <w:color w:val="000000"/>
                <w:sz w:val="22"/>
                <w:szCs w:val="22"/>
              </w:rPr>
            </w:pPr>
            <w:r w:rsidRPr="00B30A12">
              <w:rPr>
                <w:i/>
                <w:color w:val="000000"/>
                <w:sz w:val="22"/>
                <w:szCs w:val="22"/>
              </w:rPr>
              <w:t>Häufig:</w:t>
            </w:r>
          </w:p>
        </w:tc>
        <w:tc>
          <w:tcPr>
            <w:tcW w:w="7087" w:type="dxa"/>
          </w:tcPr>
          <w:p w14:paraId="516375C6" w14:textId="77777777" w:rsidR="0070587C" w:rsidRPr="00B30A12" w:rsidRDefault="0070587C" w:rsidP="00AD54DF">
            <w:pPr>
              <w:keepNext/>
              <w:widowControl w:val="0"/>
              <w:rPr>
                <w:color w:val="000000"/>
                <w:sz w:val="22"/>
                <w:szCs w:val="22"/>
              </w:rPr>
            </w:pPr>
            <w:r w:rsidRPr="00B30A12">
              <w:rPr>
                <w:color w:val="000000"/>
                <w:sz w:val="22"/>
                <w:szCs w:val="22"/>
              </w:rPr>
              <w:t>Erhöhte Leberenzyme</w:t>
            </w:r>
          </w:p>
        </w:tc>
      </w:tr>
      <w:tr w:rsidR="0070587C" w:rsidRPr="00B30A12" w14:paraId="6AB8A0C3" w14:textId="77777777" w:rsidTr="00AD54DF">
        <w:trPr>
          <w:cantSplit/>
        </w:trPr>
        <w:tc>
          <w:tcPr>
            <w:tcW w:w="2235" w:type="dxa"/>
          </w:tcPr>
          <w:p w14:paraId="6A5973A6" w14:textId="77777777" w:rsidR="0070587C" w:rsidRPr="00B30A12" w:rsidRDefault="0070587C" w:rsidP="00AD54DF">
            <w:pPr>
              <w:keepNext/>
              <w:widowControl w:val="0"/>
              <w:rPr>
                <w:i/>
                <w:color w:val="000000"/>
                <w:sz w:val="22"/>
                <w:szCs w:val="22"/>
              </w:rPr>
            </w:pPr>
            <w:r w:rsidRPr="00B30A12">
              <w:rPr>
                <w:i/>
                <w:color w:val="000000"/>
                <w:sz w:val="22"/>
                <w:szCs w:val="22"/>
              </w:rPr>
              <w:t>Gelegentlich:</w:t>
            </w:r>
          </w:p>
        </w:tc>
        <w:tc>
          <w:tcPr>
            <w:tcW w:w="7087" w:type="dxa"/>
          </w:tcPr>
          <w:p w14:paraId="04B68FD5" w14:textId="77777777" w:rsidR="0070587C" w:rsidRPr="00B30A12" w:rsidRDefault="0070587C" w:rsidP="00AD54DF">
            <w:pPr>
              <w:keepNext/>
              <w:widowControl w:val="0"/>
              <w:rPr>
                <w:color w:val="000000"/>
                <w:sz w:val="22"/>
                <w:szCs w:val="22"/>
              </w:rPr>
            </w:pPr>
            <w:r w:rsidRPr="00B30A12">
              <w:rPr>
                <w:color w:val="000000"/>
                <w:sz w:val="22"/>
                <w:szCs w:val="22"/>
              </w:rPr>
              <w:t>Hyperbilirubinämie, Hepatitis, Gelbsucht</w:t>
            </w:r>
          </w:p>
        </w:tc>
      </w:tr>
      <w:tr w:rsidR="0070587C" w:rsidRPr="00B30A12" w14:paraId="298E853B" w14:textId="77777777" w:rsidTr="00AD54DF">
        <w:trPr>
          <w:cantSplit/>
        </w:trPr>
        <w:tc>
          <w:tcPr>
            <w:tcW w:w="2235" w:type="dxa"/>
          </w:tcPr>
          <w:p w14:paraId="47FC567F" w14:textId="77777777" w:rsidR="0070587C" w:rsidRPr="00B30A12" w:rsidRDefault="0070587C" w:rsidP="00537E23">
            <w:pPr>
              <w:widowControl w:val="0"/>
              <w:rPr>
                <w:i/>
                <w:color w:val="000000"/>
                <w:sz w:val="22"/>
                <w:szCs w:val="22"/>
              </w:rPr>
            </w:pPr>
            <w:r w:rsidRPr="00B30A12">
              <w:rPr>
                <w:i/>
                <w:color w:val="000000"/>
                <w:sz w:val="22"/>
                <w:szCs w:val="22"/>
              </w:rPr>
              <w:t>Selten:</w:t>
            </w:r>
          </w:p>
        </w:tc>
        <w:tc>
          <w:tcPr>
            <w:tcW w:w="7087" w:type="dxa"/>
          </w:tcPr>
          <w:p w14:paraId="368F1111" w14:textId="77777777" w:rsidR="0070587C" w:rsidRPr="00B30A12" w:rsidRDefault="0070587C" w:rsidP="00537E23">
            <w:pPr>
              <w:widowControl w:val="0"/>
              <w:rPr>
                <w:color w:val="000000"/>
                <w:sz w:val="22"/>
                <w:szCs w:val="22"/>
              </w:rPr>
            </w:pPr>
            <w:r w:rsidRPr="00B30A12">
              <w:rPr>
                <w:color w:val="000000"/>
                <w:sz w:val="22"/>
                <w:szCs w:val="22"/>
              </w:rPr>
              <w:t>Leberversagen</w:t>
            </w:r>
            <w:r w:rsidR="00880E8B" w:rsidRPr="00B30A12">
              <w:rPr>
                <w:color w:val="000000"/>
                <w:sz w:val="22"/>
                <w:szCs w:val="22"/>
                <w:vertAlign w:val="superscript"/>
              </w:rPr>
              <w:t>8</w:t>
            </w:r>
            <w:r w:rsidRPr="00B30A12">
              <w:rPr>
                <w:color w:val="000000"/>
                <w:sz w:val="22"/>
                <w:szCs w:val="22"/>
              </w:rPr>
              <w:t>, Lebernekrose</w:t>
            </w:r>
          </w:p>
        </w:tc>
      </w:tr>
      <w:tr w:rsidR="009D2819" w:rsidRPr="00B30A12" w14:paraId="3AAFD322" w14:textId="77777777" w:rsidTr="00AD54DF">
        <w:trPr>
          <w:cantSplit/>
        </w:trPr>
        <w:tc>
          <w:tcPr>
            <w:tcW w:w="9322" w:type="dxa"/>
            <w:gridSpan w:val="2"/>
          </w:tcPr>
          <w:p w14:paraId="5B99E9EB" w14:textId="77777777" w:rsidR="009D2819" w:rsidRPr="00B30A12" w:rsidRDefault="009D2819" w:rsidP="00AD54DF">
            <w:pPr>
              <w:keepNext/>
              <w:widowControl w:val="0"/>
              <w:rPr>
                <w:b/>
                <w:sz w:val="22"/>
                <w:szCs w:val="22"/>
              </w:rPr>
            </w:pPr>
            <w:r w:rsidRPr="00B30A12">
              <w:rPr>
                <w:b/>
                <w:color w:val="000000"/>
                <w:sz w:val="22"/>
                <w:szCs w:val="22"/>
              </w:rPr>
              <w:t>Erkrankungen der Haut und des Unterhautzellgewebes</w:t>
            </w:r>
          </w:p>
        </w:tc>
      </w:tr>
      <w:tr w:rsidR="009D2819" w:rsidRPr="00B30A12" w14:paraId="7188E8EC" w14:textId="77777777" w:rsidTr="00AD54DF">
        <w:trPr>
          <w:cantSplit/>
        </w:trPr>
        <w:tc>
          <w:tcPr>
            <w:tcW w:w="2235" w:type="dxa"/>
          </w:tcPr>
          <w:p w14:paraId="06439560" w14:textId="77777777" w:rsidR="009D2819" w:rsidRPr="00B30A12" w:rsidRDefault="009D2819" w:rsidP="00AD54DF">
            <w:pPr>
              <w:keepNext/>
              <w:widowControl w:val="0"/>
              <w:rPr>
                <w:sz w:val="22"/>
                <w:szCs w:val="22"/>
              </w:rPr>
            </w:pPr>
            <w:r w:rsidRPr="00B30A12">
              <w:rPr>
                <w:i/>
                <w:color w:val="000000"/>
                <w:sz w:val="22"/>
                <w:szCs w:val="22"/>
              </w:rPr>
              <w:t>Sehr häufig:</w:t>
            </w:r>
          </w:p>
        </w:tc>
        <w:tc>
          <w:tcPr>
            <w:tcW w:w="7087" w:type="dxa"/>
          </w:tcPr>
          <w:p w14:paraId="69C62511" w14:textId="77777777" w:rsidR="009D2819" w:rsidRPr="00B30A12" w:rsidRDefault="009D2819" w:rsidP="00AD54DF">
            <w:pPr>
              <w:keepNext/>
              <w:widowControl w:val="0"/>
              <w:rPr>
                <w:sz w:val="22"/>
                <w:szCs w:val="22"/>
              </w:rPr>
            </w:pPr>
            <w:r w:rsidRPr="00B30A12">
              <w:rPr>
                <w:color w:val="000000"/>
                <w:sz w:val="22"/>
                <w:szCs w:val="22"/>
              </w:rPr>
              <w:t>Periorbitale Ödeme, Dermatitis/Ekzem/Hautausschlag</w:t>
            </w:r>
          </w:p>
        </w:tc>
      </w:tr>
      <w:tr w:rsidR="009D2819" w:rsidRPr="00B30A12" w14:paraId="72624F02" w14:textId="77777777" w:rsidTr="00AD54DF">
        <w:trPr>
          <w:cantSplit/>
        </w:trPr>
        <w:tc>
          <w:tcPr>
            <w:tcW w:w="2235" w:type="dxa"/>
          </w:tcPr>
          <w:p w14:paraId="2C5C8738" w14:textId="77777777" w:rsidR="009D2819" w:rsidRPr="00B30A12" w:rsidRDefault="009D2819" w:rsidP="00AD54DF">
            <w:pPr>
              <w:keepNext/>
              <w:widowControl w:val="0"/>
              <w:rPr>
                <w:sz w:val="22"/>
                <w:szCs w:val="22"/>
              </w:rPr>
            </w:pPr>
            <w:r w:rsidRPr="00B30A12">
              <w:rPr>
                <w:i/>
                <w:color w:val="000000"/>
                <w:sz w:val="22"/>
                <w:szCs w:val="22"/>
              </w:rPr>
              <w:t>Häufig:</w:t>
            </w:r>
          </w:p>
        </w:tc>
        <w:tc>
          <w:tcPr>
            <w:tcW w:w="7087" w:type="dxa"/>
          </w:tcPr>
          <w:p w14:paraId="74BC2EF4" w14:textId="77777777" w:rsidR="009D2819" w:rsidRPr="00B30A12" w:rsidRDefault="009D2819" w:rsidP="00AD54DF">
            <w:pPr>
              <w:keepNext/>
              <w:widowControl w:val="0"/>
              <w:rPr>
                <w:sz w:val="22"/>
                <w:szCs w:val="22"/>
              </w:rPr>
            </w:pPr>
            <w:r w:rsidRPr="00B30A12">
              <w:rPr>
                <w:color w:val="000000"/>
                <w:sz w:val="22"/>
                <w:szCs w:val="22"/>
              </w:rPr>
              <w:t>Pruritus, Gesichtsödem, trockene Haut, Erythem, Alopezie, nächtliches Schwitzen, Lichtempfindlichkeitsreaktionen</w:t>
            </w:r>
          </w:p>
        </w:tc>
      </w:tr>
      <w:tr w:rsidR="009D2819" w:rsidRPr="00B30A12" w14:paraId="44FA63CB" w14:textId="77777777" w:rsidTr="00AD54DF">
        <w:trPr>
          <w:cantSplit/>
        </w:trPr>
        <w:tc>
          <w:tcPr>
            <w:tcW w:w="2235" w:type="dxa"/>
          </w:tcPr>
          <w:p w14:paraId="407DF00B" w14:textId="77777777" w:rsidR="009D2819" w:rsidRPr="00B30A12" w:rsidRDefault="009D2819" w:rsidP="00AD54DF">
            <w:pPr>
              <w:keepNext/>
              <w:widowControl w:val="0"/>
              <w:rPr>
                <w:sz w:val="22"/>
                <w:szCs w:val="22"/>
              </w:rPr>
            </w:pPr>
            <w:r w:rsidRPr="00B30A12">
              <w:rPr>
                <w:i/>
                <w:color w:val="000000"/>
                <w:sz w:val="22"/>
                <w:szCs w:val="22"/>
              </w:rPr>
              <w:t>Gelegentlich:</w:t>
            </w:r>
          </w:p>
        </w:tc>
        <w:tc>
          <w:tcPr>
            <w:tcW w:w="7087" w:type="dxa"/>
          </w:tcPr>
          <w:p w14:paraId="3A6EBAA0" w14:textId="77777777" w:rsidR="009D2819" w:rsidRPr="00B30A12" w:rsidRDefault="009D2819" w:rsidP="00AD54DF">
            <w:pPr>
              <w:keepNext/>
              <w:widowControl w:val="0"/>
              <w:rPr>
                <w:color w:val="000000"/>
                <w:sz w:val="22"/>
                <w:szCs w:val="22"/>
              </w:rPr>
            </w:pPr>
            <w:r w:rsidRPr="00B30A12">
              <w:rPr>
                <w:color w:val="000000"/>
                <w:sz w:val="22"/>
                <w:szCs w:val="22"/>
              </w:rPr>
              <w:t>Pustulöser Hautausschlag, Kontusion, vermehrtes Schwitzen, Urtikaria, Hautblutungen, verstärkte Tendenz zu blauen Flecken, Hypotrichose, Hypopigmentierung der Haut, exfoliative Dermatitis, Brüchig</w:t>
            </w:r>
            <w:r w:rsidRPr="00B30A12">
              <w:rPr>
                <w:color w:val="000000"/>
                <w:sz w:val="22"/>
                <w:szCs w:val="22"/>
              </w:rPr>
              <w:softHyphen/>
              <w:t>werden der Nägel, Follikulitis, Petechien, Psoriasis, Purpura, Hyperpigmentierung der Haut, bullöser Hautausschlag</w:t>
            </w:r>
          </w:p>
        </w:tc>
      </w:tr>
      <w:tr w:rsidR="009D2819" w:rsidRPr="00B30A12" w14:paraId="0DAA1B8C" w14:textId="77777777" w:rsidTr="00AD54DF">
        <w:trPr>
          <w:cantSplit/>
        </w:trPr>
        <w:tc>
          <w:tcPr>
            <w:tcW w:w="2235" w:type="dxa"/>
          </w:tcPr>
          <w:p w14:paraId="54D32A27" w14:textId="77777777" w:rsidR="009D2819" w:rsidRPr="00B30A12" w:rsidRDefault="009D2819" w:rsidP="00AD54DF">
            <w:pPr>
              <w:keepNext/>
              <w:widowControl w:val="0"/>
              <w:rPr>
                <w:sz w:val="22"/>
                <w:szCs w:val="22"/>
              </w:rPr>
            </w:pPr>
            <w:r w:rsidRPr="00B30A12">
              <w:rPr>
                <w:i/>
                <w:color w:val="000000"/>
                <w:sz w:val="22"/>
                <w:szCs w:val="22"/>
              </w:rPr>
              <w:t>Selten:</w:t>
            </w:r>
          </w:p>
        </w:tc>
        <w:tc>
          <w:tcPr>
            <w:tcW w:w="7087" w:type="dxa"/>
          </w:tcPr>
          <w:p w14:paraId="4404F7FA" w14:textId="77777777" w:rsidR="009D2819" w:rsidRPr="00B30A12" w:rsidRDefault="009D2819" w:rsidP="00AD54DF">
            <w:pPr>
              <w:keepNext/>
              <w:widowControl w:val="0"/>
              <w:rPr>
                <w:sz w:val="22"/>
                <w:szCs w:val="22"/>
              </w:rPr>
            </w:pPr>
            <w:r w:rsidRPr="00B30A12">
              <w:rPr>
                <w:color w:val="000000"/>
                <w:sz w:val="22"/>
                <w:szCs w:val="22"/>
              </w:rPr>
              <w:t>Akute febrile neutrophile Dermatose (Sweet-Syndrom), Verfärbung der Nägel, angioneurotisches Ödem, bläschenförmiges Exanthem, Erythema multiforme, leukozytoklastische Vaskulitis, Stevens-Johnson-Syndrom, akute generalisierte exanthematöse Pustulose (AGEP)</w:t>
            </w:r>
          </w:p>
        </w:tc>
      </w:tr>
      <w:tr w:rsidR="007854BF" w:rsidRPr="00B30A12" w14:paraId="3718E8E3" w14:textId="77777777" w:rsidTr="00AD54DF">
        <w:trPr>
          <w:cantSplit/>
        </w:trPr>
        <w:tc>
          <w:tcPr>
            <w:tcW w:w="2235" w:type="dxa"/>
          </w:tcPr>
          <w:p w14:paraId="51EF88A6" w14:textId="77777777" w:rsidR="007854BF" w:rsidRPr="00B30A12" w:rsidRDefault="007854BF" w:rsidP="00537E23">
            <w:pPr>
              <w:widowControl w:val="0"/>
              <w:rPr>
                <w:i/>
                <w:color w:val="000000"/>
                <w:sz w:val="22"/>
                <w:szCs w:val="22"/>
              </w:rPr>
            </w:pPr>
            <w:r w:rsidRPr="00B30A12">
              <w:rPr>
                <w:i/>
                <w:color w:val="000000"/>
                <w:sz w:val="22"/>
                <w:szCs w:val="22"/>
              </w:rPr>
              <w:t>Nicht bekannt:</w:t>
            </w:r>
          </w:p>
        </w:tc>
        <w:tc>
          <w:tcPr>
            <w:tcW w:w="7087" w:type="dxa"/>
          </w:tcPr>
          <w:p w14:paraId="6D5A2A62" w14:textId="77777777" w:rsidR="007854BF" w:rsidRPr="00B30A12" w:rsidRDefault="007854BF" w:rsidP="00537E23">
            <w:pPr>
              <w:widowControl w:val="0"/>
              <w:rPr>
                <w:color w:val="000000"/>
                <w:sz w:val="22"/>
                <w:szCs w:val="22"/>
              </w:rPr>
            </w:pPr>
            <w:r w:rsidRPr="00B30A12">
              <w:rPr>
                <w:color w:val="000000"/>
                <w:sz w:val="22"/>
                <w:szCs w:val="22"/>
              </w:rPr>
              <w:t xml:space="preserve">Hand-Fuß-Syndrom (palmar-plantare Erythrodysästhesie)*, Lichenoide Keratose*, Lichen planus*, Toxische epidermale Nekrolyse*, </w:t>
            </w:r>
            <w:r w:rsidR="00177CEA" w:rsidRPr="00B30A12">
              <w:rPr>
                <w:color w:val="000000"/>
                <w:sz w:val="22"/>
                <w:szCs w:val="22"/>
              </w:rPr>
              <w:t>a</w:t>
            </w:r>
            <w:r w:rsidRPr="00B30A12">
              <w:rPr>
                <w:color w:val="000000"/>
                <w:sz w:val="22"/>
                <w:szCs w:val="22"/>
              </w:rPr>
              <w:t>rzneimittelbedingter Hautausschlag mit Eosinophilie und systemischen Symptomen (DRESS)*</w:t>
            </w:r>
            <w:r w:rsidR="00F5429F">
              <w:rPr>
                <w:color w:val="000000"/>
                <w:sz w:val="22"/>
                <w:szCs w:val="22"/>
              </w:rPr>
              <w:t>, Pseudoporphyrie</w:t>
            </w:r>
            <w:r w:rsidR="00F5429F" w:rsidRPr="00F5429F">
              <w:rPr>
                <w:color w:val="000000"/>
                <w:sz w:val="22"/>
                <w:szCs w:val="22"/>
              </w:rPr>
              <w:t>*</w:t>
            </w:r>
          </w:p>
        </w:tc>
      </w:tr>
      <w:tr w:rsidR="009D2819" w:rsidRPr="00B30A12" w14:paraId="2EE644A1" w14:textId="77777777" w:rsidTr="00AD54DF">
        <w:trPr>
          <w:cantSplit/>
        </w:trPr>
        <w:tc>
          <w:tcPr>
            <w:tcW w:w="9322" w:type="dxa"/>
            <w:gridSpan w:val="2"/>
          </w:tcPr>
          <w:p w14:paraId="51AB2CE6" w14:textId="77777777" w:rsidR="009D2819" w:rsidRPr="00B30A12" w:rsidRDefault="009D2819" w:rsidP="00AD54DF">
            <w:pPr>
              <w:keepNext/>
              <w:widowControl w:val="0"/>
              <w:rPr>
                <w:b/>
                <w:color w:val="000000"/>
                <w:sz w:val="22"/>
                <w:szCs w:val="22"/>
              </w:rPr>
            </w:pPr>
            <w:r w:rsidRPr="00B30A12">
              <w:rPr>
                <w:b/>
                <w:noProof/>
                <w:color w:val="000000"/>
                <w:sz w:val="22"/>
                <w:szCs w:val="22"/>
              </w:rPr>
              <w:t>Skelettmuskulatur-, Bindegewebs- und Knochenerkrankungen</w:t>
            </w:r>
          </w:p>
        </w:tc>
      </w:tr>
      <w:tr w:rsidR="009D2819" w:rsidRPr="00B30A12" w14:paraId="3181FEDA" w14:textId="77777777" w:rsidTr="00AD54DF">
        <w:trPr>
          <w:cantSplit/>
        </w:trPr>
        <w:tc>
          <w:tcPr>
            <w:tcW w:w="2235" w:type="dxa"/>
          </w:tcPr>
          <w:p w14:paraId="52E39C7E" w14:textId="77777777" w:rsidR="009D2819" w:rsidRPr="00B30A12" w:rsidRDefault="009D2819" w:rsidP="00AD54DF">
            <w:pPr>
              <w:keepNext/>
              <w:widowControl w:val="0"/>
              <w:rPr>
                <w:i/>
                <w:color w:val="000000"/>
                <w:sz w:val="22"/>
                <w:szCs w:val="22"/>
              </w:rPr>
            </w:pPr>
            <w:r w:rsidRPr="00B30A12">
              <w:rPr>
                <w:i/>
                <w:color w:val="000000"/>
                <w:sz w:val="22"/>
                <w:szCs w:val="22"/>
              </w:rPr>
              <w:t>Sehr häufig:</w:t>
            </w:r>
          </w:p>
        </w:tc>
        <w:tc>
          <w:tcPr>
            <w:tcW w:w="7087" w:type="dxa"/>
          </w:tcPr>
          <w:p w14:paraId="00F77CF9" w14:textId="77777777" w:rsidR="009D2819" w:rsidRPr="00B30A12" w:rsidRDefault="009D2819" w:rsidP="00AD54DF">
            <w:pPr>
              <w:keepNext/>
              <w:widowControl w:val="0"/>
              <w:rPr>
                <w:color w:val="000000"/>
                <w:sz w:val="22"/>
                <w:szCs w:val="22"/>
              </w:rPr>
            </w:pPr>
            <w:r w:rsidRPr="00B30A12">
              <w:rPr>
                <w:color w:val="000000"/>
                <w:sz w:val="22"/>
                <w:szCs w:val="22"/>
              </w:rPr>
              <w:t>Muskelspasmen und Muskel</w:t>
            </w:r>
            <w:r w:rsidRPr="00B30A12">
              <w:rPr>
                <w:color w:val="000000"/>
                <w:sz w:val="22"/>
                <w:szCs w:val="22"/>
              </w:rPr>
              <w:softHyphen/>
              <w:t>krämpfe, Muskel- und Skelettschmerzen einschließlich Myalgie</w:t>
            </w:r>
            <w:r w:rsidR="004E0971" w:rsidRPr="00B30A12">
              <w:rPr>
                <w:color w:val="000000"/>
                <w:sz w:val="22"/>
                <w:szCs w:val="22"/>
                <w:vertAlign w:val="superscript"/>
              </w:rPr>
              <w:t>9</w:t>
            </w:r>
            <w:r w:rsidRPr="00B30A12">
              <w:rPr>
                <w:color w:val="000000"/>
                <w:sz w:val="22"/>
                <w:szCs w:val="22"/>
              </w:rPr>
              <w:t>, Arthralgie, Knochenschmerzen</w:t>
            </w:r>
            <w:r w:rsidR="00901EC8" w:rsidRPr="00B30A12">
              <w:rPr>
                <w:color w:val="000000"/>
                <w:sz w:val="22"/>
                <w:szCs w:val="22"/>
                <w:vertAlign w:val="superscript"/>
              </w:rPr>
              <w:t>10</w:t>
            </w:r>
          </w:p>
        </w:tc>
      </w:tr>
      <w:tr w:rsidR="009D2819" w:rsidRPr="00B30A12" w14:paraId="51E91139" w14:textId="77777777" w:rsidTr="00AD54DF">
        <w:trPr>
          <w:cantSplit/>
        </w:trPr>
        <w:tc>
          <w:tcPr>
            <w:tcW w:w="2235" w:type="dxa"/>
          </w:tcPr>
          <w:p w14:paraId="631AB2FB" w14:textId="77777777" w:rsidR="009D2819" w:rsidRPr="00B30A12" w:rsidRDefault="009D2819" w:rsidP="00AD54DF">
            <w:pPr>
              <w:keepNext/>
              <w:widowControl w:val="0"/>
              <w:rPr>
                <w:i/>
                <w:color w:val="000000"/>
                <w:sz w:val="22"/>
                <w:szCs w:val="22"/>
              </w:rPr>
            </w:pPr>
            <w:r w:rsidRPr="00B30A12">
              <w:rPr>
                <w:i/>
                <w:color w:val="000000"/>
                <w:sz w:val="22"/>
                <w:szCs w:val="22"/>
              </w:rPr>
              <w:t>Häufig:</w:t>
            </w:r>
          </w:p>
        </w:tc>
        <w:tc>
          <w:tcPr>
            <w:tcW w:w="7087" w:type="dxa"/>
          </w:tcPr>
          <w:p w14:paraId="12513EF6" w14:textId="77777777" w:rsidR="009D2819" w:rsidRPr="00B30A12" w:rsidRDefault="009D2819" w:rsidP="00AD54DF">
            <w:pPr>
              <w:keepNext/>
              <w:widowControl w:val="0"/>
              <w:rPr>
                <w:color w:val="000000"/>
                <w:sz w:val="22"/>
                <w:szCs w:val="22"/>
                <w:lang w:val="pt-PT"/>
              </w:rPr>
            </w:pPr>
            <w:r w:rsidRPr="00B30A12">
              <w:rPr>
                <w:color w:val="000000"/>
                <w:sz w:val="22"/>
                <w:szCs w:val="22"/>
              </w:rPr>
              <w:t>Anschwellen der Gelenke</w:t>
            </w:r>
          </w:p>
        </w:tc>
      </w:tr>
      <w:tr w:rsidR="009D2819" w:rsidRPr="00B30A12" w14:paraId="063FEEC4" w14:textId="77777777" w:rsidTr="00AD54DF">
        <w:trPr>
          <w:cantSplit/>
        </w:trPr>
        <w:tc>
          <w:tcPr>
            <w:tcW w:w="2235" w:type="dxa"/>
          </w:tcPr>
          <w:p w14:paraId="754697D6" w14:textId="77777777" w:rsidR="009D2819" w:rsidRPr="00B30A12" w:rsidRDefault="009D2819" w:rsidP="00AD54DF">
            <w:pPr>
              <w:keepNext/>
              <w:widowControl w:val="0"/>
              <w:rPr>
                <w:i/>
                <w:color w:val="000000"/>
                <w:sz w:val="22"/>
                <w:szCs w:val="22"/>
              </w:rPr>
            </w:pPr>
            <w:r w:rsidRPr="00B30A12">
              <w:rPr>
                <w:i/>
                <w:color w:val="000000"/>
                <w:sz w:val="22"/>
                <w:szCs w:val="22"/>
              </w:rPr>
              <w:t>Gelegentlich:</w:t>
            </w:r>
          </w:p>
        </w:tc>
        <w:tc>
          <w:tcPr>
            <w:tcW w:w="7087" w:type="dxa"/>
          </w:tcPr>
          <w:p w14:paraId="303BEEAB" w14:textId="77777777" w:rsidR="009D2819" w:rsidRPr="00B30A12" w:rsidRDefault="009D2819" w:rsidP="00AD54DF">
            <w:pPr>
              <w:keepNext/>
              <w:widowControl w:val="0"/>
              <w:rPr>
                <w:color w:val="000000"/>
                <w:sz w:val="22"/>
                <w:szCs w:val="22"/>
                <w:lang w:val="pt-PT"/>
              </w:rPr>
            </w:pPr>
            <w:r w:rsidRPr="00B30A12">
              <w:rPr>
                <w:color w:val="000000"/>
                <w:sz w:val="22"/>
                <w:szCs w:val="22"/>
              </w:rPr>
              <w:t>Gelenk- und Muskelsteifigkeit</w:t>
            </w:r>
          </w:p>
        </w:tc>
      </w:tr>
      <w:tr w:rsidR="009D2819" w:rsidRPr="00B30A12" w14:paraId="03E2182A" w14:textId="77777777" w:rsidTr="00AD54DF">
        <w:trPr>
          <w:cantSplit/>
        </w:trPr>
        <w:tc>
          <w:tcPr>
            <w:tcW w:w="2235" w:type="dxa"/>
          </w:tcPr>
          <w:p w14:paraId="5DB7841B" w14:textId="77777777" w:rsidR="009D2819" w:rsidRPr="00B30A12" w:rsidRDefault="009D2819" w:rsidP="00AD54DF">
            <w:pPr>
              <w:keepNext/>
              <w:widowControl w:val="0"/>
              <w:rPr>
                <w:i/>
                <w:color w:val="000000"/>
                <w:sz w:val="22"/>
                <w:szCs w:val="22"/>
              </w:rPr>
            </w:pPr>
            <w:r w:rsidRPr="00B30A12">
              <w:rPr>
                <w:i/>
                <w:color w:val="000000"/>
                <w:sz w:val="22"/>
                <w:szCs w:val="22"/>
              </w:rPr>
              <w:t>Selten:</w:t>
            </w:r>
          </w:p>
        </w:tc>
        <w:tc>
          <w:tcPr>
            <w:tcW w:w="7087" w:type="dxa"/>
          </w:tcPr>
          <w:p w14:paraId="6453F4C5" w14:textId="77777777" w:rsidR="009D2819" w:rsidRPr="00B30A12" w:rsidRDefault="009D2819" w:rsidP="00AD54DF">
            <w:pPr>
              <w:keepNext/>
              <w:widowControl w:val="0"/>
              <w:rPr>
                <w:color w:val="000000"/>
                <w:sz w:val="22"/>
                <w:szCs w:val="22"/>
                <w:lang w:val="pt-PT"/>
              </w:rPr>
            </w:pPr>
            <w:r w:rsidRPr="00B30A12">
              <w:rPr>
                <w:bCs/>
                <w:color w:val="000000"/>
                <w:sz w:val="22"/>
                <w:szCs w:val="22"/>
              </w:rPr>
              <w:t>Muskelschwäche, Arthritis, Rhabdomyolyse/Myopathie</w:t>
            </w:r>
          </w:p>
        </w:tc>
      </w:tr>
      <w:tr w:rsidR="007854BF" w:rsidRPr="00B30A12" w14:paraId="3C8B54CC" w14:textId="77777777" w:rsidTr="00AD54DF">
        <w:trPr>
          <w:cantSplit/>
        </w:trPr>
        <w:tc>
          <w:tcPr>
            <w:tcW w:w="2235" w:type="dxa"/>
          </w:tcPr>
          <w:p w14:paraId="13C5BAA2" w14:textId="77777777" w:rsidR="007854BF" w:rsidRPr="00B30A12" w:rsidRDefault="007854BF" w:rsidP="00537E23">
            <w:pPr>
              <w:widowControl w:val="0"/>
              <w:rPr>
                <w:i/>
                <w:color w:val="000000"/>
                <w:sz w:val="22"/>
                <w:szCs w:val="22"/>
              </w:rPr>
            </w:pPr>
            <w:r w:rsidRPr="00B30A12">
              <w:rPr>
                <w:i/>
                <w:color w:val="000000"/>
                <w:sz w:val="22"/>
                <w:szCs w:val="22"/>
              </w:rPr>
              <w:t>Nicht bekannt:</w:t>
            </w:r>
          </w:p>
        </w:tc>
        <w:tc>
          <w:tcPr>
            <w:tcW w:w="7087" w:type="dxa"/>
          </w:tcPr>
          <w:p w14:paraId="2395953F" w14:textId="77777777" w:rsidR="007854BF" w:rsidRPr="00B30A12" w:rsidRDefault="007854BF" w:rsidP="00537E23">
            <w:pPr>
              <w:widowControl w:val="0"/>
              <w:rPr>
                <w:bCs/>
                <w:color w:val="000000"/>
                <w:sz w:val="22"/>
                <w:szCs w:val="22"/>
              </w:rPr>
            </w:pPr>
            <w:r w:rsidRPr="00B30A12">
              <w:rPr>
                <w:color w:val="000000"/>
                <w:sz w:val="22"/>
                <w:szCs w:val="22"/>
              </w:rPr>
              <w:t>Avaskuläre Nekrose/Nekrose des Hüftkopfs*, Wachstumsverzögerung bei Kindern*</w:t>
            </w:r>
          </w:p>
        </w:tc>
      </w:tr>
      <w:tr w:rsidR="00980B78" w:rsidRPr="00B30A12" w14:paraId="7F6FE15E" w14:textId="77777777" w:rsidTr="00AD54DF">
        <w:trPr>
          <w:cantSplit/>
        </w:trPr>
        <w:tc>
          <w:tcPr>
            <w:tcW w:w="9322" w:type="dxa"/>
            <w:gridSpan w:val="2"/>
          </w:tcPr>
          <w:p w14:paraId="4840F7D1" w14:textId="77777777" w:rsidR="00980B78" w:rsidRPr="00B30A12" w:rsidRDefault="00980B78" w:rsidP="00AD54DF">
            <w:pPr>
              <w:keepNext/>
              <w:widowControl w:val="0"/>
              <w:rPr>
                <w:b/>
                <w:color w:val="000000"/>
                <w:sz w:val="22"/>
                <w:szCs w:val="22"/>
              </w:rPr>
            </w:pPr>
            <w:r w:rsidRPr="00B30A12">
              <w:rPr>
                <w:b/>
                <w:color w:val="000000"/>
                <w:sz w:val="22"/>
                <w:szCs w:val="22"/>
              </w:rPr>
              <w:lastRenderedPageBreak/>
              <w:t>Erkrankungen der Nie</w:t>
            </w:r>
            <w:r w:rsidRPr="00B30A12">
              <w:rPr>
                <w:b/>
                <w:color w:val="000000"/>
                <w:sz w:val="22"/>
                <w:szCs w:val="22"/>
              </w:rPr>
              <w:softHyphen/>
              <w:t>ren und Harn</w:t>
            </w:r>
            <w:r w:rsidRPr="00B30A12">
              <w:rPr>
                <w:b/>
                <w:color w:val="000000"/>
                <w:sz w:val="22"/>
                <w:szCs w:val="22"/>
              </w:rPr>
              <w:softHyphen/>
              <w:t>wege</w:t>
            </w:r>
          </w:p>
        </w:tc>
      </w:tr>
      <w:tr w:rsidR="00980B78" w:rsidRPr="00B30A12" w14:paraId="35C10E93" w14:textId="77777777" w:rsidTr="00AD54DF">
        <w:trPr>
          <w:cantSplit/>
        </w:trPr>
        <w:tc>
          <w:tcPr>
            <w:tcW w:w="2235" w:type="dxa"/>
          </w:tcPr>
          <w:p w14:paraId="0225C831" w14:textId="77777777" w:rsidR="00980B78" w:rsidRPr="00B30A12" w:rsidRDefault="00980B78" w:rsidP="00AD54DF">
            <w:pPr>
              <w:keepNext/>
              <w:widowControl w:val="0"/>
              <w:rPr>
                <w:sz w:val="22"/>
                <w:szCs w:val="22"/>
              </w:rPr>
            </w:pPr>
            <w:r w:rsidRPr="00B30A12">
              <w:rPr>
                <w:i/>
                <w:color w:val="000000"/>
                <w:sz w:val="22"/>
                <w:szCs w:val="22"/>
              </w:rPr>
              <w:t>Gelegentlich:</w:t>
            </w:r>
          </w:p>
        </w:tc>
        <w:tc>
          <w:tcPr>
            <w:tcW w:w="7087" w:type="dxa"/>
          </w:tcPr>
          <w:p w14:paraId="7E7DA8C8" w14:textId="77777777" w:rsidR="00980B78" w:rsidRPr="00B30A12" w:rsidRDefault="00980B78" w:rsidP="00AD54DF">
            <w:pPr>
              <w:keepNext/>
              <w:widowControl w:val="0"/>
              <w:rPr>
                <w:sz w:val="22"/>
                <w:szCs w:val="22"/>
              </w:rPr>
            </w:pPr>
            <w:r w:rsidRPr="00B30A12">
              <w:rPr>
                <w:color w:val="000000"/>
                <w:sz w:val="22"/>
                <w:szCs w:val="22"/>
              </w:rPr>
              <w:t>Nierenschmerzen, Hämaturie, akutes Nierenversagen, erhöhte Miktionsfrequenz</w:t>
            </w:r>
          </w:p>
        </w:tc>
      </w:tr>
      <w:tr w:rsidR="008535CC" w:rsidRPr="00B30A12" w14:paraId="3936DB54" w14:textId="77777777" w:rsidTr="00AD54DF">
        <w:trPr>
          <w:cantSplit/>
        </w:trPr>
        <w:tc>
          <w:tcPr>
            <w:tcW w:w="2235" w:type="dxa"/>
          </w:tcPr>
          <w:p w14:paraId="4A58E901" w14:textId="77777777" w:rsidR="008535CC" w:rsidRPr="00B30A12" w:rsidRDefault="008535CC" w:rsidP="00537E23">
            <w:pPr>
              <w:widowControl w:val="0"/>
              <w:rPr>
                <w:i/>
                <w:color w:val="000000"/>
                <w:sz w:val="22"/>
                <w:szCs w:val="22"/>
              </w:rPr>
            </w:pPr>
            <w:r w:rsidRPr="00B30A12">
              <w:rPr>
                <w:i/>
                <w:color w:val="000000"/>
                <w:sz w:val="22"/>
                <w:szCs w:val="22"/>
              </w:rPr>
              <w:t>Nicht bekannt:</w:t>
            </w:r>
          </w:p>
        </w:tc>
        <w:tc>
          <w:tcPr>
            <w:tcW w:w="7087" w:type="dxa"/>
          </w:tcPr>
          <w:p w14:paraId="4FEFAFC4" w14:textId="77777777" w:rsidR="008535CC" w:rsidRPr="00B30A12" w:rsidRDefault="008535CC" w:rsidP="00537E23">
            <w:pPr>
              <w:widowControl w:val="0"/>
              <w:rPr>
                <w:color w:val="000000"/>
                <w:sz w:val="22"/>
                <w:szCs w:val="22"/>
              </w:rPr>
            </w:pPr>
            <w:r w:rsidRPr="00B30A12">
              <w:rPr>
                <w:color w:val="000000"/>
                <w:sz w:val="22"/>
                <w:szCs w:val="22"/>
              </w:rPr>
              <w:t>Chronisches Nierenversagen</w:t>
            </w:r>
          </w:p>
        </w:tc>
      </w:tr>
      <w:tr w:rsidR="00D12238" w:rsidRPr="00B30A12" w14:paraId="09D04236" w14:textId="77777777" w:rsidTr="00AD54DF">
        <w:trPr>
          <w:cantSplit/>
        </w:trPr>
        <w:tc>
          <w:tcPr>
            <w:tcW w:w="9322" w:type="dxa"/>
            <w:gridSpan w:val="2"/>
          </w:tcPr>
          <w:p w14:paraId="0888F94A" w14:textId="77777777" w:rsidR="00D12238" w:rsidRPr="00B30A12" w:rsidRDefault="00D12238" w:rsidP="00AD54DF">
            <w:pPr>
              <w:keepNext/>
              <w:widowControl w:val="0"/>
              <w:rPr>
                <w:b/>
                <w:color w:val="000000"/>
                <w:sz w:val="22"/>
                <w:szCs w:val="22"/>
              </w:rPr>
            </w:pPr>
            <w:r w:rsidRPr="00B30A12">
              <w:rPr>
                <w:b/>
                <w:color w:val="000000"/>
                <w:sz w:val="22"/>
                <w:szCs w:val="22"/>
              </w:rPr>
              <w:t>Erkrankungen der Geschlechtsorgane und der Brustdrüse</w:t>
            </w:r>
          </w:p>
        </w:tc>
      </w:tr>
      <w:tr w:rsidR="00D12238" w:rsidRPr="00B30A12" w14:paraId="3EE6401A" w14:textId="77777777" w:rsidTr="00AD54DF">
        <w:trPr>
          <w:cantSplit/>
        </w:trPr>
        <w:tc>
          <w:tcPr>
            <w:tcW w:w="2235" w:type="dxa"/>
          </w:tcPr>
          <w:p w14:paraId="1588B92F" w14:textId="77777777" w:rsidR="00D12238" w:rsidRPr="00B30A12" w:rsidRDefault="00D12238" w:rsidP="00AD54DF">
            <w:pPr>
              <w:keepNext/>
              <w:widowControl w:val="0"/>
              <w:rPr>
                <w:i/>
                <w:color w:val="000000"/>
                <w:sz w:val="22"/>
                <w:szCs w:val="22"/>
              </w:rPr>
            </w:pPr>
            <w:r w:rsidRPr="00B30A12">
              <w:rPr>
                <w:i/>
                <w:color w:val="000000"/>
                <w:sz w:val="22"/>
                <w:szCs w:val="22"/>
              </w:rPr>
              <w:t>Gelegentlich:</w:t>
            </w:r>
          </w:p>
        </w:tc>
        <w:tc>
          <w:tcPr>
            <w:tcW w:w="7087" w:type="dxa"/>
          </w:tcPr>
          <w:p w14:paraId="3934EFF4" w14:textId="77777777" w:rsidR="00D12238" w:rsidRPr="00B30A12" w:rsidRDefault="00D12238" w:rsidP="00AD54DF">
            <w:pPr>
              <w:keepNext/>
              <w:widowControl w:val="0"/>
              <w:rPr>
                <w:color w:val="000000"/>
                <w:sz w:val="22"/>
                <w:szCs w:val="22"/>
              </w:rPr>
            </w:pPr>
            <w:r w:rsidRPr="00B30A12">
              <w:rPr>
                <w:color w:val="000000"/>
                <w:sz w:val="22"/>
                <w:szCs w:val="22"/>
              </w:rPr>
              <w:t>Gynäkomastie, erektile Dysfunktion, Menorrhagie, unregelmäßige Menstruation, Störungen der Sexualfunktion, Schmerzen der Brustwarzen, Brustvergrößerung, Scrotumödem</w:t>
            </w:r>
          </w:p>
        </w:tc>
      </w:tr>
      <w:tr w:rsidR="00D12238" w:rsidRPr="00B30A12" w14:paraId="54847E19" w14:textId="77777777" w:rsidTr="00AD54DF">
        <w:trPr>
          <w:cantSplit/>
        </w:trPr>
        <w:tc>
          <w:tcPr>
            <w:tcW w:w="2235" w:type="dxa"/>
          </w:tcPr>
          <w:p w14:paraId="223604D5" w14:textId="77777777" w:rsidR="00D12238" w:rsidRPr="00B30A12" w:rsidRDefault="00D12238" w:rsidP="00537E23">
            <w:pPr>
              <w:widowControl w:val="0"/>
              <w:rPr>
                <w:i/>
                <w:color w:val="000000"/>
                <w:sz w:val="22"/>
                <w:szCs w:val="22"/>
              </w:rPr>
            </w:pPr>
            <w:r w:rsidRPr="00B30A12">
              <w:rPr>
                <w:i/>
                <w:color w:val="000000"/>
                <w:sz w:val="22"/>
                <w:szCs w:val="22"/>
              </w:rPr>
              <w:t>Selten:</w:t>
            </w:r>
          </w:p>
        </w:tc>
        <w:tc>
          <w:tcPr>
            <w:tcW w:w="7087" w:type="dxa"/>
          </w:tcPr>
          <w:p w14:paraId="0D641BA0" w14:textId="77777777" w:rsidR="00D12238" w:rsidRPr="00B30A12" w:rsidRDefault="00D12238" w:rsidP="00537E23">
            <w:pPr>
              <w:widowControl w:val="0"/>
              <w:rPr>
                <w:color w:val="000000"/>
                <w:sz w:val="22"/>
                <w:szCs w:val="22"/>
              </w:rPr>
            </w:pPr>
            <w:r w:rsidRPr="00B30A12">
              <w:rPr>
                <w:color w:val="000000"/>
                <w:sz w:val="22"/>
                <w:szCs w:val="22"/>
              </w:rPr>
              <w:t>Hämorrhagisches Corpus luteum/hämorrhagische Ovarialzyste</w:t>
            </w:r>
          </w:p>
        </w:tc>
      </w:tr>
      <w:tr w:rsidR="009D2819" w:rsidRPr="00B30A12" w14:paraId="183E599B" w14:textId="77777777" w:rsidTr="00AD54DF">
        <w:trPr>
          <w:cantSplit/>
        </w:trPr>
        <w:tc>
          <w:tcPr>
            <w:tcW w:w="9322" w:type="dxa"/>
            <w:gridSpan w:val="2"/>
          </w:tcPr>
          <w:p w14:paraId="79E66F07" w14:textId="77777777" w:rsidR="009D2819" w:rsidRPr="00B30A12" w:rsidRDefault="009D2819" w:rsidP="00AD54DF">
            <w:pPr>
              <w:keepNext/>
              <w:widowControl w:val="0"/>
              <w:rPr>
                <w:color w:val="000000"/>
                <w:sz w:val="22"/>
                <w:szCs w:val="22"/>
              </w:rPr>
            </w:pPr>
            <w:r w:rsidRPr="00B30A12">
              <w:rPr>
                <w:b/>
                <w:color w:val="000000"/>
                <w:sz w:val="22"/>
                <w:szCs w:val="22"/>
              </w:rPr>
              <w:t>Allgemeine Erkrankungen und Beschwerden am Verabreichungsort</w:t>
            </w:r>
          </w:p>
        </w:tc>
      </w:tr>
      <w:tr w:rsidR="009D2819" w:rsidRPr="00B30A12" w14:paraId="48740B98" w14:textId="77777777" w:rsidTr="00AD54DF">
        <w:trPr>
          <w:cantSplit/>
        </w:trPr>
        <w:tc>
          <w:tcPr>
            <w:tcW w:w="2235" w:type="dxa"/>
          </w:tcPr>
          <w:p w14:paraId="2B003EBD" w14:textId="77777777" w:rsidR="009D2819" w:rsidRPr="00B30A12" w:rsidRDefault="009D2819" w:rsidP="00AD54DF">
            <w:pPr>
              <w:keepNext/>
              <w:widowControl w:val="0"/>
              <w:rPr>
                <w:i/>
                <w:color w:val="000000"/>
                <w:sz w:val="22"/>
                <w:szCs w:val="22"/>
              </w:rPr>
            </w:pPr>
            <w:r w:rsidRPr="00B30A12">
              <w:rPr>
                <w:i/>
                <w:color w:val="000000"/>
                <w:sz w:val="22"/>
                <w:szCs w:val="22"/>
              </w:rPr>
              <w:t>Sehr häufig:</w:t>
            </w:r>
          </w:p>
        </w:tc>
        <w:tc>
          <w:tcPr>
            <w:tcW w:w="7087" w:type="dxa"/>
          </w:tcPr>
          <w:p w14:paraId="4373B1AD" w14:textId="77777777" w:rsidR="009D2819" w:rsidRPr="00B30A12" w:rsidRDefault="009D2819" w:rsidP="00AD54DF">
            <w:pPr>
              <w:keepNext/>
              <w:widowControl w:val="0"/>
              <w:rPr>
                <w:color w:val="000000"/>
                <w:sz w:val="22"/>
                <w:szCs w:val="22"/>
              </w:rPr>
            </w:pPr>
            <w:r w:rsidRPr="00B30A12">
              <w:rPr>
                <w:color w:val="000000"/>
                <w:sz w:val="22"/>
                <w:szCs w:val="22"/>
              </w:rPr>
              <w:t>Flüssigkeitsretention und periphere Ödeme, Müdigkeit</w:t>
            </w:r>
          </w:p>
        </w:tc>
      </w:tr>
      <w:tr w:rsidR="009D2819" w:rsidRPr="00B30A12" w14:paraId="05B14825" w14:textId="77777777" w:rsidTr="00AD54DF">
        <w:trPr>
          <w:cantSplit/>
        </w:trPr>
        <w:tc>
          <w:tcPr>
            <w:tcW w:w="2235" w:type="dxa"/>
          </w:tcPr>
          <w:p w14:paraId="26EDA694" w14:textId="77777777" w:rsidR="009D2819" w:rsidRPr="00B30A12" w:rsidRDefault="009D2819" w:rsidP="00AD54DF">
            <w:pPr>
              <w:keepNext/>
              <w:widowControl w:val="0"/>
              <w:rPr>
                <w:i/>
                <w:color w:val="000000"/>
                <w:sz w:val="22"/>
                <w:szCs w:val="22"/>
              </w:rPr>
            </w:pPr>
            <w:r w:rsidRPr="00B30A12">
              <w:rPr>
                <w:i/>
                <w:color w:val="000000"/>
                <w:sz w:val="22"/>
                <w:szCs w:val="22"/>
              </w:rPr>
              <w:t>Häufig:</w:t>
            </w:r>
          </w:p>
        </w:tc>
        <w:tc>
          <w:tcPr>
            <w:tcW w:w="7087" w:type="dxa"/>
          </w:tcPr>
          <w:p w14:paraId="061C45E0" w14:textId="77777777" w:rsidR="009D2819" w:rsidRPr="00B30A12" w:rsidRDefault="009D2819" w:rsidP="00AD54DF">
            <w:pPr>
              <w:keepNext/>
              <w:widowControl w:val="0"/>
              <w:rPr>
                <w:color w:val="000000"/>
                <w:sz w:val="22"/>
                <w:szCs w:val="22"/>
              </w:rPr>
            </w:pPr>
            <w:r w:rsidRPr="00B30A12">
              <w:rPr>
                <w:color w:val="000000"/>
                <w:sz w:val="22"/>
                <w:szCs w:val="22"/>
              </w:rPr>
              <w:t>Schwäche, Fieberzustand, generalisierte Ödeme des Unterhautgewebes (Anasarka), Kältegefühl, Schüttelfrost</w:t>
            </w:r>
          </w:p>
        </w:tc>
      </w:tr>
      <w:tr w:rsidR="009D2819" w:rsidRPr="00B30A12" w14:paraId="1CD6E3E7" w14:textId="77777777" w:rsidTr="00AD54DF">
        <w:trPr>
          <w:cantSplit/>
        </w:trPr>
        <w:tc>
          <w:tcPr>
            <w:tcW w:w="2235" w:type="dxa"/>
          </w:tcPr>
          <w:p w14:paraId="7D295588" w14:textId="77777777" w:rsidR="009D2819" w:rsidRPr="00B30A12" w:rsidRDefault="009D2819" w:rsidP="00537E23">
            <w:pPr>
              <w:widowControl w:val="0"/>
              <w:rPr>
                <w:i/>
                <w:color w:val="000000"/>
                <w:sz w:val="22"/>
                <w:szCs w:val="22"/>
              </w:rPr>
            </w:pPr>
            <w:r w:rsidRPr="00B30A12">
              <w:rPr>
                <w:i/>
                <w:color w:val="000000"/>
                <w:sz w:val="22"/>
                <w:szCs w:val="22"/>
              </w:rPr>
              <w:t>Gelegentlich:</w:t>
            </w:r>
          </w:p>
        </w:tc>
        <w:tc>
          <w:tcPr>
            <w:tcW w:w="7087" w:type="dxa"/>
          </w:tcPr>
          <w:p w14:paraId="35C3350C" w14:textId="77777777" w:rsidR="009D2819" w:rsidRPr="00B30A12" w:rsidRDefault="009D2819" w:rsidP="00537E23">
            <w:pPr>
              <w:widowControl w:val="0"/>
              <w:rPr>
                <w:color w:val="000000"/>
                <w:sz w:val="22"/>
                <w:szCs w:val="22"/>
              </w:rPr>
            </w:pPr>
            <w:r w:rsidRPr="00B30A12">
              <w:rPr>
                <w:color w:val="000000"/>
                <w:sz w:val="22"/>
                <w:szCs w:val="22"/>
                <w:lang w:val="fr-FR"/>
              </w:rPr>
              <w:t>Brustschmerzen, allgemeines Krankheitsgefühl</w:t>
            </w:r>
          </w:p>
        </w:tc>
      </w:tr>
      <w:tr w:rsidR="00D12238" w:rsidRPr="00B30A12" w14:paraId="2D3387BB" w14:textId="77777777" w:rsidTr="00AD54DF">
        <w:trPr>
          <w:cantSplit/>
        </w:trPr>
        <w:tc>
          <w:tcPr>
            <w:tcW w:w="9322" w:type="dxa"/>
            <w:gridSpan w:val="2"/>
          </w:tcPr>
          <w:p w14:paraId="7AF1E6E3" w14:textId="77777777" w:rsidR="00D12238" w:rsidRPr="00B30A12" w:rsidRDefault="00D12238" w:rsidP="00AD54DF">
            <w:pPr>
              <w:keepNext/>
              <w:widowControl w:val="0"/>
              <w:rPr>
                <w:b/>
                <w:sz w:val="22"/>
                <w:szCs w:val="22"/>
              </w:rPr>
            </w:pPr>
            <w:r w:rsidRPr="00B30A12">
              <w:rPr>
                <w:b/>
                <w:color w:val="000000"/>
                <w:sz w:val="22"/>
                <w:szCs w:val="22"/>
              </w:rPr>
              <w:t>Untersuchungen</w:t>
            </w:r>
          </w:p>
        </w:tc>
      </w:tr>
      <w:tr w:rsidR="00D12238" w:rsidRPr="00B30A12" w14:paraId="76765D39" w14:textId="77777777" w:rsidTr="00AD54DF">
        <w:trPr>
          <w:cantSplit/>
        </w:trPr>
        <w:tc>
          <w:tcPr>
            <w:tcW w:w="2235" w:type="dxa"/>
          </w:tcPr>
          <w:p w14:paraId="2CEACEC0" w14:textId="77777777" w:rsidR="00D12238" w:rsidRPr="00B30A12" w:rsidRDefault="00D12238" w:rsidP="00AD54DF">
            <w:pPr>
              <w:keepNext/>
              <w:widowControl w:val="0"/>
              <w:rPr>
                <w:sz w:val="22"/>
                <w:szCs w:val="22"/>
              </w:rPr>
            </w:pPr>
            <w:r w:rsidRPr="00B30A12">
              <w:rPr>
                <w:i/>
                <w:color w:val="000000"/>
                <w:sz w:val="22"/>
                <w:szCs w:val="22"/>
              </w:rPr>
              <w:t>Sehr häufig:</w:t>
            </w:r>
          </w:p>
        </w:tc>
        <w:tc>
          <w:tcPr>
            <w:tcW w:w="7087" w:type="dxa"/>
          </w:tcPr>
          <w:p w14:paraId="470A6FF8" w14:textId="77777777" w:rsidR="00D12238" w:rsidRPr="00B30A12" w:rsidRDefault="00D12238" w:rsidP="00AD54DF">
            <w:pPr>
              <w:keepNext/>
              <w:widowControl w:val="0"/>
              <w:rPr>
                <w:sz w:val="22"/>
                <w:szCs w:val="22"/>
              </w:rPr>
            </w:pPr>
            <w:r w:rsidRPr="00B30A12">
              <w:rPr>
                <w:color w:val="000000"/>
                <w:sz w:val="22"/>
                <w:szCs w:val="22"/>
              </w:rPr>
              <w:t>Gewichtszunahme</w:t>
            </w:r>
          </w:p>
        </w:tc>
      </w:tr>
      <w:tr w:rsidR="00D12238" w:rsidRPr="00B30A12" w14:paraId="0A74B70C" w14:textId="77777777" w:rsidTr="00AD54DF">
        <w:trPr>
          <w:cantSplit/>
        </w:trPr>
        <w:tc>
          <w:tcPr>
            <w:tcW w:w="2235" w:type="dxa"/>
          </w:tcPr>
          <w:p w14:paraId="35E355A2" w14:textId="77777777" w:rsidR="00D12238" w:rsidRPr="00B30A12" w:rsidRDefault="00D12238" w:rsidP="00AD54DF">
            <w:pPr>
              <w:keepNext/>
              <w:widowControl w:val="0"/>
              <w:rPr>
                <w:sz w:val="22"/>
                <w:szCs w:val="22"/>
              </w:rPr>
            </w:pPr>
            <w:r w:rsidRPr="00B30A12">
              <w:rPr>
                <w:i/>
                <w:color w:val="000000"/>
                <w:sz w:val="22"/>
                <w:szCs w:val="22"/>
              </w:rPr>
              <w:t>Häufig</w:t>
            </w:r>
            <w:r w:rsidRPr="00B30A12">
              <w:rPr>
                <w:color w:val="000000"/>
                <w:sz w:val="22"/>
                <w:szCs w:val="22"/>
              </w:rPr>
              <w:t>:</w:t>
            </w:r>
          </w:p>
        </w:tc>
        <w:tc>
          <w:tcPr>
            <w:tcW w:w="7087" w:type="dxa"/>
          </w:tcPr>
          <w:p w14:paraId="6D59007D" w14:textId="77777777" w:rsidR="00D12238" w:rsidRPr="00B30A12" w:rsidRDefault="00D12238" w:rsidP="00AD54DF">
            <w:pPr>
              <w:keepNext/>
              <w:widowControl w:val="0"/>
              <w:rPr>
                <w:sz w:val="22"/>
                <w:szCs w:val="22"/>
              </w:rPr>
            </w:pPr>
            <w:r w:rsidRPr="00B30A12">
              <w:rPr>
                <w:color w:val="000000"/>
                <w:sz w:val="22"/>
                <w:szCs w:val="22"/>
              </w:rPr>
              <w:t>Gewichtsverlust</w:t>
            </w:r>
          </w:p>
        </w:tc>
      </w:tr>
      <w:tr w:rsidR="00D12238" w:rsidRPr="00B30A12" w14:paraId="4ECC4514" w14:textId="77777777" w:rsidTr="00AD54DF">
        <w:trPr>
          <w:cantSplit/>
        </w:trPr>
        <w:tc>
          <w:tcPr>
            <w:tcW w:w="2235" w:type="dxa"/>
          </w:tcPr>
          <w:p w14:paraId="3A9EEFBF" w14:textId="77777777" w:rsidR="00D12238" w:rsidRPr="00B30A12" w:rsidRDefault="00D12238" w:rsidP="00AD54DF">
            <w:pPr>
              <w:keepNext/>
              <w:widowControl w:val="0"/>
              <w:rPr>
                <w:sz w:val="22"/>
                <w:szCs w:val="22"/>
              </w:rPr>
            </w:pPr>
            <w:r w:rsidRPr="00B30A12">
              <w:rPr>
                <w:i/>
                <w:color w:val="000000"/>
                <w:sz w:val="22"/>
                <w:szCs w:val="22"/>
              </w:rPr>
              <w:t>Gelegentlich</w:t>
            </w:r>
            <w:r w:rsidRPr="00B30A12">
              <w:rPr>
                <w:color w:val="000000"/>
                <w:sz w:val="22"/>
                <w:szCs w:val="22"/>
              </w:rPr>
              <w:t>:</w:t>
            </w:r>
          </w:p>
        </w:tc>
        <w:tc>
          <w:tcPr>
            <w:tcW w:w="7087" w:type="dxa"/>
          </w:tcPr>
          <w:p w14:paraId="7E60488D" w14:textId="77777777" w:rsidR="00D12238" w:rsidRPr="00B30A12" w:rsidRDefault="00D12238" w:rsidP="00AD54DF">
            <w:pPr>
              <w:keepNext/>
              <w:widowControl w:val="0"/>
              <w:rPr>
                <w:sz w:val="22"/>
                <w:szCs w:val="22"/>
              </w:rPr>
            </w:pPr>
            <w:r w:rsidRPr="00B30A12">
              <w:rPr>
                <w:color w:val="000000"/>
                <w:sz w:val="22"/>
                <w:szCs w:val="22"/>
              </w:rPr>
              <w:t>Erhöhte Werte für Kreatinin, Kreatinphosphokinase, Laktatdehydrogenase und alkalische Phosphatase im Blut</w:t>
            </w:r>
          </w:p>
        </w:tc>
      </w:tr>
      <w:tr w:rsidR="00D12238" w:rsidRPr="00B30A12" w14:paraId="495B10DC" w14:textId="77777777" w:rsidTr="00AD54DF">
        <w:trPr>
          <w:cantSplit/>
        </w:trPr>
        <w:tc>
          <w:tcPr>
            <w:tcW w:w="2235" w:type="dxa"/>
          </w:tcPr>
          <w:p w14:paraId="0D82F3D9" w14:textId="77777777" w:rsidR="00D12238" w:rsidRPr="00B30A12" w:rsidRDefault="00D12238" w:rsidP="00AD54DF">
            <w:pPr>
              <w:keepNext/>
              <w:widowControl w:val="0"/>
              <w:rPr>
                <w:i/>
                <w:color w:val="000000"/>
                <w:sz w:val="22"/>
                <w:szCs w:val="22"/>
              </w:rPr>
            </w:pPr>
            <w:r w:rsidRPr="00B30A12">
              <w:rPr>
                <w:i/>
                <w:color w:val="000000"/>
                <w:sz w:val="22"/>
                <w:szCs w:val="22"/>
              </w:rPr>
              <w:t>Selten:</w:t>
            </w:r>
          </w:p>
        </w:tc>
        <w:tc>
          <w:tcPr>
            <w:tcW w:w="7087" w:type="dxa"/>
          </w:tcPr>
          <w:p w14:paraId="73D18EAA" w14:textId="77777777" w:rsidR="00D12238" w:rsidRPr="00B30A12" w:rsidRDefault="00D12238" w:rsidP="00AD54DF">
            <w:pPr>
              <w:keepNext/>
              <w:widowControl w:val="0"/>
              <w:rPr>
                <w:color w:val="000000"/>
                <w:sz w:val="22"/>
                <w:szCs w:val="22"/>
              </w:rPr>
            </w:pPr>
            <w:r w:rsidRPr="00B30A12">
              <w:rPr>
                <w:color w:val="000000"/>
                <w:sz w:val="22"/>
                <w:szCs w:val="22"/>
              </w:rPr>
              <w:t>Erhöhte Amylase-Werte im Blut</w:t>
            </w:r>
          </w:p>
        </w:tc>
      </w:tr>
    </w:tbl>
    <w:p w14:paraId="45A2A090" w14:textId="77777777" w:rsidR="009D6E18" w:rsidRPr="00B30A12" w:rsidRDefault="009D6E18" w:rsidP="00AD54DF">
      <w:pPr>
        <w:keepNext/>
        <w:widowControl w:val="0"/>
        <w:rPr>
          <w:sz w:val="22"/>
          <w:szCs w:val="22"/>
        </w:rPr>
      </w:pPr>
    </w:p>
    <w:p w14:paraId="0AF68996" w14:textId="77777777" w:rsidR="00472AFE" w:rsidRPr="00B30A12" w:rsidRDefault="00472AFE" w:rsidP="00AD54DF">
      <w:pPr>
        <w:keepNext/>
        <w:keepLines/>
        <w:widowControl w:val="0"/>
        <w:ind w:left="851" w:hanging="851"/>
        <w:rPr>
          <w:sz w:val="22"/>
          <w:szCs w:val="22"/>
        </w:rPr>
      </w:pPr>
      <w:r w:rsidRPr="00B30A12">
        <w:rPr>
          <w:sz w:val="22"/>
          <w:szCs w:val="22"/>
        </w:rPr>
        <w:t>*</w:t>
      </w:r>
      <w:r w:rsidRPr="00B30A12">
        <w:rPr>
          <w:sz w:val="22"/>
          <w:szCs w:val="22"/>
        </w:rPr>
        <w:tab/>
        <w:t xml:space="preserve">Diese Nebenwirkungen beruhen hauptsächlich auf den Erfahrungen mit Glivec nach </w:t>
      </w:r>
      <w:r w:rsidR="00621238" w:rsidRPr="00B30A12">
        <w:rPr>
          <w:sz w:val="22"/>
          <w:szCs w:val="22"/>
        </w:rPr>
        <w:t>Markteinführung</w:t>
      </w:r>
      <w:r w:rsidRPr="00B30A12">
        <w:rPr>
          <w:sz w:val="22"/>
          <w:szCs w:val="22"/>
        </w:rPr>
        <w:t>. Dies schließt Fälle aus der Spontanerfassung ebenso ein wie schwerwiegende unerwünschte Ereignisse aus laufenden klinischen Studien, den „expanded access programmes“, klinisch-pharmakologischen Studien und explorativen Studien zu nicht zugelassenen Indikationen. Da diese Nebenwirkungen von einer Population unbekannter Größe berichtet wurden, ist es nicht immer möglich, zuverlässig ihre Häufigkeit oder den ursächlichen Zusammenhang mit der Glivec-Exposition zu bestimmen</w:t>
      </w:r>
      <w:r w:rsidR="00177CEA" w:rsidRPr="00B30A12">
        <w:rPr>
          <w:sz w:val="22"/>
          <w:szCs w:val="22"/>
        </w:rPr>
        <w:t>.</w:t>
      </w:r>
    </w:p>
    <w:p w14:paraId="2F08E7BB" w14:textId="77777777" w:rsidR="009D6E18" w:rsidRPr="00B30A12" w:rsidRDefault="009D6E18" w:rsidP="00AD54DF">
      <w:pPr>
        <w:keepNext/>
        <w:keepLines/>
        <w:widowControl w:val="0"/>
        <w:ind w:left="851" w:hanging="851"/>
        <w:rPr>
          <w:sz w:val="22"/>
          <w:szCs w:val="22"/>
        </w:rPr>
      </w:pPr>
      <w:r w:rsidRPr="00B30A12">
        <w:rPr>
          <w:sz w:val="22"/>
          <w:szCs w:val="22"/>
        </w:rPr>
        <w:t>1)</w:t>
      </w:r>
      <w:r w:rsidRPr="00B30A12">
        <w:rPr>
          <w:sz w:val="22"/>
          <w:szCs w:val="22"/>
        </w:rPr>
        <w:tab/>
      </w:r>
      <w:r w:rsidR="00A30E84" w:rsidRPr="00B30A12">
        <w:rPr>
          <w:sz w:val="22"/>
          <w:szCs w:val="22"/>
        </w:rPr>
        <w:t>Pneumonien wurden am häufigsten bei Patienten mit fortgeschrittener CML und mit GIST berichtet.</w:t>
      </w:r>
    </w:p>
    <w:p w14:paraId="03AEB92B" w14:textId="77777777" w:rsidR="009D6E18" w:rsidRPr="00B30A12" w:rsidRDefault="009D6E18" w:rsidP="00AD54DF">
      <w:pPr>
        <w:keepNext/>
        <w:keepLines/>
        <w:widowControl w:val="0"/>
        <w:ind w:left="851" w:hanging="851"/>
        <w:rPr>
          <w:sz w:val="22"/>
          <w:szCs w:val="22"/>
        </w:rPr>
      </w:pPr>
      <w:r w:rsidRPr="00B30A12">
        <w:rPr>
          <w:sz w:val="22"/>
          <w:szCs w:val="22"/>
        </w:rPr>
        <w:t>2)</w:t>
      </w:r>
      <w:r w:rsidRPr="00B30A12">
        <w:rPr>
          <w:sz w:val="22"/>
          <w:szCs w:val="22"/>
        </w:rPr>
        <w:tab/>
        <w:t>Am häufigsten traten Kopfschmerzen bei GIST-Patienten auf.</w:t>
      </w:r>
    </w:p>
    <w:p w14:paraId="61025DFE" w14:textId="77777777" w:rsidR="009D6E18" w:rsidRPr="00B30A12" w:rsidRDefault="009D6E18" w:rsidP="00AD54DF">
      <w:pPr>
        <w:keepNext/>
        <w:keepLines/>
        <w:widowControl w:val="0"/>
        <w:ind w:left="851" w:hanging="851"/>
        <w:rPr>
          <w:sz w:val="22"/>
          <w:szCs w:val="22"/>
        </w:rPr>
      </w:pPr>
      <w:r w:rsidRPr="00B30A12">
        <w:rPr>
          <w:sz w:val="22"/>
          <w:szCs w:val="22"/>
        </w:rPr>
        <w:t>3)</w:t>
      </w:r>
      <w:r w:rsidRPr="00B30A12">
        <w:rPr>
          <w:sz w:val="22"/>
          <w:szCs w:val="22"/>
        </w:rPr>
        <w:tab/>
      </w:r>
      <w:r w:rsidR="00AB1448" w:rsidRPr="00B30A12">
        <w:rPr>
          <w:sz w:val="22"/>
          <w:szCs w:val="22"/>
        </w:rPr>
        <w:t>Auf der Grundlage von Patientenjahren wurden kardiale Ereignisse einschließlich der Stauungsherzinsuffizienz bei Patienten mit fortgeschrittener CML häufiger beobachtet als bei Patienten mit CML in der chronischen Phase.</w:t>
      </w:r>
    </w:p>
    <w:p w14:paraId="32DCBC08" w14:textId="77777777" w:rsidR="009D6E18" w:rsidRPr="00B30A12" w:rsidRDefault="009D6E18" w:rsidP="00AD54DF">
      <w:pPr>
        <w:keepNext/>
        <w:keepLines/>
        <w:widowControl w:val="0"/>
        <w:ind w:left="851" w:hanging="851"/>
        <w:rPr>
          <w:sz w:val="22"/>
          <w:szCs w:val="22"/>
        </w:rPr>
      </w:pPr>
      <w:r w:rsidRPr="00B30A12">
        <w:rPr>
          <w:sz w:val="22"/>
          <w:szCs w:val="22"/>
        </w:rPr>
        <w:t>4)</w:t>
      </w:r>
      <w:r w:rsidRPr="00B30A12">
        <w:rPr>
          <w:sz w:val="22"/>
          <w:szCs w:val="22"/>
        </w:rPr>
        <w:tab/>
      </w:r>
      <w:r w:rsidR="00813B51" w:rsidRPr="00B30A12">
        <w:rPr>
          <w:sz w:val="22"/>
          <w:szCs w:val="22"/>
        </w:rPr>
        <w:t>Plötzliche Hautrötung („Flushing“) kam am häufigsten bei GIST-Patienten vor und Blutungen (Hämatome und Hämorrhagien) bei Patienten mit GIST und fortgeschrittener CML (akzelerierte Phase und Blastenkrise).</w:t>
      </w:r>
    </w:p>
    <w:p w14:paraId="592641D1" w14:textId="77777777" w:rsidR="009D6E18" w:rsidRPr="00B30A12" w:rsidRDefault="00813B51" w:rsidP="00AD54DF">
      <w:pPr>
        <w:keepNext/>
        <w:keepLines/>
        <w:widowControl w:val="0"/>
        <w:ind w:left="851" w:hanging="851"/>
        <w:rPr>
          <w:sz w:val="22"/>
          <w:szCs w:val="22"/>
        </w:rPr>
      </w:pPr>
      <w:r w:rsidRPr="00B30A12">
        <w:rPr>
          <w:sz w:val="22"/>
          <w:szCs w:val="22"/>
        </w:rPr>
        <w:t>5</w:t>
      </w:r>
      <w:r w:rsidR="009D6E18" w:rsidRPr="00B30A12">
        <w:rPr>
          <w:sz w:val="22"/>
          <w:szCs w:val="22"/>
        </w:rPr>
        <w:t>)</w:t>
      </w:r>
      <w:r w:rsidR="009D6E18" w:rsidRPr="00B30A12">
        <w:rPr>
          <w:sz w:val="22"/>
          <w:szCs w:val="22"/>
        </w:rPr>
        <w:tab/>
      </w:r>
      <w:r w:rsidRPr="00B30A12">
        <w:rPr>
          <w:sz w:val="22"/>
          <w:szCs w:val="22"/>
        </w:rPr>
        <w:t>Pleuraergüsse wurden häufiger bei GIST-Patienten und bei Patienten mit fortgeschrittener CML (akzelerierte Phase und Blastenkrise) als bei Patienten mit CML in der chronischen Phase berichtet.</w:t>
      </w:r>
    </w:p>
    <w:p w14:paraId="2BB7D0A2" w14:textId="77777777" w:rsidR="009D6E18" w:rsidRPr="00B30A12" w:rsidRDefault="00813B51" w:rsidP="00AD54DF">
      <w:pPr>
        <w:keepNext/>
        <w:keepLines/>
        <w:widowControl w:val="0"/>
        <w:ind w:left="851" w:hanging="851"/>
        <w:rPr>
          <w:sz w:val="22"/>
          <w:szCs w:val="22"/>
        </w:rPr>
      </w:pPr>
      <w:r w:rsidRPr="00B30A12">
        <w:rPr>
          <w:sz w:val="22"/>
          <w:szCs w:val="22"/>
        </w:rPr>
        <w:t xml:space="preserve">6) und </w:t>
      </w:r>
      <w:r w:rsidR="009D6E18" w:rsidRPr="00B30A12">
        <w:rPr>
          <w:sz w:val="22"/>
          <w:szCs w:val="22"/>
        </w:rPr>
        <w:t>7)</w:t>
      </w:r>
      <w:r w:rsidR="009D6E18" w:rsidRPr="00B30A12">
        <w:rPr>
          <w:sz w:val="22"/>
          <w:szCs w:val="22"/>
        </w:rPr>
        <w:tab/>
      </w:r>
      <w:r w:rsidRPr="00B30A12">
        <w:rPr>
          <w:sz w:val="22"/>
          <w:szCs w:val="22"/>
        </w:rPr>
        <w:t>Abdominalschmerzen und Blutungen im Gastrointestinaltrakt wurden am häufigsten bei GIST-Patienten beobachtet.</w:t>
      </w:r>
    </w:p>
    <w:p w14:paraId="45CBAB4C" w14:textId="77777777" w:rsidR="009D6E18" w:rsidRPr="00B30A12" w:rsidRDefault="009D6E18" w:rsidP="00AD54DF">
      <w:pPr>
        <w:keepNext/>
        <w:keepLines/>
        <w:widowControl w:val="0"/>
        <w:ind w:left="851" w:hanging="851"/>
        <w:rPr>
          <w:color w:val="000000"/>
          <w:sz w:val="22"/>
          <w:szCs w:val="22"/>
        </w:rPr>
      </w:pPr>
      <w:r w:rsidRPr="00B30A12">
        <w:rPr>
          <w:sz w:val="22"/>
          <w:szCs w:val="22"/>
        </w:rPr>
        <w:t>8)</w:t>
      </w:r>
      <w:r w:rsidRPr="00B30A12">
        <w:rPr>
          <w:sz w:val="22"/>
          <w:szCs w:val="22"/>
        </w:rPr>
        <w:tab/>
      </w:r>
      <w:r w:rsidR="00813B51" w:rsidRPr="00B30A12">
        <w:rPr>
          <w:color w:val="000000"/>
          <w:sz w:val="22"/>
          <w:szCs w:val="22"/>
        </w:rPr>
        <w:t>Es wurden einige tödliche Fälle von Leberversagen und Lebernekrose berichtet.</w:t>
      </w:r>
    </w:p>
    <w:p w14:paraId="31775149" w14:textId="77777777" w:rsidR="00901EC8" w:rsidRPr="00B30A12" w:rsidRDefault="00901EC8" w:rsidP="00AD54DF">
      <w:pPr>
        <w:keepNext/>
        <w:keepLines/>
        <w:widowControl w:val="0"/>
        <w:ind w:left="851" w:hanging="851"/>
        <w:rPr>
          <w:sz w:val="22"/>
          <w:szCs w:val="22"/>
        </w:rPr>
      </w:pPr>
      <w:r w:rsidRPr="00B30A12">
        <w:rPr>
          <w:color w:val="000000"/>
          <w:sz w:val="22"/>
          <w:szCs w:val="22"/>
        </w:rPr>
        <w:t>9)</w:t>
      </w:r>
      <w:r w:rsidRPr="00B30A12">
        <w:rPr>
          <w:color w:val="000000"/>
          <w:sz w:val="22"/>
          <w:szCs w:val="22"/>
        </w:rPr>
        <w:tab/>
      </w:r>
      <w:r w:rsidR="00574E07" w:rsidRPr="00B30A12">
        <w:rPr>
          <w:color w:val="000000"/>
          <w:sz w:val="22"/>
          <w:szCs w:val="22"/>
        </w:rPr>
        <w:t xml:space="preserve">Nach </w:t>
      </w:r>
      <w:r w:rsidR="004F22FA" w:rsidRPr="00B30A12">
        <w:rPr>
          <w:color w:val="000000"/>
          <w:sz w:val="22"/>
          <w:szCs w:val="22"/>
        </w:rPr>
        <w:t>Markteinführung</w:t>
      </w:r>
      <w:r w:rsidR="00574E07" w:rsidRPr="00B30A12">
        <w:rPr>
          <w:color w:val="000000"/>
          <w:sz w:val="22"/>
          <w:szCs w:val="22"/>
        </w:rPr>
        <w:t xml:space="preserve"> wurden </w:t>
      </w:r>
      <w:r w:rsidR="00C52C6F" w:rsidRPr="00B30A12">
        <w:rPr>
          <w:color w:val="000000"/>
          <w:sz w:val="22"/>
          <w:szCs w:val="22"/>
        </w:rPr>
        <w:t>Muskel- und Skelettschmerzen während oder nach Beendigung der Behandlung mit Imatinib beobachtet.</w:t>
      </w:r>
    </w:p>
    <w:p w14:paraId="49762CB8" w14:textId="77777777" w:rsidR="009D6E18" w:rsidRPr="00B30A12" w:rsidRDefault="00C52C6F" w:rsidP="00AD54DF">
      <w:pPr>
        <w:keepNext/>
        <w:keepLines/>
        <w:widowControl w:val="0"/>
        <w:ind w:left="851" w:hanging="851"/>
        <w:rPr>
          <w:sz w:val="22"/>
          <w:szCs w:val="22"/>
        </w:rPr>
      </w:pPr>
      <w:r w:rsidRPr="00B30A12">
        <w:rPr>
          <w:sz w:val="22"/>
          <w:szCs w:val="22"/>
        </w:rPr>
        <w:t>10</w:t>
      </w:r>
      <w:r w:rsidR="009D6E18" w:rsidRPr="00B30A12">
        <w:rPr>
          <w:sz w:val="22"/>
          <w:szCs w:val="22"/>
        </w:rPr>
        <w:t>)</w:t>
      </w:r>
      <w:r w:rsidR="009D6E18" w:rsidRPr="00B30A12">
        <w:rPr>
          <w:sz w:val="22"/>
          <w:szCs w:val="22"/>
        </w:rPr>
        <w:tab/>
      </w:r>
      <w:r w:rsidR="00813B51" w:rsidRPr="00B30A12">
        <w:rPr>
          <w:sz w:val="22"/>
          <w:szCs w:val="22"/>
        </w:rPr>
        <w:t>Muskel- und Skelettschmerzen und ähnliche Ereignisse wurden häufiger bei CML- als bei GIST-Patienten beobachtet.</w:t>
      </w:r>
    </w:p>
    <w:p w14:paraId="559E6875" w14:textId="77777777" w:rsidR="007854BF" w:rsidRPr="00B30A12" w:rsidRDefault="00C52C6F" w:rsidP="00AD54DF">
      <w:pPr>
        <w:keepLines/>
        <w:widowControl w:val="0"/>
        <w:ind w:left="851" w:hanging="851"/>
        <w:rPr>
          <w:color w:val="000000"/>
          <w:sz w:val="22"/>
          <w:szCs w:val="22"/>
        </w:rPr>
      </w:pPr>
      <w:r w:rsidRPr="00B30A12">
        <w:rPr>
          <w:sz w:val="22"/>
          <w:szCs w:val="22"/>
        </w:rPr>
        <w:t>11</w:t>
      </w:r>
      <w:r w:rsidR="007854BF" w:rsidRPr="00B30A12">
        <w:rPr>
          <w:sz w:val="22"/>
          <w:szCs w:val="22"/>
        </w:rPr>
        <w:t>)</w:t>
      </w:r>
      <w:r w:rsidR="007854BF" w:rsidRPr="00B30A12">
        <w:rPr>
          <w:sz w:val="22"/>
          <w:szCs w:val="22"/>
        </w:rPr>
        <w:tab/>
        <w:t>Bei Patienten mit fortgeschrittener Erkrankung, schweren Infektionen, schwerer Neutropenie und anderen schwerwiegenden Begleiterkrankungen wurden tödliche Fälle berichtet.</w:t>
      </w:r>
    </w:p>
    <w:p w14:paraId="391A33A3" w14:textId="77777777" w:rsidR="00FC0802" w:rsidRPr="00B30A12" w:rsidRDefault="00FC0802" w:rsidP="00537E23">
      <w:pPr>
        <w:widowControl w:val="0"/>
        <w:rPr>
          <w:color w:val="000000"/>
          <w:sz w:val="22"/>
          <w:szCs w:val="22"/>
        </w:rPr>
      </w:pPr>
    </w:p>
    <w:p w14:paraId="3D3BB39B" w14:textId="77777777" w:rsidR="009D6E18" w:rsidRPr="00B30A12" w:rsidRDefault="009D6E18" w:rsidP="007A2B84">
      <w:pPr>
        <w:pStyle w:val="Heading7"/>
        <w:widowControl w:val="0"/>
        <w:numPr>
          <w:ilvl w:val="0"/>
          <w:numId w:val="0"/>
        </w:numPr>
        <w:tabs>
          <w:tab w:val="clear" w:pos="-720"/>
          <w:tab w:val="clear" w:pos="567"/>
          <w:tab w:val="clear" w:pos="4536"/>
        </w:tabs>
        <w:suppressAutoHyphens w:val="0"/>
        <w:spacing w:line="240" w:lineRule="auto"/>
        <w:jc w:val="left"/>
        <w:rPr>
          <w:i w:val="0"/>
          <w:color w:val="000000"/>
          <w:szCs w:val="22"/>
          <w:u w:val="single"/>
          <w:lang w:val="de-DE"/>
        </w:rPr>
      </w:pPr>
      <w:r w:rsidRPr="00B30A12">
        <w:rPr>
          <w:i w:val="0"/>
          <w:color w:val="000000"/>
          <w:szCs w:val="22"/>
          <w:u w:val="single"/>
          <w:lang w:val="de-DE"/>
        </w:rPr>
        <w:t>Veränderungen der Laborwerte</w:t>
      </w:r>
    </w:p>
    <w:p w14:paraId="36660E69" w14:textId="77777777" w:rsidR="006615F9" w:rsidRPr="00B30A12" w:rsidRDefault="006615F9" w:rsidP="007A2B84">
      <w:pPr>
        <w:pStyle w:val="Heading6"/>
        <w:widowControl w:val="0"/>
        <w:numPr>
          <w:ilvl w:val="0"/>
          <w:numId w:val="0"/>
        </w:numPr>
        <w:tabs>
          <w:tab w:val="clear" w:pos="-720"/>
          <w:tab w:val="clear" w:pos="567"/>
          <w:tab w:val="clear" w:pos="4536"/>
        </w:tabs>
        <w:suppressAutoHyphens w:val="0"/>
        <w:spacing w:line="240" w:lineRule="auto"/>
        <w:rPr>
          <w:color w:val="000000"/>
          <w:szCs w:val="22"/>
          <w:lang w:val="de-DE"/>
        </w:rPr>
      </w:pPr>
      <w:r w:rsidRPr="00B30A12">
        <w:rPr>
          <w:color w:val="000000"/>
          <w:szCs w:val="22"/>
          <w:lang w:val="de-DE"/>
        </w:rPr>
        <w:t>Blutbild</w:t>
      </w:r>
    </w:p>
    <w:p w14:paraId="0443A877" w14:textId="77777777" w:rsidR="00D72F2D" w:rsidRPr="00B30A12" w:rsidRDefault="006615F9" w:rsidP="00537E23">
      <w:pPr>
        <w:widowControl w:val="0"/>
        <w:rPr>
          <w:color w:val="000000"/>
          <w:sz w:val="22"/>
          <w:szCs w:val="22"/>
        </w:rPr>
      </w:pPr>
      <w:r w:rsidRPr="00B30A12">
        <w:rPr>
          <w:color w:val="000000"/>
          <w:sz w:val="22"/>
          <w:szCs w:val="22"/>
        </w:rPr>
        <w:t>Bei CML traten Zytopenien und dabei besonders Neutrozytopenien und Thrombozytopenien in allen Studien auf, mit Hinweis auf eine höhere Häufigkeit bei hohen Dosen von ≥</w:t>
      </w:r>
      <w:r w:rsidR="00975215" w:rsidRPr="00B30A12">
        <w:rPr>
          <w:color w:val="000000"/>
          <w:sz w:val="22"/>
          <w:szCs w:val="22"/>
        </w:rPr>
        <w:t> </w:t>
      </w:r>
      <w:r w:rsidRPr="00B30A12">
        <w:rPr>
          <w:color w:val="000000"/>
          <w:sz w:val="22"/>
          <w:szCs w:val="22"/>
        </w:rPr>
        <w:t>750</w:t>
      </w:r>
      <w:r w:rsidR="001922B0" w:rsidRPr="00B30A12">
        <w:rPr>
          <w:color w:val="000000"/>
          <w:sz w:val="22"/>
          <w:szCs w:val="22"/>
        </w:rPr>
        <w:t> mg</w:t>
      </w:r>
      <w:r w:rsidRPr="00B30A12">
        <w:rPr>
          <w:color w:val="000000"/>
          <w:sz w:val="22"/>
          <w:szCs w:val="22"/>
        </w:rPr>
        <w:t xml:space="preserve"> (Phase</w:t>
      </w:r>
      <w:r w:rsidR="00D53115" w:rsidRPr="00B30A12">
        <w:rPr>
          <w:color w:val="000000"/>
          <w:sz w:val="22"/>
          <w:szCs w:val="22"/>
        </w:rPr>
        <w:t>-</w:t>
      </w:r>
      <w:r w:rsidRPr="00B30A12">
        <w:rPr>
          <w:color w:val="000000"/>
          <w:sz w:val="22"/>
          <w:szCs w:val="22"/>
        </w:rPr>
        <w:t>I- Studie). Das Vorkommen von Zytopenien war jedoch ebenfalls deutlich vom Stadium der Erkrankung abhängig, wobei die Häufigkeit von Grad</w:t>
      </w:r>
      <w:r w:rsidR="00C80819" w:rsidRPr="00B30A12">
        <w:rPr>
          <w:color w:val="000000"/>
          <w:sz w:val="22"/>
          <w:szCs w:val="22"/>
        </w:rPr>
        <w:t> </w:t>
      </w:r>
      <w:r w:rsidRPr="00B30A12">
        <w:rPr>
          <w:color w:val="000000"/>
          <w:sz w:val="22"/>
          <w:szCs w:val="22"/>
        </w:rPr>
        <w:t>3- oder 4-Neutrozytopenien (ANC &lt;</w:t>
      </w:r>
      <w:r w:rsidR="0082715A" w:rsidRPr="00B30A12">
        <w:rPr>
          <w:color w:val="000000"/>
          <w:sz w:val="22"/>
          <w:szCs w:val="22"/>
        </w:rPr>
        <w:t> </w:t>
      </w:r>
      <w:r w:rsidRPr="00B30A12">
        <w:rPr>
          <w:color w:val="000000"/>
          <w:sz w:val="22"/>
          <w:szCs w:val="22"/>
        </w:rPr>
        <w:t>1,0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 xml:space="preserve">/l) und </w:t>
      </w:r>
      <w:r w:rsidRPr="00B30A12">
        <w:rPr>
          <w:color w:val="000000"/>
          <w:sz w:val="22"/>
          <w:szCs w:val="22"/>
        </w:rPr>
        <w:lastRenderedPageBreak/>
        <w:t>Thrombozytopenien (Thrombozyten &lt;</w:t>
      </w:r>
      <w:r w:rsidR="0082715A" w:rsidRPr="00B30A12">
        <w:rPr>
          <w:color w:val="000000"/>
          <w:sz w:val="22"/>
          <w:szCs w:val="22"/>
        </w:rPr>
        <w:t> </w:t>
      </w:r>
      <w:r w:rsidRPr="00B30A12">
        <w:rPr>
          <w:color w:val="000000"/>
          <w:sz w:val="22"/>
          <w:szCs w:val="22"/>
        </w:rPr>
        <w:t>50</w:t>
      </w:r>
      <w:r w:rsidR="007D25C6" w:rsidRPr="00B30A12">
        <w:rPr>
          <w:color w:val="000000"/>
          <w:sz w:val="22"/>
          <w:szCs w:val="22"/>
        </w:rPr>
        <w:t> x </w:t>
      </w:r>
      <w:r w:rsidRPr="00B30A12">
        <w:rPr>
          <w:color w:val="000000"/>
          <w:sz w:val="22"/>
          <w:szCs w:val="22"/>
        </w:rPr>
        <w:t>10</w:t>
      </w:r>
      <w:r w:rsidRPr="00B30A12">
        <w:rPr>
          <w:color w:val="000000"/>
          <w:sz w:val="22"/>
          <w:szCs w:val="22"/>
          <w:vertAlign w:val="superscript"/>
        </w:rPr>
        <w:t>9</w:t>
      </w:r>
      <w:r w:rsidRPr="00B30A12">
        <w:rPr>
          <w:color w:val="000000"/>
          <w:sz w:val="22"/>
          <w:szCs w:val="22"/>
        </w:rPr>
        <w:t>/l) in der Blastenkrise und der akzelerierten Phase</w:t>
      </w:r>
      <w:r w:rsidR="00C80819" w:rsidRPr="00B30A12">
        <w:rPr>
          <w:color w:val="000000"/>
          <w:sz w:val="22"/>
          <w:szCs w:val="22"/>
        </w:rPr>
        <w:t> </w:t>
      </w:r>
      <w:r w:rsidRPr="00B30A12">
        <w:rPr>
          <w:color w:val="000000"/>
          <w:sz w:val="22"/>
          <w:szCs w:val="22"/>
        </w:rPr>
        <w:t>4- bis 6-mal höher (</w:t>
      </w:r>
      <w:r w:rsidR="00352BD7" w:rsidRPr="00B30A12">
        <w:rPr>
          <w:color w:val="000000"/>
          <w:sz w:val="22"/>
          <w:szCs w:val="22"/>
        </w:rPr>
        <w:t>59</w:t>
      </w:r>
      <w:r w:rsidRPr="00B30A12">
        <w:rPr>
          <w:color w:val="000000"/>
          <w:sz w:val="22"/>
          <w:szCs w:val="22"/>
        </w:rPr>
        <w:t>–</w:t>
      </w:r>
      <w:r w:rsidR="00352BD7" w:rsidRPr="00B30A12">
        <w:rPr>
          <w:color w:val="000000"/>
          <w:sz w:val="22"/>
          <w:szCs w:val="22"/>
        </w:rPr>
        <w:t>64</w:t>
      </w:r>
      <w:r w:rsidR="006766AC" w:rsidRPr="00B30A12">
        <w:rPr>
          <w:color w:val="000000"/>
          <w:sz w:val="22"/>
          <w:szCs w:val="22"/>
        </w:rPr>
        <w:t>%</w:t>
      </w:r>
      <w:r w:rsidRPr="00B30A12">
        <w:rPr>
          <w:color w:val="000000"/>
          <w:sz w:val="22"/>
          <w:szCs w:val="22"/>
        </w:rPr>
        <w:t xml:space="preserve"> und </w:t>
      </w:r>
      <w:r w:rsidR="00352BD7" w:rsidRPr="00B30A12">
        <w:rPr>
          <w:color w:val="000000"/>
          <w:sz w:val="22"/>
          <w:szCs w:val="22"/>
        </w:rPr>
        <w:t>44</w:t>
      </w:r>
      <w:r w:rsidRPr="00B30A12">
        <w:rPr>
          <w:color w:val="000000"/>
          <w:sz w:val="22"/>
          <w:szCs w:val="22"/>
        </w:rPr>
        <w:t>–</w:t>
      </w:r>
      <w:r w:rsidR="00352BD7" w:rsidRPr="00B30A12">
        <w:rPr>
          <w:color w:val="000000"/>
          <w:sz w:val="22"/>
          <w:szCs w:val="22"/>
        </w:rPr>
        <w:t>63</w:t>
      </w:r>
      <w:r w:rsidR="006766AC" w:rsidRPr="00B30A12">
        <w:rPr>
          <w:color w:val="000000"/>
          <w:sz w:val="22"/>
          <w:szCs w:val="22"/>
        </w:rPr>
        <w:t>%</w:t>
      </w:r>
      <w:r w:rsidRPr="00B30A12">
        <w:rPr>
          <w:color w:val="000000"/>
          <w:sz w:val="22"/>
          <w:szCs w:val="22"/>
        </w:rPr>
        <w:t xml:space="preserve"> für Neutrozytopenie bzw. Thrombozytopenie) war als bei neu diagnostizierten Patienten in der chronischen Phase (</w:t>
      </w:r>
      <w:r w:rsidR="00352BD7" w:rsidRPr="00B30A12">
        <w:rPr>
          <w:color w:val="000000"/>
          <w:sz w:val="22"/>
          <w:szCs w:val="22"/>
        </w:rPr>
        <w:t>1</w:t>
      </w:r>
      <w:r w:rsidR="001D3DA3" w:rsidRPr="00B30A12">
        <w:rPr>
          <w:color w:val="000000"/>
          <w:sz w:val="22"/>
          <w:szCs w:val="22"/>
        </w:rPr>
        <w:t>6,7</w:t>
      </w:r>
      <w:r w:rsidR="006766AC" w:rsidRPr="00B30A12">
        <w:rPr>
          <w:color w:val="000000"/>
          <w:sz w:val="22"/>
          <w:szCs w:val="22"/>
        </w:rPr>
        <w:t>%</w:t>
      </w:r>
      <w:r w:rsidRPr="00B30A12">
        <w:rPr>
          <w:color w:val="000000"/>
          <w:sz w:val="22"/>
          <w:szCs w:val="22"/>
        </w:rPr>
        <w:t xml:space="preserve"> Neutrozytopenie und </w:t>
      </w:r>
      <w:r w:rsidR="00352BD7" w:rsidRPr="00B30A12">
        <w:rPr>
          <w:color w:val="000000"/>
          <w:sz w:val="22"/>
          <w:szCs w:val="22"/>
        </w:rPr>
        <w:t>8,</w:t>
      </w:r>
      <w:r w:rsidR="001D3DA3" w:rsidRPr="00B30A12">
        <w:rPr>
          <w:color w:val="000000"/>
          <w:sz w:val="22"/>
          <w:szCs w:val="22"/>
        </w:rPr>
        <w:t>9</w:t>
      </w:r>
      <w:r w:rsidR="006766AC" w:rsidRPr="00B30A12">
        <w:rPr>
          <w:color w:val="000000"/>
          <w:sz w:val="22"/>
          <w:szCs w:val="22"/>
        </w:rPr>
        <w:t>%</w:t>
      </w:r>
      <w:r w:rsidRPr="00B30A12">
        <w:rPr>
          <w:color w:val="000000"/>
          <w:sz w:val="22"/>
          <w:szCs w:val="22"/>
        </w:rPr>
        <w:t xml:space="preserve"> Thrombozytopenie). Bei neu diagnostizierten Patienten in der chronischen Phase der CML wurden eine Grad</w:t>
      </w:r>
      <w:r w:rsidR="007D25C6" w:rsidRPr="00B30A12">
        <w:rPr>
          <w:color w:val="000000"/>
          <w:sz w:val="22"/>
          <w:szCs w:val="22"/>
        </w:rPr>
        <w:t> </w:t>
      </w:r>
      <w:r w:rsidRPr="00B30A12">
        <w:rPr>
          <w:color w:val="000000"/>
          <w:sz w:val="22"/>
          <w:szCs w:val="22"/>
        </w:rPr>
        <w:t>4-Neutrozytopenie (ANC &lt;</w:t>
      </w:r>
      <w:r w:rsidR="0082715A" w:rsidRPr="00B30A12">
        <w:rPr>
          <w:color w:val="000000"/>
          <w:sz w:val="22"/>
          <w:szCs w:val="22"/>
        </w:rPr>
        <w:t> </w:t>
      </w:r>
      <w:r w:rsidRPr="00B30A12">
        <w:rPr>
          <w:color w:val="000000"/>
          <w:sz w:val="22"/>
          <w:szCs w:val="22"/>
        </w:rPr>
        <w:t>0,5</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und Thrombozytopenie (Thrombozyten &lt;</w:t>
      </w:r>
      <w:r w:rsidR="0082715A" w:rsidRPr="00B30A12">
        <w:rPr>
          <w:color w:val="000000"/>
          <w:sz w:val="22"/>
          <w:szCs w:val="22"/>
        </w:rPr>
        <w:t> </w:t>
      </w:r>
      <w:r w:rsidRPr="00B30A12">
        <w:rPr>
          <w:color w:val="000000"/>
          <w:sz w:val="22"/>
          <w:szCs w:val="22"/>
        </w:rPr>
        <w:t>10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 xml:space="preserve">/l) bei </w:t>
      </w:r>
      <w:r w:rsidR="00352BD7" w:rsidRPr="00B30A12">
        <w:rPr>
          <w:color w:val="000000"/>
          <w:sz w:val="22"/>
          <w:szCs w:val="22"/>
        </w:rPr>
        <w:t>3</w:t>
      </w:r>
      <w:r w:rsidR="00B07197" w:rsidRPr="00B30A12">
        <w:rPr>
          <w:color w:val="000000"/>
          <w:sz w:val="22"/>
          <w:szCs w:val="22"/>
        </w:rPr>
        <w:t>,6</w:t>
      </w:r>
      <w:r w:rsidR="006766AC" w:rsidRPr="00B30A12">
        <w:rPr>
          <w:color w:val="000000"/>
          <w:sz w:val="22"/>
          <w:szCs w:val="22"/>
        </w:rPr>
        <w:t>%</w:t>
      </w:r>
      <w:r w:rsidRPr="00B30A12">
        <w:rPr>
          <w:color w:val="000000"/>
          <w:sz w:val="22"/>
          <w:szCs w:val="22"/>
        </w:rPr>
        <w:t xml:space="preserve"> bzw. &lt; 1</w:t>
      </w:r>
      <w:r w:rsidR="006766AC" w:rsidRPr="00B30A12">
        <w:rPr>
          <w:color w:val="000000"/>
          <w:sz w:val="22"/>
          <w:szCs w:val="22"/>
        </w:rPr>
        <w:t>%</w:t>
      </w:r>
      <w:r w:rsidRPr="00B30A12">
        <w:rPr>
          <w:color w:val="000000"/>
          <w:sz w:val="22"/>
          <w:szCs w:val="22"/>
        </w:rPr>
        <w:t xml:space="preserve"> der Patienten beobachtet. Die mittlere Dauer der Neutrozytopenie und Thrombozyto</w:t>
      </w:r>
      <w:r w:rsidRPr="00B30A12">
        <w:rPr>
          <w:color w:val="000000"/>
          <w:sz w:val="22"/>
          <w:szCs w:val="22"/>
        </w:rPr>
        <w:softHyphen/>
        <w:t>penie betrug 2–3 bzw. 3–4 Wochen und konnte im Allgemeinen durch eine Dosisreduktion oder mit einer Behandlungspause von Glivec beherrscht werden. In seltenen Fällen war jedoch ein dauerhafter Abbruch der Behandlung erforderlich</w:t>
      </w:r>
      <w:r w:rsidR="00FA00A3" w:rsidRPr="00B30A12">
        <w:rPr>
          <w:color w:val="000000"/>
          <w:sz w:val="22"/>
          <w:szCs w:val="22"/>
        </w:rPr>
        <w:t>.</w:t>
      </w:r>
      <w:r w:rsidR="00DE12A5" w:rsidRPr="00B30A12">
        <w:rPr>
          <w:color w:val="000000"/>
          <w:sz w:val="22"/>
          <w:szCs w:val="22"/>
        </w:rPr>
        <w:t xml:space="preserve"> Bei Kindern mit CML waren die am häufigsten beobachteten Toxizitäten Grad-3- oder Grad-4-Zytopenien einschließlich Neutropenie, Thrombozytopenie und Anämie. Im Allgemeinen treten diese Nebenwirkungen innerhalb der ersten paar Monate der Therapie auf</w:t>
      </w:r>
      <w:r w:rsidRPr="00B30A12">
        <w:rPr>
          <w:color w:val="000000"/>
          <w:sz w:val="22"/>
          <w:szCs w:val="22"/>
        </w:rPr>
        <w:t>.</w:t>
      </w:r>
    </w:p>
    <w:p w14:paraId="32A29A4C" w14:textId="77777777" w:rsidR="007356AA" w:rsidRPr="00B30A12" w:rsidRDefault="007356AA" w:rsidP="00537E23">
      <w:pPr>
        <w:widowControl w:val="0"/>
        <w:rPr>
          <w:color w:val="000000"/>
          <w:sz w:val="22"/>
          <w:szCs w:val="22"/>
        </w:rPr>
      </w:pPr>
    </w:p>
    <w:p w14:paraId="230630E0" w14:textId="77777777" w:rsidR="006615F9" w:rsidRPr="00B30A12" w:rsidRDefault="007356AA" w:rsidP="00537E23">
      <w:pPr>
        <w:widowControl w:val="0"/>
        <w:rPr>
          <w:color w:val="000000"/>
          <w:sz w:val="22"/>
          <w:szCs w:val="22"/>
        </w:rPr>
      </w:pPr>
      <w:r w:rsidRPr="00B30A12">
        <w:rPr>
          <w:color w:val="000000"/>
          <w:sz w:val="22"/>
          <w:szCs w:val="22"/>
        </w:rPr>
        <w:t>In der Studie an Patienten mit nicht-resezierbaren und/oder metastasierten GIST</w:t>
      </w:r>
      <w:r w:rsidR="006615F9" w:rsidRPr="00B30A12">
        <w:rPr>
          <w:color w:val="000000"/>
          <w:sz w:val="22"/>
          <w:szCs w:val="22"/>
        </w:rPr>
        <w:t xml:space="preserve"> wurde in </w:t>
      </w:r>
      <w:r w:rsidR="00352BD7" w:rsidRPr="00B30A12">
        <w:rPr>
          <w:color w:val="000000"/>
          <w:sz w:val="22"/>
          <w:szCs w:val="22"/>
        </w:rPr>
        <w:t>5</w:t>
      </w:r>
      <w:r w:rsidR="006615F9" w:rsidRPr="00B30A12">
        <w:rPr>
          <w:color w:val="000000"/>
          <w:sz w:val="22"/>
          <w:szCs w:val="22"/>
        </w:rPr>
        <w:t>,4</w:t>
      </w:r>
      <w:r w:rsidR="006766AC" w:rsidRPr="00B30A12">
        <w:rPr>
          <w:color w:val="000000"/>
          <w:sz w:val="22"/>
          <w:szCs w:val="22"/>
        </w:rPr>
        <w:t>%</w:t>
      </w:r>
      <w:r w:rsidR="006615F9" w:rsidRPr="00B30A12">
        <w:rPr>
          <w:color w:val="000000"/>
          <w:sz w:val="22"/>
          <w:szCs w:val="22"/>
        </w:rPr>
        <w:t xml:space="preserve"> bzw. 0,7</w:t>
      </w:r>
      <w:r w:rsidR="006766AC" w:rsidRPr="00B30A12">
        <w:rPr>
          <w:color w:val="000000"/>
          <w:sz w:val="22"/>
          <w:szCs w:val="22"/>
        </w:rPr>
        <w:t>%</w:t>
      </w:r>
      <w:r w:rsidR="006615F9" w:rsidRPr="00B30A12">
        <w:rPr>
          <w:color w:val="000000"/>
          <w:sz w:val="22"/>
          <w:szCs w:val="22"/>
        </w:rPr>
        <w:t xml:space="preserve"> der Fälle eine Grad</w:t>
      </w:r>
      <w:r w:rsidR="00C80819" w:rsidRPr="00B30A12">
        <w:rPr>
          <w:color w:val="000000"/>
          <w:sz w:val="22"/>
          <w:szCs w:val="22"/>
        </w:rPr>
        <w:t> </w:t>
      </w:r>
      <w:r w:rsidR="006615F9" w:rsidRPr="00B30A12">
        <w:rPr>
          <w:color w:val="000000"/>
          <w:sz w:val="22"/>
          <w:szCs w:val="22"/>
        </w:rPr>
        <w:t>3- oder Grad</w:t>
      </w:r>
      <w:r w:rsidR="00C80819" w:rsidRPr="00B30A12">
        <w:rPr>
          <w:color w:val="000000"/>
          <w:sz w:val="22"/>
          <w:szCs w:val="22"/>
        </w:rPr>
        <w:t> </w:t>
      </w:r>
      <w:r w:rsidR="006615F9" w:rsidRPr="00B30A12">
        <w:rPr>
          <w:color w:val="000000"/>
          <w:sz w:val="22"/>
          <w:szCs w:val="22"/>
        </w:rPr>
        <w:t>4-Anämie berich</w:t>
      </w:r>
      <w:r w:rsidR="006615F9" w:rsidRPr="00B30A12">
        <w:rPr>
          <w:color w:val="000000"/>
          <w:sz w:val="22"/>
          <w:szCs w:val="22"/>
        </w:rPr>
        <w:softHyphen/>
        <w:t>tet. Diese könnten zumindest bei einigen dieser Patienten mit gastrointestinalen oder intratumoralen Blutungen in Zusammenhang gestanden haben. Eine Grad</w:t>
      </w:r>
      <w:r w:rsidR="00C80819" w:rsidRPr="00B30A12">
        <w:rPr>
          <w:color w:val="000000"/>
          <w:sz w:val="22"/>
          <w:szCs w:val="22"/>
        </w:rPr>
        <w:t> </w:t>
      </w:r>
      <w:r w:rsidR="006615F9" w:rsidRPr="00B30A12">
        <w:rPr>
          <w:color w:val="000000"/>
          <w:sz w:val="22"/>
          <w:szCs w:val="22"/>
        </w:rPr>
        <w:t>3- oder Grad</w:t>
      </w:r>
      <w:r w:rsidR="00C80819" w:rsidRPr="00B30A12">
        <w:rPr>
          <w:color w:val="000000"/>
          <w:sz w:val="22"/>
          <w:szCs w:val="22"/>
        </w:rPr>
        <w:t> </w:t>
      </w:r>
      <w:r w:rsidR="006615F9" w:rsidRPr="00B30A12">
        <w:rPr>
          <w:color w:val="000000"/>
          <w:sz w:val="22"/>
          <w:szCs w:val="22"/>
        </w:rPr>
        <w:t xml:space="preserve">4-Neutropenie wurde bei </w:t>
      </w:r>
      <w:r w:rsidR="00352BD7" w:rsidRPr="00B30A12">
        <w:rPr>
          <w:color w:val="000000"/>
          <w:sz w:val="22"/>
          <w:szCs w:val="22"/>
        </w:rPr>
        <w:t>7,5</w:t>
      </w:r>
      <w:r w:rsidR="006766AC" w:rsidRPr="00B30A12">
        <w:rPr>
          <w:color w:val="000000"/>
          <w:sz w:val="22"/>
          <w:szCs w:val="22"/>
        </w:rPr>
        <w:t>%</w:t>
      </w:r>
      <w:r w:rsidR="006615F9" w:rsidRPr="00B30A12">
        <w:rPr>
          <w:color w:val="000000"/>
          <w:sz w:val="22"/>
          <w:szCs w:val="22"/>
        </w:rPr>
        <w:t xml:space="preserve"> bzw. </w:t>
      </w:r>
      <w:r w:rsidR="00352BD7" w:rsidRPr="00B30A12">
        <w:rPr>
          <w:color w:val="000000"/>
          <w:sz w:val="22"/>
          <w:szCs w:val="22"/>
        </w:rPr>
        <w:t>2,7</w:t>
      </w:r>
      <w:r w:rsidR="006766AC" w:rsidRPr="00B30A12">
        <w:rPr>
          <w:color w:val="000000"/>
          <w:sz w:val="22"/>
          <w:szCs w:val="22"/>
        </w:rPr>
        <w:t>%</w:t>
      </w:r>
      <w:r w:rsidR="006615F9" w:rsidRPr="00B30A12">
        <w:rPr>
          <w:color w:val="000000"/>
          <w:sz w:val="22"/>
          <w:szCs w:val="22"/>
        </w:rPr>
        <w:t xml:space="preserve"> der Patienten beobachtet und eine Grad</w:t>
      </w:r>
      <w:r w:rsidR="00C80819" w:rsidRPr="00B30A12">
        <w:rPr>
          <w:color w:val="000000"/>
          <w:sz w:val="22"/>
          <w:szCs w:val="22"/>
        </w:rPr>
        <w:t> </w:t>
      </w:r>
      <w:r w:rsidR="006615F9" w:rsidRPr="00B30A12">
        <w:rPr>
          <w:color w:val="000000"/>
          <w:sz w:val="22"/>
          <w:szCs w:val="22"/>
        </w:rPr>
        <w:t>3-Thrombozytopenie bei 0,7</w:t>
      </w:r>
      <w:r w:rsidR="006766AC" w:rsidRPr="00B30A12">
        <w:rPr>
          <w:color w:val="000000"/>
          <w:sz w:val="22"/>
          <w:szCs w:val="22"/>
        </w:rPr>
        <w:t>%</w:t>
      </w:r>
      <w:r w:rsidR="006615F9" w:rsidRPr="00B30A12">
        <w:rPr>
          <w:color w:val="000000"/>
          <w:sz w:val="22"/>
          <w:szCs w:val="22"/>
        </w:rPr>
        <w:t xml:space="preserve"> der Patienten. Kein Patient entwickelte eine Grad</w:t>
      </w:r>
      <w:r w:rsidR="00C80819" w:rsidRPr="00B30A12">
        <w:rPr>
          <w:color w:val="000000"/>
          <w:sz w:val="22"/>
          <w:szCs w:val="22"/>
        </w:rPr>
        <w:t> </w:t>
      </w:r>
      <w:r w:rsidR="006615F9" w:rsidRPr="00B30A12">
        <w:rPr>
          <w:color w:val="000000"/>
          <w:sz w:val="22"/>
          <w:szCs w:val="22"/>
        </w:rPr>
        <w:t>4-Thrombozytopenie. Die Abnahme der weißen Blutkörperchen und der Neutrophilenzahl trat vor allem in den ersten 6</w:t>
      </w:r>
      <w:r w:rsidR="00C80819" w:rsidRPr="00B30A12">
        <w:rPr>
          <w:color w:val="000000"/>
          <w:sz w:val="22"/>
          <w:szCs w:val="22"/>
        </w:rPr>
        <w:t> </w:t>
      </w:r>
      <w:r w:rsidR="006615F9" w:rsidRPr="00B30A12">
        <w:rPr>
          <w:color w:val="000000"/>
          <w:sz w:val="22"/>
          <w:szCs w:val="22"/>
        </w:rPr>
        <w:t>Wochen der Therapie auf. Danach blieben die Werte relativ stabil.</w:t>
      </w:r>
    </w:p>
    <w:p w14:paraId="3F8DBDFE" w14:textId="77777777" w:rsidR="006615F9" w:rsidRPr="00B30A12" w:rsidRDefault="006615F9" w:rsidP="00537E23">
      <w:pPr>
        <w:widowControl w:val="0"/>
        <w:rPr>
          <w:color w:val="000000"/>
          <w:sz w:val="22"/>
          <w:szCs w:val="22"/>
        </w:rPr>
      </w:pPr>
    </w:p>
    <w:p w14:paraId="3BBE9117" w14:textId="77777777" w:rsidR="006615F9" w:rsidRPr="00B30A12" w:rsidRDefault="006615F9" w:rsidP="00AD54DF">
      <w:pPr>
        <w:pStyle w:val="Heading6"/>
        <w:widowControl w:val="0"/>
        <w:numPr>
          <w:ilvl w:val="0"/>
          <w:numId w:val="0"/>
        </w:numPr>
        <w:tabs>
          <w:tab w:val="clear" w:pos="-720"/>
          <w:tab w:val="clear" w:pos="567"/>
          <w:tab w:val="clear" w:pos="4536"/>
        </w:tabs>
        <w:suppressAutoHyphens w:val="0"/>
        <w:spacing w:line="240" w:lineRule="auto"/>
        <w:rPr>
          <w:color w:val="000000"/>
          <w:szCs w:val="22"/>
          <w:lang w:val="de-DE"/>
        </w:rPr>
      </w:pPr>
      <w:r w:rsidRPr="00B30A12">
        <w:rPr>
          <w:color w:val="000000"/>
          <w:szCs w:val="22"/>
          <w:lang w:val="de-DE"/>
        </w:rPr>
        <w:t>Biochemie</w:t>
      </w:r>
    </w:p>
    <w:p w14:paraId="18D0F4B4" w14:textId="77777777" w:rsidR="00F60E49" w:rsidRPr="00B30A12" w:rsidRDefault="00352BD7" w:rsidP="00537E23">
      <w:pPr>
        <w:widowControl w:val="0"/>
        <w:rPr>
          <w:color w:val="000000"/>
          <w:sz w:val="22"/>
          <w:szCs w:val="22"/>
        </w:rPr>
      </w:pPr>
      <w:r w:rsidRPr="00B30A12">
        <w:rPr>
          <w:color w:val="000000"/>
          <w:sz w:val="22"/>
          <w:szCs w:val="22"/>
        </w:rPr>
        <w:t xml:space="preserve">Bei CML-Patienten </w:t>
      </w:r>
      <w:r w:rsidR="006615F9" w:rsidRPr="00B30A12">
        <w:rPr>
          <w:color w:val="000000"/>
          <w:sz w:val="22"/>
          <w:szCs w:val="22"/>
        </w:rPr>
        <w:t xml:space="preserve">traten deutliche Erhöhungen der Transaminasen </w:t>
      </w:r>
      <w:r w:rsidR="00FF7DC4" w:rsidRPr="00B30A12">
        <w:rPr>
          <w:color w:val="000000"/>
          <w:sz w:val="22"/>
          <w:szCs w:val="22"/>
        </w:rPr>
        <w:t xml:space="preserve">(&lt; 5%) </w:t>
      </w:r>
      <w:r w:rsidR="006615F9" w:rsidRPr="00B30A12">
        <w:rPr>
          <w:color w:val="000000"/>
          <w:sz w:val="22"/>
          <w:szCs w:val="22"/>
        </w:rPr>
        <w:t>und des Bilirubin auf (&lt;</w:t>
      </w:r>
      <w:r w:rsidR="0082715A" w:rsidRPr="00B30A12">
        <w:rPr>
          <w:color w:val="000000"/>
          <w:sz w:val="22"/>
          <w:szCs w:val="22"/>
        </w:rPr>
        <w:t> </w:t>
      </w:r>
      <w:r w:rsidR="00FF7DC4" w:rsidRPr="00B30A12">
        <w:rPr>
          <w:color w:val="000000"/>
          <w:sz w:val="22"/>
          <w:szCs w:val="22"/>
        </w:rPr>
        <w:t>1</w:t>
      </w:r>
      <w:r w:rsidR="006766AC" w:rsidRPr="00B30A12">
        <w:rPr>
          <w:color w:val="000000"/>
          <w:sz w:val="22"/>
          <w:szCs w:val="22"/>
        </w:rPr>
        <w:t>%</w:t>
      </w:r>
      <w:r w:rsidR="006615F9" w:rsidRPr="00B30A12">
        <w:rPr>
          <w:color w:val="000000"/>
          <w:sz w:val="22"/>
          <w:szCs w:val="22"/>
        </w:rPr>
        <w:t xml:space="preserve">). Diese waren </w:t>
      </w:r>
      <w:r w:rsidRPr="00B30A12">
        <w:rPr>
          <w:color w:val="000000"/>
          <w:sz w:val="22"/>
          <w:szCs w:val="22"/>
        </w:rPr>
        <w:t xml:space="preserve">in der Regel </w:t>
      </w:r>
      <w:r w:rsidR="006615F9" w:rsidRPr="00B30A12">
        <w:rPr>
          <w:color w:val="000000"/>
          <w:sz w:val="22"/>
          <w:szCs w:val="22"/>
        </w:rPr>
        <w:t xml:space="preserve">durch eine Dosisreduktion oder Behandlungspause beherrschbar (die mediane Dauer dieser Episoden betrug etwa eine Woche). Bei weniger als </w:t>
      </w:r>
      <w:r w:rsidR="00286958" w:rsidRPr="00B30A12">
        <w:rPr>
          <w:color w:val="000000"/>
          <w:sz w:val="22"/>
          <w:szCs w:val="22"/>
        </w:rPr>
        <w:t>1</w:t>
      </w:r>
      <w:r w:rsidR="006766AC" w:rsidRPr="00B30A12">
        <w:rPr>
          <w:color w:val="000000"/>
          <w:sz w:val="22"/>
          <w:szCs w:val="22"/>
        </w:rPr>
        <w:t>%</w:t>
      </w:r>
      <w:r w:rsidR="006615F9" w:rsidRPr="00B30A12">
        <w:rPr>
          <w:color w:val="000000"/>
          <w:sz w:val="22"/>
          <w:szCs w:val="22"/>
        </w:rPr>
        <w:t xml:space="preserve"> der </w:t>
      </w:r>
      <w:r w:rsidRPr="00B30A12">
        <w:rPr>
          <w:color w:val="000000"/>
          <w:sz w:val="22"/>
          <w:szCs w:val="22"/>
        </w:rPr>
        <w:t>CML-</w:t>
      </w:r>
      <w:r w:rsidR="006615F9" w:rsidRPr="00B30A12">
        <w:rPr>
          <w:color w:val="000000"/>
          <w:sz w:val="22"/>
          <w:szCs w:val="22"/>
        </w:rPr>
        <w:t xml:space="preserve">Patienten musste die Behandlung wegen Veränderungen der Leberwerte dauerhaft abgebrochen werden. </w:t>
      </w:r>
      <w:r w:rsidRPr="00B30A12">
        <w:rPr>
          <w:color w:val="000000"/>
          <w:sz w:val="22"/>
          <w:szCs w:val="22"/>
        </w:rPr>
        <w:t>Bei GIST-Patienten (Studie B2222) wurde in 6,8% der Fälle eine AL</w:t>
      </w:r>
      <w:r w:rsidR="00612A93" w:rsidRPr="00B30A12">
        <w:rPr>
          <w:color w:val="000000"/>
          <w:sz w:val="22"/>
          <w:szCs w:val="22"/>
        </w:rPr>
        <w:t>A</w:t>
      </w:r>
      <w:r w:rsidRPr="00B30A12">
        <w:rPr>
          <w:color w:val="000000"/>
          <w:sz w:val="22"/>
          <w:szCs w:val="22"/>
        </w:rPr>
        <w:t>T</w:t>
      </w:r>
      <w:r w:rsidR="00414FC0" w:rsidRPr="00B30A12">
        <w:rPr>
          <w:color w:val="000000"/>
          <w:sz w:val="22"/>
          <w:szCs w:val="22"/>
        </w:rPr>
        <w:t>-Erhöhung</w:t>
      </w:r>
      <w:r w:rsidRPr="00B30A12">
        <w:rPr>
          <w:color w:val="000000"/>
          <w:sz w:val="22"/>
          <w:szCs w:val="22"/>
        </w:rPr>
        <w:t xml:space="preserve"> (Alaninaminotransferase) </w:t>
      </w:r>
      <w:r w:rsidR="00414FC0" w:rsidRPr="00B30A12">
        <w:rPr>
          <w:color w:val="000000"/>
          <w:sz w:val="22"/>
          <w:szCs w:val="22"/>
        </w:rPr>
        <w:t>Grad</w:t>
      </w:r>
      <w:r w:rsidR="009B5307" w:rsidRPr="00B30A12">
        <w:rPr>
          <w:color w:val="000000"/>
          <w:sz w:val="22"/>
          <w:szCs w:val="22"/>
        </w:rPr>
        <w:t> </w:t>
      </w:r>
      <w:r w:rsidR="00414FC0" w:rsidRPr="00B30A12">
        <w:rPr>
          <w:color w:val="000000"/>
          <w:sz w:val="22"/>
          <w:szCs w:val="22"/>
        </w:rPr>
        <w:t xml:space="preserve">3 oder 4 </w:t>
      </w:r>
      <w:r w:rsidRPr="00B30A12">
        <w:rPr>
          <w:color w:val="000000"/>
          <w:sz w:val="22"/>
          <w:szCs w:val="22"/>
        </w:rPr>
        <w:t xml:space="preserve">und in 4,8% der Fälle eine </w:t>
      </w:r>
      <w:r w:rsidR="00BE6E5B" w:rsidRPr="00B30A12">
        <w:rPr>
          <w:color w:val="000000"/>
          <w:sz w:val="22"/>
          <w:szCs w:val="22"/>
        </w:rPr>
        <w:t>ASAT</w:t>
      </w:r>
      <w:r w:rsidR="00414FC0" w:rsidRPr="00B30A12">
        <w:rPr>
          <w:color w:val="000000"/>
          <w:sz w:val="22"/>
          <w:szCs w:val="22"/>
        </w:rPr>
        <w:t>-Erhöhung</w:t>
      </w:r>
      <w:r w:rsidRPr="00B30A12">
        <w:rPr>
          <w:color w:val="000000"/>
          <w:sz w:val="22"/>
          <w:szCs w:val="22"/>
        </w:rPr>
        <w:t xml:space="preserve"> (Aspartataminotransferase) </w:t>
      </w:r>
      <w:r w:rsidR="00414FC0" w:rsidRPr="00B30A12">
        <w:rPr>
          <w:color w:val="000000"/>
          <w:sz w:val="22"/>
          <w:szCs w:val="22"/>
        </w:rPr>
        <w:t>Grad</w:t>
      </w:r>
      <w:r w:rsidR="000B60CB" w:rsidRPr="00B30A12">
        <w:rPr>
          <w:color w:val="000000"/>
          <w:sz w:val="22"/>
          <w:szCs w:val="22"/>
        </w:rPr>
        <w:t> </w:t>
      </w:r>
      <w:r w:rsidR="00414FC0" w:rsidRPr="00B30A12">
        <w:rPr>
          <w:color w:val="000000"/>
          <w:sz w:val="22"/>
          <w:szCs w:val="22"/>
        </w:rPr>
        <w:t xml:space="preserve">3 oder 4 </w:t>
      </w:r>
      <w:r w:rsidRPr="00B30A12">
        <w:rPr>
          <w:color w:val="000000"/>
          <w:sz w:val="22"/>
          <w:szCs w:val="22"/>
        </w:rPr>
        <w:t xml:space="preserve">beobachtet. </w:t>
      </w:r>
      <w:r w:rsidR="00414FC0" w:rsidRPr="00B30A12">
        <w:rPr>
          <w:color w:val="000000"/>
          <w:sz w:val="22"/>
          <w:szCs w:val="22"/>
        </w:rPr>
        <w:t>Bilirubinerhöhungen traten bei weniger als 3% der Fälle auf.</w:t>
      </w:r>
    </w:p>
    <w:p w14:paraId="23484C99" w14:textId="77777777" w:rsidR="00F60E49" w:rsidRPr="00B30A12" w:rsidRDefault="00F60E49" w:rsidP="00537E23">
      <w:pPr>
        <w:widowControl w:val="0"/>
        <w:rPr>
          <w:color w:val="000000"/>
          <w:sz w:val="22"/>
          <w:szCs w:val="22"/>
        </w:rPr>
      </w:pPr>
    </w:p>
    <w:p w14:paraId="27AF4DB2" w14:textId="77777777" w:rsidR="006615F9" w:rsidRPr="00B30A12" w:rsidRDefault="006615F9" w:rsidP="00537E23">
      <w:pPr>
        <w:widowControl w:val="0"/>
        <w:rPr>
          <w:color w:val="000000"/>
          <w:sz w:val="22"/>
          <w:szCs w:val="22"/>
        </w:rPr>
      </w:pPr>
      <w:r w:rsidRPr="00B30A12">
        <w:rPr>
          <w:color w:val="000000"/>
          <w:sz w:val="22"/>
          <w:szCs w:val="22"/>
        </w:rPr>
        <w:t>Es wurden Fälle von zytolytischer und cholestatischer Hepatitis und Leberversagen berichtet; einige dieser Fälle endeten tödlich</w:t>
      </w:r>
      <w:r w:rsidR="00AA3F05" w:rsidRPr="00B30A12">
        <w:rPr>
          <w:color w:val="000000"/>
          <w:sz w:val="22"/>
          <w:szCs w:val="22"/>
        </w:rPr>
        <w:t>, einschließlich eines Patienten, der eine hohe Dosis Paracetamol eingenommen hatte</w:t>
      </w:r>
      <w:r w:rsidRPr="00B30A12">
        <w:rPr>
          <w:color w:val="000000"/>
          <w:sz w:val="22"/>
          <w:szCs w:val="22"/>
        </w:rPr>
        <w:t>.</w:t>
      </w:r>
    </w:p>
    <w:p w14:paraId="0B445D6A" w14:textId="77777777" w:rsidR="00727E1F" w:rsidRPr="00B30A12" w:rsidRDefault="00727E1F" w:rsidP="00537E23">
      <w:pPr>
        <w:widowControl w:val="0"/>
        <w:rPr>
          <w:color w:val="000000"/>
          <w:sz w:val="22"/>
          <w:szCs w:val="22"/>
        </w:rPr>
      </w:pPr>
    </w:p>
    <w:p w14:paraId="58C06461" w14:textId="77777777" w:rsidR="00727E1F" w:rsidRPr="00B30A12" w:rsidRDefault="00727E1F" w:rsidP="007A2B84">
      <w:pPr>
        <w:keepNext/>
        <w:widowControl w:val="0"/>
        <w:rPr>
          <w:color w:val="000000"/>
          <w:sz w:val="22"/>
          <w:szCs w:val="22"/>
          <w:u w:val="single"/>
        </w:rPr>
      </w:pPr>
      <w:r w:rsidRPr="00B30A12">
        <w:rPr>
          <w:color w:val="000000"/>
          <w:sz w:val="22"/>
          <w:szCs w:val="22"/>
          <w:u w:val="single"/>
        </w:rPr>
        <w:t>Beschreibung ausgewählter Nebenwirkungen</w:t>
      </w:r>
    </w:p>
    <w:p w14:paraId="67D7B1E8" w14:textId="77777777" w:rsidR="00727E1F" w:rsidRPr="00B30A12" w:rsidRDefault="00727E1F" w:rsidP="007A2B84">
      <w:pPr>
        <w:keepNext/>
        <w:widowControl w:val="0"/>
        <w:rPr>
          <w:i/>
          <w:color w:val="000000"/>
          <w:sz w:val="22"/>
          <w:szCs w:val="22"/>
          <w:u w:val="single"/>
        </w:rPr>
      </w:pPr>
      <w:r w:rsidRPr="00B30A12">
        <w:rPr>
          <w:i/>
          <w:color w:val="000000"/>
          <w:sz w:val="22"/>
          <w:szCs w:val="22"/>
          <w:u w:val="single"/>
        </w:rPr>
        <w:t>Hepatitis-B-Reaktivierung</w:t>
      </w:r>
    </w:p>
    <w:p w14:paraId="58D0F4DC" w14:textId="77777777" w:rsidR="00727E1F" w:rsidRPr="00B30A12" w:rsidRDefault="00727E1F" w:rsidP="00537E23">
      <w:pPr>
        <w:widowControl w:val="0"/>
        <w:rPr>
          <w:color w:val="000000"/>
          <w:sz w:val="22"/>
          <w:szCs w:val="22"/>
        </w:rPr>
      </w:pPr>
      <w:r w:rsidRPr="00B30A12">
        <w:rPr>
          <w:color w:val="000000"/>
          <w:sz w:val="22"/>
          <w:szCs w:val="22"/>
        </w:rPr>
        <w:t>In Zusammenhang mit BCR-ABL-Tyrosinkinase-Inhibitoren wurden Hepatitis-B-Reaktivierungen beobachtet. Einige Fälle führten zu akutem Leberversagen oder zu fulminanter Hepatitis, die eine Lebertransplantation notwendig machten oder zum Tod führten (siehe Abschnitt</w:t>
      </w:r>
      <w:r w:rsidR="00EB60E4" w:rsidRPr="00B30A12">
        <w:rPr>
          <w:color w:val="000000"/>
          <w:sz w:val="22"/>
          <w:szCs w:val="22"/>
        </w:rPr>
        <w:t> </w:t>
      </w:r>
      <w:r w:rsidRPr="00B30A12">
        <w:rPr>
          <w:color w:val="000000"/>
          <w:sz w:val="22"/>
          <w:szCs w:val="22"/>
        </w:rPr>
        <w:t>4.4).</w:t>
      </w:r>
    </w:p>
    <w:p w14:paraId="634E851F" w14:textId="77777777" w:rsidR="00A61B54" w:rsidRPr="00B30A12" w:rsidRDefault="00A61B54" w:rsidP="00537E23">
      <w:pPr>
        <w:widowControl w:val="0"/>
        <w:rPr>
          <w:color w:val="000000"/>
          <w:sz w:val="22"/>
          <w:szCs w:val="22"/>
        </w:rPr>
      </w:pPr>
    </w:p>
    <w:p w14:paraId="5655D100" w14:textId="77777777" w:rsidR="0006487A" w:rsidRPr="00B30A12" w:rsidRDefault="0006487A" w:rsidP="007A2B84">
      <w:pPr>
        <w:keepNext/>
        <w:widowControl w:val="0"/>
        <w:rPr>
          <w:sz w:val="22"/>
          <w:szCs w:val="22"/>
          <w:u w:val="single"/>
        </w:rPr>
      </w:pPr>
      <w:r w:rsidRPr="00B30A12">
        <w:rPr>
          <w:noProof/>
          <w:sz w:val="22"/>
          <w:szCs w:val="22"/>
          <w:u w:val="single"/>
        </w:rPr>
        <w:t>Meldung des Verdachts auf Nebenwirkungen</w:t>
      </w:r>
    </w:p>
    <w:p w14:paraId="353FC591" w14:textId="77777777" w:rsidR="0006487A" w:rsidRPr="00B30A12" w:rsidRDefault="0006487A" w:rsidP="00537E23">
      <w:pPr>
        <w:widowControl w:val="0"/>
        <w:rPr>
          <w:color w:val="000000"/>
          <w:sz w:val="22"/>
          <w:szCs w:val="22"/>
        </w:rPr>
      </w:pPr>
      <w:r w:rsidRPr="00B30A12">
        <w:rPr>
          <w:noProof/>
          <w:sz w:val="22"/>
          <w:szCs w:val="22"/>
        </w:rPr>
        <w:t>Die Meldung des Verdachts auf Nebenwirkungen nach der Zulassung ist von großer Wichtigkeit.</w:t>
      </w:r>
      <w:r w:rsidRPr="00B30A12">
        <w:rPr>
          <w:sz w:val="22"/>
          <w:szCs w:val="22"/>
        </w:rPr>
        <w:t xml:space="preserve"> </w:t>
      </w:r>
      <w:r w:rsidRPr="00B30A12">
        <w:rPr>
          <w:noProof/>
          <w:sz w:val="22"/>
          <w:szCs w:val="22"/>
        </w:rPr>
        <w:t>Sie ermöglicht eine kontinuierliche Überwachung des Nutzen-Risiko-Verhältnisses des Arzneimittels.</w:t>
      </w:r>
      <w:r w:rsidRPr="00B30A12">
        <w:rPr>
          <w:sz w:val="22"/>
          <w:szCs w:val="22"/>
        </w:rPr>
        <w:t xml:space="preserve"> Angehörige von Gesundheitsberufen</w:t>
      </w:r>
      <w:r w:rsidRPr="00B30A12">
        <w:rPr>
          <w:noProof/>
          <w:sz w:val="22"/>
          <w:szCs w:val="22"/>
        </w:rPr>
        <w:t xml:space="preserve"> sind aufgefordert, jeden Verdachtsfall einer Nebenwirkung über </w:t>
      </w:r>
      <w:r w:rsidRPr="00B30A12">
        <w:rPr>
          <w:noProof/>
          <w:sz w:val="22"/>
          <w:szCs w:val="22"/>
          <w:shd w:val="pct15" w:color="auto" w:fill="auto"/>
        </w:rPr>
        <w:t xml:space="preserve">das in </w:t>
      </w:r>
      <w:hyperlink r:id="rId12" w:history="1">
        <w:r w:rsidRPr="00B30A12">
          <w:rPr>
            <w:rStyle w:val="Hyperlink"/>
            <w:noProof/>
            <w:sz w:val="22"/>
            <w:szCs w:val="22"/>
            <w:shd w:val="pct15" w:color="auto" w:fill="auto"/>
          </w:rPr>
          <w:t>Anhang V</w:t>
        </w:r>
      </w:hyperlink>
      <w:r w:rsidRPr="00B30A12">
        <w:rPr>
          <w:noProof/>
          <w:sz w:val="22"/>
          <w:szCs w:val="22"/>
          <w:shd w:val="pct15" w:color="auto" w:fill="auto"/>
        </w:rPr>
        <w:t xml:space="preserve"> aufgeführte nationale Meldesystem</w:t>
      </w:r>
      <w:r w:rsidRPr="00B30A12">
        <w:rPr>
          <w:noProof/>
          <w:sz w:val="22"/>
          <w:szCs w:val="22"/>
        </w:rPr>
        <w:t xml:space="preserve"> anzuzeigen.</w:t>
      </w:r>
    </w:p>
    <w:p w14:paraId="6A8B19F9" w14:textId="77777777" w:rsidR="006615F9" w:rsidRPr="00B30A12" w:rsidRDefault="006615F9" w:rsidP="00537E23">
      <w:pPr>
        <w:widowControl w:val="0"/>
        <w:rPr>
          <w:color w:val="000000"/>
          <w:sz w:val="22"/>
          <w:szCs w:val="22"/>
        </w:rPr>
      </w:pPr>
    </w:p>
    <w:p w14:paraId="75705E8A" w14:textId="77777777" w:rsidR="006615F9" w:rsidRPr="00B30A12" w:rsidRDefault="006615F9" w:rsidP="007A2B84">
      <w:pPr>
        <w:keepNext/>
        <w:widowControl w:val="0"/>
        <w:ind w:left="567" w:hanging="567"/>
        <w:rPr>
          <w:b/>
          <w:color w:val="000000"/>
          <w:sz w:val="22"/>
          <w:szCs w:val="22"/>
        </w:rPr>
      </w:pPr>
      <w:r w:rsidRPr="00B30A12">
        <w:rPr>
          <w:b/>
          <w:color w:val="000000"/>
          <w:sz w:val="22"/>
          <w:szCs w:val="22"/>
        </w:rPr>
        <w:lastRenderedPageBreak/>
        <w:t>4.9</w:t>
      </w:r>
      <w:r w:rsidRPr="00B30A12">
        <w:rPr>
          <w:b/>
          <w:color w:val="000000"/>
          <w:sz w:val="22"/>
          <w:szCs w:val="22"/>
        </w:rPr>
        <w:tab/>
        <w:t>Überdosierung</w:t>
      </w:r>
    </w:p>
    <w:p w14:paraId="72E7C259" w14:textId="77777777" w:rsidR="006615F9" w:rsidRPr="00B30A12" w:rsidRDefault="006615F9" w:rsidP="007A2B84">
      <w:pPr>
        <w:keepNext/>
        <w:widowControl w:val="0"/>
        <w:ind w:left="567" w:hanging="567"/>
        <w:rPr>
          <w:color w:val="000000"/>
          <w:sz w:val="22"/>
          <w:szCs w:val="22"/>
        </w:rPr>
      </w:pPr>
    </w:p>
    <w:p w14:paraId="4017D807" w14:textId="77777777" w:rsidR="00414FC0" w:rsidRPr="00B30A12" w:rsidRDefault="006624ED" w:rsidP="00AD54DF">
      <w:pPr>
        <w:keepNext/>
        <w:keepLines/>
        <w:widowControl w:val="0"/>
        <w:rPr>
          <w:color w:val="000000"/>
          <w:sz w:val="22"/>
          <w:szCs w:val="22"/>
        </w:rPr>
      </w:pPr>
      <w:r w:rsidRPr="00B30A12">
        <w:rPr>
          <w:color w:val="000000"/>
          <w:sz w:val="22"/>
          <w:szCs w:val="22"/>
        </w:rPr>
        <w:t>Die Erfahrung mit höheren</w:t>
      </w:r>
      <w:r w:rsidR="00B92874" w:rsidRPr="00B30A12">
        <w:rPr>
          <w:color w:val="000000"/>
          <w:sz w:val="22"/>
          <w:szCs w:val="22"/>
        </w:rPr>
        <w:t xml:space="preserve"> </w:t>
      </w:r>
      <w:r w:rsidRPr="00B30A12">
        <w:rPr>
          <w:color w:val="000000"/>
          <w:sz w:val="22"/>
          <w:szCs w:val="22"/>
        </w:rPr>
        <w:t>Dosen als der empfohlenen therapeutischen Dosis ist begrenzt. Einzelne Fälle eine</w:t>
      </w:r>
      <w:r w:rsidR="00F265A0" w:rsidRPr="00B30A12">
        <w:rPr>
          <w:color w:val="000000"/>
          <w:sz w:val="22"/>
          <w:szCs w:val="22"/>
        </w:rPr>
        <w:t>r</w:t>
      </w:r>
      <w:r w:rsidRPr="00B30A12">
        <w:rPr>
          <w:color w:val="000000"/>
          <w:sz w:val="22"/>
          <w:szCs w:val="22"/>
        </w:rPr>
        <w:t xml:space="preserve"> Glivec-Überdosierung wurden </w:t>
      </w:r>
      <w:r w:rsidR="00B6506E" w:rsidRPr="00B30A12">
        <w:rPr>
          <w:color w:val="000000"/>
          <w:sz w:val="22"/>
          <w:szCs w:val="22"/>
        </w:rPr>
        <w:t>im Rahmen der Spontanerfassung</w:t>
      </w:r>
      <w:r w:rsidRPr="00B30A12">
        <w:rPr>
          <w:color w:val="000000"/>
          <w:sz w:val="22"/>
          <w:szCs w:val="22"/>
        </w:rPr>
        <w:t xml:space="preserve"> und in der Literatur berichtet. </w:t>
      </w:r>
      <w:r w:rsidR="00C1754D" w:rsidRPr="00B30A12">
        <w:rPr>
          <w:color w:val="000000"/>
          <w:sz w:val="22"/>
          <w:szCs w:val="22"/>
        </w:rPr>
        <w:t xml:space="preserve">Im Falle einer Überdosierung sollte der Patient überwacht und eine geeignete </w:t>
      </w:r>
      <w:r w:rsidR="00B6506E" w:rsidRPr="00B30A12">
        <w:rPr>
          <w:color w:val="000000"/>
          <w:sz w:val="22"/>
          <w:szCs w:val="22"/>
        </w:rPr>
        <w:t>symptomatische</w:t>
      </w:r>
      <w:r w:rsidR="00C1754D" w:rsidRPr="00B30A12">
        <w:rPr>
          <w:color w:val="000000"/>
          <w:sz w:val="22"/>
          <w:szCs w:val="22"/>
        </w:rPr>
        <w:t xml:space="preserve"> Behandlung durchgeführt werden.</w:t>
      </w:r>
      <w:r w:rsidR="00414FC0" w:rsidRPr="00B30A12">
        <w:rPr>
          <w:color w:val="000000"/>
          <w:sz w:val="22"/>
          <w:szCs w:val="22"/>
        </w:rPr>
        <w:t>.</w:t>
      </w:r>
      <w:r w:rsidR="00916E25" w:rsidRPr="00B30A12">
        <w:rPr>
          <w:color w:val="000000"/>
          <w:sz w:val="22"/>
          <w:szCs w:val="22"/>
        </w:rPr>
        <w:t xml:space="preserve"> Im </w:t>
      </w:r>
      <w:r w:rsidR="00B6506E" w:rsidRPr="00B30A12">
        <w:rPr>
          <w:color w:val="000000"/>
          <w:sz w:val="22"/>
          <w:szCs w:val="22"/>
        </w:rPr>
        <w:t>A</w:t>
      </w:r>
      <w:r w:rsidR="00916E25" w:rsidRPr="00B30A12">
        <w:rPr>
          <w:color w:val="000000"/>
          <w:sz w:val="22"/>
          <w:szCs w:val="22"/>
        </w:rPr>
        <w:t xml:space="preserve">llgemeinen wurde </w:t>
      </w:r>
      <w:r w:rsidR="00B6506E" w:rsidRPr="00B30A12">
        <w:rPr>
          <w:color w:val="000000"/>
          <w:sz w:val="22"/>
          <w:szCs w:val="22"/>
        </w:rPr>
        <w:t>der Ausgang</w:t>
      </w:r>
      <w:r w:rsidR="00916E25" w:rsidRPr="00B30A12">
        <w:rPr>
          <w:color w:val="000000"/>
          <w:sz w:val="22"/>
          <w:szCs w:val="22"/>
        </w:rPr>
        <w:t xml:space="preserve"> dieser Fälle </w:t>
      </w:r>
      <w:r w:rsidR="00B6506E" w:rsidRPr="00B30A12">
        <w:rPr>
          <w:color w:val="000000"/>
          <w:sz w:val="22"/>
          <w:szCs w:val="22"/>
        </w:rPr>
        <w:t xml:space="preserve">als </w:t>
      </w:r>
      <w:r w:rsidR="00916E25" w:rsidRPr="00B30A12">
        <w:rPr>
          <w:color w:val="000000"/>
          <w:sz w:val="22"/>
          <w:szCs w:val="22"/>
        </w:rPr>
        <w:t>„verbessert“ oder „wiederhe</w:t>
      </w:r>
      <w:r w:rsidR="004B6C26" w:rsidRPr="00B30A12">
        <w:rPr>
          <w:color w:val="000000"/>
          <w:sz w:val="22"/>
          <w:szCs w:val="22"/>
        </w:rPr>
        <w:t xml:space="preserve">rgestellt“ berichtet. </w:t>
      </w:r>
      <w:r w:rsidR="00CD27FB" w:rsidRPr="00B30A12">
        <w:rPr>
          <w:color w:val="000000"/>
          <w:sz w:val="22"/>
          <w:szCs w:val="22"/>
        </w:rPr>
        <w:t xml:space="preserve">Folgende </w:t>
      </w:r>
      <w:r w:rsidR="004B6C26" w:rsidRPr="00B30A12">
        <w:rPr>
          <w:color w:val="000000"/>
          <w:sz w:val="22"/>
          <w:szCs w:val="22"/>
        </w:rPr>
        <w:t>Ereignisse</w:t>
      </w:r>
      <w:r w:rsidR="00CD27FB" w:rsidRPr="00B30A12">
        <w:rPr>
          <w:color w:val="000000"/>
          <w:sz w:val="22"/>
          <w:szCs w:val="22"/>
        </w:rPr>
        <w:t xml:space="preserve"> wurden</w:t>
      </w:r>
      <w:r w:rsidR="00916E25" w:rsidRPr="00B30A12">
        <w:rPr>
          <w:color w:val="000000"/>
          <w:sz w:val="22"/>
          <w:szCs w:val="22"/>
        </w:rPr>
        <w:t xml:space="preserve"> für unterschiedliche Dosisbereiche berichtet:</w:t>
      </w:r>
    </w:p>
    <w:p w14:paraId="6DC75C95" w14:textId="77777777" w:rsidR="00916E25" w:rsidRPr="00B30A12" w:rsidRDefault="00916E25" w:rsidP="00AD54DF">
      <w:pPr>
        <w:keepNext/>
        <w:keepLines/>
        <w:widowControl w:val="0"/>
        <w:rPr>
          <w:color w:val="000000"/>
          <w:sz w:val="22"/>
          <w:szCs w:val="22"/>
        </w:rPr>
      </w:pPr>
    </w:p>
    <w:p w14:paraId="1437AA61" w14:textId="77777777" w:rsidR="00916E25" w:rsidRPr="00B30A12" w:rsidRDefault="00916E25" w:rsidP="007A2B84">
      <w:pPr>
        <w:keepNext/>
        <w:widowControl w:val="0"/>
        <w:rPr>
          <w:i/>
          <w:color w:val="000000"/>
          <w:sz w:val="22"/>
          <w:szCs w:val="22"/>
        </w:rPr>
      </w:pPr>
      <w:r w:rsidRPr="00B30A12">
        <w:rPr>
          <w:i/>
          <w:color w:val="000000"/>
          <w:sz w:val="22"/>
          <w:szCs w:val="22"/>
        </w:rPr>
        <w:t>Erwachsene</w:t>
      </w:r>
    </w:p>
    <w:p w14:paraId="36901498" w14:textId="77777777" w:rsidR="00042F14" w:rsidRPr="00B30A12" w:rsidRDefault="00B92874" w:rsidP="00537E23">
      <w:pPr>
        <w:widowControl w:val="0"/>
        <w:rPr>
          <w:color w:val="000000"/>
          <w:sz w:val="22"/>
          <w:szCs w:val="22"/>
        </w:rPr>
      </w:pPr>
      <w:r w:rsidRPr="00B30A12">
        <w:rPr>
          <w:color w:val="000000"/>
          <w:sz w:val="22"/>
          <w:szCs w:val="22"/>
        </w:rPr>
        <w:t>1200 bis 1600</w:t>
      </w:r>
      <w:r w:rsidR="00F718EE" w:rsidRPr="00B30A12">
        <w:rPr>
          <w:color w:val="000000"/>
          <w:sz w:val="22"/>
          <w:szCs w:val="22"/>
        </w:rPr>
        <w:t> </w:t>
      </w:r>
      <w:r w:rsidRPr="00B30A12">
        <w:rPr>
          <w:color w:val="000000"/>
          <w:sz w:val="22"/>
          <w:szCs w:val="22"/>
        </w:rPr>
        <w:t>mg (unterschiedliche Dauer</w:t>
      </w:r>
      <w:r w:rsidR="004B6C26" w:rsidRPr="00B30A12">
        <w:rPr>
          <w:color w:val="000000"/>
          <w:sz w:val="22"/>
          <w:szCs w:val="22"/>
        </w:rPr>
        <w:t xml:space="preserve"> zwischen 1 und 10</w:t>
      </w:r>
      <w:r w:rsidR="00F718EE" w:rsidRPr="00B30A12">
        <w:rPr>
          <w:color w:val="000000"/>
          <w:sz w:val="22"/>
          <w:szCs w:val="22"/>
        </w:rPr>
        <w:t> </w:t>
      </w:r>
      <w:r w:rsidR="004B6C26" w:rsidRPr="00B30A12">
        <w:rPr>
          <w:color w:val="000000"/>
          <w:sz w:val="22"/>
          <w:szCs w:val="22"/>
        </w:rPr>
        <w:t xml:space="preserve">Tagen): </w:t>
      </w:r>
      <w:r w:rsidR="00042F14" w:rsidRPr="00B30A12">
        <w:rPr>
          <w:color w:val="000000"/>
          <w:sz w:val="22"/>
          <w:szCs w:val="22"/>
        </w:rPr>
        <w:t>Übelkeit,</w:t>
      </w:r>
      <w:r w:rsidRPr="00B30A12">
        <w:rPr>
          <w:color w:val="000000"/>
          <w:sz w:val="22"/>
          <w:szCs w:val="22"/>
        </w:rPr>
        <w:t xml:space="preserve"> Erbrechen, Durchfall, Hautausschlag</w:t>
      </w:r>
      <w:r w:rsidR="00042F14" w:rsidRPr="00B30A12">
        <w:rPr>
          <w:color w:val="000000"/>
          <w:sz w:val="22"/>
          <w:szCs w:val="22"/>
        </w:rPr>
        <w:t>, Erythem, Ödem, Schwellung, Müdigkeit, Muskelkrämpfe, Thrombozytopenie, P</w:t>
      </w:r>
      <w:r w:rsidRPr="00B30A12">
        <w:rPr>
          <w:color w:val="000000"/>
          <w:sz w:val="22"/>
          <w:szCs w:val="22"/>
        </w:rPr>
        <w:t>anzytopenie, Abdominal</w:t>
      </w:r>
      <w:r w:rsidR="00042F14" w:rsidRPr="00B30A12">
        <w:rPr>
          <w:color w:val="000000"/>
          <w:sz w:val="22"/>
          <w:szCs w:val="22"/>
        </w:rPr>
        <w:t>schmerzen, Kopfschmerzen, verminderter Appetit.</w:t>
      </w:r>
    </w:p>
    <w:p w14:paraId="5072DE63" w14:textId="77777777" w:rsidR="004B6C26" w:rsidRPr="00B30A12" w:rsidRDefault="004B6C26" w:rsidP="00537E23">
      <w:pPr>
        <w:widowControl w:val="0"/>
        <w:rPr>
          <w:color w:val="000000"/>
          <w:sz w:val="22"/>
          <w:szCs w:val="22"/>
        </w:rPr>
      </w:pPr>
      <w:r w:rsidRPr="00B30A12">
        <w:rPr>
          <w:color w:val="000000"/>
          <w:sz w:val="22"/>
          <w:szCs w:val="22"/>
        </w:rPr>
        <w:t>1800 bis 3200</w:t>
      </w:r>
      <w:r w:rsidR="00F718EE" w:rsidRPr="00B30A12">
        <w:rPr>
          <w:color w:val="000000"/>
          <w:sz w:val="22"/>
          <w:szCs w:val="22"/>
        </w:rPr>
        <w:t> </w:t>
      </w:r>
      <w:r w:rsidRPr="00B30A12">
        <w:rPr>
          <w:color w:val="000000"/>
          <w:sz w:val="22"/>
          <w:szCs w:val="22"/>
        </w:rPr>
        <w:t>mg (</w:t>
      </w:r>
      <w:r w:rsidR="00CD27FB" w:rsidRPr="00B30A12">
        <w:rPr>
          <w:color w:val="000000"/>
          <w:sz w:val="22"/>
          <w:szCs w:val="22"/>
        </w:rPr>
        <w:t>bis maximal</w:t>
      </w:r>
      <w:r w:rsidR="00B92874" w:rsidRPr="00B30A12">
        <w:rPr>
          <w:color w:val="000000"/>
          <w:sz w:val="22"/>
          <w:szCs w:val="22"/>
        </w:rPr>
        <w:t xml:space="preserve"> 3200</w:t>
      </w:r>
      <w:r w:rsidR="00F718EE" w:rsidRPr="00B30A12">
        <w:rPr>
          <w:color w:val="000000"/>
          <w:sz w:val="22"/>
          <w:szCs w:val="22"/>
        </w:rPr>
        <w:t> </w:t>
      </w:r>
      <w:r w:rsidR="00B92874" w:rsidRPr="00B30A12">
        <w:rPr>
          <w:color w:val="000000"/>
          <w:sz w:val="22"/>
          <w:szCs w:val="22"/>
        </w:rPr>
        <w:t xml:space="preserve">mg täglich </w:t>
      </w:r>
      <w:r w:rsidR="00CD27FB" w:rsidRPr="00B30A12">
        <w:rPr>
          <w:color w:val="000000"/>
          <w:sz w:val="22"/>
          <w:szCs w:val="22"/>
        </w:rPr>
        <w:t>über</w:t>
      </w:r>
      <w:r w:rsidR="00B92874" w:rsidRPr="00B30A12">
        <w:rPr>
          <w:color w:val="000000"/>
          <w:sz w:val="22"/>
          <w:szCs w:val="22"/>
        </w:rPr>
        <w:t xml:space="preserve"> 6</w:t>
      </w:r>
      <w:r w:rsidR="00F718EE" w:rsidRPr="00B30A12">
        <w:rPr>
          <w:color w:val="000000"/>
          <w:sz w:val="22"/>
          <w:szCs w:val="22"/>
        </w:rPr>
        <w:t> </w:t>
      </w:r>
      <w:r w:rsidR="00B92874" w:rsidRPr="00B30A12">
        <w:rPr>
          <w:color w:val="000000"/>
          <w:sz w:val="22"/>
          <w:szCs w:val="22"/>
        </w:rPr>
        <w:t>T</w:t>
      </w:r>
      <w:r w:rsidRPr="00B30A12">
        <w:rPr>
          <w:color w:val="000000"/>
          <w:sz w:val="22"/>
          <w:szCs w:val="22"/>
        </w:rPr>
        <w:t>age): Schwäche, Myalgie, erhöhte Kreatinphosphokinase, erhöhtes Bilirubin, gastrointestinale Schmerzen.</w:t>
      </w:r>
    </w:p>
    <w:p w14:paraId="61CA6DA1" w14:textId="77777777" w:rsidR="004B6C26" w:rsidRPr="00B30A12" w:rsidRDefault="00B92874" w:rsidP="00537E23">
      <w:pPr>
        <w:widowControl w:val="0"/>
        <w:rPr>
          <w:color w:val="000000"/>
          <w:sz w:val="22"/>
          <w:szCs w:val="22"/>
        </w:rPr>
      </w:pPr>
      <w:r w:rsidRPr="00B30A12">
        <w:rPr>
          <w:color w:val="000000"/>
          <w:sz w:val="22"/>
          <w:szCs w:val="22"/>
        </w:rPr>
        <w:t>6400</w:t>
      </w:r>
      <w:r w:rsidR="00F718EE" w:rsidRPr="00B30A12">
        <w:rPr>
          <w:color w:val="000000"/>
          <w:sz w:val="22"/>
          <w:szCs w:val="22"/>
        </w:rPr>
        <w:t> </w:t>
      </w:r>
      <w:r w:rsidRPr="00B30A12">
        <w:rPr>
          <w:color w:val="000000"/>
          <w:sz w:val="22"/>
          <w:szCs w:val="22"/>
        </w:rPr>
        <w:t>mg (Einzeldosis):</w:t>
      </w:r>
      <w:r w:rsidR="004B6C26" w:rsidRPr="00B30A12">
        <w:rPr>
          <w:color w:val="000000"/>
          <w:sz w:val="22"/>
          <w:szCs w:val="22"/>
        </w:rPr>
        <w:t xml:space="preserve"> In der Literatur wurde</w:t>
      </w:r>
      <w:r w:rsidRPr="00B30A12">
        <w:rPr>
          <w:color w:val="000000"/>
          <w:sz w:val="22"/>
          <w:szCs w:val="22"/>
        </w:rPr>
        <w:t xml:space="preserve"> ein</w:t>
      </w:r>
      <w:r w:rsidR="004B6C26" w:rsidRPr="00B30A12">
        <w:rPr>
          <w:color w:val="000000"/>
          <w:sz w:val="22"/>
          <w:szCs w:val="22"/>
        </w:rPr>
        <w:t xml:space="preserve"> Fall eines Patienten berichtet, der Ü</w:t>
      </w:r>
      <w:r w:rsidRPr="00B30A12">
        <w:rPr>
          <w:color w:val="000000"/>
          <w:sz w:val="22"/>
          <w:szCs w:val="22"/>
        </w:rPr>
        <w:t>belkeit, Erbrechen, Abdominal</w:t>
      </w:r>
      <w:r w:rsidR="00F265A0" w:rsidRPr="00B30A12">
        <w:rPr>
          <w:color w:val="000000"/>
          <w:sz w:val="22"/>
          <w:szCs w:val="22"/>
        </w:rPr>
        <w:t>s</w:t>
      </w:r>
      <w:r w:rsidR="004B6C26" w:rsidRPr="00B30A12">
        <w:rPr>
          <w:color w:val="000000"/>
          <w:sz w:val="22"/>
          <w:szCs w:val="22"/>
        </w:rPr>
        <w:t xml:space="preserve">chmerzen, </w:t>
      </w:r>
      <w:r w:rsidR="00CD27FB" w:rsidRPr="00B30A12">
        <w:rPr>
          <w:color w:val="000000"/>
          <w:sz w:val="22"/>
          <w:szCs w:val="22"/>
        </w:rPr>
        <w:t>Fieber</w:t>
      </w:r>
      <w:r w:rsidR="004B6C26" w:rsidRPr="00B30A12">
        <w:rPr>
          <w:color w:val="000000"/>
          <w:sz w:val="22"/>
          <w:szCs w:val="22"/>
        </w:rPr>
        <w:t xml:space="preserve">, Gesichtsschwellung, </w:t>
      </w:r>
      <w:r w:rsidR="00CD27FB" w:rsidRPr="00B30A12">
        <w:rPr>
          <w:color w:val="000000"/>
          <w:sz w:val="22"/>
          <w:szCs w:val="22"/>
        </w:rPr>
        <w:t xml:space="preserve">eine </w:t>
      </w:r>
      <w:r w:rsidR="004B6C26" w:rsidRPr="00B30A12">
        <w:rPr>
          <w:color w:val="000000"/>
          <w:sz w:val="22"/>
          <w:szCs w:val="22"/>
        </w:rPr>
        <w:t>verminderte Zahl der Neutrophilen</w:t>
      </w:r>
      <w:r w:rsidRPr="00B30A12">
        <w:rPr>
          <w:color w:val="000000"/>
          <w:sz w:val="22"/>
          <w:szCs w:val="22"/>
        </w:rPr>
        <w:t xml:space="preserve"> und erhöhte</w:t>
      </w:r>
      <w:r w:rsidR="004B6C26" w:rsidRPr="00B30A12">
        <w:rPr>
          <w:color w:val="000000"/>
          <w:sz w:val="22"/>
          <w:szCs w:val="22"/>
        </w:rPr>
        <w:t xml:space="preserve"> Transaminasen entwickelte.</w:t>
      </w:r>
    </w:p>
    <w:p w14:paraId="2DDCA862" w14:textId="77777777" w:rsidR="004B6C26" w:rsidRPr="00B30A12" w:rsidRDefault="004B6C26" w:rsidP="00537E23">
      <w:pPr>
        <w:widowControl w:val="0"/>
        <w:rPr>
          <w:color w:val="000000"/>
          <w:sz w:val="22"/>
          <w:szCs w:val="22"/>
        </w:rPr>
      </w:pPr>
      <w:r w:rsidRPr="00B30A12">
        <w:rPr>
          <w:color w:val="000000"/>
          <w:sz w:val="22"/>
          <w:szCs w:val="22"/>
        </w:rPr>
        <w:t>8 bis 10</w:t>
      </w:r>
      <w:r w:rsidR="00F718EE" w:rsidRPr="00B30A12">
        <w:rPr>
          <w:color w:val="000000"/>
          <w:sz w:val="22"/>
          <w:szCs w:val="22"/>
        </w:rPr>
        <w:t> </w:t>
      </w:r>
      <w:r w:rsidRPr="00B30A12">
        <w:rPr>
          <w:color w:val="000000"/>
          <w:sz w:val="22"/>
          <w:szCs w:val="22"/>
        </w:rPr>
        <w:t>g (Einzeldosis): Erbrechen und abdominelle Schmerzen wurden berichtet.</w:t>
      </w:r>
    </w:p>
    <w:p w14:paraId="05348ADA" w14:textId="77777777" w:rsidR="004B6C26" w:rsidRPr="00B30A12" w:rsidRDefault="004B6C26" w:rsidP="00537E23">
      <w:pPr>
        <w:widowControl w:val="0"/>
        <w:rPr>
          <w:color w:val="000000"/>
          <w:sz w:val="22"/>
          <w:szCs w:val="22"/>
        </w:rPr>
      </w:pPr>
    </w:p>
    <w:p w14:paraId="4BBF791A" w14:textId="77777777" w:rsidR="004B6C26" w:rsidRPr="00B30A12" w:rsidRDefault="004B6C26" w:rsidP="007A2B84">
      <w:pPr>
        <w:keepNext/>
        <w:widowControl w:val="0"/>
        <w:rPr>
          <w:i/>
          <w:color w:val="000000"/>
          <w:sz w:val="22"/>
          <w:szCs w:val="22"/>
        </w:rPr>
      </w:pPr>
      <w:r w:rsidRPr="00B30A12">
        <w:rPr>
          <w:i/>
          <w:color w:val="000000"/>
          <w:sz w:val="22"/>
          <w:szCs w:val="22"/>
        </w:rPr>
        <w:t>Kinder</w:t>
      </w:r>
      <w:r w:rsidR="00AB53A1" w:rsidRPr="00B30A12">
        <w:rPr>
          <w:i/>
          <w:color w:val="000000"/>
          <w:sz w:val="22"/>
          <w:szCs w:val="22"/>
        </w:rPr>
        <w:t xml:space="preserve"> und Jugendliche</w:t>
      </w:r>
    </w:p>
    <w:p w14:paraId="0B95C539" w14:textId="77777777" w:rsidR="004B6C26" w:rsidRPr="00B30A12" w:rsidRDefault="00C1754D" w:rsidP="00537E23">
      <w:pPr>
        <w:widowControl w:val="0"/>
        <w:rPr>
          <w:color w:val="000000"/>
          <w:sz w:val="22"/>
          <w:szCs w:val="22"/>
        </w:rPr>
      </w:pPr>
      <w:r w:rsidRPr="00B30A12">
        <w:rPr>
          <w:color w:val="000000"/>
          <w:sz w:val="22"/>
          <w:szCs w:val="22"/>
        </w:rPr>
        <w:t>Ein</w:t>
      </w:r>
      <w:r w:rsidR="00CD27FB" w:rsidRPr="00B30A12">
        <w:rPr>
          <w:color w:val="000000"/>
          <w:sz w:val="22"/>
          <w:szCs w:val="22"/>
        </w:rPr>
        <w:t xml:space="preserve"> </w:t>
      </w:r>
      <w:r w:rsidRPr="00B30A12">
        <w:rPr>
          <w:color w:val="000000"/>
          <w:sz w:val="22"/>
          <w:szCs w:val="22"/>
        </w:rPr>
        <w:t>3</w:t>
      </w:r>
      <w:r w:rsidR="00F718EE" w:rsidRPr="00B30A12">
        <w:rPr>
          <w:color w:val="000000"/>
          <w:sz w:val="22"/>
          <w:szCs w:val="22"/>
        </w:rPr>
        <w:t> </w:t>
      </w:r>
      <w:r w:rsidRPr="00B30A12">
        <w:rPr>
          <w:color w:val="000000"/>
          <w:sz w:val="22"/>
          <w:szCs w:val="22"/>
        </w:rPr>
        <w:t>Jahre alte</w:t>
      </w:r>
      <w:r w:rsidR="00CD27FB" w:rsidRPr="00B30A12">
        <w:rPr>
          <w:color w:val="000000"/>
          <w:sz w:val="22"/>
          <w:szCs w:val="22"/>
        </w:rPr>
        <w:t>r Junge</w:t>
      </w:r>
      <w:r w:rsidRPr="00B30A12">
        <w:rPr>
          <w:color w:val="000000"/>
          <w:sz w:val="22"/>
          <w:szCs w:val="22"/>
        </w:rPr>
        <w:t xml:space="preserve">, </w:t>
      </w:r>
      <w:r w:rsidR="00CD27FB" w:rsidRPr="00B30A12">
        <w:rPr>
          <w:color w:val="000000"/>
          <w:sz w:val="22"/>
          <w:szCs w:val="22"/>
        </w:rPr>
        <w:t>der</w:t>
      </w:r>
      <w:r w:rsidRPr="00B30A12">
        <w:rPr>
          <w:color w:val="000000"/>
          <w:sz w:val="22"/>
          <w:szCs w:val="22"/>
        </w:rPr>
        <w:t xml:space="preserve"> eine Einzeldosis von 400</w:t>
      </w:r>
      <w:r w:rsidR="00F718EE" w:rsidRPr="00B30A12">
        <w:rPr>
          <w:color w:val="000000"/>
          <w:sz w:val="22"/>
          <w:szCs w:val="22"/>
        </w:rPr>
        <w:t> </w:t>
      </w:r>
      <w:r w:rsidRPr="00B30A12">
        <w:rPr>
          <w:color w:val="000000"/>
          <w:sz w:val="22"/>
          <w:szCs w:val="22"/>
        </w:rPr>
        <w:t>mg erhalten hatte</w:t>
      </w:r>
      <w:r w:rsidR="00B15065" w:rsidRPr="00B30A12">
        <w:rPr>
          <w:color w:val="000000"/>
          <w:sz w:val="22"/>
          <w:szCs w:val="22"/>
        </w:rPr>
        <w:t>, entwickelte Erbrechen, Diarrhoe</w:t>
      </w:r>
      <w:r w:rsidRPr="00B30A12">
        <w:rPr>
          <w:color w:val="000000"/>
          <w:sz w:val="22"/>
          <w:szCs w:val="22"/>
        </w:rPr>
        <w:t xml:space="preserve"> und Appetitlosigkeit, und ein weitere</w:t>
      </w:r>
      <w:r w:rsidR="00CD27FB" w:rsidRPr="00B30A12">
        <w:rPr>
          <w:color w:val="000000"/>
          <w:sz w:val="22"/>
          <w:szCs w:val="22"/>
        </w:rPr>
        <w:t>r</w:t>
      </w:r>
      <w:r w:rsidRPr="00B30A12">
        <w:rPr>
          <w:color w:val="000000"/>
          <w:sz w:val="22"/>
          <w:szCs w:val="22"/>
        </w:rPr>
        <w:t xml:space="preserve"> 3</w:t>
      </w:r>
      <w:r w:rsidR="00F718EE" w:rsidRPr="00B30A12">
        <w:rPr>
          <w:color w:val="000000"/>
          <w:sz w:val="22"/>
          <w:szCs w:val="22"/>
        </w:rPr>
        <w:t> </w:t>
      </w:r>
      <w:r w:rsidRPr="00B30A12">
        <w:rPr>
          <w:color w:val="000000"/>
          <w:sz w:val="22"/>
          <w:szCs w:val="22"/>
        </w:rPr>
        <w:t>Jahre alte</w:t>
      </w:r>
      <w:r w:rsidR="00CD27FB" w:rsidRPr="00B30A12">
        <w:rPr>
          <w:color w:val="000000"/>
          <w:sz w:val="22"/>
          <w:szCs w:val="22"/>
        </w:rPr>
        <w:t>r Junge</w:t>
      </w:r>
      <w:r w:rsidRPr="00B30A12">
        <w:rPr>
          <w:color w:val="000000"/>
          <w:sz w:val="22"/>
          <w:szCs w:val="22"/>
        </w:rPr>
        <w:t xml:space="preserve">, </w:t>
      </w:r>
      <w:r w:rsidR="00CD27FB" w:rsidRPr="00B30A12">
        <w:rPr>
          <w:color w:val="000000"/>
          <w:sz w:val="22"/>
          <w:szCs w:val="22"/>
        </w:rPr>
        <w:t>der</w:t>
      </w:r>
      <w:r w:rsidRPr="00B30A12">
        <w:rPr>
          <w:color w:val="000000"/>
          <w:sz w:val="22"/>
          <w:szCs w:val="22"/>
        </w:rPr>
        <w:t xml:space="preserve"> eine Dosis von 980</w:t>
      </w:r>
      <w:r w:rsidR="00F718EE" w:rsidRPr="00B30A12">
        <w:rPr>
          <w:color w:val="000000"/>
          <w:sz w:val="22"/>
          <w:szCs w:val="22"/>
        </w:rPr>
        <w:t> </w:t>
      </w:r>
      <w:r w:rsidRPr="00B30A12">
        <w:rPr>
          <w:color w:val="000000"/>
          <w:sz w:val="22"/>
          <w:szCs w:val="22"/>
        </w:rPr>
        <w:t>mg erhalten hatte, entwickelte eine Abnahme de</w:t>
      </w:r>
      <w:r w:rsidR="00B15065" w:rsidRPr="00B30A12">
        <w:rPr>
          <w:color w:val="000000"/>
          <w:sz w:val="22"/>
          <w:szCs w:val="22"/>
        </w:rPr>
        <w:t>r Le</w:t>
      </w:r>
      <w:r w:rsidR="00CD27FB" w:rsidRPr="00B30A12">
        <w:rPr>
          <w:color w:val="000000"/>
          <w:sz w:val="22"/>
          <w:szCs w:val="22"/>
        </w:rPr>
        <w:t>u</w:t>
      </w:r>
      <w:r w:rsidR="00B15065" w:rsidRPr="00B30A12">
        <w:rPr>
          <w:color w:val="000000"/>
          <w:sz w:val="22"/>
          <w:szCs w:val="22"/>
        </w:rPr>
        <w:t xml:space="preserve">kozytenzahl und </w:t>
      </w:r>
      <w:r w:rsidR="00CD27FB" w:rsidRPr="00B30A12">
        <w:rPr>
          <w:color w:val="000000"/>
          <w:sz w:val="22"/>
          <w:szCs w:val="22"/>
        </w:rPr>
        <w:t xml:space="preserve">eine </w:t>
      </w:r>
      <w:r w:rsidR="00B15065" w:rsidRPr="00B30A12">
        <w:rPr>
          <w:color w:val="000000"/>
          <w:sz w:val="22"/>
          <w:szCs w:val="22"/>
        </w:rPr>
        <w:t>Diarrhoe</w:t>
      </w:r>
      <w:r w:rsidRPr="00B30A12">
        <w:rPr>
          <w:color w:val="000000"/>
          <w:sz w:val="22"/>
          <w:szCs w:val="22"/>
        </w:rPr>
        <w:t>.</w:t>
      </w:r>
    </w:p>
    <w:p w14:paraId="0BBBC8F8" w14:textId="77777777" w:rsidR="006615F9" w:rsidRPr="00B30A12" w:rsidRDefault="006615F9" w:rsidP="00537E23">
      <w:pPr>
        <w:pStyle w:val="Header"/>
        <w:widowControl w:val="0"/>
        <w:tabs>
          <w:tab w:val="clear" w:pos="4320"/>
          <w:tab w:val="clear" w:pos="8640"/>
        </w:tabs>
        <w:rPr>
          <w:color w:val="000000"/>
          <w:szCs w:val="22"/>
        </w:rPr>
      </w:pPr>
    </w:p>
    <w:p w14:paraId="3E197A7B" w14:textId="77777777" w:rsidR="006615F9" w:rsidRPr="00B30A12" w:rsidRDefault="00C1754D" w:rsidP="00537E23">
      <w:pPr>
        <w:widowControl w:val="0"/>
        <w:rPr>
          <w:color w:val="000000"/>
          <w:sz w:val="22"/>
          <w:szCs w:val="22"/>
        </w:rPr>
      </w:pPr>
      <w:r w:rsidRPr="00B30A12">
        <w:rPr>
          <w:color w:val="000000"/>
          <w:sz w:val="22"/>
          <w:szCs w:val="22"/>
        </w:rPr>
        <w:t>Im Falle einer Überdosierung sollte der Patient überwacht und eine geeignete supportive Behandlung durchgeführt werden.</w:t>
      </w:r>
    </w:p>
    <w:p w14:paraId="727C96D9" w14:textId="77777777" w:rsidR="00C1754D" w:rsidRPr="00B30A12" w:rsidRDefault="00C1754D" w:rsidP="00537E23">
      <w:pPr>
        <w:widowControl w:val="0"/>
        <w:rPr>
          <w:color w:val="000000"/>
          <w:sz w:val="22"/>
          <w:szCs w:val="22"/>
        </w:rPr>
      </w:pPr>
    </w:p>
    <w:p w14:paraId="30B3FEB1" w14:textId="77777777" w:rsidR="00C1754D" w:rsidRPr="00B30A12" w:rsidRDefault="00C1754D" w:rsidP="00537E23">
      <w:pPr>
        <w:widowControl w:val="0"/>
        <w:rPr>
          <w:color w:val="000000"/>
          <w:sz w:val="22"/>
          <w:szCs w:val="22"/>
        </w:rPr>
      </w:pPr>
    </w:p>
    <w:p w14:paraId="043E8985" w14:textId="77777777" w:rsidR="006615F9" w:rsidRPr="00B30A12" w:rsidRDefault="006615F9" w:rsidP="007A2B84">
      <w:pPr>
        <w:keepNext/>
        <w:widowControl w:val="0"/>
        <w:ind w:left="567" w:hanging="567"/>
        <w:rPr>
          <w:color w:val="000000"/>
          <w:sz w:val="22"/>
          <w:szCs w:val="22"/>
        </w:rPr>
      </w:pPr>
      <w:r w:rsidRPr="00B30A12">
        <w:rPr>
          <w:b/>
          <w:color w:val="000000"/>
          <w:sz w:val="22"/>
          <w:szCs w:val="22"/>
        </w:rPr>
        <w:t>5.</w:t>
      </w:r>
      <w:r w:rsidRPr="00B30A12">
        <w:rPr>
          <w:b/>
          <w:color w:val="000000"/>
          <w:sz w:val="22"/>
          <w:szCs w:val="22"/>
        </w:rPr>
        <w:tab/>
        <w:t>PHARMAKOLOGISCHE EIGENSCHAFTEN</w:t>
      </w:r>
    </w:p>
    <w:p w14:paraId="6E2E7626" w14:textId="77777777" w:rsidR="006615F9" w:rsidRPr="00B30A12" w:rsidRDefault="006615F9" w:rsidP="007A2B84">
      <w:pPr>
        <w:pStyle w:val="Header"/>
        <w:keepNext/>
        <w:widowControl w:val="0"/>
        <w:tabs>
          <w:tab w:val="clear" w:pos="4320"/>
          <w:tab w:val="clear" w:pos="8640"/>
        </w:tabs>
        <w:rPr>
          <w:color w:val="000000"/>
          <w:szCs w:val="22"/>
        </w:rPr>
      </w:pPr>
    </w:p>
    <w:p w14:paraId="077790E9" w14:textId="77777777" w:rsidR="006615F9" w:rsidRPr="00B30A12" w:rsidRDefault="006615F9" w:rsidP="007A2B84">
      <w:pPr>
        <w:keepNext/>
        <w:widowControl w:val="0"/>
        <w:ind w:left="567" w:hanging="567"/>
        <w:rPr>
          <w:color w:val="000000"/>
          <w:sz w:val="22"/>
          <w:szCs w:val="22"/>
        </w:rPr>
      </w:pPr>
      <w:r w:rsidRPr="00B30A12">
        <w:rPr>
          <w:b/>
          <w:color w:val="000000"/>
          <w:sz w:val="22"/>
          <w:szCs w:val="22"/>
        </w:rPr>
        <w:t>5.1</w:t>
      </w:r>
      <w:r w:rsidRPr="00B30A12">
        <w:rPr>
          <w:b/>
          <w:color w:val="000000"/>
          <w:sz w:val="22"/>
          <w:szCs w:val="22"/>
        </w:rPr>
        <w:tab/>
        <w:t>Pharmakodynamische Eigenschaften</w:t>
      </w:r>
    </w:p>
    <w:p w14:paraId="10FEECED" w14:textId="77777777" w:rsidR="006615F9" w:rsidRPr="00B30A12" w:rsidRDefault="006615F9" w:rsidP="007A2B84">
      <w:pPr>
        <w:keepNext/>
        <w:widowControl w:val="0"/>
        <w:rPr>
          <w:color w:val="000000"/>
          <w:sz w:val="22"/>
          <w:szCs w:val="22"/>
        </w:rPr>
      </w:pPr>
    </w:p>
    <w:p w14:paraId="1ED3EF01" w14:textId="77777777" w:rsidR="006615F9" w:rsidRPr="00B30A12" w:rsidRDefault="006615F9" w:rsidP="007A2B84">
      <w:pPr>
        <w:keepNext/>
        <w:widowControl w:val="0"/>
        <w:tabs>
          <w:tab w:val="left" w:pos="7088"/>
        </w:tabs>
        <w:rPr>
          <w:color w:val="000000"/>
          <w:sz w:val="22"/>
          <w:szCs w:val="22"/>
        </w:rPr>
      </w:pPr>
      <w:r w:rsidRPr="00B30A12">
        <w:rPr>
          <w:color w:val="000000"/>
          <w:sz w:val="22"/>
          <w:szCs w:val="22"/>
        </w:rPr>
        <w:t>Pharmakotherapeutische Gruppe: Proteinkinase-Inhibitor</w:t>
      </w:r>
      <w:r w:rsidR="009A43B4" w:rsidRPr="00B30A12">
        <w:rPr>
          <w:color w:val="000000"/>
          <w:sz w:val="22"/>
          <w:szCs w:val="22"/>
        </w:rPr>
        <w:t>en</w:t>
      </w:r>
      <w:r w:rsidR="00004597" w:rsidRPr="00B30A12">
        <w:rPr>
          <w:color w:val="000000"/>
          <w:sz w:val="22"/>
          <w:szCs w:val="22"/>
        </w:rPr>
        <w:t>,</w:t>
      </w:r>
      <w:r w:rsidRPr="00B30A12">
        <w:rPr>
          <w:color w:val="000000"/>
          <w:sz w:val="22"/>
          <w:szCs w:val="22"/>
        </w:rPr>
        <w:t xml:space="preserve"> ATC-Code: L01X</w:t>
      </w:r>
      <w:r w:rsidR="00885ACA" w:rsidRPr="00B30A12">
        <w:rPr>
          <w:color w:val="000000"/>
          <w:sz w:val="22"/>
          <w:szCs w:val="22"/>
        </w:rPr>
        <w:t>E01</w:t>
      </w:r>
    </w:p>
    <w:p w14:paraId="4384C7F7" w14:textId="77777777" w:rsidR="006615F9" w:rsidRPr="00B30A12" w:rsidRDefault="006615F9" w:rsidP="007A2B84">
      <w:pPr>
        <w:keepNext/>
        <w:widowControl w:val="0"/>
        <w:rPr>
          <w:color w:val="000000"/>
          <w:sz w:val="22"/>
          <w:szCs w:val="22"/>
        </w:rPr>
      </w:pPr>
    </w:p>
    <w:p w14:paraId="57F816F6" w14:textId="77777777" w:rsidR="0015206D" w:rsidRPr="00B30A12" w:rsidRDefault="0015206D" w:rsidP="007A2B84">
      <w:pPr>
        <w:keepNext/>
        <w:widowControl w:val="0"/>
        <w:rPr>
          <w:color w:val="000000"/>
          <w:sz w:val="22"/>
          <w:szCs w:val="22"/>
          <w:u w:val="single"/>
        </w:rPr>
      </w:pPr>
      <w:r w:rsidRPr="00B30A12">
        <w:rPr>
          <w:color w:val="000000"/>
          <w:sz w:val="22"/>
          <w:szCs w:val="22"/>
          <w:u w:val="single"/>
        </w:rPr>
        <w:t>Wirkmechanismus</w:t>
      </w:r>
    </w:p>
    <w:p w14:paraId="6395B91A" w14:textId="77777777" w:rsidR="0015206D" w:rsidRPr="00B30A12" w:rsidRDefault="0015206D" w:rsidP="00537E23">
      <w:pPr>
        <w:widowControl w:val="0"/>
        <w:rPr>
          <w:color w:val="000000"/>
          <w:sz w:val="22"/>
          <w:szCs w:val="22"/>
        </w:rPr>
      </w:pPr>
      <w:r w:rsidRPr="00B30A12">
        <w:rPr>
          <w:color w:val="000000"/>
          <w:sz w:val="22"/>
          <w:szCs w:val="22"/>
        </w:rPr>
        <w:t>Imatinib ist ein niedermolekularer Protein-Tyrosinkinase-Inhibitor</w:t>
      </w:r>
      <w:r w:rsidR="003D06B3" w:rsidRPr="00B30A12">
        <w:rPr>
          <w:color w:val="000000"/>
          <w:sz w:val="22"/>
          <w:szCs w:val="22"/>
        </w:rPr>
        <w:t>,</w:t>
      </w:r>
      <w:r w:rsidRPr="00B30A12">
        <w:rPr>
          <w:color w:val="000000"/>
          <w:sz w:val="22"/>
          <w:szCs w:val="22"/>
        </w:rPr>
        <w:t xml:space="preserve"> der </w:t>
      </w:r>
      <w:r w:rsidR="003D06B3" w:rsidRPr="00B30A12">
        <w:rPr>
          <w:color w:val="000000"/>
          <w:sz w:val="22"/>
          <w:szCs w:val="22"/>
        </w:rPr>
        <w:t>wirkungsvoll</w:t>
      </w:r>
      <w:r w:rsidRPr="00B30A12">
        <w:rPr>
          <w:color w:val="000000"/>
          <w:sz w:val="22"/>
          <w:szCs w:val="22"/>
        </w:rPr>
        <w:t xml:space="preserve"> die Aktivität der Bcr-Abl</w:t>
      </w:r>
      <w:r w:rsidR="003D06B3" w:rsidRPr="00B30A12">
        <w:rPr>
          <w:color w:val="000000"/>
          <w:sz w:val="22"/>
          <w:szCs w:val="22"/>
        </w:rPr>
        <w:t>-</w:t>
      </w:r>
      <w:r w:rsidRPr="00B30A12">
        <w:rPr>
          <w:color w:val="000000"/>
          <w:sz w:val="22"/>
          <w:szCs w:val="22"/>
        </w:rPr>
        <w:t xml:space="preserve">Tyrosinkinase (TK) </w:t>
      </w:r>
      <w:r w:rsidR="003D06B3" w:rsidRPr="00B30A12">
        <w:rPr>
          <w:color w:val="000000"/>
          <w:sz w:val="22"/>
          <w:szCs w:val="22"/>
        </w:rPr>
        <w:t>sowie mehrere</w:t>
      </w:r>
      <w:r w:rsidRPr="00B30A12">
        <w:rPr>
          <w:color w:val="000000"/>
          <w:sz w:val="22"/>
          <w:szCs w:val="22"/>
        </w:rPr>
        <w:t xml:space="preserve"> Rezeptor-TKs hemmt: Kit, der Rezeptor für den Stammzellfaktor (SCF), </w:t>
      </w:r>
      <w:r w:rsidR="003D06B3" w:rsidRPr="00B30A12">
        <w:rPr>
          <w:color w:val="000000"/>
          <w:sz w:val="22"/>
          <w:szCs w:val="22"/>
        </w:rPr>
        <w:t>der durch</w:t>
      </w:r>
      <w:r w:rsidRPr="00B30A12">
        <w:rPr>
          <w:color w:val="000000"/>
          <w:sz w:val="22"/>
          <w:szCs w:val="22"/>
        </w:rPr>
        <w:t xml:space="preserve"> das c-Kit-</w:t>
      </w:r>
      <w:r w:rsidR="003D06B3" w:rsidRPr="00B30A12">
        <w:rPr>
          <w:color w:val="000000"/>
          <w:sz w:val="22"/>
          <w:szCs w:val="22"/>
        </w:rPr>
        <w:t>Proto-</w:t>
      </w:r>
      <w:r w:rsidRPr="00B30A12">
        <w:rPr>
          <w:color w:val="000000"/>
          <w:sz w:val="22"/>
          <w:szCs w:val="22"/>
        </w:rPr>
        <w:t>Onkogen kodiert</w:t>
      </w:r>
      <w:r w:rsidR="000D1CE8" w:rsidRPr="00B30A12">
        <w:rPr>
          <w:color w:val="000000"/>
          <w:sz w:val="22"/>
          <w:szCs w:val="22"/>
        </w:rPr>
        <w:t xml:space="preserve"> wird</w:t>
      </w:r>
      <w:r w:rsidRPr="00B30A12">
        <w:rPr>
          <w:color w:val="000000"/>
          <w:sz w:val="22"/>
          <w:szCs w:val="22"/>
        </w:rPr>
        <w:t>, die Discoidin-Do</w:t>
      </w:r>
      <w:r w:rsidR="00A57E37" w:rsidRPr="00B30A12">
        <w:rPr>
          <w:color w:val="000000"/>
          <w:sz w:val="22"/>
          <w:szCs w:val="22"/>
        </w:rPr>
        <w:t>m</w:t>
      </w:r>
      <w:r w:rsidR="003D06B3" w:rsidRPr="00B30A12">
        <w:rPr>
          <w:color w:val="000000"/>
          <w:sz w:val="22"/>
          <w:szCs w:val="22"/>
        </w:rPr>
        <w:t>ai</w:t>
      </w:r>
      <w:r w:rsidR="00A57E37" w:rsidRPr="00B30A12">
        <w:rPr>
          <w:color w:val="000000"/>
          <w:sz w:val="22"/>
          <w:szCs w:val="22"/>
        </w:rPr>
        <w:t>n-Rezeptoren (DDR1 und DDR2)</w:t>
      </w:r>
      <w:r w:rsidRPr="00B30A12">
        <w:rPr>
          <w:color w:val="000000"/>
          <w:sz w:val="22"/>
          <w:szCs w:val="22"/>
        </w:rPr>
        <w:t xml:space="preserve">, </w:t>
      </w:r>
      <w:r w:rsidR="003D06B3" w:rsidRPr="00B30A12">
        <w:rPr>
          <w:color w:val="000000"/>
          <w:sz w:val="22"/>
          <w:szCs w:val="22"/>
        </w:rPr>
        <w:t xml:space="preserve">den Kolonie-stimulierenden Faktor-Rezeptor </w:t>
      </w:r>
      <w:r w:rsidR="00A57E37" w:rsidRPr="00B30A12">
        <w:rPr>
          <w:color w:val="000000"/>
          <w:sz w:val="22"/>
          <w:szCs w:val="22"/>
        </w:rPr>
        <w:t xml:space="preserve">(CSF-1R) und </w:t>
      </w:r>
      <w:r w:rsidR="003D06B3" w:rsidRPr="00B30A12">
        <w:rPr>
          <w:color w:val="000000"/>
          <w:sz w:val="22"/>
          <w:szCs w:val="22"/>
        </w:rPr>
        <w:t>den Blutplättchen-Wachstumsfaktor-Rezeptor</w:t>
      </w:r>
      <w:r w:rsidR="00A57E37" w:rsidRPr="00B30A12">
        <w:rPr>
          <w:color w:val="000000"/>
          <w:sz w:val="22"/>
          <w:szCs w:val="22"/>
        </w:rPr>
        <w:t xml:space="preserve"> alpha und beta (PDGFR-alpha und PDGFR-beta). Imatinib </w:t>
      </w:r>
      <w:r w:rsidR="00534E06" w:rsidRPr="00B30A12">
        <w:rPr>
          <w:color w:val="000000"/>
          <w:sz w:val="22"/>
          <w:szCs w:val="22"/>
        </w:rPr>
        <w:t xml:space="preserve">kann auch </w:t>
      </w:r>
      <w:r w:rsidR="00A57E37" w:rsidRPr="00B30A12">
        <w:rPr>
          <w:color w:val="000000"/>
          <w:sz w:val="22"/>
          <w:szCs w:val="22"/>
        </w:rPr>
        <w:t xml:space="preserve">zelluläre </w:t>
      </w:r>
      <w:r w:rsidR="007F1B01" w:rsidRPr="00B30A12">
        <w:rPr>
          <w:color w:val="000000"/>
          <w:sz w:val="22"/>
          <w:szCs w:val="22"/>
        </w:rPr>
        <w:t>Vorgänge</w:t>
      </w:r>
      <w:r w:rsidR="00A57E37" w:rsidRPr="00B30A12">
        <w:rPr>
          <w:color w:val="000000"/>
          <w:sz w:val="22"/>
          <w:szCs w:val="22"/>
        </w:rPr>
        <w:t xml:space="preserve"> </w:t>
      </w:r>
      <w:r w:rsidR="00534E06" w:rsidRPr="00B30A12">
        <w:rPr>
          <w:color w:val="000000"/>
          <w:sz w:val="22"/>
          <w:szCs w:val="22"/>
        </w:rPr>
        <w:t>inhibieren</w:t>
      </w:r>
      <w:r w:rsidR="00A57E37" w:rsidRPr="00B30A12">
        <w:rPr>
          <w:color w:val="000000"/>
          <w:sz w:val="22"/>
          <w:szCs w:val="22"/>
        </w:rPr>
        <w:t xml:space="preserve">, die durch die Aktivierung dieser Rezeptorkinasen </w:t>
      </w:r>
      <w:r w:rsidR="00534E06" w:rsidRPr="00B30A12">
        <w:rPr>
          <w:color w:val="000000"/>
          <w:sz w:val="22"/>
          <w:szCs w:val="22"/>
        </w:rPr>
        <w:t>vermittelt</w:t>
      </w:r>
      <w:r w:rsidR="00A57E37" w:rsidRPr="00B30A12">
        <w:rPr>
          <w:color w:val="000000"/>
          <w:sz w:val="22"/>
          <w:szCs w:val="22"/>
        </w:rPr>
        <w:t xml:space="preserve"> werden.</w:t>
      </w:r>
    </w:p>
    <w:p w14:paraId="01EAFD34" w14:textId="77777777" w:rsidR="0015206D" w:rsidRPr="00B30A12" w:rsidRDefault="0015206D" w:rsidP="00537E23">
      <w:pPr>
        <w:widowControl w:val="0"/>
        <w:rPr>
          <w:color w:val="000000"/>
          <w:sz w:val="22"/>
          <w:szCs w:val="22"/>
        </w:rPr>
      </w:pPr>
    </w:p>
    <w:p w14:paraId="2F0076CE" w14:textId="77777777" w:rsidR="0015206D" w:rsidRPr="00B30A12" w:rsidRDefault="00A57E37" w:rsidP="007A2B84">
      <w:pPr>
        <w:keepNext/>
        <w:widowControl w:val="0"/>
        <w:rPr>
          <w:color w:val="000000"/>
          <w:sz w:val="22"/>
          <w:szCs w:val="22"/>
          <w:u w:val="single"/>
        </w:rPr>
      </w:pPr>
      <w:r w:rsidRPr="00B30A12">
        <w:rPr>
          <w:color w:val="000000"/>
          <w:sz w:val="22"/>
          <w:szCs w:val="22"/>
          <w:u w:val="single"/>
        </w:rPr>
        <w:t>Pharmakodynam</w:t>
      </w:r>
      <w:r w:rsidR="003D06B3" w:rsidRPr="00B30A12">
        <w:rPr>
          <w:color w:val="000000"/>
          <w:sz w:val="22"/>
          <w:szCs w:val="22"/>
          <w:u w:val="single"/>
        </w:rPr>
        <w:t>i</w:t>
      </w:r>
      <w:r w:rsidRPr="00B30A12">
        <w:rPr>
          <w:color w:val="000000"/>
          <w:sz w:val="22"/>
          <w:szCs w:val="22"/>
          <w:u w:val="single"/>
        </w:rPr>
        <w:t>sche Wirkungen</w:t>
      </w:r>
    </w:p>
    <w:p w14:paraId="3FDA782F" w14:textId="77777777" w:rsidR="00D72F2D" w:rsidRPr="00B30A12" w:rsidRDefault="006615F9" w:rsidP="00537E23">
      <w:pPr>
        <w:widowControl w:val="0"/>
        <w:rPr>
          <w:color w:val="000000"/>
          <w:sz w:val="22"/>
          <w:szCs w:val="22"/>
        </w:rPr>
      </w:pPr>
      <w:r w:rsidRPr="00B30A12">
        <w:rPr>
          <w:color w:val="000000"/>
          <w:sz w:val="22"/>
          <w:szCs w:val="22"/>
        </w:rPr>
        <w:t>Imatinib ist ein Protein-Tyrosinkinase-Inhibitor, der die Tyrosin</w:t>
      </w:r>
      <w:r w:rsidR="001853C4" w:rsidRPr="00B30A12">
        <w:rPr>
          <w:color w:val="000000"/>
          <w:sz w:val="22"/>
          <w:szCs w:val="22"/>
        </w:rPr>
        <w:t>k</w:t>
      </w:r>
      <w:r w:rsidRPr="00B30A12">
        <w:rPr>
          <w:color w:val="000000"/>
          <w:sz w:val="22"/>
          <w:szCs w:val="22"/>
        </w:rPr>
        <w:t xml:space="preserve">inase-Aktivität von Bcr-Abl auf der zellulären Ebene </w:t>
      </w:r>
      <w:r w:rsidRPr="00B30A12">
        <w:rPr>
          <w:i/>
          <w:color w:val="000000"/>
          <w:sz w:val="22"/>
          <w:szCs w:val="22"/>
        </w:rPr>
        <w:t>in vitro</w:t>
      </w:r>
      <w:r w:rsidRPr="00B30A12">
        <w:rPr>
          <w:color w:val="000000"/>
          <w:sz w:val="22"/>
          <w:szCs w:val="22"/>
        </w:rPr>
        <w:t xml:space="preserve"> und </w:t>
      </w:r>
      <w:r w:rsidRPr="00B30A12">
        <w:rPr>
          <w:i/>
          <w:color w:val="000000"/>
          <w:sz w:val="22"/>
          <w:szCs w:val="22"/>
        </w:rPr>
        <w:t>in vivo</w:t>
      </w:r>
      <w:r w:rsidRPr="00B30A12">
        <w:rPr>
          <w:color w:val="000000"/>
          <w:sz w:val="22"/>
          <w:szCs w:val="22"/>
        </w:rPr>
        <w:t xml:space="preserve"> sehr stark hemmt. In Bcr-Abl-positiven Zell</w:t>
      </w:r>
      <w:r w:rsidR="00A26893" w:rsidRPr="00B30A12">
        <w:rPr>
          <w:color w:val="000000"/>
          <w:sz w:val="22"/>
          <w:szCs w:val="22"/>
        </w:rPr>
        <w:t>l</w:t>
      </w:r>
      <w:r w:rsidRPr="00B30A12">
        <w:rPr>
          <w:color w:val="000000"/>
          <w:sz w:val="22"/>
          <w:szCs w:val="22"/>
        </w:rPr>
        <w:t>inien und frischen Leukämiezellen von Patienten mit Philadelphia-Chromosom-positiver CML- oder akuter lymphatischer Leukämie (</w:t>
      </w:r>
      <w:smartTag w:uri="urn:schemas-microsoft-com:office:smarttags" w:element="stockticker">
        <w:r w:rsidRPr="00B30A12">
          <w:rPr>
            <w:color w:val="000000"/>
            <w:sz w:val="22"/>
            <w:szCs w:val="22"/>
          </w:rPr>
          <w:t>ALL</w:t>
        </w:r>
      </w:smartTag>
      <w:r w:rsidRPr="00B30A12">
        <w:rPr>
          <w:color w:val="000000"/>
          <w:sz w:val="22"/>
          <w:szCs w:val="22"/>
        </w:rPr>
        <w:t>) inhibiert der Wirkstoff selektiv die Proliferation und induziert die Apoptose.</w:t>
      </w:r>
    </w:p>
    <w:p w14:paraId="3B416829" w14:textId="77777777" w:rsidR="006615F9" w:rsidRPr="00B30A12" w:rsidRDefault="006615F9" w:rsidP="00537E23">
      <w:pPr>
        <w:widowControl w:val="0"/>
        <w:rPr>
          <w:color w:val="000000"/>
          <w:sz w:val="22"/>
          <w:szCs w:val="22"/>
        </w:rPr>
      </w:pPr>
    </w:p>
    <w:p w14:paraId="5745B280" w14:textId="77777777" w:rsidR="00D72F2D" w:rsidRPr="00B30A12" w:rsidRDefault="006615F9" w:rsidP="00537E23">
      <w:pPr>
        <w:widowControl w:val="0"/>
        <w:rPr>
          <w:color w:val="000000"/>
          <w:sz w:val="22"/>
          <w:szCs w:val="22"/>
        </w:rPr>
      </w:pPr>
      <w:r w:rsidRPr="00B30A12">
        <w:rPr>
          <w:i/>
          <w:color w:val="000000"/>
          <w:sz w:val="22"/>
          <w:szCs w:val="22"/>
        </w:rPr>
        <w:t>In vivo</w:t>
      </w:r>
      <w:r w:rsidRPr="00B30A12">
        <w:rPr>
          <w:color w:val="000000"/>
          <w:sz w:val="22"/>
          <w:szCs w:val="22"/>
        </w:rPr>
        <w:t xml:space="preserve"> zeigt der Wirkstoff als Monotherapie in tierischen Modellsystemen unter Verwendung von Bcr-Abl-positiven Tumorzellen eine Anti-Tumoraktivität.</w:t>
      </w:r>
    </w:p>
    <w:p w14:paraId="27DDCEE3" w14:textId="77777777" w:rsidR="006615F9" w:rsidRPr="00B30A12" w:rsidRDefault="006615F9" w:rsidP="00537E23">
      <w:pPr>
        <w:widowControl w:val="0"/>
        <w:rPr>
          <w:color w:val="000000"/>
          <w:sz w:val="22"/>
          <w:szCs w:val="22"/>
        </w:rPr>
      </w:pPr>
    </w:p>
    <w:p w14:paraId="0356B402" w14:textId="77777777" w:rsidR="006615F9"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Imatinib hemmt auch die Tyrosin</w:t>
      </w:r>
      <w:r w:rsidR="001853C4" w:rsidRPr="00B30A12">
        <w:rPr>
          <w:rFonts w:ascii="Times New Roman" w:hAnsi="Times New Roman"/>
          <w:color w:val="000000"/>
          <w:szCs w:val="22"/>
        </w:rPr>
        <w:t>k</w:t>
      </w:r>
      <w:r w:rsidRPr="00B30A12">
        <w:rPr>
          <w:rFonts w:ascii="Times New Roman" w:hAnsi="Times New Roman"/>
          <w:color w:val="000000"/>
          <w:szCs w:val="22"/>
        </w:rPr>
        <w:t xml:space="preserve">inase-Aktivität des PDGF-Rezeptors (platelet-derived growth factor, PDGF) und des Rezeptors für Stammzellfaktor (stem cell factor, SCF), c-Kit, und inhibiert PDGF- und SCF-vermittelte zelluläre Reaktionen. </w:t>
      </w:r>
      <w:r w:rsidRPr="00B30A12">
        <w:rPr>
          <w:rFonts w:ascii="Times New Roman" w:hAnsi="Times New Roman"/>
          <w:i/>
          <w:color w:val="000000"/>
          <w:szCs w:val="22"/>
        </w:rPr>
        <w:t xml:space="preserve">In vitro </w:t>
      </w:r>
      <w:r w:rsidRPr="00B30A12">
        <w:rPr>
          <w:rFonts w:ascii="Times New Roman" w:hAnsi="Times New Roman"/>
          <w:color w:val="000000"/>
          <w:szCs w:val="22"/>
        </w:rPr>
        <w:t xml:space="preserve">hemmt Imatinib die Proliferation und </w:t>
      </w:r>
      <w:r w:rsidRPr="00B30A12">
        <w:rPr>
          <w:rFonts w:ascii="Times New Roman" w:hAnsi="Times New Roman"/>
          <w:color w:val="000000"/>
          <w:szCs w:val="22"/>
        </w:rPr>
        <w:lastRenderedPageBreak/>
        <w:t xml:space="preserve">induziert Apoptose von GIST-Zellen, die eine aktivierende </w:t>
      </w:r>
      <w:r w:rsidRPr="00B30A12">
        <w:rPr>
          <w:rFonts w:ascii="Times New Roman" w:hAnsi="Times New Roman"/>
          <w:i/>
          <w:color w:val="000000"/>
          <w:szCs w:val="22"/>
        </w:rPr>
        <w:t>Kit</w:t>
      </w:r>
      <w:r w:rsidRPr="00B30A12">
        <w:rPr>
          <w:rFonts w:ascii="Times New Roman" w:hAnsi="Times New Roman"/>
          <w:color w:val="000000"/>
          <w:szCs w:val="22"/>
        </w:rPr>
        <w:t>-Mutation aufweisen.</w:t>
      </w:r>
      <w:r w:rsidR="002C0958" w:rsidRPr="00B30A12">
        <w:rPr>
          <w:rFonts w:ascii="Times New Roman" w:hAnsi="Times New Roman"/>
          <w:color w:val="000000"/>
          <w:szCs w:val="22"/>
        </w:rPr>
        <w:t xml:space="preserve"> Die konstitutive Aktivierung des PDGF-Rezeptors oder der Abl-Protein-Tyrosinkinasen als Folge der Fusion mit verschiedenen Partnerproteinen oder die konstitutive Produktion von PDGF wurden mit der Pathogenese von </w:t>
      </w:r>
      <w:smartTag w:uri="urn:schemas-microsoft-com:office:smarttags" w:element="stockticker">
        <w:r w:rsidR="00712DEA" w:rsidRPr="00B30A12">
          <w:rPr>
            <w:rFonts w:ascii="Times New Roman" w:hAnsi="Times New Roman"/>
            <w:color w:val="000000"/>
            <w:szCs w:val="22"/>
          </w:rPr>
          <w:t>MDS</w:t>
        </w:r>
      </w:smartTag>
      <w:r w:rsidR="00712DEA" w:rsidRPr="00B30A12">
        <w:rPr>
          <w:rFonts w:ascii="Times New Roman" w:hAnsi="Times New Roman"/>
          <w:color w:val="000000"/>
          <w:szCs w:val="22"/>
        </w:rPr>
        <w:t>/MPD</w:t>
      </w:r>
      <w:r w:rsidR="006830C5" w:rsidRPr="00B30A12">
        <w:rPr>
          <w:rFonts w:ascii="Times New Roman" w:hAnsi="Times New Roman"/>
          <w:color w:val="000000"/>
          <w:szCs w:val="22"/>
        </w:rPr>
        <w:t>, HES/</w:t>
      </w:r>
      <w:smartTag w:uri="urn:schemas-microsoft-com:office:smarttags" w:element="stockticker">
        <w:r w:rsidR="006830C5" w:rsidRPr="00B30A12">
          <w:rPr>
            <w:rFonts w:ascii="Times New Roman" w:hAnsi="Times New Roman"/>
            <w:color w:val="000000"/>
            <w:szCs w:val="22"/>
          </w:rPr>
          <w:t>CEL</w:t>
        </w:r>
      </w:smartTag>
      <w:r w:rsidR="00712DEA" w:rsidRPr="00B30A12">
        <w:rPr>
          <w:rFonts w:ascii="Times New Roman" w:hAnsi="Times New Roman"/>
          <w:color w:val="000000"/>
          <w:szCs w:val="22"/>
        </w:rPr>
        <w:t xml:space="preserve"> und </w:t>
      </w:r>
      <w:r w:rsidR="002C0958" w:rsidRPr="00B30A12">
        <w:rPr>
          <w:rFonts w:ascii="Times New Roman" w:hAnsi="Times New Roman"/>
          <w:color w:val="000000"/>
          <w:szCs w:val="22"/>
        </w:rPr>
        <w:t>DFSP in Verbindung gebracht. Imatinib verhindert die durch Dysregulation des PDGF-Rezeptors und durch die Abl-Kinase-Aktivität gesteuerte Signalübertragung und Proliferation von Zellen.</w:t>
      </w:r>
    </w:p>
    <w:p w14:paraId="30446687" w14:textId="77777777" w:rsidR="006615F9" w:rsidRPr="00B30A12" w:rsidRDefault="006615F9" w:rsidP="00537E23">
      <w:pPr>
        <w:widowControl w:val="0"/>
        <w:rPr>
          <w:color w:val="000000"/>
          <w:sz w:val="22"/>
          <w:szCs w:val="22"/>
        </w:rPr>
      </w:pPr>
    </w:p>
    <w:p w14:paraId="4B1E0C8E" w14:textId="77777777" w:rsidR="006615F9" w:rsidRPr="00B30A12" w:rsidRDefault="006615F9" w:rsidP="007A2B84">
      <w:pPr>
        <w:pStyle w:val="Heading7"/>
        <w:widowControl w:val="0"/>
        <w:numPr>
          <w:ilvl w:val="0"/>
          <w:numId w:val="0"/>
        </w:numPr>
        <w:tabs>
          <w:tab w:val="clear" w:pos="-720"/>
          <w:tab w:val="clear" w:pos="567"/>
          <w:tab w:val="clear" w:pos="4536"/>
        </w:tabs>
        <w:suppressAutoHyphens w:val="0"/>
        <w:spacing w:line="240" w:lineRule="auto"/>
        <w:jc w:val="left"/>
        <w:rPr>
          <w:i w:val="0"/>
          <w:color w:val="000000"/>
          <w:szCs w:val="22"/>
          <w:u w:val="single"/>
          <w:lang w:val="de-DE"/>
        </w:rPr>
      </w:pPr>
      <w:r w:rsidRPr="00B30A12">
        <w:rPr>
          <w:i w:val="0"/>
          <w:color w:val="000000"/>
          <w:szCs w:val="22"/>
          <w:u w:val="single"/>
          <w:lang w:val="de-DE"/>
        </w:rPr>
        <w:t>Klinische Studien bei CML</w:t>
      </w:r>
    </w:p>
    <w:p w14:paraId="5AD47050" w14:textId="77777777" w:rsidR="006615F9"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Die Wirksamkeit von Glivec basiert auf den hämatologischen und zytogenetischen Gesamtansprechra</w:t>
      </w:r>
      <w:r w:rsidRPr="00B30A12">
        <w:rPr>
          <w:rFonts w:ascii="Times New Roman" w:hAnsi="Times New Roman"/>
          <w:color w:val="000000"/>
          <w:szCs w:val="22"/>
        </w:rPr>
        <w:softHyphen/>
        <w:t>ten</w:t>
      </w:r>
      <w:r w:rsidR="00286958" w:rsidRPr="00B30A12">
        <w:rPr>
          <w:rFonts w:ascii="Times New Roman" w:hAnsi="Times New Roman"/>
          <w:color w:val="000000"/>
          <w:szCs w:val="22"/>
        </w:rPr>
        <w:t xml:space="preserve"> und dem progressionsfreien Überleben</w:t>
      </w:r>
      <w:r w:rsidRPr="00B30A12">
        <w:rPr>
          <w:rFonts w:ascii="Times New Roman" w:hAnsi="Times New Roman"/>
          <w:color w:val="000000"/>
          <w:szCs w:val="22"/>
        </w:rPr>
        <w:t xml:space="preserve">. </w:t>
      </w:r>
      <w:r w:rsidR="00286958" w:rsidRPr="00B30A12">
        <w:rPr>
          <w:rFonts w:ascii="Times New Roman" w:hAnsi="Times New Roman"/>
          <w:color w:val="000000"/>
          <w:szCs w:val="22"/>
        </w:rPr>
        <w:t xml:space="preserve">Außer bei neu diagnostizierter CML in der chronischen Phase </w:t>
      </w:r>
      <w:r w:rsidRPr="00B30A12">
        <w:rPr>
          <w:rFonts w:ascii="Times New Roman" w:hAnsi="Times New Roman"/>
          <w:color w:val="000000"/>
          <w:szCs w:val="22"/>
        </w:rPr>
        <w:t>liegen keine kontrollierten Studien vor, die einen klinischen Vorteil wie eine Verbesserung der Krankheitssymptomatik oder ein verlängertes Überleben belegen.</w:t>
      </w:r>
    </w:p>
    <w:p w14:paraId="22E586E7" w14:textId="77777777" w:rsidR="006615F9" w:rsidRPr="00B30A12" w:rsidRDefault="006615F9" w:rsidP="00537E23">
      <w:pPr>
        <w:widowControl w:val="0"/>
        <w:rPr>
          <w:color w:val="000000"/>
          <w:sz w:val="22"/>
          <w:szCs w:val="22"/>
        </w:rPr>
      </w:pPr>
    </w:p>
    <w:p w14:paraId="5A751D97" w14:textId="77777777" w:rsidR="006615F9" w:rsidRPr="00B30A12" w:rsidRDefault="006615F9" w:rsidP="00537E23">
      <w:pPr>
        <w:widowControl w:val="0"/>
        <w:rPr>
          <w:color w:val="000000"/>
          <w:sz w:val="22"/>
          <w:szCs w:val="22"/>
        </w:rPr>
      </w:pPr>
      <w:r w:rsidRPr="00B30A12">
        <w:rPr>
          <w:color w:val="000000"/>
          <w:sz w:val="22"/>
          <w:szCs w:val="22"/>
        </w:rPr>
        <w:t>Drei große internationale, offene und nicht kontrollierte klinische Phase</w:t>
      </w:r>
      <w:r w:rsidR="001853C4" w:rsidRPr="00B30A12">
        <w:rPr>
          <w:color w:val="000000"/>
          <w:sz w:val="22"/>
          <w:szCs w:val="22"/>
        </w:rPr>
        <w:t>-</w:t>
      </w:r>
      <w:r w:rsidRPr="00B30A12">
        <w:rPr>
          <w:color w:val="000000"/>
          <w:sz w:val="22"/>
          <w:szCs w:val="22"/>
        </w:rPr>
        <w:t>II-Studien wurden bei Patienten mit Philadelphia-Chromosom-positiver (Ph</w:t>
      </w:r>
      <w:r w:rsidRPr="00B30A12">
        <w:rPr>
          <w:color w:val="000000"/>
          <w:sz w:val="22"/>
          <w:szCs w:val="22"/>
          <w:vertAlign w:val="superscript"/>
        </w:rPr>
        <w:t>+</w:t>
      </w:r>
      <w:r w:rsidRPr="00B30A12">
        <w:rPr>
          <w:color w:val="000000"/>
          <w:sz w:val="22"/>
          <w:szCs w:val="22"/>
        </w:rPr>
        <w:t>) CML im fortgeschrittenen Stadium, d.</w:t>
      </w:r>
      <w:r w:rsidR="001853C4" w:rsidRPr="00B30A12">
        <w:rPr>
          <w:color w:val="000000"/>
          <w:sz w:val="22"/>
          <w:szCs w:val="22"/>
        </w:rPr>
        <w:t> </w:t>
      </w:r>
      <w:r w:rsidRPr="00B30A12">
        <w:rPr>
          <w:color w:val="000000"/>
          <w:sz w:val="22"/>
          <w:szCs w:val="22"/>
        </w:rPr>
        <w:t>h. in der Blastenkrise und in der akzelerierten Phase, sowie bei Patienten mit anderen Ph</w:t>
      </w:r>
      <w:r w:rsidRPr="00B30A12">
        <w:rPr>
          <w:color w:val="000000"/>
          <w:sz w:val="22"/>
          <w:szCs w:val="22"/>
          <w:vertAlign w:val="superscript"/>
        </w:rPr>
        <w:t>+</w:t>
      </w:r>
      <w:r w:rsidRPr="00B30A12">
        <w:rPr>
          <w:color w:val="000000"/>
          <w:sz w:val="22"/>
          <w:szCs w:val="22"/>
        </w:rPr>
        <w:t>-Leukämien oder bei Patienten mit einer CML in der chronischen Phase durchgeführt, bei denen eine vorangegangene Interfe</w:t>
      </w:r>
      <w:r w:rsidRPr="00B30A12">
        <w:rPr>
          <w:color w:val="000000"/>
          <w:sz w:val="22"/>
          <w:szCs w:val="22"/>
        </w:rPr>
        <w:softHyphen/>
        <w:t>ron-</w:t>
      </w:r>
      <w:r w:rsidR="001853C4" w:rsidRPr="00B30A12">
        <w:rPr>
          <w:color w:val="000000"/>
          <w:sz w:val="22"/>
          <w:szCs w:val="22"/>
        </w:rPr>
        <w:t>alpha(IFN)</w:t>
      </w:r>
      <w:r w:rsidRPr="00B30A12">
        <w:rPr>
          <w:color w:val="000000"/>
          <w:sz w:val="22"/>
          <w:szCs w:val="22"/>
        </w:rPr>
        <w:t>-Therapie versagte. Eine große offene, multizentrische, internationale, randomisierte Phase</w:t>
      </w:r>
      <w:r w:rsidR="00FC64C4" w:rsidRPr="00B30A12">
        <w:rPr>
          <w:color w:val="000000"/>
          <w:sz w:val="22"/>
          <w:szCs w:val="22"/>
        </w:rPr>
        <w:t>-</w:t>
      </w:r>
      <w:smartTag w:uri="urn:schemas-microsoft-com:office:smarttags" w:element="stockticker">
        <w:r w:rsidRPr="00B30A12">
          <w:rPr>
            <w:color w:val="000000"/>
            <w:sz w:val="22"/>
            <w:szCs w:val="22"/>
          </w:rPr>
          <w:t>III</w:t>
        </w:r>
      </w:smartTag>
      <w:r w:rsidRPr="00B30A12">
        <w:rPr>
          <w:color w:val="000000"/>
          <w:sz w:val="22"/>
          <w:szCs w:val="22"/>
        </w:rPr>
        <w:t>-Studie wurde bei Patienten mit neu diagnostizierter Ph+-CML durchgeführt. Darüber hinaus wurden Kinder in zwei Phase</w:t>
      </w:r>
      <w:r w:rsidR="001853C4" w:rsidRPr="00B30A12">
        <w:rPr>
          <w:color w:val="000000"/>
          <w:sz w:val="22"/>
          <w:szCs w:val="22"/>
        </w:rPr>
        <w:t>-</w:t>
      </w:r>
      <w:r w:rsidRPr="00B30A12">
        <w:rPr>
          <w:color w:val="000000"/>
          <w:sz w:val="22"/>
          <w:szCs w:val="22"/>
        </w:rPr>
        <w:t xml:space="preserve">I-Studien </w:t>
      </w:r>
      <w:r w:rsidR="00DE12A5" w:rsidRPr="00B30A12">
        <w:rPr>
          <w:color w:val="000000"/>
          <w:sz w:val="22"/>
          <w:szCs w:val="22"/>
        </w:rPr>
        <w:t xml:space="preserve">und einer Phase II-Studie </w:t>
      </w:r>
      <w:r w:rsidRPr="00B30A12">
        <w:rPr>
          <w:color w:val="000000"/>
          <w:sz w:val="22"/>
          <w:szCs w:val="22"/>
        </w:rPr>
        <w:t>behandelt.</w:t>
      </w:r>
    </w:p>
    <w:p w14:paraId="59FD033E" w14:textId="77777777" w:rsidR="006615F9" w:rsidRPr="00B30A12" w:rsidRDefault="006615F9" w:rsidP="00537E23">
      <w:pPr>
        <w:widowControl w:val="0"/>
        <w:rPr>
          <w:color w:val="000000"/>
          <w:sz w:val="22"/>
          <w:szCs w:val="22"/>
        </w:rPr>
      </w:pPr>
    </w:p>
    <w:p w14:paraId="5A72561C" w14:textId="77777777" w:rsidR="006615F9" w:rsidRPr="00B30A12" w:rsidRDefault="006615F9" w:rsidP="00537E23">
      <w:pPr>
        <w:widowControl w:val="0"/>
        <w:rPr>
          <w:color w:val="000000"/>
          <w:sz w:val="22"/>
          <w:szCs w:val="22"/>
        </w:rPr>
      </w:pPr>
      <w:r w:rsidRPr="00B30A12">
        <w:rPr>
          <w:color w:val="000000"/>
          <w:sz w:val="22"/>
          <w:szCs w:val="22"/>
        </w:rPr>
        <w:t>In allen klinischen Studien waren 38</w:t>
      </w:r>
      <w:r w:rsidR="00975215" w:rsidRPr="00B30A12">
        <w:rPr>
          <w:color w:val="000000"/>
          <w:sz w:val="22"/>
          <w:szCs w:val="22"/>
        </w:rPr>
        <w:t>–</w:t>
      </w:r>
      <w:r w:rsidRPr="00B30A12">
        <w:rPr>
          <w:color w:val="000000"/>
          <w:sz w:val="22"/>
          <w:szCs w:val="22"/>
        </w:rPr>
        <w:t>40</w:t>
      </w:r>
      <w:r w:rsidR="006766AC" w:rsidRPr="00B30A12">
        <w:rPr>
          <w:color w:val="000000"/>
          <w:sz w:val="22"/>
          <w:szCs w:val="22"/>
        </w:rPr>
        <w:t>%</w:t>
      </w:r>
      <w:r w:rsidRPr="00B30A12">
        <w:rPr>
          <w:color w:val="000000"/>
          <w:sz w:val="22"/>
          <w:szCs w:val="22"/>
        </w:rPr>
        <w:t xml:space="preserve"> der Patienten ≥</w:t>
      </w:r>
      <w:r w:rsidR="00975215" w:rsidRPr="00B30A12">
        <w:rPr>
          <w:color w:val="000000"/>
          <w:sz w:val="22"/>
          <w:szCs w:val="22"/>
        </w:rPr>
        <w:t> </w:t>
      </w:r>
      <w:r w:rsidRPr="00B30A12">
        <w:rPr>
          <w:color w:val="000000"/>
          <w:sz w:val="22"/>
          <w:szCs w:val="22"/>
        </w:rPr>
        <w:t>60</w:t>
      </w:r>
      <w:r w:rsidR="00C80819" w:rsidRPr="00B30A12">
        <w:rPr>
          <w:color w:val="000000"/>
          <w:sz w:val="22"/>
          <w:szCs w:val="22"/>
        </w:rPr>
        <w:t> </w:t>
      </w:r>
      <w:r w:rsidRPr="00B30A12">
        <w:rPr>
          <w:color w:val="000000"/>
          <w:sz w:val="22"/>
          <w:szCs w:val="22"/>
        </w:rPr>
        <w:t>Jahre und 10</w:t>
      </w:r>
      <w:r w:rsidR="00975215" w:rsidRPr="00B30A12">
        <w:rPr>
          <w:color w:val="000000"/>
          <w:sz w:val="22"/>
          <w:szCs w:val="22"/>
        </w:rPr>
        <w:t>–</w:t>
      </w:r>
      <w:r w:rsidRPr="00B30A12">
        <w:rPr>
          <w:color w:val="000000"/>
          <w:sz w:val="22"/>
          <w:szCs w:val="22"/>
        </w:rPr>
        <w:t>12</w:t>
      </w:r>
      <w:r w:rsidR="006766AC" w:rsidRPr="00B30A12">
        <w:rPr>
          <w:color w:val="000000"/>
          <w:sz w:val="22"/>
          <w:szCs w:val="22"/>
        </w:rPr>
        <w:t>%</w:t>
      </w:r>
      <w:r w:rsidRPr="00B30A12">
        <w:rPr>
          <w:color w:val="000000"/>
          <w:sz w:val="22"/>
          <w:szCs w:val="22"/>
        </w:rPr>
        <w:t xml:space="preserve"> der Patienten ≥ 70 Jahre alt.</w:t>
      </w:r>
    </w:p>
    <w:p w14:paraId="6F5E6249" w14:textId="77777777" w:rsidR="006615F9" w:rsidRPr="00B30A12" w:rsidRDefault="006615F9" w:rsidP="00537E23">
      <w:pPr>
        <w:widowControl w:val="0"/>
        <w:rPr>
          <w:color w:val="000000"/>
          <w:sz w:val="22"/>
          <w:szCs w:val="22"/>
        </w:rPr>
      </w:pPr>
    </w:p>
    <w:p w14:paraId="12ED7CDD" w14:textId="77777777" w:rsidR="006615F9" w:rsidRPr="00B30A12" w:rsidRDefault="006615F9" w:rsidP="00537E23">
      <w:pPr>
        <w:widowControl w:val="0"/>
        <w:rPr>
          <w:color w:val="000000"/>
          <w:sz w:val="22"/>
          <w:szCs w:val="22"/>
        </w:rPr>
      </w:pPr>
      <w:r w:rsidRPr="00B30A12">
        <w:rPr>
          <w:i/>
          <w:color w:val="000000"/>
          <w:sz w:val="22"/>
          <w:szCs w:val="22"/>
        </w:rPr>
        <w:t xml:space="preserve">Chronische Phase, neu diagnostiziert: </w:t>
      </w:r>
      <w:r w:rsidRPr="00B30A12">
        <w:rPr>
          <w:color w:val="000000"/>
          <w:sz w:val="22"/>
          <w:szCs w:val="22"/>
        </w:rPr>
        <w:t>Diese Phase</w:t>
      </w:r>
      <w:r w:rsidR="00FC64C4" w:rsidRPr="00B30A12">
        <w:rPr>
          <w:color w:val="000000"/>
          <w:sz w:val="22"/>
          <w:szCs w:val="22"/>
        </w:rPr>
        <w:t>-</w:t>
      </w:r>
      <w:smartTag w:uri="urn:schemas-microsoft-com:office:smarttags" w:element="stockticker">
        <w:r w:rsidRPr="00B30A12">
          <w:rPr>
            <w:color w:val="000000"/>
            <w:sz w:val="22"/>
            <w:szCs w:val="22"/>
          </w:rPr>
          <w:t>III</w:t>
        </w:r>
      </w:smartTag>
      <w:r w:rsidRPr="00B30A12">
        <w:rPr>
          <w:color w:val="000000"/>
          <w:sz w:val="22"/>
          <w:szCs w:val="22"/>
        </w:rPr>
        <w:t xml:space="preserve">-Studie </w:t>
      </w:r>
      <w:r w:rsidR="00DE12A5" w:rsidRPr="00B30A12">
        <w:rPr>
          <w:color w:val="000000"/>
          <w:sz w:val="22"/>
          <w:szCs w:val="22"/>
        </w:rPr>
        <w:t xml:space="preserve">an Erwachsenen </w:t>
      </w:r>
      <w:r w:rsidRPr="00B30A12">
        <w:rPr>
          <w:color w:val="000000"/>
          <w:sz w:val="22"/>
          <w:szCs w:val="22"/>
        </w:rPr>
        <w:t>verglich die Behandlung von Glivec allein</w:t>
      </w:r>
      <w:r w:rsidRPr="00B30A12">
        <w:rPr>
          <w:i/>
          <w:color w:val="000000"/>
          <w:sz w:val="22"/>
          <w:szCs w:val="22"/>
        </w:rPr>
        <w:t xml:space="preserve"> </w:t>
      </w:r>
      <w:r w:rsidRPr="00B30A12">
        <w:rPr>
          <w:color w:val="000000"/>
          <w:sz w:val="22"/>
          <w:szCs w:val="22"/>
        </w:rPr>
        <w:t>mit der Kombination aus Interferon-alpha (IFN) plus Cytarabin (Ara-C). Patienten, die kein</w:t>
      </w:r>
      <w:r w:rsidR="00680171" w:rsidRPr="00B30A12">
        <w:rPr>
          <w:color w:val="000000"/>
          <w:sz w:val="22"/>
          <w:szCs w:val="22"/>
        </w:rPr>
        <w:t>e</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(kein</w:t>
      </w:r>
      <w:r w:rsidR="00680171" w:rsidRPr="00B30A12">
        <w:rPr>
          <w:color w:val="000000"/>
          <w:sz w:val="22"/>
          <w:szCs w:val="22"/>
        </w:rPr>
        <w:t>e</w:t>
      </w:r>
      <w:r w:rsidRPr="00B30A12">
        <w:rPr>
          <w:color w:val="000000"/>
          <w:sz w:val="22"/>
          <w:szCs w:val="22"/>
        </w:rPr>
        <w:t xml:space="preserve"> </w:t>
      </w:r>
      <w:r w:rsidR="007034DE" w:rsidRPr="00B30A12">
        <w:rPr>
          <w:color w:val="000000"/>
          <w:sz w:val="22"/>
          <w:szCs w:val="22"/>
        </w:rPr>
        <w:t xml:space="preserve">komplette </w:t>
      </w:r>
      <w:r w:rsidRPr="00B30A12">
        <w:rPr>
          <w:color w:val="000000"/>
          <w:sz w:val="22"/>
          <w:szCs w:val="22"/>
        </w:rPr>
        <w:t xml:space="preserve">hämatologische </w:t>
      </w:r>
      <w:r w:rsidR="00680171" w:rsidRPr="00B30A12">
        <w:rPr>
          <w:color w:val="000000"/>
          <w:sz w:val="22"/>
          <w:szCs w:val="22"/>
        </w:rPr>
        <w:t>Remission</w:t>
      </w:r>
      <w:r w:rsidRPr="00B30A12">
        <w:rPr>
          <w:color w:val="000000"/>
          <w:sz w:val="22"/>
          <w:szCs w:val="22"/>
        </w:rPr>
        <w:t xml:space="preserve"> [</w:t>
      </w:r>
      <w:smartTag w:uri="urn:schemas-microsoft-com:office:smarttags" w:element="stockticker">
        <w:r w:rsidRPr="00B30A12">
          <w:rPr>
            <w:color w:val="000000"/>
            <w:sz w:val="22"/>
            <w:szCs w:val="22"/>
          </w:rPr>
          <w:t>CHR</w:t>
        </w:r>
      </w:smartTag>
      <w:r w:rsidRPr="00B30A12">
        <w:rPr>
          <w:color w:val="000000"/>
          <w:sz w:val="22"/>
          <w:szCs w:val="22"/>
        </w:rPr>
        <w:t>] nach 6</w:t>
      </w:r>
      <w:r w:rsidR="00C80819" w:rsidRPr="00B30A12">
        <w:rPr>
          <w:color w:val="000000"/>
          <w:sz w:val="22"/>
          <w:szCs w:val="22"/>
        </w:rPr>
        <w:t> </w:t>
      </w:r>
      <w:r w:rsidRPr="00B30A12">
        <w:rPr>
          <w:color w:val="000000"/>
          <w:sz w:val="22"/>
          <w:szCs w:val="22"/>
        </w:rPr>
        <w:t>Monaten, erhöhte Leukozyten</w:t>
      </w:r>
      <w:r w:rsidRPr="00B30A12">
        <w:rPr>
          <w:color w:val="000000"/>
          <w:sz w:val="22"/>
          <w:szCs w:val="22"/>
        </w:rPr>
        <w:softHyphen/>
        <w:t>zahl [WBC], kein</w:t>
      </w:r>
      <w:r w:rsidR="00680171" w:rsidRPr="00B30A12">
        <w:rPr>
          <w:color w:val="000000"/>
          <w:sz w:val="22"/>
          <w:szCs w:val="22"/>
        </w:rPr>
        <w:t>e</w:t>
      </w:r>
      <w:r w:rsidRPr="00B30A12">
        <w:rPr>
          <w:color w:val="000000"/>
          <w:sz w:val="22"/>
          <w:szCs w:val="22"/>
        </w:rPr>
        <w:t xml:space="preserve"> </w:t>
      </w:r>
      <w:r w:rsidR="007034DE" w:rsidRPr="00B30A12">
        <w:rPr>
          <w:color w:val="000000"/>
          <w:sz w:val="22"/>
          <w:szCs w:val="22"/>
        </w:rPr>
        <w:t xml:space="preserve">gute </w:t>
      </w:r>
      <w:r w:rsidRPr="00B30A12">
        <w:rPr>
          <w:color w:val="000000"/>
          <w:sz w:val="22"/>
          <w:szCs w:val="22"/>
        </w:rPr>
        <w:t xml:space="preserve">zytogenetische </w:t>
      </w:r>
      <w:r w:rsidR="00680171" w:rsidRPr="00B30A12">
        <w:rPr>
          <w:color w:val="000000"/>
          <w:sz w:val="22"/>
          <w:szCs w:val="22"/>
        </w:rPr>
        <w:t>Remission</w:t>
      </w:r>
      <w:r w:rsidRPr="00B30A12">
        <w:rPr>
          <w:color w:val="000000"/>
          <w:sz w:val="22"/>
          <w:szCs w:val="22"/>
        </w:rPr>
        <w:t xml:space="preserve"> [MCyR] nach 24 Monaten), Verlust de</w:t>
      </w:r>
      <w:r w:rsidR="00680171" w:rsidRPr="00B30A12">
        <w:rPr>
          <w:color w:val="000000"/>
          <w:sz w:val="22"/>
          <w:szCs w:val="22"/>
        </w:rPr>
        <w:t>r</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(Verlust </w:t>
      </w:r>
      <w:smartTag w:uri="urn:schemas-microsoft-com:office:smarttags" w:element="stockticker">
        <w:r w:rsidRPr="00B30A12">
          <w:rPr>
            <w:color w:val="000000"/>
            <w:sz w:val="22"/>
            <w:szCs w:val="22"/>
          </w:rPr>
          <w:t>CHR</w:t>
        </w:r>
      </w:smartTag>
      <w:r w:rsidRPr="00B30A12">
        <w:rPr>
          <w:color w:val="000000"/>
          <w:sz w:val="22"/>
          <w:szCs w:val="22"/>
        </w:rPr>
        <w:t xml:space="preserve"> oder MCyR) oder schwere Unverträglichkeit gegenüber der Behandlung zeig</w:t>
      </w:r>
      <w:r w:rsidRPr="00B30A12">
        <w:rPr>
          <w:color w:val="000000"/>
          <w:sz w:val="22"/>
          <w:szCs w:val="22"/>
        </w:rPr>
        <w:softHyphen/>
        <w:t>ten, konnten in den alternativen Behandlungsarm wechseln. Im Glivec-Arm wurden die Patienten mit 400</w:t>
      </w:r>
      <w:r w:rsidR="001922B0" w:rsidRPr="00B30A12">
        <w:rPr>
          <w:color w:val="000000"/>
          <w:sz w:val="22"/>
          <w:szCs w:val="22"/>
        </w:rPr>
        <w:t> mg</w:t>
      </w:r>
      <w:r w:rsidRPr="00B30A12">
        <w:rPr>
          <w:color w:val="000000"/>
          <w:sz w:val="22"/>
          <w:szCs w:val="22"/>
        </w:rPr>
        <w:t xml:space="preserve"> täglich behandelt. Im IFN-Arm wurden die Patienten mit einer Zieldosierung von 5</w:t>
      </w:r>
      <w:r w:rsidR="00C80819" w:rsidRPr="00B30A12">
        <w:rPr>
          <w:color w:val="000000"/>
          <w:sz w:val="22"/>
          <w:szCs w:val="22"/>
        </w:rPr>
        <w:t> </w:t>
      </w:r>
      <w:r w:rsidRPr="00B30A12">
        <w:rPr>
          <w:color w:val="000000"/>
          <w:sz w:val="22"/>
          <w:szCs w:val="22"/>
        </w:rPr>
        <w:t>Mio IU /m</w:t>
      </w:r>
      <w:r w:rsidRPr="00B30A12">
        <w:rPr>
          <w:color w:val="000000"/>
          <w:sz w:val="22"/>
          <w:szCs w:val="22"/>
          <w:vertAlign w:val="superscript"/>
        </w:rPr>
        <w:t>2</w:t>
      </w:r>
      <w:r w:rsidRPr="00B30A12">
        <w:rPr>
          <w:color w:val="000000"/>
          <w:sz w:val="22"/>
          <w:szCs w:val="22"/>
        </w:rPr>
        <w:t>/Tag subkutan verabreichtem IFN in Kombination mit subkutan verabreichtem Ara-C in einer Do</w:t>
      </w:r>
      <w:r w:rsidRPr="00B30A12">
        <w:rPr>
          <w:color w:val="000000"/>
          <w:sz w:val="22"/>
          <w:szCs w:val="22"/>
        </w:rPr>
        <w:softHyphen/>
        <w:t>sierung von 20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über 10</w:t>
      </w:r>
      <w:r w:rsidR="00C80819" w:rsidRPr="00B30A12">
        <w:rPr>
          <w:color w:val="000000"/>
          <w:sz w:val="22"/>
          <w:szCs w:val="22"/>
        </w:rPr>
        <w:t> </w:t>
      </w:r>
      <w:r w:rsidRPr="00B30A12">
        <w:rPr>
          <w:color w:val="000000"/>
          <w:sz w:val="22"/>
          <w:szCs w:val="22"/>
        </w:rPr>
        <w:t>Tage/Monat behandelt.</w:t>
      </w:r>
    </w:p>
    <w:p w14:paraId="3BDBE4F4" w14:textId="77777777" w:rsidR="006615F9" w:rsidRPr="00B30A12" w:rsidRDefault="006615F9" w:rsidP="00537E23">
      <w:pPr>
        <w:widowControl w:val="0"/>
        <w:rPr>
          <w:color w:val="000000"/>
          <w:sz w:val="22"/>
          <w:szCs w:val="22"/>
        </w:rPr>
      </w:pPr>
    </w:p>
    <w:p w14:paraId="7DEB4718" w14:textId="77777777" w:rsidR="00C75F16" w:rsidRPr="00B30A12" w:rsidRDefault="006615F9" w:rsidP="00537E23">
      <w:pPr>
        <w:widowControl w:val="0"/>
        <w:rPr>
          <w:color w:val="000000"/>
          <w:sz w:val="22"/>
          <w:szCs w:val="22"/>
        </w:rPr>
      </w:pPr>
      <w:r w:rsidRPr="00B30A12">
        <w:rPr>
          <w:color w:val="000000"/>
          <w:sz w:val="22"/>
          <w:szCs w:val="22"/>
        </w:rPr>
        <w:t>Insgesamt wurden 1</w:t>
      </w:r>
      <w:r w:rsidR="00BB10C8" w:rsidRPr="00B30A12">
        <w:rPr>
          <w:color w:val="000000"/>
          <w:sz w:val="22"/>
          <w:szCs w:val="22"/>
        </w:rPr>
        <w:t>.</w:t>
      </w:r>
      <w:r w:rsidRPr="00B30A12">
        <w:rPr>
          <w:color w:val="000000"/>
          <w:sz w:val="22"/>
          <w:szCs w:val="22"/>
        </w:rPr>
        <w:t>106</w:t>
      </w:r>
      <w:r w:rsidR="00C80819" w:rsidRPr="00B30A12">
        <w:rPr>
          <w:color w:val="000000"/>
          <w:sz w:val="22"/>
          <w:szCs w:val="22"/>
        </w:rPr>
        <w:t> </w:t>
      </w:r>
      <w:r w:rsidRPr="00B30A12">
        <w:rPr>
          <w:color w:val="000000"/>
          <w:sz w:val="22"/>
          <w:szCs w:val="22"/>
        </w:rPr>
        <w:t>Patienten randomisiert, 553 in jeden Arm. Die beiden Arme waren hinsichtlich der Ausgangsprofile der Patienten gut ausbalanciert. Das Alter betrug im Median 51 Jahre (18–70</w:t>
      </w:r>
      <w:r w:rsidR="00C80819" w:rsidRPr="00B30A12">
        <w:rPr>
          <w:color w:val="000000"/>
          <w:sz w:val="22"/>
          <w:szCs w:val="22"/>
        </w:rPr>
        <w:t> </w:t>
      </w:r>
      <w:r w:rsidRPr="00B30A12">
        <w:rPr>
          <w:color w:val="000000"/>
          <w:sz w:val="22"/>
          <w:szCs w:val="22"/>
        </w:rPr>
        <w:t>Jahre), wobei 21,9</w:t>
      </w:r>
      <w:r w:rsidR="006766AC" w:rsidRPr="00B30A12">
        <w:rPr>
          <w:color w:val="000000"/>
          <w:sz w:val="22"/>
          <w:szCs w:val="22"/>
        </w:rPr>
        <w:t>%</w:t>
      </w:r>
      <w:r w:rsidRPr="00B30A12">
        <w:rPr>
          <w:color w:val="000000"/>
          <w:sz w:val="22"/>
          <w:szCs w:val="22"/>
        </w:rPr>
        <w:t xml:space="preserve"> </w:t>
      </w:r>
      <w:r w:rsidRPr="00B30A12">
        <w:rPr>
          <w:color w:val="000000"/>
          <w:sz w:val="22"/>
          <w:szCs w:val="22"/>
          <w:u w:val="single"/>
        </w:rPr>
        <w:t>&gt;</w:t>
      </w:r>
      <w:r w:rsidR="00975215" w:rsidRPr="00B30A12">
        <w:rPr>
          <w:color w:val="000000"/>
          <w:sz w:val="22"/>
          <w:szCs w:val="22"/>
        </w:rPr>
        <w:t> </w:t>
      </w:r>
      <w:r w:rsidRPr="00B30A12">
        <w:rPr>
          <w:color w:val="000000"/>
          <w:sz w:val="22"/>
          <w:szCs w:val="22"/>
        </w:rPr>
        <w:t>60</w:t>
      </w:r>
      <w:r w:rsidR="00975215" w:rsidRPr="00B30A12">
        <w:rPr>
          <w:color w:val="000000"/>
          <w:sz w:val="22"/>
          <w:szCs w:val="22"/>
        </w:rPr>
        <w:t> </w:t>
      </w:r>
      <w:r w:rsidRPr="00B30A12">
        <w:rPr>
          <w:color w:val="000000"/>
          <w:sz w:val="22"/>
          <w:szCs w:val="22"/>
        </w:rPr>
        <w:t>Jahre waren. 59</w:t>
      </w:r>
      <w:r w:rsidR="006766AC" w:rsidRPr="00B30A12">
        <w:rPr>
          <w:color w:val="000000"/>
          <w:sz w:val="22"/>
          <w:szCs w:val="22"/>
        </w:rPr>
        <w:t>%</w:t>
      </w:r>
      <w:r w:rsidRPr="00B30A12">
        <w:rPr>
          <w:color w:val="000000"/>
          <w:sz w:val="22"/>
          <w:szCs w:val="22"/>
        </w:rPr>
        <w:t xml:space="preserve"> waren männlich und 41</w:t>
      </w:r>
      <w:r w:rsidR="006766AC" w:rsidRPr="00B30A12">
        <w:rPr>
          <w:color w:val="000000"/>
          <w:sz w:val="22"/>
          <w:szCs w:val="22"/>
        </w:rPr>
        <w:t>%</w:t>
      </w:r>
      <w:r w:rsidRPr="00B30A12">
        <w:rPr>
          <w:color w:val="000000"/>
          <w:sz w:val="22"/>
          <w:szCs w:val="22"/>
        </w:rPr>
        <w:t xml:space="preserve"> weiblich; 89,9</w:t>
      </w:r>
      <w:r w:rsidR="006766AC" w:rsidRPr="00B30A12">
        <w:rPr>
          <w:color w:val="000000"/>
          <w:sz w:val="22"/>
          <w:szCs w:val="22"/>
        </w:rPr>
        <w:t>%</w:t>
      </w:r>
      <w:r w:rsidRPr="00B30A12">
        <w:rPr>
          <w:color w:val="000000"/>
          <w:sz w:val="22"/>
          <w:szCs w:val="22"/>
        </w:rPr>
        <w:t xml:space="preserve"> waren Kaukasier und 4,7</w:t>
      </w:r>
      <w:r w:rsidR="006766AC" w:rsidRPr="00B30A12">
        <w:rPr>
          <w:color w:val="000000"/>
          <w:sz w:val="22"/>
          <w:szCs w:val="22"/>
        </w:rPr>
        <w:t>%</w:t>
      </w:r>
      <w:r w:rsidRPr="00B30A12">
        <w:rPr>
          <w:color w:val="000000"/>
          <w:sz w:val="22"/>
          <w:szCs w:val="22"/>
        </w:rPr>
        <w:t xml:space="preserve"> Farbige. </w:t>
      </w:r>
      <w:r w:rsidR="00D813D3" w:rsidRPr="00B30A12">
        <w:rPr>
          <w:color w:val="000000"/>
          <w:sz w:val="22"/>
          <w:szCs w:val="22"/>
        </w:rPr>
        <w:t>Sieben</w:t>
      </w:r>
      <w:r w:rsidR="00286958" w:rsidRPr="00B30A12">
        <w:rPr>
          <w:color w:val="000000"/>
          <w:sz w:val="22"/>
          <w:szCs w:val="22"/>
        </w:rPr>
        <w:t xml:space="preserve"> Jahre nach Einschluss des letzten Patienten betrug die mediane Dauer bei der First-</w:t>
      </w:r>
      <w:r w:rsidR="00BB0C48" w:rsidRPr="00B30A12">
        <w:rPr>
          <w:color w:val="000000"/>
          <w:sz w:val="22"/>
          <w:szCs w:val="22"/>
        </w:rPr>
        <w:t>L</w:t>
      </w:r>
      <w:r w:rsidR="00286958" w:rsidRPr="00B30A12">
        <w:rPr>
          <w:color w:val="000000"/>
          <w:sz w:val="22"/>
          <w:szCs w:val="22"/>
        </w:rPr>
        <w:t xml:space="preserve">ine-Therapie </w:t>
      </w:r>
      <w:r w:rsidR="0009196E" w:rsidRPr="00B30A12">
        <w:rPr>
          <w:color w:val="000000"/>
          <w:sz w:val="22"/>
          <w:szCs w:val="22"/>
        </w:rPr>
        <w:t>82</w:t>
      </w:r>
      <w:r w:rsidR="00A63535" w:rsidRPr="00B30A12">
        <w:rPr>
          <w:color w:val="000000"/>
          <w:sz w:val="22"/>
          <w:szCs w:val="22"/>
        </w:rPr>
        <w:t> </w:t>
      </w:r>
      <w:r w:rsidR="00286958" w:rsidRPr="00B30A12">
        <w:rPr>
          <w:color w:val="000000"/>
          <w:sz w:val="22"/>
          <w:szCs w:val="22"/>
        </w:rPr>
        <w:t>Monate im Glivec-Arm bzw. 8</w:t>
      </w:r>
      <w:r w:rsidR="00A63535" w:rsidRPr="00B30A12">
        <w:rPr>
          <w:color w:val="000000"/>
          <w:sz w:val="22"/>
          <w:szCs w:val="22"/>
        </w:rPr>
        <w:t> </w:t>
      </w:r>
      <w:r w:rsidR="00286958" w:rsidRPr="00B30A12">
        <w:rPr>
          <w:color w:val="000000"/>
          <w:sz w:val="22"/>
          <w:szCs w:val="22"/>
        </w:rPr>
        <w:t xml:space="preserve">Monate im IFN-Arm. Die mediane Dauer bei der </w:t>
      </w:r>
      <w:r w:rsidR="004419FA" w:rsidRPr="00B30A12">
        <w:rPr>
          <w:color w:val="000000"/>
          <w:sz w:val="22"/>
          <w:szCs w:val="22"/>
        </w:rPr>
        <w:t>S</w:t>
      </w:r>
      <w:r w:rsidR="00286958" w:rsidRPr="00B30A12">
        <w:rPr>
          <w:color w:val="000000"/>
          <w:sz w:val="22"/>
          <w:szCs w:val="22"/>
        </w:rPr>
        <w:t>econd-</w:t>
      </w:r>
      <w:r w:rsidR="00BB0C48" w:rsidRPr="00B30A12">
        <w:rPr>
          <w:color w:val="000000"/>
          <w:sz w:val="22"/>
          <w:szCs w:val="22"/>
        </w:rPr>
        <w:t>L</w:t>
      </w:r>
      <w:r w:rsidR="00286958" w:rsidRPr="00B30A12">
        <w:rPr>
          <w:color w:val="000000"/>
          <w:sz w:val="22"/>
          <w:szCs w:val="22"/>
        </w:rPr>
        <w:t xml:space="preserve">ine-Therapie mit Glivec betrug </w:t>
      </w:r>
      <w:r w:rsidR="0009196E" w:rsidRPr="00B30A12">
        <w:rPr>
          <w:color w:val="000000"/>
          <w:sz w:val="22"/>
          <w:szCs w:val="22"/>
        </w:rPr>
        <w:t>64</w:t>
      </w:r>
      <w:r w:rsidR="00A63535" w:rsidRPr="00B30A12">
        <w:rPr>
          <w:color w:val="000000"/>
          <w:sz w:val="22"/>
          <w:szCs w:val="22"/>
        </w:rPr>
        <w:t> </w:t>
      </w:r>
      <w:r w:rsidR="00286958" w:rsidRPr="00B30A12">
        <w:rPr>
          <w:color w:val="000000"/>
          <w:sz w:val="22"/>
          <w:szCs w:val="22"/>
        </w:rPr>
        <w:t xml:space="preserve">Monate. Bei Patienten unter First-line-Therapie mit Glivec lag die durchschnittlich verabreichte Tagesdosis insgesamt bei </w:t>
      </w:r>
      <w:r w:rsidR="00D813D3" w:rsidRPr="00B30A12">
        <w:rPr>
          <w:color w:val="000000"/>
          <w:sz w:val="22"/>
          <w:szCs w:val="22"/>
        </w:rPr>
        <w:t>406</w:t>
      </w:r>
      <w:r w:rsidR="00A63535" w:rsidRPr="00B30A12">
        <w:rPr>
          <w:color w:val="000000"/>
          <w:sz w:val="22"/>
          <w:szCs w:val="22"/>
        </w:rPr>
        <w:t> ± </w:t>
      </w:r>
      <w:r w:rsidR="00D813D3" w:rsidRPr="00B30A12">
        <w:rPr>
          <w:color w:val="000000"/>
          <w:sz w:val="22"/>
          <w:szCs w:val="22"/>
        </w:rPr>
        <w:t>76</w:t>
      </w:r>
      <w:r w:rsidR="00286958" w:rsidRPr="00B30A12">
        <w:rPr>
          <w:color w:val="000000"/>
          <w:sz w:val="22"/>
          <w:szCs w:val="22"/>
        </w:rPr>
        <w:t xml:space="preserve"> mg. </w:t>
      </w:r>
      <w:r w:rsidRPr="00B30A12">
        <w:rPr>
          <w:color w:val="000000"/>
          <w:sz w:val="22"/>
          <w:szCs w:val="22"/>
        </w:rPr>
        <w:t>Der primäre Wirksamkeitsendpunkt der Studie ist das progressi</w:t>
      </w:r>
      <w:r w:rsidRPr="00B30A12">
        <w:rPr>
          <w:color w:val="000000"/>
          <w:sz w:val="22"/>
          <w:szCs w:val="22"/>
        </w:rPr>
        <w:softHyphen/>
        <w:t xml:space="preserve">onsfreie Überleben. Progression wurde definiert als eines der folgenden Ereignisse: Progression in die akzelerierte Phase oder Blastenkrise, Tod, Verlust </w:t>
      </w:r>
      <w:smartTag w:uri="urn:schemas-microsoft-com:office:smarttags" w:element="stockticker">
        <w:r w:rsidRPr="00B30A12">
          <w:rPr>
            <w:color w:val="000000"/>
            <w:sz w:val="22"/>
            <w:szCs w:val="22"/>
          </w:rPr>
          <w:t>CHR</w:t>
        </w:r>
      </w:smartTag>
      <w:r w:rsidRPr="00B30A12">
        <w:rPr>
          <w:color w:val="000000"/>
          <w:sz w:val="22"/>
          <w:szCs w:val="22"/>
        </w:rPr>
        <w:t xml:space="preserve"> oder MCyR oder, bei Patienten, die kein</w:t>
      </w:r>
      <w:r w:rsidR="007034DE" w:rsidRPr="00B30A12">
        <w:rPr>
          <w:color w:val="000000"/>
          <w:sz w:val="22"/>
          <w:szCs w:val="22"/>
        </w:rPr>
        <w:t>e</w:t>
      </w:r>
      <w:r w:rsidRPr="00B30A12">
        <w:rPr>
          <w:color w:val="000000"/>
          <w:sz w:val="22"/>
          <w:szCs w:val="22"/>
        </w:rPr>
        <w:t xml:space="preserve"> </w:t>
      </w:r>
      <w:smartTag w:uri="urn:schemas-microsoft-com:office:smarttags" w:element="stockticker">
        <w:r w:rsidRPr="00B30A12">
          <w:rPr>
            <w:color w:val="000000"/>
            <w:sz w:val="22"/>
            <w:szCs w:val="22"/>
          </w:rPr>
          <w:t>CHR</w:t>
        </w:r>
      </w:smartTag>
      <w:r w:rsidRPr="00B30A12">
        <w:rPr>
          <w:color w:val="000000"/>
          <w:sz w:val="22"/>
          <w:szCs w:val="22"/>
        </w:rPr>
        <w:t xml:space="preserve"> erreichten, ein Anstieg der Leukozytenzahl trotz geeigneter therapeutischer Maßnahmen. Die wichtigsten sekundären Endpunkte sind </w:t>
      </w:r>
      <w:r w:rsidR="00232347" w:rsidRPr="00B30A12">
        <w:rPr>
          <w:color w:val="000000"/>
          <w:sz w:val="22"/>
          <w:szCs w:val="22"/>
        </w:rPr>
        <w:t xml:space="preserve">gute </w:t>
      </w:r>
      <w:r w:rsidRPr="00B30A12">
        <w:rPr>
          <w:color w:val="000000"/>
          <w:sz w:val="22"/>
          <w:szCs w:val="22"/>
        </w:rPr>
        <w:t xml:space="preserve">zytogenetische Remission, hämatologische </w:t>
      </w:r>
      <w:r w:rsidR="00476207" w:rsidRPr="00B30A12">
        <w:rPr>
          <w:color w:val="000000"/>
          <w:sz w:val="22"/>
          <w:szCs w:val="22"/>
        </w:rPr>
        <w:t>Remission</w:t>
      </w:r>
      <w:r w:rsidRPr="00B30A12">
        <w:rPr>
          <w:color w:val="000000"/>
          <w:sz w:val="22"/>
          <w:szCs w:val="22"/>
        </w:rPr>
        <w:t xml:space="preserve">, </w:t>
      </w:r>
      <w:r w:rsidR="00802268" w:rsidRPr="00B30A12">
        <w:rPr>
          <w:color w:val="000000"/>
          <w:sz w:val="22"/>
          <w:szCs w:val="22"/>
        </w:rPr>
        <w:t xml:space="preserve">molekulare </w:t>
      </w:r>
      <w:r w:rsidR="00476207" w:rsidRPr="00B30A12">
        <w:rPr>
          <w:color w:val="000000"/>
          <w:sz w:val="22"/>
          <w:szCs w:val="22"/>
        </w:rPr>
        <w:t>Remission</w:t>
      </w:r>
      <w:r w:rsidR="00802268" w:rsidRPr="00B30A12">
        <w:rPr>
          <w:color w:val="000000"/>
          <w:sz w:val="22"/>
          <w:szCs w:val="22"/>
        </w:rPr>
        <w:t xml:space="preserve"> (Ermittlung der minimalen </w:t>
      </w:r>
      <w:r w:rsidR="00E96E54" w:rsidRPr="00B30A12">
        <w:rPr>
          <w:color w:val="000000"/>
          <w:sz w:val="22"/>
          <w:szCs w:val="22"/>
        </w:rPr>
        <w:t>residu</w:t>
      </w:r>
      <w:r w:rsidR="00831FC0" w:rsidRPr="00B30A12">
        <w:rPr>
          <w:color w:val="000000"/>
          <w:sz w:val="22"/>
          <w:szCs w:val="22"/>
        </w:rPr>
        <w:t>a</w:t>
      </w:r>
      <w:r w:rsidR="00E96E54" w:rsidRPr="00B30A12">
        <w:rPr>
          <w:color w:val="000000"/>
          <w:sz w:val="22"/>
          <w:szCs w:val="22"/>
        </w:rPr>
        <w:t>len Erkrankung</w:t>
      </w:r>
      <w:r w:rsidR="00802268" w:rsidRPr="00B30A12">
        <w:rPr>
          <w:color w:val="000000"/>
          <w:sz w:val="22"/>
          <w:szCs w:val="22"/>
        </w:rPr>
        <w:t xml:space="preserve">), </w:t>
      </w:r>
      <w:r w:rsidRPr="00B30A12">
        <w:rPr>
          <w:color w:val="000000"/>
          <w:sz w:val="22"/>
          <w:szCs w:val="22"/>
        </w:rPr>
        <w:t>Zeit bis zur akzelerierten Phase oder Blastenkrise und Überlebenszeit.</w:t>
      </w:r>
      <w:r w:rsidR="009E4015" w:rsidRPr="00B30A12">
        <w:rPr>
          <w:color w:val="000000"/>
          <w:sz w:val="22"/>
          <w:szCs w:val="22"/>
        </w:rPr>
        <w:t xml:space="preserve"> </w:t>
      </w:r>
      <w:r w:rsidRPr="00B30A12">
        <w:rPr>
          <w:color w:val="000000"/>
          <w:sz w:val="22"/>
          <w:szCs w:val="22"/>
        </w:rPr>
        <w:t>Die Ansprechraten sind in Tabelle</w:t>
      </w:r>
      <w:r w:rsidR="00C80819" w:rsidRPr="00B30A12">
        <w:rPr>
          <w:color w:val="000000"/>
          <w:sz w:val="22"/>
          <w:szCs w:val="22"/>
        </w:rPr>
        <w:t> </w:t>
      </w:r>
      <w:r w:rsidR="0094523F" w:rsidRPr="00B30A12">
        <w:rPr>
          <w:color w:val="000000"/>
          <w:sz w:val="22"/>
          <w:szCs w:val="22"/>
        </w:rPr>
        <w:t>2</w:t>
      </w:r>
      <w:r w:rsidR="005D6A26" w:rsidRPr="00B30A12">
        <w:rPr>
          <w:color w:val="000000"/>
          <w:sz w:val="22"/>
          <w:szCs w:val="22"/>
        </w:rPr>
        <w:t xml:space="preserve"> </w:t>
      </w:r>
      <w:r w:rsidRPr="00B30A12">
        <w:rPr>
          <w:color w:val="000000"/>
          <w:sz w:val="22"/>
          <w:szCs w:val="22"/>
        </w:rPr>
        <w:t>dargestellt.</w:t>
      </w:r>
    </w:p>
    <w:p w14:paraId="4613577C" w14:textId="77777777" w:rsidR="00C75F16" w:rsidRPr="00B30A12" w:rsidRDefault="00C75F16" w:rsidP="00537E23">
      <w:pPr>
        <w:widowControl w:val="0"/>
        <w:rPr>
          <w:color w:val="000000"/>
          <w:sz w:val="22"/>
          <w:szCs w:val="22"/>
        </w:rPr>
      </w:pPr>
    </w:p>
    <w:p w14:paraId="6F0FFBF2" w14:textId="77777777" w:rsidR="00C75F16" w:rsidRPr="00B30A12" w:rsidRDefault="00C75F16" w:rsidP="00AD54DF">
      <w:pPr>
        <w:pStyle w:val="Heading2"/>
        <w:widowControl w:val="0"/>
        <w:numPr>
          <w:ilvl w:val="0"/>
          <w:numId w:val="0"/>
        </w:numPr>
        <w:tabs>
          <w:tab w:val="clear" w:pos="567"/>
          <w:tab w:val="left" w:pos="1134"/>
        </w:tabs>
        <w:rPr>
          <w:color w:val="000000"/>
          <w:szCs w:val="22"/>
        </w:rPr>
      </w:pPr>
      <w:r w:rsidRPr="00B30A12">
        <w:rPr>
          <w:color w:val="000000"/>
          <w:szCs w:val="22"/>
        </w:rPr>
        <w:lastRenderedPageBreak/>
        <w:t>Tabelle </w:t>
      </w:r>
      <w:r w:rsidR="0094523F" w:rsidRPr="00B30A12">
        <w:rPr>
          <w:color w:val="000000"/>
          <w:szCs w:val="22"/>
        </w:rPr>
        <w:t>2</w:t>
      </w:r>
      <w:r w:rsidRPr="00B30A12">
        <w:rPr>
          <w:color w:val="000000"/>
          <w:szCs w:val="22"/>
        </w:rPr>
        <w:tab/>
        <w:t>Ansprechraten in der Studie mit neu diagnostizierter CML (</w:t>
      </w:r>
      <w:r w:rsidR="0009196E" w:rsidRPr="00B30A12">
        <w:rPr>
          <w:color w:val="000000"/>
          <w:szCs w:val="22"/>
        </w:rPr>
        <w:t>84</w:t>
      </w:r>
      <w:r w:rsidRPr="00B30A12">
        <w:rPr>
          <w:color w:val="000000"/>
          <w:szCs w:val="22"/>
        </w:rPr>
        <w:t>-Monatsdaten)</w:t>
      </w:r>
    </w:p>
    <w:p w14:paraId="53417331" w14:textId="77777777" w:rsidR="00C75F16" w:rsidRPr="00B30A12" w:rsidRDefault="00C75F16" w:rsidP="00AD54DF">
      <w:pPr>
        <w:keepNext/>
        <w:widowControl w:val="0"/>
        <w:rPr>
          <w:color w:val="000000"/>
          <w:sz w:val="22"/>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623D46" w:rsidRPr="00B30A12" w14:paraId="377533A3" w14:textId="77777777" w:rsidTr="00AD54DF">
        <w:trPr>
          <w:cantSplit/>
        </w:trPr>
        <w:tc>
          <w:tcPr>
            <w:tcW w:w="3794" w:type="dxa"/>
            <w:tcBorders>
              <w:top w:val="single" w:sz="4" w:space="0" w:color="auto"/>
              <w:left w:val="single" w:sz="4" w:space="0" w:color="auto"/>
              <w:bottom w:val="nil"/>
            </w:tcBorders>
          </w:tcPr>
          <w:p w14:paraId="10ECF772" w14:textId="77777777" w:rsidR="00623D46" w:rsidRPr="00B30A12" w:rsidRDefault="00623D46" w:rsidP="00AD54DF">
            <w:pPr>
              <w:pStyle w:val="Table"/>
              <w:keepLines w:val="0"/>
              <w:widowControl w:val="0"/>
              <w:spacing w:before="0" w:after="0"/>
              <w:rPr>
                <w:rFonts w:ascii="Times New Roman" w:hAnsi="Times New Roman"/>
                <w:color w:val="000000"/>
                <w:sz w:val="22"/>
                <w:szCs w:val="22"/>
                <w:lang w:val="de-DE"/>
              </w:rPr>
            </w:pPr>
          </w:p>
        </w:tc>
        <w:tc>
          <w:tcPr>
            <w:tcW w:w="2693" w:type="dxa"/>
            <w:tcBorders>
              <w:top w:val="single" w:sz="4" w:space="0" w:color="auto"/>
              <w:bottom w:val="nil"/>
            </w:tcBorders>
          </w:tcPr>
          <w:p w14:paraId="6DDD7F51" w14:textId="77777777" w:rsidR="00623D46" w:rsidRPr="00B30A12" w:rsidRDefault="00623D46" w:rsidP="00AD54DF">
            <w:pPr>
              <w:pStyle w:val="Table"/>
              <w:keepLines w:val="0"/>
              <w:widowControl w:val="0"/>
              <w:spacing w:before="0" w:after="0"/>
              <w:jc w:val="center"/>
              <w:rPr>
                <w:rFonts w:ascii="Times New Roman" w:hAnsi="Times New Roman"/>
                <w:b/>
                <w:color w:val="000000"/>
                <w:sz w:val="22"/>
                <w:szCs w:val="22"/>
              </w:rPr>
            </w:pPr>
            <w:r w:rsidRPr="00B30A12">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656A3B63" w14:textId="77777777" w:rsidR="00623D46" w:rsidRPr="00B30A12" w:rsidRDefault="00623D46" w:rsidP="00AD54DF">
            <w:pPr>
              <w:pStyle w:val="Table"/>
              <w:keepLines w:val="0"/>
              <w:widowControl w:val="0"/>
              <w:spacing w:before="0" w:after="0"/>
              <w:jc w:val="center"/>
              <w:rPr>
                <w:rFonts w:ascii="Times New Roman" w:hAnsi="Times New Roman"/>
                <w:b/>
                <w:color w:val="000000"/>
                <w:sz w:val="22"/>
                <w:szCs w:val="22"/>
              </w:rPr>
            </w:pPr>
            <w:r w:rsidRPr="00B30A12">
              <w:rPr>
                <w:rFonts w:ascii="Times New Roman" w:hAnsi="Times New Roman"/>
                <w:b/>
                <w:color w:val="000000"/>
                <w:sz w:val="22"/>
                <w:szCs w:val="22"/>
              </w:rPr>
              <w:t>IFN + Ara-C</w:t>
            </w:r>
          </w:p>
        </w:tc>
      </w:tr>
      <w:tr w:rsidR="00623D46" w:rsidRPr="00B30A12" w14:paraId="49C13775" w14:textId="77777777" w:rsidTr="00AD54DF">
        <w:trPr>
          <w:cantSplit/>
        </w:trPr>
        <w:tc>
          <w:tcPr>
            <w:tcW w:w="3794" w:type="dxa"/>
            <w:tcBorders>
              <w:top w:val="nil"/>
              <w:left w:val="single" w:sz="4" w:space="0" w:color="auto"/>
              <w:bottom w:val="single" w:sz="4" w:space="0" w:color="auto"/>
            </w:tcBorders>
          </w:tcPr>
          <w:p w14:paraId="264AB28F" w14:textId="77777777" w:rsidR="00623D46" w:rsidRPr="00B30A12" w:rsidRDefault="00623D46" w:rsidP="00AD54DF">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rPr>
              <w:t>(Höchste Ansprechraten)</w:t>
            </w:r>
          </w:p>
        </w:tc>
        <w:tc>
          <w:tcPr>
            <w:tcW w:w="2693" w:type="dxa"/>
            <w:tcBorders>
              <w:top w:val="nil"/>
              <w:bottom w:val="single" w:sz="4" w:space="0" w:color="auto"/>
            </w:tcBorders>
          </w:tcPr>
          <w:p w14:paraId="1AB0D039"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0C30DDFF"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rPr>
              <w:t>n=553</w:t>
            </w:r>
          </w:p>
        </w:tc>
      </w:tr>
      <w:tr w:rsidR="00623D46" w:rsidRPr="00B30A12" w14:paraId="3D307FC7" w14:textId="77777777" w:rsidTr="00AD54DF">
        <w:trPr>
          <w:cantSplit/>
        </w:trPr>
        <w:tc>
          <w:tcPr>
            <w:tcW w:w="3794" w:type="dxa"/>
            <w:tcBorders>
              <w:top w:val="nil"/>
              <w:left w:val="single" w:sz="4" w:space="0" w:color="auto"/>
            </w:tcBorders>
          </w:tcPr>
          <w:p w14:paraId="147969B6" w14:textId="77777777" w:rsidR="00623D46" w:rsidRPr="00B30A12" w:rsidRDefault="00623D46" w:rsidP="00AD54DF">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lang w:val="fr-FR"/>
              </w:rPr>
              <w:t>Hämatologische Remission</w:t>
            </w:r>
          </w:p>
        </w:tc>
        <w:tc>
          <w:tcPr>
            <w:tcW w:w="2693" w:type="dxa"/>
            <w:tcBorders>
              <w:top w:val="nil"/>
            </w:tcBorders>
          </w:tcPr>
          <w:p w14:paraId="10D9154E" w14:textId="77777777" w:rsidR="00623D46" w:rsidRPr="00B30A12" w:rsidRDefault="00623D46" w:rsidP="00AD54DF">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73130EED" w14:textId="77777777" w:rsidR="00623D46" w:rsidRPr="00B30A12" w:rsidRDefault="00623D46" w:rsidP="00AD54DF">
            <w:pPr>
              <w:pStyle w:val="Table"/>
              <w:keepLines w:val="0"/>
              <w:widowControl w:val="0"/>
              <w:spacing w:before="0" w:after="0"/>
              <w:jc w:val="center"/>
              <w:rPr>
                <w:rFonts w:ascii="Times New Roman" w:hAnsi="Times New Roman"/>
                <w:b/>
                <w:color w:val="000000"/>
                <w:sz w:val="22"/>
                <w:szCs w:val="22"/>
              </w:rPr>
            </w:pPr>
          </w:p>
        </w:tc>
      </w:tr>
      <w:tr w:rsidR="00623D46" w:rsidRPr="00B30A12" w14:paraId="2419C224" w14:textId="77777777" w:rsidTr="00AD54DF">
        <w:trPr>
          <w:cantSplit/>
        </w:trPr>
        <w:tc>
          <w:tcPr>
            <w:tcW w:w="3794" w:type="dxa"/>
            <w:tcBorders>
              <w:top w:val="nil"/>
              <w:left w:val="single" w:sz="4" w:space="0" w:color="auto"/>
            </w:tcBorders>
          </w:tcPr>
          <w:p w14:paraId="08A2BB81"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B30A12">
                <w:rPr>
                  <w:rFonts w:ascii="Times New Roman" w:hAnsi="Times New Roman"/>
                  <w:color w:val="000000"/>
                  <w:sz w:val="22"/>
                  <w:szCs w:val="22"/>
                  <w:lang w:val="fr-FR"/>
                </w:rPr>
                <w:t>CHR</w:t>
              </w:r>
            </w:smartTag>
            <w:r w:rsidRPr="00B30A12">
              <w:rPr>
                <w:rFonts w:ascii="Times New Roman" w:hAnsi="Times New Roman"/>
                <w:color w:val="000000"/>
                <w:sz w:val="22"/>
                <w:szCs w:val="22"/>
                <w:lang w:val="fr-FR"/>
              </w:rPr>
              <w:t xml:space="preserve"> n (%)</w:t>
            </w:r>
          </w:p>
        </w:tc>
        <w:tc>
          <w:tcPr>
            <w:tcW w:w="2693" w:type="dxa"/>
            <w:tcBorders>
              <w:top w:val="nil"/>
            </w:tcBorders>
          </w:tcPr>
          <w:p w14:paraId="65FFFEE8"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534 (96,6%)*</w:t>
            </w:r>
          </w:p>
        </w:tc>
        <w:tc>
          <w:tcPr>
            <w:tcW w:w="2718" w:type="dxa"/>
            <w:tcBorders>
              <w:top w:val="nil"/>
              <w:right w:val="single" w:sz="4" w:space="0" w:color="auto"/>
            </w:tcBorders>
          </w:tcPr>
          <w:p w14:paraId="28E2E938"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313 (56,6%)*</w:t>
            </w:r>
          </w:p>
        </w:tc>
      </w:tr>
      <w:tr w:rsidR="00623D46" w:rsidRPr="00B30A12" w14:paraId="7E2BAF57" w14:textId="77777777" w:rsidTr="00AD54DF">
        <w:trPr>
          <w:cantSplit/>
        </w:trPr>
        <w:tc>
          <w:tcPr>
            <w:tcW w:w="3794" w:type="dxa"/>
            <w:tcBorders>
              <w:left w:val="single" w:sz="4" w:space="0" w:color="auto"/>
            </w:tcBorders>
          </w:tcPr>
          <w:p w14:paraId="0B39ACC8"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t>[95%</w:t>
            </w:r>
            <w:r w:rsidR="008B0DF4" w:rsidRPr="00B30A12">
              <w:rPr>
                <w:rFonts w:ascii="Times New Roman" w:hAnsi="Times New Roman"/>
                <w:color w:val="000000"/>
                <w:sz w:val="22"/>
                <w:szCs w:val="22"/>
              </w:rPr>
              <w:t>-KI</w:t>
            </w:r>
            <w:r w:rsidRPr="00B30A12">
              <w:rPr>
                <w:rFonts w:ascii="Times New Roman" w:hAnsi="Times New Roman"/>
                <w:color w:val="000000"/>
                <w:sz w:val="22"/>
                <w:szCs w:val="22"/>
              </w:rPr>
              <w:t>]</w:t>
            </w:r>
          </w:p>
        </w:tc>
        <w:tc>
          <w:tcPr>
            <w:tcW w:w="2693" w:type="dxa"/>
          </w:tcPr>
          <w:p w14:paraId="3EA635FE"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[94,7%, 97,9%]</w:t>
            </w:r>
          </w:p>
        </w:tc>
        <w:tc>
          <w:tcPr>
            <w:tcW w:w="2718" w:type="dxa"/>
            <w:tcBorders>
              <w:right w:val="single" w:sz="4" w:space="0" w:color="auto"/>
            </w:tcBorders>
          </w:tcPr>
          <w:p w14:paraId="09723A1A"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[52,4%, 60,8%]</w:t>
            </w:r>
          </w:p>
        </w:tc>
      </w:tr>
      <w:tr w:rsidR="00623D46" w:rsidRPr="00B30A12" w14:paraId="1C9AB9E7" w14:textId="77777777" w:rsidTr="00AD54DF">
        <w:trPr>
          <w:cantSplit/>
        </w:trPr>
        <w:tc>
          <w:tcPr>
            <w:tcW w:w="3794" w:type="dxa"/>
            <w:tcBorders>
              <w:left w:val="single" w:sz="4" w:space="0" w:color="auto"/>
            </w:tcBorders>
          </w:tcPr>
          <w:p w14:paraId="6CF289C6"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c>
          <w:tcPr>
            <w:tcW w:w="2693" w:type="dxa"/>
          </w:tcPr>
          <w:p w14:paraId="2F9C63CC"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1DAD4E1F"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r>
      <w:tr w:rsidR="00623D46" w:rsidRPr="00B30A12" w14:paraId="00AE1BB9" w14:textId="77777777" w:rsidTr="00AD54DF">
        <w:trPr>
          <w:cantSplit/>
        </w:trPr>
        <w:tc>
          <w:tcPr>
            <w:tcW w:w="3794" w:type="dxa"/>
            <w:tcBorders>
              <w:left w:val="single" w:sz="4" w:space="0" w:color="auto"/>
            </w:tcBorders>
          </w:tcPr>
          <w:p w14:paraId="76DAA70F" w14:textId="77777777" w:rsidR="00623D46" w:rsidRPr="00B30A12" w:rsidRDefault="00623D46" w:rsidP="00AD54DF">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rPr>
              <w:t>Zytogenetische Remission</w:t>
            </w:r>
          </w:p>
        </w:tc>
        <w:tc>
          <w:tcPr>
            <w:tcW w:w="2693" w:type="dxa"/>
          </w:tcPr>
          <w:p w14:paraId="3D47E9FA" w14:textId="77777777" w:rsidR="00623D46" w:rsidRPr="00B30A12" w:rsidRDefault="00623D46" w:rsidP="00AD54DF">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0AE7FBA8" w14:textId="77777777" w:rsidR="00623D46" w:rsidRPr="00B30A12" w:rsidRDefault="00623D46" w:rsidP="00AD54DF">
            <w:pPr>
              <w:pStyle w:val="Table"/>
              <w:keepLines w:val="0"/>
              <w:widowControl w:val="0"/>
              <w:spacing w:before="0" w:after="0"/>
              <w:rPr>
                <w:rFonts w:ascii="Times New Roman" w:hAnsi="Times New Roman"/>
                <w:b/>
                <w:color w:val="000000"/>
                <w:sz w:val="22"/>
                <w:szCs w:val="22"/>
              </w:rPr>
            </w:pPr>
          </w:p>
        </w:tc>
      </w:tr>
      <w:tr w:rsidR="00623D46" w:rsidRPr="00B30A12" w14:paraId="520EA320" w14:textId="77777777" w:rsidTr="00AD54DF">
        <w:trPr>
          <w:cantSplit/>
        </w:trPr>
        <w:tc>
          <w:tcPr>
            <w:tcW w:w="3794" w:type="dxa"/>
            <w:tcBorders>
              <w:left w:val="single" w:sz="4" w:space="0" w:color="auto"/>
            </w:tcBorders>
          </w:tcPr>
          <w:p w14:paraId="326A4AD2"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CyR n (%)</w:t>
            </w:r>
          </w:p>
        </w:tc>
        <w:tc>
          <w:tcPr>
            <w:tcW w:w="2693" w:type="dxa"/>
          </w:tcPr>
          <w:p w14:paraId="32C52020"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490 (88,6%)*</w:t>
            </w:r>
          </w:p>
        </w:tc>
        <w:tc>
          <w:tcPr>
            <w:tcW w:w="2718" w:type="dxa"/>
            <w:tcBorders>
              <w:right w:val="single" w:sz="4" w:space="0" w:color="auto"/>
            </w:tcBorders>
          </w:tcPr>
          <w:p w14:paraId="4F6E35B1"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129 (23,3%)*</w:t>
            </w:r>
          </w:p>
        </w:tc>
      </w:tr>
      <w:tr w:rsidR="00623D46" w:rsidRPr="00B30A12" w14:paraId="059B7C45" w14:textId="77777777" w:rsidTr="00AD54DF">
        <w:trPr>
          <w:cantSplit/>
        </w:trPr>
        <w:tc>
          <w:tcPr>
            <w:tcW w:w="3794" w:type="dxa"/>
            <w:tcBorders>
              <w:left w:val="single" w:sz="4" w:space="0" w:color="auto"/>
            </w:tcBorders>
          </w:tcPr>
          <w:p w14:paraId="1694E04A"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t>[95%</w:t>
            </w:r>
            <w:r w:rsidR="008B0DF4" w:rsidRPr="00B30A12">
              <w:rPr>
                <w:rFonts w:ascii="Times New Roman" w:hAnsi="Times New Roman"/>
                <w:color w:val="000000"/>
                <w:sz w:val="22"/>
                <w:szCs w:val="22"/>
              </w:rPr>
              <w:t>-KI</w:t>
            </w:r>
            <w:r w:rsidRPr="00B30A12">
              <w:rPr>
                <w:rFonts w:ascii="Times New Roman" w:hAnsi="Times New Roman"/>
                <w:color w:val="000000"/>
                <w:sz w:val="22"/>
                <w:szCs w:val="22"/>
              </w:rPr>
              <w:t>]</w:t>
            </w:r>
          </w:p>
        </w:tc>
        <w:tc>
          <w:tcPr>
            <w:tcW w:w="2693" w:type="dxa"/>
          </w:tcPr>
          <w:p w14:paraId="686D2C4E"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[85,7%, 91,1%]</w:t>
            </w:r>
          </w:p>
        </w:tc>
        <w:tc>
          <w:tcPr>
            <w:tcW w:w="2718" w:type="dxa"/>
            <w:tcBorders>
              <w:right w:val="single" w:sz="4" w:space="0" w:color="auto"/>
            </w:tcBorders>
          </w:tcPr>
          <w:p w14:paraId="3F4999BB"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[19,9%, 27,1%]</w:t>
            </w:r>
          </w:p>
        </w:tc>
      </w:tr>
      <w:tr w:rsidR="00623D46" w:rsidRPr="00B30A12" w14:paraId="62CE6F3E" w14:textId="77777777" w:rsidTr="00AD54DF">
        <w:trPr>
          <w:cantSplit/>
        </w:trPr>
        <w:tc>
          <w:tcPr>
            <w:tcW w:w="3794" w:type="dxa"/>
            <w:tcBorders>
              <w:left w:val="single" w:sz="4" w:space="0" w:color="auto"/>
            </w:tcBorders>
          </w:tcPr>
          <w:p w14:paraId="38FB14AB"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r>
            <w:r w:rsidRPr="00B30A12">
              <w:rPr>
                <w:rFonts w:ascii="Times New Roman" w:hAnsi="Times New Roman"/>
                <w:color w:val="000000"/>
                <w:sz w:val="22"/>
                <w:szCs w:val="22"/>
                <w:lang w:val="fr-FR"/>
              </w:rPr>
              <w:t>Komplette CyR n (%)</w:t>
            </w:r>
          </w:p>
        </w:tc>
        <w:tc>
          <w:tcPr>
            <w:tcW w:w="2693" w:type="dxa"/>
          </w:tcPr>
          <w:p w14:paraId="1354C767"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456 (82,5%)</w:t>
            </w:r>
            <w:r w:rsidR="00623D46" w:rsidRPr="00B30A12">
              <w:rPr>
                <w:rFonts w:ascii="Times New Roman" w:hAnsi="Times New Roman"/>
                <w:color w:val="000000"/>
                <w:sz w:val="22"/>
                <w:szCs w:val="22"/>
                <w:lang w:val="en-GB"/>
              </w:rPr>
              <w:t>*</w:t>
            </w:r>
          </w:p>
        </w:tc>
        <w:tc>
          <w:tcPr>
            <w:tcW w:w="2718" w:type="dxa"/>
            <w:tcBorders>
              <w:right w:val="single" w:sz="4" w:space="0" w:color="auto"/>
            </w:tcBorders>
          </w:tcPr>
          <w:p w14:paraId="367287BF"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64 (11,6%)*</w:t>
            </w:r>
          </w:p>
        </w:tc>
      </w:tr>
      <w:tr w:rsidR="00623D46" w:rsidRPr="00B30A12" w14:paraId="367608BB" w14:textId="77777777" w:rsidTr="00AD54DF">
        <w:trPr>
          <w:cantSplit/>
        </w:trPr>
        <w:tc>
          <w:tcPr>
            <w:tcW w:w="3794" w:type="dxa"/>
            <w:tcBorders>
              <w:left w:val="single" w:sz="4" w:space="0" w:color="auto"/>
            </w:tcBorders>
          </w:tcPr>
          <w:p w14:paraId="248E9AF5"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r>
            <w:r w:rsidRPr="00B30A12">
              <w:rPr>
                <w:rFonts w:ascii="Times New Roman" w:hAnsi="Times New Roman"/>
                <w:color w:val="000000"/>
                <w:sz w:val="22"/>
                <w:szCs w:val="22"/>
                <w:lang w:val="fr-FR"/>
              </w:rPr>
              <w:t>Partielle CyR n (%)</w:t>
            </w:r>
          </w:p>
        </w:tc>
        <w:tc>
          <w:tcPr>
            <w:tcW w:w="2693" w:type="dxa"/>
          </w:tcPr>
          <w:p w14:paraId="0DDB5F08"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34 (6,1%)</w:t>
            </w:r>
          </w:p>
        </w:tc>
        <w:tc>
          <w:tcPr>
            <w:tcW w:w="2718" w:type="dxa"/>
            <w:tcBorders>
              <w:right w:val="single" w:sz="4" w:space="0" w:color="auto"/>
            </w:tcBorders>
          </w:tcPr>
          <w:p w14:paraId="33D967F6" w14:textId="77777777" w:rsidR="00623D46" w:rsidRPr="00B30A12" w:rsidRDefault="00623D46"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65 (11,8%)</w:t>
            </w:r>
          </w:p>
        </w:tc>
      </w:tr>
      <w:tr w:rsidR="00623D46" w:rsidRPr="00B30A12" w14:paraId="2A0B8583" w14:textId="77777777" w:rsidTr="00AD54DF">
        <w:trPr>
          <w:cantSplit/>
        </w:trPr>
        <w:tc>
          <w:tcPr>
            <w:tcW w:w="3794" w:type="dxa"/>
            <w:tcBorders>
              <w:left w:val="single" w:sz="4" w:space="0" w:color="auto"/>
              <w:bottom w:val="nil"/>
            </w:tcBorders>
          </w:tcPr>
          <w:p w14:paraId="6939C8E5"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68DCE6A9"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7D89C9B1"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r>
      <w:tr w:rsidR="00623D46" w:rsidRPr="00B30A12" w14:paraId="528B1CB3" w14:textId="77777777" w:rsidTr="00AD54DF">
        <w:trPr>
          <w:cantSplit/>
        </w:trPr>
        <w:tc>
          <w:tcPr>
            <w:tcW w:w="3794" w:type="dxa"/>
            <w:tcBorders>
              <w:left w:val="single" w:sz="4" w:space="0" w:color="auto"/>
              <w:bottom w:val="nil"/>
            </w:tcBorders>
          </w:tcPr>
          <w:p w14:paraId="170DAFF5"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b/>
                <w:color w:val="000000"/>
                <w:sz w:val="22"/>
                <w:szCs w:val="22"/>
              </w:rPr>
              <w:t>Molekulare Remission</w:t>
            </w:r>
            <w:r w:rsidR="00812331" w:rsidRPr="00B30A12">
              <w:rPr>
                <w:rFonts w:ascii="Times New Roman" w:hAnsi="Times New Roman"/>
                <w:color w:val="000000"/>
                <w:sz w:val="22"/>
                <w:szCs w:val="22"/>
              </w:rPr>
              <w:t>**</w:t>
            </w:r>
          </w:p>
        </w:tc>
        <w:tc>
          <w:tcPr>
            <w:tcW w:w="2693" w:type="dxa"/>
            <w:tcBorders>
              <w:bottom w:val="nil"/>
            </w:tcBorders>
          </w:tcPr>
          <w:p w14:paraId="03241AC8"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B2416CB"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p>
        </w:tc>
      </w:tr>
      <w:tr w:rsidR="00623D46" w:rsidRPr="00B30A12" w14:paraId="5E6763E6" w14:textId="77777777" w:rsidTr="00AD54DF">
        <w:trPr>
          <w:cantSplit/>
        </w:trPr>
        <w:tc>
          <w:tcPr>
            <w:tcW w:w="3794" w:type="dxa"/>
            <w:tcBorders>
              <w:left w:val="single" w:sz="4" w:space="0" w:color="auto"/>
              <w:bottom w:val="nil"/>
            </w:tcBorders>
          </w:tcPr>
          <w:p w14:paraId="3DD8DD4A"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12 Monaten (%)</w:t>
            </w:r>
          </w:p>
        </w:tc>
        <w:tc>
          <w:tcPr>
            <w:tcW w:w="2693" w:type="dxa"/>
            <w:tcBorders>
              <w:bottom w:val="nil"/>
            </w:tcBorders>
          </w:tcPr>
          <w:p w14:paraId="43AE26B1"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153/305=50,2%</w:t>
            </w:r>
          </w:p>
        </w:tc>
        <w:tc>
          <w:tcPr>
            <w:tcW w:w="2718" w:type="dxa"/>
            <w:tcBorders>
              <w:bottom w:val="nil"/>
              <w:right w:val="single" w:sz="4" w:space="0" w:color="auto"/>
            </w:tcBorders>
          </w:tcPr>
          <w:p w14:paraId="0B0F20BB"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8/83=9,6%</w:t>
            </w:r>
          </w:p>
        </w:tc>
      </w:tr>
      <w:tr w:rsidR="00623D46" w:rsidRPr="00B30A12" w14:paraId="21435415" w14:textId="77777777" w:rsidTr="00AD54DF">
        <w:trPr>
          <w:cantSplit/>
        </w:trPr>
        <w:tc>
          <w:tcPr>
            <w:tcW w:w="3794" w:type="dxa"/>
            <w:tcBorders>
              <w:left w:val="single" w:sz="4" w:space="0" w:color="auto"/>
              <w:bottom w:val="nil"/>
            </w:tcBorders>
          </w:tcPr>
          <w:p w14:paraId="3F7050B6" w14:textId="77777777" w:rsidR="00623D46" w:rsidRPr="00B30A12" w:rsidRDefault="00623D46"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24 Monaten (%)</w:t>
            </w:r>
          </w:p>
        </w:tc>
        <w:tc>
          <w:tcPr>
            <w:tcW w:w="2693" w:type="dxa"/>
            <w:tcBorders>
              <w:bottom w:val="nil"/>
            </w:tcBorders>
          </w:tcPr>
          <w:p w14:paraId="52D52E02"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73/104=70,2</w:t>
            </w:r>
            <w:r w:rsidR="00623D46" w:rsidRPr="00B30A12">
              <w:rPr>
                <w:rFonts w:ascii="Times New Roman" w:hAnsi="Times New Roman"/>
                <w:color w:val="000000"/>
                <w:sz w:val="22"/>
                <w:szCs w:val="22"/>
                <w:lang w:val="en-GB"/>
              </w:rPr>
              <w:t>%</w:t>
            </w:r>
          </w:p>
        </w:tc>
        <w:tc>
          <w:tcPr>
            <w:tcW w:w="2718" w:type="dxa"/>
            <w:tcBorders>
              <w:bottom w:val="nil"/>
              <w:right w:val="single" w:sz="4" w:space="0" w:color="auto"/>
            </w:tcBorders>
          </w:tcPr>
          <w:p w14:paraId="5752DF0A" w14:textId="77777777" w:rsidR="00623D46" w:rsidRPr="00B30A12" w:rsidRDefault="0009196E" w:rsidP="00AD54DF">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3/12=25%</w:t>
            </w:r>
          </w:p>
        </w:tc>
      </w:tr>
      <w:tr w:rsidR="0009196E" w:rsidRPr="00B30A12" w14:paraId="1FC94328" w14:textId="77777777" w:rsidTr="00AD54DF">
        <w:trPr>
          <w:cantSplit/>
        </w:trPr>
        <w:tc>
          <w:tcPr>
            <w:tcW w:w="3794" w:type="dxa"/>
            <w:tcBorders>
              <w:left w:val="single" w:sz="4" w:space="0" w:color="auto"/>
              <w:bottom w:val="nil"/>
            </w:tcBorders>
          </w:tcPr>
          <w:p w14:paraId="2EFD6E1D" w14:textId="77777777" w:rsidR="0009196E" w:rsidRPr="00B30A12" w:rsidRDefault="0009196E" w:rsidP="00AD54DF">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84 Monaten (%)</w:t>
            </w:r>
          </w:p>
        </w:tc>
        <w:tc>
          <w:tcPr>
            <w:tcW w:w="2693" w:type="dxa"/>
            <w:tcBorders>
              <w:bottom w:val="nil"/>
            </w:tcBorders>
          </w:tcPr>
          <w:p w14:paraId="4B762920" w14:textId="77777777" w:rsidR="0009196E" w:rsidRPr="00B30A12" w:rsidRDefault="0009196E" w:rsidP="00AD54DF">
            <w:pPr>
              <w:pStyle w:val="Table"/>
              <w:keepLines w:val="0"/>
              <w:widowControl w:val="0"/>
              <w:spacing w:before="0" w:after="0"/>
              <w:jc w:val="center"/>
              <w:rPr>
                <w:rFonts w:ascii="Times New Roman" w:hAnsi="Times New Roman"/>
                <w:color w:val="000000"/>
                <w:sz w:val="22"/>
                <w:szCs w:val="22"/>
                <w:lang w:val="en-GB"/>
              </w:rPr>
            </w:pPr>
            <w:r w:rsidRPr="00B30A12">
              <w:rPr>
                <w:rFonts w:ascii="Times New Roman" w:hAnsi="Times New Roman"/>
                <w:color w:val="000000"/>
                <w:sz w:val="22"/>
                <w:szCs w:val="22"/>
                <w:lang w:val="en-GB"/>
              </w:rPr>
              <w:t>102/116=87,9%</w:t>
            </w:r>
          </w:p>
        </w:tc>
        <w:tc>
          <w:tcPr>
            <w:tcW w:w="2718" w:type="dxa"/>
            <w:tcBorders>
              <w:bottom w:val="nil"/>
              <w:right w:val="single" w:sz="4" w:space="0" w:color="auto"/>
            </w:tcBorders>
          </w:tcPr>
          <w:p w14:paraId="0F147B42" w14:textId="77777777" w:rsidR="0009196E" w:rsidRPr="00B30A12" w:rsidRDefault="0009196E" w:rsidP="00AD54DF">
            <w:pPr>
              <w:pStyle w:val="Table"/>
              <w:keepLines w:val="0"/>
              <w:widowControl w:val="0"/>
              <w:spacing w:before="0" w:after="0"/>
              <w:jc w:val="center"/>
              <w:rPr>
                <w:rFonts w:ascii="Times New Roman" w:hAnsi="Times New Roman"/>
                <w:color w:val="000000"/>
                <w:sz w:val="22"/>
                <w:szCs w:val="22"/>
                <w:lang w:val="en-GB"/>
              </w:rPr>
            </w:pPr>
            <w:r w:rsidRPr="00B30A12">
              <w:rPr>
                <w:rFonts w:ascii="Times New Roman" w:hAnsi="Times New Roman"/>
                <w:color w:val="000000"/>
                <w:sz w:val="22"/>
                <w:szCs w:val="22"/>
                <w:lang w:val="en-GB"/>
              </w:rPr>
              <w:t>3/4=75%</w:t>
            </w:r>
          </w:p>
        </w:tc>
      </w:tr>
      <w:tr w:rsidR="00623D46" w:rsidRPr="00B30A12" w14:paraId="797F0860" w14:textId="77777777" w:rsidTr="00AD54DF">
        <w:trPr>
          <w:cantSplit/>
        </w:trPr>
        <w:tc>
          <w:tcPr>
            <w:tcW w:w="9205" w:type="dxa"/>
            <w:gridSpan w:val="3"/>
            <w:tcBorders>
              <w:top w:val="single" w:sz="4" w:space="0" w:color="auto"/>
              <w:left w:val="single" w:sz="4" w:space="0" w:color="auto"/>
              <w:bottom w:val="single" w:sz="4" w:space="0" w:color="auto"/>
              <w:right w:val="single" w:sz="4" w:space="0" w:color="auto"/>
            </w:tcBorders>
          </w:tcPr>
          <w:p w14:paraId="07222782" w14:textId="77777777" w:rsidR="00623D46" w:rsidRPr="00B30A12" w:rsidRDefault="00623D46" w:rsidP="00537E23">
            <w:pPr>
              <w:pStyle w:val="Header"/>
              <w:widowControl w:val="0"/>
              <w:tabs>
                <w:tab w:val="clear" w:pos="4320"/>
                <w:tab w:val="clear" w:pos="8640"/>
              </w:tabs>
              <w:ind w:left="34"/>
              <w:rPr>
                <w:color w:val="000000"/>
                <w:szCs w:val="22"/>
              </w:rPr>
            </w:pPr>
            <w:r w:rsidRPr="00B30A12">
              <w:rPr>
                <w:color w:val="000000"/>
                <w:szCs w:val="22"/>
              </w:rPr>
              <w:t>* p &lt; 0,001, Fishers exakter Test</w:t>
            </w:r>
          </w:p>
          <w:p w14:paraId="44524EC3" w14:textId="77777777" w:rsidR="00623D46" w:rsidRPr="00B30A12" w:rsidRDefault="00623D46" w:rsidP="00537E23">
            <w:pPr>
              <w:pStyle w:val="Header"/>
              <w:widowControl w:val="0"/>
              <w:tabs>
                <w:tab w:val="clear" w:pos="4320"/>
                <w:tab w:val="clear" w:pos="8640"/>
              </w:tabs>
              <w:ind w:left="34"/>
              <w:rPr>
                <w:color w:val="000000"/>
                <w:szCs w:val="22"/>
              </w:rPr>
            </w:pPr>
            <w:r w:rsidRPr="00B30A12">
              <w:rPr>
                <w:color w:val="000000"/>
                <w:szCs w:val="22"/>
              </w:rPr>
              <w:t xml:space="preserve">** </w:t>
            </w:r>
            <w:r w:rsidR="0009196E" w:rsidRPr="00B30A12">
              <w:rPr>
                <w:color w:val="000000"/>
                <w:szCs w:val="22"/>
              </w:rPr>
              <w:t>Prozentangaben zu</w:t>
            </w:r>
            <w:r w:rsidR="00CD27FB" w:rsidRPr="00B30A12">
              <w:rPr>
                <w:color w:val="000000"/>
                <w:szCs w:val="22"/>
              </w:rPr>
              <w:t>r</w:t>
            </w:r>
            <w:r w:rsidR="0009196E" w:rsidRPr="00B30A12">
              <w:rPr>
                <w:color w:val="000000"/>
                <w:szCs w:val="22"/>
              </w:rPr>
              <w:t xml:space="preserve"> molekularen </w:t>
            </w:r>
            <w:r w:rsidR="00CD27FB" w:rsidRPr="00B30A12">
              <w:rPr>
                <w:color w:val="000000"/>
                <w:szCs w:val="22"/>
              </w:rPr>
              <w:t>Remission</w:t>
            </w:r>
            <w:r w:rsidR="0009196E" w:rsidRPr="00B30A12">
              <w:rPr>
                <w:color w:val="000000"/>
                <w:szCs w:val="22"/>
              </w:rPr>
              <w:t xml:space="preserve"> basieren auf den verfügbaren Proben</w:t>
            </w:r>
          </w:p>
          <w:p w14:paraId="24A472F2" w14:textId="77777777" w:rsidR="00623D46" w:rsidRPr="00B30A12" w:rsidRDefault="00623D46" w:rsidP="00537E23">
            <w:pPr>
              <w:widowControl w:val="0"/>
              <w:rPr>
                <w:b/>
                <w:color w:val="000000"/>
                <w:sz w:val="22"/>
                <w:szCs w:val="22"/>
              </w:rPr>
            </w:pPr>
            <w:r w:rsidRPr="00B30A12">
              <w:rPr>
                <w:b/>
                <w:color w:val="000000"/>
                <w:sz w:val="22"/>
                <w:szCs w:val="22"/>
              </w:rPr>
              <w:t>Kriterien für die hämatologische Remission (Remission bestätigt nach ≥ 4 Wochen):</w:t>
            </w:r>
          </w:p>
          <w:p w14:paraId="53DA7B2A" w14:textId="77777777" w:rsidR="00623D46" w:rsidRPr="00B30A12" w:rsidRDefault="00623D46" w:rsidP="00537E23">
            <w:pPr>
              <w:widowControl w:val="0"/>
              <w:rPr>
                <w:color w:val="000000"/>
                <w:sz w:val="22"/>
                <w:szCs w:val="22"/>
              </w:rPr>
            </w:pPr>
            <w:r w:rsidRPr="00B30A12">
              <w:rPr>
                <w:color w:val="000000"/>
                <w:sz w:val="22"/>
                <w:szCs w:val="22"/>
              </w:rPr>
              <w:t>Leukozyten &lt; 10 x 10</w:t>
            </w:r>
            <w:r w:rsidRPr="00B30A12">
              <w:rPr>
                <w:color w:val="000000"/>
                <w:sz w:val="22"/>
                <w:szCs w:val="22"/>
                <w:vertAlign w:val="superscript"/>
              </w:rPr>
              <w:t>9</w:t>
            </w:r>
            <w:r w:rsidRPr="00B30A12">
              <w:rPr>
                <w:color w:val="000000"/>
                <w:sz w:val="22"/>
                <w:szCs w:val="22"/>
              </w:rPr>
              <w:t>/l, Thrombozyten &lt; 450 x 10</w:t>
            </w:r>
            <w:r w:rsidRPr="00B30A12">
              <w:rPr>
                <w:color w:val="000000"/>
                <w:sz w:val="22"/>
                <w:szCs w:val="22"/>
                <w:vertAlign w:val="superscript"/>
              </w:rPr>
              <w:t>9</w:t>
            </w:r>
            <w:r w:rsidRPr="00B30A12">
              <w:rPr>
                <w:color w:val="000000"/>
                <w:sz w:val="22"/>
                <w:szCs w:val="22"/>
              </w:rPr>
              <w:t>/l, Myelozyten + Metamyelozyten &lt; 5% im Blut, keine Blasten und Promyelozyten im Blut, Basophile &lt; 20%, keine extramedulläre Beteiligung</w:t>
            </w:r>
          </w:p>
          <w:p w14:paraId="7FB3DE82" w14:textId="77777777" w:rsidR="00623D46" w:rsidRPr="00B30A12" w:rsidRDefault="00623D46" w:rsidP="00537E23">
            <w:pPr>
              <w:widowControl w:val="0"/>
              <w:rPr>
                <w:color w:val="000000"/>
                <w:sz w:val="22"/>
                <w:szCs w:val="22"/>
              </w:rPr>
            </w:pPr>
            <w:r w:rsidRPr="00B30A12">
              <w:rPr>
                <w:b/>
                <w:color w:val="000000"/>
                <w:sz w:val="22"/>
                <w:szCs w:val="22"/>
              </w:rPr>
              <w:t xml:space="preserve">Kriterien für zytogenetische Remission: </w:t>
            </w:r>
            <w:r w:rsidRPr="00B30A12">
              <w:rPr>
                <w:color w:val="000000"/>
                <w:sz w:val="22"/>
                <w:szCs w:val="22"/>
              </w:rPr>
              <w:t>Komplett: 0% Ph</w:t>
            </w:r>
            <w:r w:rsidRPr="00B30A12">
              <w:rPr>
                <w:color w:val="000000"/>
                <w:sz w:val="22"/>
                <w:szCs w:val="22"/>
                <w:vertAlign w:val="superscript"/>
              </w:rPr>
              <w:t>+</w:t>
            </w:r>
            <w:r w:rsidRPr="00B30A12">
              <w:rPr>
                <w:color w:val="000000"/>
                <w:sz w:val="22"/>
                <w:szCs w:val="22"/>
              </w:rPr>
              <w:t>-Metaphasen, partiell: 1–35%, geringer (36–65%) oder minimal (66–95%). Eine gute Remission (0–35%) beinhaltet sowohl komplette als auch partielle Remission.</w:t>
            </w:r>
          </w:p>
          <w:p w14:paraId="326C22C7" w14:textId="77777777" w:rsidR="00623D46" w:rsidRPr="00B30A12" w:rsidRDefault="00623D46" w:rsidP="00537E23">
            <w:pPr>
              <w:pStyle w:val="Table"/>
              <w:keepNext w:val="0"/>
              <w:keepLines w:val="0"/>
              <w:widowControl w:val="0"/>
              <w:spacing w:before="0" w:after="0"/>
              <w:rPr>
                <w:rFonts w:ascii="Times New Roman" w:hAnsi="Times New Roman"/>
                <w:color w:val="000000"/>
                <w:sz w:val="22"/>
                <w:szCs w:val="22"/>
                <w:lang w:val="de-CH"/>
              </w:rPr>
            </w:pPr>
            <w:r w:rsidRPr="00B30A12">
              <w:rPr>
                <w:rFonts w:ascii="Times New Roman" w:hAnsi="Times New Roman"/>
                <w:b/>
                <w:color w:val="000000"/>
                <w:sz w:val="22"/>
                <w:szCs w:val="22"/>
                <w:lang w:val="de-CH"/>
              </w:rPr>
              <w:t>Kriterien für gute molekulare Remission:</w:t>
            </w:r>
            <w:r w:rsidRPr="00B30A12">
              <w:rPr>
                <w:rFonts w:ascii="Times New Roman" w:hAnsi="Times New Roman"/>
                <w:color w:val="000000"/>
                <w:sz w:val="22"/>
                <w:szCs w:val="22"/>
                <w:lang w:val="de-CH"/>
              </w:rPr>
              <w:t xml:space="preserve"> Reduktion der Bcr-Abl-Transkripte im peripheren Blut ≥ 3 log-Stufen (gemessen mit real-time quantitativer reverser Transkriptase-</w:t>
            </w:r>
            <w:smartTag w:uri="urn:schemas-microsoft-com:office:smarttags" w:element="stockticker">
              <w:r w:rsidRPr="00B30A12">
                <w:rPr>
                  <w:rFonts w:ascii="Times New Roman" w:hAnsi="Times New Roman"/>
                  <w:color w:val="000000"/>
                  <w:sz w:val="22"/>
                  <w:szCs w:val="22"/>
                  <w:lang w:val="de-CH"/>
                </w:rPr>
                <w:t>PCR</w:t>
              </w:r>
            </w:smartTag>
            <w:r w:rsidRPr="00B30A12">
              <w:rPr>
                <w:rFonts w:ascii="Times New Roman" w:hAnsi="Times New Roman"/>
                <w:color w:val="000000"/>
                <w:sz w:val="22"/>
                <w:szCs w:val="22"/>
                <w:lang w:val="de-CH"/>
              </w:rPr>
              <w:t>) nach 12 Monaten Therapie im Vergleich zum standardisierten Ausgangswert.</w:t>
            </w:r>
          </w:p>
        </w:tc>
      </w:tr>
    </w:tbl>
    <w:p w14:paraId="19715425" w14:textId="77777777" w:rsidR="00C75F16" w:rsidRPr="00B30A12" w:rsidRDefault="00C75F16" w:rsidP="00537E23">
      <w:pPr>
        <w:widowControl w:val="0"/>
        <w:rPr>
          <w:color w:val="000000"/>
          <w:sz w:val="22"/>
          <w:szCs w:val="22"/>
        </w:rPr>
      </w:pPr>
    </w:p>
    <w:p w14:paraId="2BB5E04A" w14:textId="77777777" w:rsidR="00C75F16" w:rsidRPr="00B30A12" w:rsidRDefault="00C75F16" w:rsidP="00537E23">
      <w:pPr>
        <w:widowControl w:val="0"/>
        <w:rPr>
          <w:color w:val="000000"/>
          <w:sz w:val="22"/>
          <w:szCs w:val="22"/>
        </w:rPr>
      </w:pPr>
      <w:r w:rsidRPr="00B30A12">
        <w:rPr>
          <w:color w:val="000000"/>
          <w:sz w:val="22"/>
          <w:szCs w:val="22"/>
        </w:rPr>
        <w:t>Die Raten für die komplette hämatologische Remission, gute zytogenetische Remission und komplette zytogenetische Remission unter First-</w:t>
      </w:r>
      <w:r w:rsidR="00BB0C48" w:rsidRPr="00B30A12">
        <w:rPr>
          <w:color w:val="000000"/>
          <w:sz w:val="22"/>
          <w:szCs w:val="22"/>
        </w:rPr>
        <w:t>L</w:t>
      </w:r>
      <w:r w:rsidRPr="00B30A12">
        <w:rPr>
          <w:color w:val="000000"/>
          <w:sz w:val="22"/>
          <w:szCs w:val="22"/>
        </w:rPr>
        <w:t>ine-Therapie wurden nach der Kaplan-Meier-Methode geschätzt. Dazu wurde ein Nichtansprechen zum Zeitpunkt der letzten Untersuchung zensiert. Die geschätzten kumulativen Ansprech</w:t>
      </w:r>
      <w:r w:rsidR="00A302E6" w:rsidRPr="00B30A12">
        <w:rPr>
          <w:color w:val="000000"/>
          <w:sz w:val="22"/>
          <w:szCs w:val="22"/>
        </w:rPr>
        <w:t>rat</w:t>
      </w:r>
      <w:r w:rsidRPr="00B30A12">
        <w:rPr>
          <w:color w:val="000000"/>
          <w:sz w:val="22"/>
          <w:szCs w:val="22"/>
        </w:rPr>
        <w:t xml:space="preserve">en für die First-line-Therapie mit Glivec unter Verwendung dieser Methode </w:t>
      </w:r>
      <w:r w:rsidR="00A302E6" w:rsidRPr="00B30A12">
        <w:rPr>
          <w:color w:val="000000"/>
          <w:sz w:val="22"/>
          <w:szCs w:val="22"/>
        </w:rPr>
        <w:t>verbesserten sich im Zeitraum zwischen 12</w:t>
      </w:r>
      <w:r w:rsidR="007D3C54" w:rsidRPr="00B30A12">
        <w:rPr>
          <w:color w:val="000000"/>
          <w:sz w:val="22"/>
          <w:szCs w:val="22"/>
        </w:rPr>
        <w:t> </w:t>
      </w:r>
      <w:r w:rsidR="00A302E6" w:rsidRPr="00B30A12">
        <w:rPr>
          <w:color w:val="000000"/>
          <w:sz w:val="22"/>
          <w:szCs w:val="22"/>
        </w:rPr>
        <w:t xml:space="preserve">Monaten und </w:t>
      </w:r>
      <w:r w:rsidR="00A04AA2" w:rsidRPr="00B30A12">
        <w:rPr>
          <w:color w:val="000000"/>
          <w:sz w:val="22"/>
          <w:szCs w:val="22"/>
        </w:rPr>
        <w:t>84</w:t>
      </w:r>
      <w:r w:rsidR="007D3C54" w:rsidRPr="00B30A12">
        <w:rPr>
          <w:color w:val="000000"/>
          <w:sz w:val="22"/>
          <w:szCs w:val="22"/>
        </w:rPr>
        <w:t> </w:t>
      </w:r>
      <w:r w:rsidR="00A302E6" w:rsidRPr="00B30A12">
        <w:rPr>
          <w:color w:val="000000"/>
          <w:sz w:val="22"/>
          <w:szCs w:val="22"/>
        </w:rPr>
        <w:t xml:space="preserve">Monaten der Therapie folgendermaßen: </w:t>
      </w:r>
      <w:smartTag w:uri="urn:schemas-microsoft-com:office:smarttags" w:element="stockticker">
        <w:r w:rsidR="00A302E6" w:rsidRPr="00B30A12">
          <w:rPr>
            <w:color w:val="000000"/>
            <w:sz w:val="22"/>
            <w:szCs w:val="22"/>
          </w:rPr>
          <w:t>CHR</w:t>
        </w:r>
      </w:smartTag>
      <w:r w:rsidR="00A302E6" w:rsidRPr="00B30A12">
        <w:rPr>
          <w:color w:val="000000"/>
          <w:sz w:val="22"/>
          <w:szCs w:val="22"/>
        </w:rPr>
        <w:t xml:space="preserve"> von 96</w:t>
      </w:r>
      <w:r w:rsidR="007D3C54" w:rsidRPr="00B30A12">
        <w:rPr>
          <w:color w:val="000000"/>
          <w:sz w:val="22"/>
          <w:szCs w:val="22"/>
        </w:rPr>
        <w:t>,</w:t>
      </w:r>
      <w:r w:rsidR="00A302E6" w:rsidRPr="00B30A12">
        <w:rPr>
          <w:color w:val="000000"/>
          <w:sz w:val="22"/>
          <w:szCs w:val="22"/>
        </w:rPr>
        <w:t xml:space="preserve">4% auf 98,4% und </w:t>
      </w:r>
      <w:r w:rsidR="00EE0C65" w:rsidRPr="00B30A12">
        <w:rPr>
          <w:color w:val="000000"/>
          <w:sz w:val="22"/>
          <w:szCs w:val="22"/>
        </w:rPr>
        <w:t>C</w:t>
      </w:r>
      <w:r w:rsidR="00A302E6" w:rsidRPr="00B30A12">
        <w:rPr>
          <w:color w:val="000000"/>
          <w:sz w:val="22"/>
          <w:szCs w:val="22"/>
        </w:rPr>
        <w:t xml:space="preserve">CyR von 69,5% auf </w:t>
      </w:r>
      <w:r w:rsidR="00A04AA2" w:rsidRPr="00B30A12">
        <w:rPr>
          <w:color w:val="000000"/>
          <w:sz w:val="22"/>
          <w:szCs w:val="22"/>
        </w:rPr>
        <w:t>87,2</w:t>
      </w:r>
      <w:r w:rsidR="00A302E6" w:rsidRPr="00B30A12">
        <w:rPr>
          <w:color w:val="000000"/>
          <w:sz w:val="22"/>
          <w:szCs w:val="22"/>
        </w:rPr>
        <w:t>%</w:t>
      </w:r>
      <w:r w:rsidR="007D3C54" w:rsidRPr="00B30A12">
        <w:rPr>
          <w:color w:val="000000"/>
          <w:sz w:val="22"/>
          <w:szCs w:val="22"/>
        </w:rPr>
        <w:t>.</w:t>
      </w:r>
    </w:p>
    <w:p w14:paraId="7B6A5058" w14:textId="77777777" w:rsidR="00C75F16" w:rsidRPr="00B30A12" w:rsidRDefault="00C75F16" w:rsidP="00537E23">
      <w:pPr>
        <w:widowControl w:val="0"/>
        <w:rPr>
          <w:color w:val="000000"/>
          <w:sz w:val="22"/>
          <w:szCs w:val="22"/>
        </w:rPr>
      </w:pPr>
    </w:p>
    <w:p w14:paraId="38993B87" w14:textId="77777777" w:rsidR="00922EAD" w:rsidRPr="00B30A12" w:rsidRDefault="00922EAD" w:rsidP="00537E23">
      <w:pPr>
        <w:widowControl w:val="0"/>
        <w:rPr>
          <w:color w:val="000000"/>
          <w:sz w:val="22"/>
          <w:szCs w:val="22"/>
        </w:rPr>
      </w:pPr>
      <w:r w:rsidRPr="00B30A12">
        <w:rPr>
          <w:color w:val="000000"/>
          <w:sz w:val="22"/>
          <w:szCs w:val="22"/>
        </w:rPr>
        <w:t xml:space="preserve">Nach </w:t>
      </w:r>
      <w:r w:rsidR="00A04AA2" w:rsidRPr="00B30A12">
        <w:rPr>
          <w:color w:val="000000"/>
          <w:sz w:val="22"/>
          <w:szCs w:val="22"/>
        </w:rPr>
        <w:t>7</w:t>
      </w:r>
      <w:r w:rsidR="006906C2" w:rsidRPr="00B30A12">
        <w:rPr>
          <w:color w:val="000000"/>
          <w:sz w:val="22"/>
          <w:szCs w:val="22"/>
        </w:rPr>
        <w:t> </w:t>
      </w:r>
      <w:r w:rsidRPr="00B30A12">
        <w:rPr>
          <w:color w:val="000000"/>
          <w:sz w:val="22"/>
          <w:szCs w:val="22"/>
        </w:rPr>
        <w:t xml:space="preserve">Jahren Follow-up sind im Glivec-Arm </w:t>
      </w:r>
      <w:r w:rsidR="00A04AA2" w:rsidRPr="00B30A12">
        <w:rPr>
          <w:color w:val="000000"/>
          <w:sz w:val="22"/>
          <w:szCs w:val="22"/>
        </w:rPr>
        <w:t>93</w:t>
      </w:r>
      <w:r w:rsidRPr="00B30A12">
        <w:rPr>
          <w:color w:val="000000"/>
          <w:sz w:val="22"/>
          <w:szCs w:val="22"/>
        </w:rPr>
        <w:t xml:space="preserve"> (</w:t>
      </w:r>
      <w:r w:rsidR="00A04AA2" w:rsidRPr="00B30A12">
        <w:rPr>
          <w:color w:val="000000"/>
          <w:sz w:val="22"/>
          <w:szCs w:val="22"/>
        </w:rPr>
        <w:t>16,8</w:t>
      </w:r>
      <w:r w:rsidRPr="00B30A12">
        <w:rPr>
          <w:color w:val="000000"/>
          <w:sz w:val="22"/>
          <w:szCs w:val="22"/>
        </w:rPr>
        <w:t xml:space="preserve">%) Progressionsereignisse aufgetreten: </w:t>
      </w:r>
      <w:r w:rsidR="00A04AA2" w:rsidRPr="00B30A12">
        <w:rPr>
          <w:color w:val="000000"/>
          <w:sz w:val="22"/>
          <w:szCs w:val="22"/>
        </w:rPr>
        <w:t>37</w:t>
      </w:r>
      <w:r w:rsidRPr="00B30A12">
        <w:rPr>
          <w:color w:val="000000"/>
          <w:sz w:val="22"/>
          <w:szCs w:val="22"/>
        </w:rPr>
        <w:t xml:space="preserve"> (</w:t>
      </w:r>
      <w:r w:rsidR="00A04AA2" w:rsidRPr="00B30A12">
        <w:rPr>
          <w:color w:val="000000"/>
          <w:sz w:val="22"/>
          <w:szCs w:val="22"/>
        </w:rPr>
        <w:t>6,7</w:t>
      </w:r>
      <w:r w:rsidRPr="00B30A12">
        <w:rPr>
          <w:color w:val="000000"/>
          <w:sz w:val="22"/>
          <w:szCs w:val="22"/>
        </w:rPr>
        <w:t xml:space="preserve">%) betrafen die Progression in die akzelerierte Phase/Blastenkrise, </w:t>
      </w:r>
      <w:r w:rsidR="00A04AA2" w:rsidRPr="00B30A12">
        <w:rPr>
          <w:color w:val="000000"/>
          <w:sz w:val="22"/>
          <w:szCs w:val="22"/>
        </w:rPr>
        <w:t>31</w:t>
      </w:r>
      <w:r w:rsidRPr="00B30A12">
        <w:rPr>
          <w:color w:val="000000"/>
          <w:sz w:val="22"/>
          <w:szCs w:val="22"/>
        </w:rPr>
        <w:t xml:space="preserve"> (</w:t>
      </w:r>
      <w:r w:rsidR="00A04AA2" w:rsidRPr="00B30A12">
        <w:rPr>
          <w:color w:val="000000"/>
          <w:sz w:val="22"/>
          <w:szCs w:val="22"/>
        </w:rPr>
        <w:t>5,6</w:t>
      </w:r>
      <w:r w:rsidRPr="00B30A12">
        <w:rPr>
          <w:color w:val="000000"/>
          <w:sz w:val="22"/>
          <w:szCs w:val="22"/>
        </w:rPr>
        <w:t xml:space="preserve">%) den Verlust der MCyR, </w:t>
      </w:r>
      <w:r w:rsidR="00A04AA2" w:rsidRPr="00B30A12">
        <w:rPr>
          <w:color w:val="000000"/>
          <w:sz w:val="22"/>
          <w:szCs w:val="22"/>
        </w:rPr>
        <w:t>15</w:t>
      </w:r>
      <w:r w:rsidRPr="00B30A12">
        <w:rPr>
          <w:color w:val="000000"/>
          <w:sz w:val="22"/>
          <w:szCs w:val="22"/>
        </w:rPr>
        <w:t xml:space="preserve"> (</w:t>
      </w:r>
      <w:r w:rsidR="00A04AA2" w:rsidRPr="00B30A12">
        <w:rPr>
          <w:color w:val="000000"/>
          <w:sz w:val="22"/>
          <w:szCs w:val="22"/>
        </w:rPr>
        <w:t>2,7</w:t>
      </w:r>
      <w:r w:rsidR="004419FA" w:rsidRPr="00B30A12">
        <w:rPr>
          <w:color w:val="000000"/>
          <w:sz w:val="22"/>
          <w:szCs w:val="22"/>
        </w:rPr>
        <w:t>%</w:t>
      </w:r>
      <w:r w:rsidRPr="00B30A12">
        <w:rPr>
          <w:color w:val="000000"/>
          <w:sz w:val="22"/>
          <w:szCs w:val="22"/>
        </w:rPr>
        <w:t xml:space="preserve">) den Verlust der </w:t>
      </w:r>
      <w:smartTag w:uri="urn:schemas-microsoft-com:office:smarttags" w:element="stockticker">
        <w:r w:rsidRPr="00B30A12">
          <w:rPr>
            <w:color w:val="000000"/>
            <w:sz w:val="22"/>
            <w:szCs w:val="22"/>
          </w:rPr>
          <w:t>CHR</w:t>
        </w:r>
      </w:smartTag>
      <w:r w:rsidRPr="00B30A12">
        <w:rPr>
          <w:color w:val="000000"/>
          <w:sz w:val="22"/>
          <w:szCs w:val="22"/>
        </w:rPr>
        <w:t xml:space="preserve"> oder einen Anstieg der Leukozytenzahl und </w:t>
      </w:r>
      <w:r w:rsidR="00A04AA2" w:rsidRPr="00B30A12">
        <w:rPr>
          <w:color w:val="000000"/>
          <w:sz w:val="22"/>
          <w:szCs w:val="22"/>
        </w:rPr>
        <w:t>10</w:t>
      </w:r>
      <w:r w:rsidRPr="00B30A12">
        <w:rPr>
          <w:color w:val="000000"/>
          <w:sz w:val="22"/>
          <w:szCs w:val="22"/>
        </w:rPr>
        <w:t xml:space="preserve"> (</w:t>
      </w:r>
      <w:r w:rsidR="00A04AA2" w:rsidRPr="00B30A12">
        <w:rPr>
          <w:color w:val="000000"/>
          <w:sz w:val="22"/>
          <w:szCs w:val="22"/>
        </w:rPr>
        <w:t>1,8</w:t>
      </w:r>
      <w:r w:rsidRPr="00B30A12">
        <w:rPr>
          <w:color w:val="000000"/>
          <w:sz w:val="22"/>
          <w:szCs w:val="22"/>
        </w:rPr>
        <w:t xml:space="preserve">%) CML-unabhängige Todesfälle. Dagegen gab es im IFN + Ara-C-Arm </w:t>
      </w:r>
      <w:r w:rsidR="00A04AA2" w:rsidRPr="00B30A12">
        <w:rPr>
          <w:color w:val="000000"/>
          <w:sz w:val="22"/>
          <w:szCs w:val="22"/>
        </w:rPr>
        <w:t>165</w:t>
      </w:r>
      <w:r w:rsidRPr="00B30A12">
        <w:rPr>
          <w:color w:val="000000"/>
          <w:sz w:val="22"/>
          <w:szCs w:val="22"/>
        </w:rPr>
        <w:t xml:space="preserve"> (</w:t>
      </w:r>
      <w:r w:rsidR="00A04AA2" w:rsidRPr="00B30A12">
        <w:rPr>
          <w:color w:val="000000"/>
          <w:sz w:val="22"/>
          <w:szCs w:val="22"/>
        </w:rPr>
        <w:t>29,8</w:t>
      </w:r>
      <w:r w:rsidRPr="00B30A12">
        <w:rPr>
          <w:color w:val="000000"/>
          <w:sz w:val="22"/>
          <w:szCs w:val="22"/>
        </w:rPr>
        <w:t xml:space="preserve">%) Ereignisse, von denen </w:t>
      </w:r>
      <w:r w:rsidR="00A04AA2" w:rsidRPr="00B30A12">
        <w:rPr>
          <w:color w:val="000000"/>
          <w:sz w:val="22"/>
          <w:szCs w:val="22"/>
        </w:rPr>
        <w:t>130</w:t>
      </w:r>
      <w:r w:rsidRPr="00B30A12">
        <w:rPr>
          <w:color w:val="000000"/>
          <w:sz w:val="22"/>
          <w:szCs w:val="22"/>
        </w:rPr>
        <w:t xml:space="preserve"> unter First-line-Therapie mit IFN + Ara-C aufgetreten sind.</w:t>
      </w:r>
    </w:p>
    <w:p w14:paraId="698D71BF" w14:textId="77777777" w:rsidR="00922EAD" w:rsidRPr="00B30A12" w:rsidRDefault="00922EAD" w:rsidP="00537E23">
      <w:pPr>
        <w:widowControl w:val="0"/>
        <w:rPr>
          <w:color w:val="000000"/>
          <w:sz w:val="22"/>
          <w:szCs w:val="22"/>
        </w:rPr>
      </w:pPr>
    </w:p>
    <w:p w14:paraId="7251A611" w14:textId="77777777" w:rsidR="00FB011F" w:rsidRPr="00B30A12" w:rsidRDefault="00922EAD" w:rsidP="00537E23">
      <w:pPr>
        <w:widowControl w:val="0"/>
        <w:rPr>
          <w:color w:val="000000"/>
          <w:sz w:val="22"/>
          <w:szCs w:val="22"/>
        </w:rPr>
      </w:pPr>
      <w:r w:rsidRPr="00B30A12">
        <w:rPr>
          <w:color w:val="000000"/>
          <w:sz w:val="22"/>
          <w:szCs w:val="22"/>
        </w:rPr>
        <w:t>D</w:t>
      </w:r>
      <w:r w:rsidR="006615F9" w:rsidRPr="00B30A12">
        <w:rPr>
          <w:color w:val="000000"/>
          <w:sz w:val="22"/>
          <w:szCs w:val="22"/>
        </w:rPr>
        <w:t>er geschätzte An</w:t>
      </w:r>
      <w:r w:rsidR="006615F9" w:rsidRPr="00B30A12">
        <w:rPr>
          <w:color w:val="000000"/>
          <w:sz w:val="22"/>
          <w:szCs w:val="22"/>
        </w:rPr>
        <w:softHyphen/>
        <w:t>teil von Patienten ohne Prog</w:t>
      </w:r>
      <w:r w:rsidR="00BB0C48" w:rsidRPr="00B30A12">
        <w:rPr>
          <w:color w:val="000000"/>
          <w:sz w:val="22"/>
          <w:szCs w:val="22"/>
        </w:rPr>
        <w:t>r</w:t>
      </w:r>
      <w:r w:rsidR="006615F9" w:rsidRPr="00B30A12">
        <w:rPr>
          <w:color w:val="000000"/>
          <w:sz w:val="22"/>
          <w:szCs w:val="22"/>
        </w:rPr>
        <w:t xml:space="preserve">ession in die akzelerierte Phase oder Blastenkrise nach </w:t>
      </w:r>
      <w:r w:rsidR="00252912" w:rsidRPr="00B30A12">
        <w:rPr>
          <w:color w:val="000000"/>
          <w:sz w:val="22"/>
          <w:szCs w:val="22"/>
        </w:rPr>
        <w:t>84</w:t>
      </w:r>
      <w:r w:rsidR="00FB011F" w:rsidRPr="00B30A12">
        <w:rPr>
          <w:color w:val="000000"/>
          <w:sz w:val="22"/>
          <w:szCs w:val="22"/>
        </w:rPr>
        <w:t> </w:t>
      </w:r>
      <w:r w:rsidR="006615F9" w:rsidRPr="00B30A12">
        <w:rPr>
          <w:color w:val="000000"/>
          <w:sz w:val="22"/>
          <w:szCs w:val="22"/>
        </w:rPr>
        <w:t xml:space="preserve">Monaten </w:t>
      </w:r>
      <w:r w:rsidR="00FB011F" w:rsidRPr="00B30A12">
        <w:rPr>
          <w:color w:val="000000"/>
          <w:sz w:val="22"/>
          <w:szCs w:val="22"/>
        </w:rPr>
        <w:t xml:space="preserve">war </w:t>
      </w:r>
      <w:r w:rsidR="006615F9" w:rsidRPr="00B30A12">
        <w:rPr>
          <w:color w:val="000000"/>
          <w:sz w:val="22"/>
          <w:szCs w:val="22"/>
        </w:rPr>
        <w:t>signifi</w:t>
      </w:r>
      <w:r w:rsidR="006615F9" w:rsidRPr="00B30A12">
        <w:rPr>
          <w:color w:val="000000"/>
          <w:sz w:val="22"/>
          <w:szCs w:val="22"/>
        </w:rPr>
        <w:softHyphen/>
        <w:t>kant höher im Glivec-Arm im Vergleich zum IFN-Arm (</w:t>
      </w:r>
      <w:r w:rsidR="00A04AA2" w:rsidRPr="00B30A12">
        <w:rPr>
          <w:color w:val="000000"/>
          <w:sz w:val="22"/>
          <w:szCs w:val="22"/>
        </w:rPr>
        <w:t>92,5</w:t>
      </w:r>
      <w:r w:rsidR="006766AC" w:rsidRPr="00B30A12">
        <w:rPr>
          <w:color w:val="000000"/>
          <w:sz w:val="22"/>
          <w:szCs w:val="22"/>
        </w:rPr>
        <w:t>%</w:t>
      </w:r>
      <w:r w:rsidR="006615F9" w:rsidRPr="00B30A12">
        <w:rPr>
          <w:color w:val="000000"/>
          <w:sz w:val="22"/>
          <w:szCs w:val="22"/>
        </w:rPr>
        <w:t xml:space="preserve"> versus </w:t>
      </w:r>
      <w:r w:rsidR="00A04AA2" w:rsidRPr="00B30A12">
        <w:rPr>
          <w:color w:val="000000"/>
          <w:sz w:val="22"/>
          <w:szCs w:val="22"/>
        </w:rPr>
        <w:t>85,1</w:t>
      </w:r>
      <w:r w:rsidR="006766AC" w:rsidRPr="00B30A12">
        <w:rPr>
          <w:color w:val="000000"/>
          <w:sz w:val="22"/>
          <w:szCs w:val="22"/>
        </w:rPr>
        <w:t>%</w:t>
      </w:r>
      <w:r w:rsidR="006615F9" w:rsidRPr="00B30A12">
        <w:rPr>
          <w:color w:val="000000"/>
          <w:sz w:val="22"/>
          <w:szCs w:val="22"/>
        </w:rPr>
        <w:t xml:space="preserve">, p &lt; 0,001). </w:t>
      </w:r>
      <w:r w:rsidR="00FB011F" w:rsidRPr="00B30A12">
        <w:rPr>
          <w:color w:val="000000"/>
          <w:sz w:val="22"/>
          <w:szCs w:val="22"/>
        </w:rPr>
        <w:t xml:space="preserve">Die jährliche Progressionsrate </w:t>
      </w:r>
      <w:r w:rsidR="00C03A48" w:rsidRPr="00B30A12">
        <w:rPr>
          <w:color w:val="000000"/>
          <w:sz w:val="22"/>
          <w:szCs w:val="22"/>
        </w:rPr>
        <w:t xml:space="preserve">in die akzelerierte Phase oder Blastenkrise </w:t>
      </w:r>
      <w:r w:rsidR="00FB011F" w:rsidRPr="00B30A12">
        <w:rPr>
          <w:color w:val="000000"/>
          <w:sz w:val="22"/>
          <w:szCs w:val="22"/>
        </w:rPr>
        <w:t>nahm im Therapieverlauf ab</w:t>
      </w:r>
      <w:r w:rsidR="00C03A48" w:rsidRPr="00B30A12">
        <w:rPr>
          <w:color w:val="000000"/>
          <w:sz w:val="22"/>
          <w:szCs w:val="22"/>
        </w:rPr>
        <w:t xml:space="preserve"> und </w:t>
      </w:r>
      <w:r w:rsidR="00FB011F" w:rsidRPr="00B30A12">
        <w:rPr>
          <w:color w:val="000000"/>
          <w:sz w:val="22"/>
          <w:szCs w:val="22"/>
        </w:rPr>
        <w:t>betrug</w:t>
      </w:r>
      <w:r w:rsidR="00C03A48" w:rsidRPr="00B30A12">
        <w:rPr>
          <w:color w:val="000000"/>
          <w:sz w:val="22"/>
          <w:szCs w:val="22"/>
        </w:rPr>
        <w:t xml:space="preserve"> im vierten und </w:t>
      </w:r>
      <w:r w:rsidR="00FB011F" w:rsidRPr="00B30A12">
        <w:rPr>
          <w:color w:val="000000"/>
          <w:sz w:val="22"/>
          <w:szCs w:val="22"/>
        </w:rPr>
        <w:t xml:space="preserve">fünften Jahr </w:t>
      </w:r>
      <w:r w:rsidR="00C03A48" w:rsidRPr="00B30A12">
        <w:rPr>
          <w:color w:val="000000"/>
          <w:sz w:val="22"/>
          <w:szCs w:val="22"/>
        </w:rPr>
        <w:t>weniger als jährlich 1%</w:t>
      </w:r>
      <w:r w:rsidR="00FB011F" w:rsidRPr="00B30A12">
        <w:rPr>
          <w:color w:val="000000"/>
          <w:sz w:val="22"/>
          <w:szCs w:val="22"/>
        </w:rPr>
        <w:t xml:space="preserve">. </w:t>
      </w:r>
      <w:r w:rsidR="006615F9" w:rsidRPr="00B30A12">
        <w:rPr>
          <w:color w:val="000000"/>
          <w:sz w:val="22"/>
          <w:szCs w:val="22"/>
        </w:rPr>
        <w:t xml:space="preserve">Der geschätzte Anteil von progressionsfrei Überlebenden nach </w:t>
      </w:r>
      <w:r w:rsidR="00A04AA2" w:rsidRPr="00B30A12">
        <w:rPr>
          <w:color w:val="000000"/>
          <w:sz w:val="22"/>
          <w:szCs w:val="22"/>
        </w:rPr>
        <w:t>84</w:t>
      </w:r>
      <w:r w:rsidR="00FB011F" w:rsidRPr="00B30A12">
        <w:rPr>
          <w:color w:val="000000"/>
          <w:sz w:val="22"/>
          <w:szCs w:val="22"/>
        </w:rPr>
        <w:t> </w:t>
      </w:r>
      <w:r w:rsidR="006615F9" w:rsidRPr="00B30A12">
        <w:rPr>
          <w:color w:val="000000"/>
          <w:sz w:val="22"/>
          <w:szCs w:val="22"/>
        </w:rPr>
        <w:t xml:space="preserve">Monaten betrug </w:t>
      </w:r>
      <w:r w:rsidR="00A04AA2" w:rsidRPr="00B30A12">
        <w:rPr>
          <w:color w:val="000000"/>
          <w:sz w:val="22"/>
          <w:szCs w:val="22"/>
        </w:rPr>
        <w:t>81,2</w:t>
      </w:r>
      <w:r w:rsidR="006766AC" w:rsidRPr="00B30A12">
        <w:rPr>
          <w:color w:val="000000"/>
          <w:sz w:val="22"/>
          <w:szCs w:val="22"/>
        </w:rPr>
        <w:t>%</w:t>
      </w:r>
      <w:r w:rsidR="006615F9" w:rsidRPr="00B30A12">
        <w:rPr>
          <w:color w:val="000000"/>
          <w:sz w:val="22"/>
          <w:szCs w:val="22"/>
        </w:rPr>
        <w:t xml:space="preserve"> im Gli</w:t>
      </w:r>
      <w:r w:rsidR="006615F9" w:rsidRPr="00B30A12">
        <w:rPr>
          <w:color w:val="000000"/>
          <w:sz w:val="22"/>
          <w:szCs w:val="22"/>
        </w:rPr>
        <w:softHyphen/>
        <w:t xml:space="preserve">vec-Arm und </w:t>
      </w:r>
      <w:r w:rsidR="00A04AA2" w:rsidRPr="00B30A12">
        <w:rPr>
          <w:color w:val="000000"/>
          <w:sz w:val="22"/>
          <w:szCs w:val="22"/>
        </w:rPr>
        <w:t>60,6</w:t>
      </w:r>
      <w:r w:rsidR="006766AC" w:rsidRPr="00B30A12">
        <w:rPr>
          <w:color w:val="000000"/>
          <w:sz w:val="22"/>
          <w:szCs w:val="22"/>
        </w:rPr>
        <w:t>%</w:t>
      </w:r>
      <w:r w:rsidR="006615F9" w:rsidRPr="00B30A12">
        <w:rPr>
          <w:color w:val="000000"/>
          <w:sz w:val="22"/>
          <w:szCs w:val="22"/>
        </w:rPr>
        <w:t xml:space="preserve"> im Kontrollarm</w:t>
      </w:r>
      <w:r w:rsidR="00FB011F" w:rsidRPr="00B30A12">
        <w:rPr>
          <w:color w:val="000000"/>
          <w:sz w:val="22"/>
          <w:szCs w:val="22"/>
        </w:rPr>
        <w:t xml:space="preserve"> (p</w:t>
      </w:r>
      <w:r w:rsidR="00A63535" w:rsidRPr="00B30A12">
        <w:rPr>
          <w:color w:val="000000"/>
          <w:sz w:val="22"/>
          <w:szCs w:val="22"/>
        </w:rPr>
        <w:t> </w:t>
      </w:r>
      <w:r w:rsidR="00FB011F" w:rsidRPr="00B30A12">
        <w:rPr>
          <w:color w:val="000000"/>
          <w:sz w:val="22"/>
          <w:szCs w:val="22"/>
        </w:rPr>
        <w:t>&lt;</w:t>
      </w:r>
      <w:r w:rsidR="00A63535" w:rsidRPr="00B30A12">
        <w:rPr>
          <w:color w:val="000000"/>
          <w:sz w:val="22"/>
          <w:szCs w:val="22"/>
        </w:rPr>
        <w:t> </w:t>
      </w:r>
      <w:r w:rsidR="00FB011F" w:rsidRPr="00B30A12">
        <w:rPr>
          <w:color w:val="000000"/>
          <w:sz w:val="22"/>
          <w:szCs w:val="22"/>
        </w:rPr>
        <w:t>0,001)</w:t>
      </w:r>
      <w:r w:rsidR="006615F9" w:rsidRPr="00B30A12">
        <w:rPr>
          <w:color w:val="000000"/>
          <w:sz w:val="22"/>
          <w:szCs w:val="22"/>
        </w:rPr>
        <w:t xml:space="preserve">. </w:t>
      </w:r>
      <w:r w:rsidR="00FB011F" w:rsidRPr="00B30A12">
        <w:rPr>
          <w:color w:val="000000"/>
          <w:sz w:val="22"/>
          <w:szCs w:val="22"/>
        </w:rPr>
        <w:t xml:space="preserve">Die jährlichen Progressionsraten </w:t>
      </w:r>
      <w:r w:rsidR="00C37D9D" w:rsidRPr="00B30A12">
        <w:rPr>
          <w:color w:val="000000"/>
          <w:sz w:val="22"/>
          <w:szCs w:val="22"/>
        </w:rPr>
        <w:t>für jede Art der Progression nahmen ebenso bei</w:t>
      </w:r>
      <w:r w:rsidR="00FB011F" w:rsidRPr="00B30A12">
        <w:rPr>
          <w:color w:val="000000"/>
          <w:sz w:val="22"/>
          <w:szCs w:val="22"/>
        </w:rPr>
        <w:t xml:space="preserve"> Glivec </w:t>
      </w:r>
      <w:r w:rsidR="00C37D9D" w:rsidRPr="00B30A12">
        <w:rPr>
          <w:color w:val="000000"/>
          <w:sz w:val="22"/>
          <w:szCs w:val="22"/>
        </w:rPr>
        <w:t>im zeitlichen Verlauf ab</w:t>
      </w:r>
      <w:r w:rsidR="00FB011F" w:rsidRPr="00B30A12">
        <w:rPr>
          <w:color w:val="000000"/>
          <w:sz w:val="22"/>
          <w:szCs w:val="22"/>
        </w:rPr>
        <w:t>.</w:t>
      </w:r>
    </w:p>
    <w:p w14:paraId="415CD9C7" w14:textId="77777777" w:rsidR="00A63535" w:rsidRPr="00B30A12" w:rsidRDefault="00A63535" w:rsidP="00537E23">
      <w:pPr>
        <w:widowControl w:val="0"/>
        <w:rPr>
          <w:color w:val="000000"/>
          <w:sz w:val="22"/>
          <w:szCs w:val="22"/>
        </w:rPr>
      </w:pPr>
    </w:p>
    <w:p w14:paraId="221B8E06" w14:textId="77777777" w:rsidR="00FB011F" w:rsidRPr="00B30A12" w:rsidRDefault="00FB011F" w:rsidP="00537E23">
      <w:pPr>
        <w:widowControl w:val="0"/>
        <w:rPr>
          <w:color w:val="000000"/>
          <w:sz w:val="22"/>
          <w:szCs w:val="22"/>
        </w:rPr>
      </w:pPr>
      <w:r w:rsidRPr="00B30A12">
        <w:rPr>
          <w:color w:val="000000"/>
          <w:sz w:val="22"/>
          <w:szCs w:val="22"/>
        </w:rPr>
        <w:t xml:space="preserve">Insgesamt starben </w:t>
      </w:r>
      <w:r w:rsidR="00A04AA2" w:rsidRPr="00B30A12">
        <w:rPr>
          <w:color w:val="000000"/>
          <w:sz w:val="22"/>
          <w:szCs w:val="22"/>
        </w:rPr>
        <w:t>71</w:t>
      </w:r>
      <w:r w:rsidRPr="00B30A12">
        <w:rPr>
          <w:color w:val="000000"/>
          <w:sz w:val="22"/>
          <w:szCs w:val="22"/>
        </w:rPr>
        <w:t xml:space="preserve"> (</w:t>
      </w:r>
      <w:r w:rsidR="00A04AA2" w:rsidRPr="00B30A12">
        <w:rPr>
          <w:color w:val="000000"/>
          <w:sz w:val="22"/>
          <w:szCs w:val="22"/>
        </w:rPr>
        <w:t>12,8</w:t>
      </w:r>
      <w:r w:rsidRPr="00B30A12">
        <w:rPr>
          <w:color w:val="000000"/>
          <w:sz w:val="22"/>
          <w:szCs w:val="22"/>
        </w:rPr>
        <w:t xml:space="preserve">%) Patienten im Glivec-Arm und </w:t>
      </w:r>
      <w:r w:rsidR="00A04AA2" w:rsidRPr="00B30A12">
        <w:rPr>
          <w:color w:val="000000"/>
          <w:sz w:val="22"/>
          <w:szCs w:val="22"/>
        </w:rPr>
        <w:t>85</w:t>
      </w:r>
      <w:r w:rsidRPr="00B30A12">
        <w:rPr>
          <w:color w:val="000000"/>
          <w:sz w:val="22"/>
          <w:szCs w:val="22"/>
        </w:rPr>
        <w:t xml:space="preserve"> (</w:t>
      </w:r>
      <w:r w:rsidR="00A04AA2" w:rsidRPr="00B30A12">
        <w:rPr>
          <w:color w:val="000000"/>
          <w:sz w:val="22"/>
          <w:szCs w:val="22"/>
        </w:rPr>
        <w:t>15,4</w:t>
      </w:r>
      <w:r w:rsidRPr="00B30A12">
        <w:rPr>
          <w:color w:val="000000"/>
          <w:sz w:val="22"/>
          <w:szCs w:val="22"/>
        </w:rPr>
        <w:t>%) Patienten im IFN + Ara-C-Arm.</w:t>
      </w:r>
      <w:r w:rsidR="0054789C" w:rsidRPr="00B30A12">
        <w:rPr>
          <w:color w:val="000000"/>
          <w:sz w:val="22"/>
          <w:szCs w:val="22"/>
        </w:rPr>
        <w:t xml:space="preserve"> </w:t>
      </w:r>
      <w:r w:rsidRPr="00B30A12">
        <w:rPr>
          <w:color w:val="000000"/>
          <w:sz w:val="22"/>
          <w:szCs w:val="22"/>
        </w:rPr>
        <w:t xml:space="preserve">Nach </w:t>
      </w:r>
      <w:r w:rsidR="00A04AA2" w:rsidRPr="00B30A12">
        <w:rPr>
          <w:color w:val="000000"/>
          <w:sz w:val="22"/>
          <w:szCs w:val="22"/>
        </w:rPr>
        <w:t>84</w:t>
      </w:r>
      <w:r w:rsidR="00F718EE" w:rsidRPr="00B30A12">
        <w:rPr>
          <w:color w:val="000000"/>
          <w:sz w:val="22"/>
          <w:szCs w:val="22"/>
        </w:rPr>
        <w:t> </w:t>
      </w:r>
      <w:r w:rsidRPr="00B30A12">
        <w:rPr>
          <w:color w:val="000000"/>
          <w:sz w:val="22"/>
          <w:szCs w:val="22"/>
        </w:rPr>
        <w:t xml:space="preserve">Monaten betrug das geschätzte Gesamtüberleben </w:t>
      </w:r>
      <w:r w:rsidR="00A04AA2" w:rsidRPr="00B30A12">
        <w:rPr>
          <w:color w:val="000000"/>
          <w:sz w:val="22"/>
          <w:szCs w:val="22"/>
        </w:rPr>
        <w:t>86,4</w:t>
      </w:r>
      <w:r w:rsidRPr="00B30A12">
        <w:rPr>
          <w:color w:val="000000"/>
          <w:sz w:val="22"/>
          <w:szCs w:val="22"/>
        </w:rPr>
        <w:t>% (</w:t>
      </w:r>
      <w:r w:rsidR="00A04AA2" w:rsidRPr="00B30A12">
        <w:rPr>
          <w:color w:val="000000"/>
          <w:sz w:val="22"/>
          <w:szCs w:val="22"/>
        </w:rPr>
        <w:t>83,</w:t>
      </w:r>
      <w:r w:rsidR="00F718EE" w:rsidRPr="00B30A12">
        <w:rPr>
          <w:color w:val="000000"/>
          <w:sz w:val="22"/>
          <w:szCs w:val="22"/>
        </w:rPr>
        <w:t xml:space="preserve"> </w:t>
      </w:r>
      <w:r w:rsidR="00A04AA2" w:rsidRPr="00B30A12">
        <w:rPr>
          <w:color w:val="000000"/>
          <w:sz w:val="22"/>
          <w:szCs w:val="22"/>
        </w:rPr>
        <w:t>90</w:t>
      </w:r>
      <w:r w:rsidRPr="00B30A12">
        <w:rPr>
          <w:color w:val="000000"/>
          <w:sz w:val="22"/>
          <w:szCs w:val="22"/>
        </w:rPr>
        <w:t xml:space="preserve">) </w:t>
      </w:r>
      <w:r w:rsidR="00EB0A93" w:rsidRPr="00B30A12">
        <w:rPr>
          <w:color w:val="000000"/>
          <w:sz w:val="22"/>
          <w:szCs w:val="22"/>
        </w:rPr>
        <w:t xml:space="preserve">im randomisierten Glivec-Arm </w:t>
      </w:r>
      <w:r w:rsidRPr="00B30A12">
        <w:rPr>
          <w:color w:val="000000"/>
          <w:sz w:val="22"/>
          <w:szCs w:val="22"/>
        </w:rPr>
        <w:t xml:space="preserve">versus </w:t>
      </w:r>
      <w:r w:rsidR="00A04AA2" w:rsidRPr="00B30A12">
        <w:rPr>
          <w:color w:val="000000"/>
          <w:sz w:val="22"/>
          <w:szCs w:val="22"/>
        </w:rPr>
        <w:t>83,3</w:t>
      </w:r>
      <w:r w:rsidRPr="00B30A12">
        <w:rPr>
          <w:color w:val="000000"/>
          <w:sz w:val="22"/>
          <w:szCs w:val="22"/>
        </w:rPr>
        <w:t>% (</w:t>
      </w:r>
      <w:r w:rsidR="00A04AA2" w:rsidRPr="00B30A12">
        <w:rPr>
          <w:color w:val="000000"/>
          <w:sz w:val="22"/>
          <w:szCs w:val="22"/>
        </w:rPr>
        <w:t>80,</w:t>
      </w:r>
      <w:r w:rsidR="00F718EE" w:rsidRPr="00B30A12">
        <w:rPr>
          <w:color w:val="000000"/>
          <w:sz w:val="22"/>
          <w:szCs w:val="22"/>
        </w:rPr>
        <w:t xml:space="preserve"> </w:t>
      </w:r>
      <w:r w:rsidR="00A04AA2" w:rsidRPr="00B30A12">
        <w:rPr>
          <w:color w:val="000000"/>
          <w:sz w:val="22"/>
          <w:szCs w:val="22"/>
        </w:rPr>
        <w:t>87</w:t>
      </w:r>
      <w:r w:rsidRPr="00B30A12">
        <w:rPr>
          <w:color w:val="000000"/>
          <w:sz w:val="22"/>
          <w:szCs w:val="22"/>
        </w:rPr>
        <w:t xml:space="preserve">) </w:t>
      </w:r>
      <w:r w:rsidR="00EB0A93" w:rsidRPr="00B30A12">
        <w:rPr>
          <w:color w:val="000000"/>
          <w:sz w:val="22"/>
          <w:szCs w:val="22"/>
        </w:rPr>
        <w:t>im IFN + Ara-C-Arm (p=0,</w:t>
      </w:r>
      <w:r w:rsidR="00404243" w:rsidRPr="00B30A12">
        <w:rPr>
          <w:color w:val="000000"/>
          <w:sz w:val="22"/>
          <w:szCs w:val="22"/>
        </w:rPr>
        <w:t>073</w:t>
      </w:r>
      <w:r w:rsidR="00EB0A93" w:rsidRPr="00B30A12">
        <w:rPr>
          <w:color w:val="000000"/>
          <w:sz w:val="22"/>
          <w:szCs w:val="22"/>
        </w:rPr>
        <w:t xml:space="preserve">, log-rank-Test). Dieser Time-to-event-Endpunkt wird durch die hohe Rate an Therapiewechseln von IFN + Ara-C zu Glivec stark beeinflusst. </w:t>
      </w:r>
      <w:r w:rsidR="00F709D1" w:rsidRPr="00B30A12">
        <w:rPr>
          <w:color w:val="000000"/>
          <w:sz w:val="22"/>
          <w:szCs w:val="22"/>
        </w:rPr>
        <w:t>Der Einfluss der Glivec-Behandlung auf das Überleben bei neu diagnostizierter CML in der chronischen Phase wurde weiterhin in eine</w:t>
      </w:r>
      <w:r w:rsidR="00EF7C45" w:rsidRPr="00B30A12">
        <w:rPr>
          <w:color w:val="000000"/>
          <w:sz w:val="22"/>
          <w:szCs w:val="22"/>
        </w:rPr>
        <w:t>m</w:t>
      </w:r>
      <w:r w:rsidR="00F709D1" w:rsidRPr="00B30A12">
        <w:rPr>
          <w:color w:val="000000"/>
          <w:sz w:val="22"/>
          <w:szCs w:val="22"/>
        </w:rPr>
        <w:t xml:space="preserve"> retrospektiven </w:t>
      </w:r>
      <w:r w:rsidR="00EF7C45" w:rsidRPr="00B30A12">
        <w:rPr>
          <w:color w:val="000000"/>
          <w:sz w:val="22"/>
          <w:szCs w:val="22"/>
        </w:rPr>
        <w:t>Vergleich</w:t>
      </w:r>
      <w:r w:rsidR="00F709D1" w:rsidRPr="00B30A12">
        <w:rPr>
          <w:color w:val="000000"/>
          <w:sz w:val="22"/>
          <w:szCs w:val="22"/>
        </w:rPr>
        <w:t xml:space="preserve"> der oben berichteten </w:t>
      </w:r>
      <w:r w:rsidR="00F709D1" w:rsidRPr="00B30A12">
        <w:rPr>
          <w:color w:val="000000"/>
          <w:sz w:val="22"/>
          <w:szCs w:val="22"/>
        </w:rPr>
        <w:lastRenderedPageBreak/>
        <w:t>Glivec-Daten mit den Primärdaten aus einer anderen Phase-</w:t>
      </w:r>
      <w:smartTag w:uri="urn:schemas-microsoft-com:office:smarttags" w:element="stockticker">
        <w:r w:rsidR="00F709D1" w:rsidRPr="00B30A12">
          <w:rPr>
            <w:color w:val="000000"/>
            <w:sz w:val="22"/>
            <w:szCs w:val="22"/>
          </w:rPr>
          <w:t>III</w:t>
        </w:r>
      </w:smartTag>
      <w:r w:rsidR="00F709D1" w:rsidRPr="00B30A12">
        <w:rPr>
          <w:color w:val="000000"/>
          <w:sz w:val="22"/>
          <w:szCs w:val="22"/>
        </w:rPr>
        <w:t>-Studie untersucht, in der IFN + Ara-C (n=325) in einem identischen Therapieregime eingesetzt wurde.</w:t>
      </w:r>
      <w:r w:rsidR="00EF7C45" w:rsidRPr="00B30A12">
        <w:rPr>
          <w:color w:val="000000"/>
          <w:sz w:val="22"/>
          <w:szCs w:val="22"/>
        </w:rPr>
        <w:t xml:space="preserve"> In dieser retrospektiven Analyse wurde die Überlegenheit von Glivec gegenüber IFN + Ara-C in Bezug auf das Gesamtüberleben gezeigt (p &lt; 0,001); innerhalb von 42</w:t>
      </w:r>
      <w:r w:rsidR="00A63535" w:rsidRPr="00B30A12">
        <w:rPr>
          <w:color w:val="000000"/>
          <w:sz w:val="22"/>
          <w:szCs w:val="22"/>
        </w:rPr>
        <w:t> </w:t>
      </w:r>
      <w:r w:rsidR="00EF7C45" w:rsidRPr="00B30A12">
        <w:rPr>
          <w:color w:val="000000"/>
          <w:sz w:val="22"/>
          <w:szCs w:val="22"/>
        </w:rPr>
        <w:t>Monaten sind 47 (8,5%) Glivec-Patienten und 63 (19,4%) IFN + Ara-C-Patienten gestorben.</w:t>
      </w:r>
    </w:p>
    <w:p w14:paraId="162430C8" w14:textId="77777777" w:rsidR="005A5ABF" w:rsidRPr="00B30A12" w:rsidRDefault="005A5ABF" w:rsidP="00537E23">
      <w:pPr>
        <w:widowControl w:val="0"/>
        <w:rPr>
          <w:color w:val="000000"/>
          <w:sz w:val="22"/>
          <w:szCs w:val="22"/>
        </w:rPr>
      </w:pPr>
    </w:p>
    <w:p w14:paraId="05702FC4" w14:textId="77777777" w:rsidR="00FD472F" w:rsidRPr="00B30A12" w:rsidRDefault="005A5ABF" w:rsidP="00537E23">
      <w:pPr>
        <w:widowControl w:val="0"/>
        <w:rPr>
          <w:color w:val="000000"/>
          <w:sz w:val="22"/>
          <w:szCs w:val="22"/>
        </w:rPr>
      </w:pPr>
      <w:r w:rsidRPr="00B30A12">
        <w:rPr>
          <w:color w:val="000000"/>
          <w:sz w:val="22"/>
          <w:szCs w:val="22"/>
        </w:rPr>
        <w:t xml:space="preserve">Das Ausmaß der zytogenetischen Remission </w:t>
      </w:r>
      <w:r w:rsidR="00C37D9D" w:rsidRPr="00B30A12">
        <w:rPr>
          <w:color w:val="000000"/>
          <w:sz w:val="22"/>
          <w:szCs w:val="22"/>
        </w:rPr>
        <w:t xml:space="preserve">und des molekularen Ansprechens </w:t>
      </w:r>
      <w:r w:rsidRPr="00B30A12">
        <w:rPr>
          <w:color w:val="000000"/>
          <w:sz w:val="22"/>
          <w:szCs w:val="22"/>
        </w:rPr>
        <w:t xml:space="preserve">hat einen deutlichen Einfluss auf die Langzeitergebnisse bei Glivec-Patienten. </w:t>
      </w:r>
      <w:r w:rsidR="00FD472F" w:rsidRPr="00B30A12">
        <w:rPr>
          <w:color w:val="000000"/>
          <w:sz w:val="22"/>
          <w:szCs w:val="22"/>
        </w:rPr>
        <w:t>G</w:t>
      </w:r>
      <w:r w:rsidRPr="00B30A12">
        <w:rPr>
          <w:color w:val="000000"/>
          <w:sz w:val="22"/>
          <w:szCs w:val="22"/>
        </w:rPr>
        <w:t xml:space="preserve">eschätzte </w:t>
      </w:r>
      <w:r w:rsidR="00404243" w:rsidRPr="00B30A12">
        <w:rPr>
          <w:color w:val="000000"/>
          <w:sz w:val="22"/>
          <w:szCs w:val="22"/>
        </w:rPr>
        <w:t>96</w:t>
      </w:r>
      <w:r w:rsidRPr="00B30A12">
        <w:rPr>
          <w:color w:val="000000"/>
          <w:sz w:val="22"/>
          <w:szCs w:val="22"/>
        </w:rPr>
        <w:t>% (93%) der Patienten</w:t>
      </w:r>
      <w:r w:rsidR="00FD472F" w:rsidRPr="00B30A12">
        <w:rPr>
          <w:color w:val="000000"/>
          <w:sz w:val="22"/>
          <w:szCs w:val="22"/>
        </w:rPr>
        <w:t>, die innerhalb von 12</w:t>
      </w:r>
      <w:r w:rsidR="00A63535" w:rsidRPr="00B30A12">
        <w:rPr>
          <w:color w:val="000000"/>
          <w:sz w:val="22"/>
          <w:szCs w:val="22"/>
        </w:rPr>
        <w:t> </w:t>
      </w:r>
      <w:r w:rsidR="00FD472F" w:rsidRPr="00B30A12">
        <w:rPr>
          <w:color w:val="000000"/>
          <w:sz w:val="22"/>
          <w:szCs w:val="22"/>
        </w:rPr>
        <w:t>Monaten</w:t>
      </w:r>
      <w:r w:rsidRPr="00B30A12">
        <w:rPr>
          <w:color w:val="000000"/>
          <w:sz w:val="22"/>
          <w:szCs w:val="22"/>
        </w:rPr>
        <w:t xml:space="preserve"> </w:t>
      </w:r>
      <w:r w:rsidR="00FD472F" w:rsidRPr="00B30A12">
        <w:rPr>
          <w:color w:val="000000"/>
          <w:sz w:val="22"/>
          <w:szCs w:val="22"/>
        </w:rPr>
        <w:t xml:space="preserve">eine </w:t>
      </w:r>
      <w:r w:rsidRPr="00B30A12">
        <w:rPr>
          <w:color w:val="000000"/>
          <w:sz w:val="22"/>
          <w:szCs w:val="22"/>
        </w:rPr>
        <w:t xml:space="preserve">CCyR (PCyR) </w:t>
      </w:r>
      <w:r w:rsidR="00FD472F" w:rsidRPr="00B30A12">
        <w:rPr>
          <w:color w:val="000000"/>
          <w:sz w:val="22"/>
          <w:szCs w:val="22"/>
        </w:rPr>
        <w:t xml:space="preserve">erreicht hatten, zeigten nach </w:t>
      </w:r>
      <w:r w:rsidR="00404243" w:rsidRPr="00B30A12">
        <w:rPr>
          <w:color w:val="000000"/>
          <w:sz w:val="22"/>
          <w:szCs w:val="22"/>
        </w:rPr>
        <w:t>84</w:t>
      </w:r>
      <w:r w:rsidR="00A63535" w:rsidRPr="00B30A12">
        <w:rPr>
          <w:color w:val="000000"/>
          <w:sz w:val="22"/>
          <w:szCs w:val="22"/>
        </w:rPr>
        <w:t> </w:t>
      </w:r>
      <w:r w:rsidR="00FD472F" w:rsidRPr="00B30A12">
        <w:rPr>
          <w:color w:val="000000"/>
          <w:sz w:val="22"/>
          <w:szCs w:val="22"/>
        </w:rPr>
        <w:t xml:space="preserve">Monaten </w:t>
      </w:r>
      <w:r w:rsidRPr="00B30A12">
        <w:rPr>
          <w:color w:val="000000"/>
          <w:sz w:val="22"/>
          <w:szCs w:val="22"/>
        </w:rPr>
        <w:t>keine Progression in die akzelerierte Phase/Blastenkrise</w:t>
      </w:r>
      <w:r w:rsidR="00FD472F" w:rsidRPr="00B30A12">
        <w:rPr>
          <w:color w:val="000000"/>
          <w:sz w:val="22"/>
          <w:szCs w:val="22"/>
        </w:rPr>
        <w:t>.</w:t>
      </w:r>
      <w:r w:rsidR="0054789C" w:rsidRPr="00B30A12">
        <w:rPr>
          <w:color w:val="000000"/>
          <w:sz w:val="22"/>
          <w:szCs w:val="22"/>
        </w:rPr>
        <w:t xml:space="preserve"> </w:t>
      </w:r>
      <w:r w:rsidR="00FD472F" w:rsidRPr="00B30A12">
        <w:rPr>
          <w:color w:val="000000"/>
          <w:sz w:val="22"/>
          <w:szCs w:val="22"/>
        </w:rPr>
        <w:t xml:space="preserve">Dagegen </w:t>
      </w:r>
      <w:r w:rsidRPr="00B30A12">
        <w:rPr>
          <w:color w:val="000000"/>
          <w:sz w:val="22"/>
          <w:szCs w:val="22"/>
        </w:rPr>
        <w:t>waren nur 81% der Patienten</w:t>
      </w:r>
      <w:r w:rsidR="00FD472F" w:rsidRPr="00B30A12">
        <w:rPr>
          <w:color w:val="000000"/>
          <w:sz w:val="22"/>
          <w:szCs w:val="22"/>
        </w:rPr>
        <w:t>, die innerhalb von 12</w:t>
      </w:r>
      <w:r w:rsidR="00A63535" w:rsidRPr="00B30A12">
        <w:rPr>
          <w:color w:val="000000"/>
          <w:sz w:val="22"/>
          <w:szCs w:val="22"/>
        </w:rPr>
        <w:t> </w:t>
      </w:r>
      <w:r w:rsidR="00FD472F" w:rsidRPr="00B30A12">
        <w:rPr>
          <w:color w:val="000000"/>
          <w:sz w:val="22"/>
          <w:szCs w:val="22"/>
        </w:rPr>
        <w:t>Monaten</w:t>
      </w:r>
      <w:r w:rsidRPr="00B30A12">
        <w:rPr>
          <w:color w:val="000000"/>
          <w:sz w:val="22"/>
          <w:szCs w:val="22"/>
        </w:rPr>
        <w:t xml:space="preserve"> </w:t>
      </w:r>
      <w:r w:rsidR="00FD472F" w:rsidRPr="00B30A12">
        <w:rPr>
          <w:color w:val="000000"/>
          <w:sz w:val="22"/>
          <w:szCs w:val="22"/>
        </w:rPr>
        <w:t>eine</w:t>
      </w:r>
      <w:r w:rsidRPr="00B30A12">
        <w:rPr>
          <w:color w:val="000000"/>
          <w:sz w:val="22"/>
          <w:szCs w:val="22"/>
        </w:rPr>
        <w:t xml:space="preserve"> MCyR </w:t>
      </w:r>
      <w:r w:rsidR="00FD472F" w:rsidRPr="00B30A12">
        <w:rPr>
          <w:color w:val="000000"/>
          <w:sz w:val="22"/>
          <w:szCs w:val="22"/>
        </w:rPr>
        <w:t xml:space="preserve">zeigten, nach </w:t>
      </w:r>
      <w:r w:rsidR="00404243" w:rsidRPr="00B30A12">
        <w:rPr>
          <w:color w:val="000000"/>
          <w:sz w:val="22"/>
          <w:szCs w:val="22"/>
        </w:rPr>
        <w:t>84</w:t>
      </w:r>
      <w:r w:rsidR="00A63535" w:rsidRPr="00B30A12">
        <w:rPr>
          <w:color w:val="000000"/>
          <w:sz w:val="22"/>
          <w:szCs w:val="22"/>
        </w:rPr>
        <w:t> </w:t>
      </w:r>
      <w:r w:rsidR="00FD472F" w:rsidRPr="00B30A12">
        <w:rPr>
          <w:color w:val="000000"/>
          <w:sz w:val="22"/>
          <w:szCs w:val="22"/>
        </w:rPr>
        <w:t xml:space="preserve">Monaten </w:t>
      </w:r>
      <w:r w:rsidRPr="00B30A12">
        <w:rPr>
          <w:color w:val="000000"/>
          <w:sz w:val="22"/>
          <w:szCs w:val="22"/>
        </w:rPr>
        <w:t>ohne Progression in die fortgeschrittene CML</w:t>
      </w:r>
      <w:r w:rsidR="00FD472F" w:rsidRPr="00B30A12">
        <w:rPr>
          <w:color w:val="000000"/>
          <w:sz w:val="22"/>
          <w:szCs w:val="22"/>
        </w:rPr>
        <w:t xml:space="preserve"> (p</w:t>
      </w:r>
      <w:r w:rsidR="006906C2" w:rsidRPr="00B30A12">
        <w:rPr>
          <w:color w:val="000000"/>
          <w:sz w:val="22"/>
          <w:szCs w:val="22"/>
        </w:rPr>
        <w:t> </w:t>
      </w:r>
      <w:r w:rsidR="00FD472F" w:rsidRPr="00B30A12">
        <w:rPr>
          <w:color w:val="000000"/>
          <w:sz w:val="22"/>
          <w:szCs w:val="22"/>
        </w:rPr>
        <w:t>&lt;</w:t>
      </w:r>
      <w:r w:rsidR="006906C2" w:rsidRPr="00B30A12">
        <w:rPr>
          <w:color w:val="000000"/>
          <w:sz w:val="22"/>
          <w:szCs w:val="22"/>
        </w:rPr>
        <w:t> </w:t>
      </w:r>
      <w:r w:rsidR="00FD472F" w:rsidRPr="00B30A12">
        <w:rPr>
          <w:color w:val="000000"/>
          <w:sz w:val="22"/>
          <w:szCs w:val="22"/>
        </w:rPr>
        <w:t>0,001 insgesamt, p=0,2</w:t>
      </w:r>
      <w:r w:rsidR="00404243" w:rsidRPr="00B30A12">
        <w:rPr>
          <w:color w:val="000000"/>
          <w:sz w:val="22"/>
          <w:szCs w:val="22"/>
        </w:rPr>
        <w:t>5</w:t>
      </w:r>
      <w:r w:rsidR="00FD472F" w:rsidRPr="00B30A12">
        <w:rPr>
          <w:color w:val="000000"/>
          <w:sz w:val="22"/>
          <w:szCs w:val="22"/>
        </w:rPr>
        <w:t xml:space="preserve"> zwischen CCyR und PCyR)</w:t>
      </w:r>
      <w:r w:rsidRPr="00B30A12">
        <w:rPr>
          <w:color w:val="000000"/>
          <w:sz w:val="22"/>
          <w:szCs w:val="22"/>
        </w:rPr>
        <w:t>.</w:t>
      </w:r>
      <w:r w:rsidR="00FD472F" w:rsidRPr="00B30A12">
        <w:rPr>
          <w:color w:val="000000"/>
          <w:sz w:val="22"/>
          <w:szCs w:val="22"/>
        </w:rPr>
        <w:t xml:space="preserve"> </w:t>
      </w:r>
      <w:r w:rsidR="00EE0C65" w:rsidRPr="00B30A12">
        <w:rPr>
          <w:color w:val="000000"/>
          <w:sz w:val="22"/>
          <w:szCs w:val="22"/>
        </w:rPr>
        <w:t>Für Patienten mit einer Reduktion der Bcr-Abl-Transkripte von mindestens 3</w:t>
      </w:r>
      <w:r w:rsidR="007D3C54" w:rsidRPr="00B30A12">
        <w:rPr>
          <w:color w:val="000000"/>
          <w:sz w:val="22"/>
          <w:szCs w:val="22"/>
        </w:rPr>
        <w:t> </w:t>
      </w:r>
      <w:r w:rsidR="00EE0C65" w:rsidRPr="00B30A12">
        <w:rPr>
          <w:color w:val="000000"/>
          <w:sz w:val="22"/>
          <w:szCs w:val="22"/>
        </w:rPr>
        <w:t>Logarithmen nach 12</w:t>
      </w:r>
      <w:r w:rsidR="007D3C54" w:rsidRPr="00B30A12">
        <w:rPr>
          <w:color w:val="000000"/>
          <w:sz w:val="22"/>
          <w:szCs w:val="22"/>
        </w:rPr>
        <w:t> </w:t>
      </w:r>
      <w:r w:rsidR="00EE0C65" w:rsidRPr="00B30A12">
        <w:rPr>
          <w:color w:val="000000"/>
          <w:sz w:val="22"/>
          <w:szCs w:val="22"/>
        </w:rPr>
        <w:t>Monaten betrug die Wahrscheinlichkeit, progression</w:t>
      </w:r>
      <w:r w:rsidR="004419FA" w:rsidRPr="00B30A12">
        <w:rPr>
          <w:color w:val="000000"/>
          <w:sz w:val="22"/>
          <w:szCs w:val="22"/>
        </w:rPr>
        <w:t>s</w:t>
      </w:r>
      <w:r w:rsidR="00EE0C65" w:rsidRPr="00B30A12">
        <w:rPr>
          <w:color w:val="000000"/>
          <w:sz w:val="22"/>
          <w:szCs w:val="22"/>
        </w:rPr>
        <w:t xml:space="preserve">frei in die akzelerierte Phase/Blastenkrise zu bleiben, </w:t>
      </w:r>
      <w:r w:rsidR="00404243" w:rsidRPr="00B30A12">
        <w:rPr>
          <w:color w:val="000000"/>
          <w:sz w:val="22"/>
          <w:szCs w:val="22"/>
        </w:rPr>
        <w:t>99</w:t>
      </w:r>
      <w:r w:rsidR="00EE0C65" w:rsidRPr="00B30A12">
        <w:rPr>
          <w:color w:val="000000"/>
          <w:sz w:val="22"/>
          <w:szCs w:val="22"/>
        </w:rPr>
        <w:t xml:space="preserve">% nach </w:t>
      </w:r>
      <w:r w:rsidR="00404243" w:rsidRPr="00B30A12">
        <w:rPr>
          <w:color w:val="000000"/>
          <w:sz w:val="22"/>
          <w:szCs w:val="22"/>
        </w:rPr>
        <w:t>84</w:t>
      </w:r>
      <w:r w:rsidR="007D3C54" w:rsidRPr="00B30A12">
        <w:rPr>
          <w:color w:val="000000"/>
          <w:sz w:val="22"/>
          <w:szCs w:val="22"/>
        </w:rPr>
        <w:t> </w:t>
      </w:r>
      <w:r w:rsidR="00EE0C65" w:rsidRPr="00B30A12">
        <w:rPr>
          <w:color w:val="000000"/>
          <w:sz w:val="22"/>
          <w:szCs w:val="22"/>
        </w:rPr>
        <w:t xml:space="preserve">Monaten. Ähnliche Ergebnisse wurden auf der Basis einer Analyse zum Zeitpunkt </w:t>
      </w:r>
      <w:r w:rsidR="000D1DD3" w:rsidRPr="00B30A12">
        <w:rPr>
          <w:color w:val="000000"/>
          <w:sz w:val="22"/>
          <w:szCs w:val="22"/>
        </w:rPr>
        <w:t>nach</w:t>
      </w:r>
      <w:r w:rsidR="00EE0C65" w:rsidRPr="00B30A12">
        <w:rPr>
          <w:color w:val="000000"/>
          <w:sz w:val="22"/>
          <w:szCs w:val="22"/>
        </w:rPr>
        <w:t xml:space="preserve"> 18</w:t>
      </w:r>
      <w:r w:rsidR="007D3C54" w:rsidRPr="00B30A12">
        <w:rPr>
          <w:color w:val="000000"/>
          <w:sz w:val="22"/>
          <w:szCs w:val="22"/>
        </w:rPr>
        <w:t> </w:t>
      </w:r>
      <w:r w:rsidR="00EE0C65" w:rsidRPr="00B30A12">
        <w:rPr>
          <w:color w:val="000000"/>
          <w:sz w:val="22"/>
          <w:szCs w:val="22"/>
        </w:rPr>
        <w:t>Monaten gefunden</w:t>
      </w:r>
      <w:r w:rsidR="00FD472F" w:rsidRPr="00B30A12">
        <w:rPr>
          <w:color w:val="000000"/>
          <w:sz w:val="22"/>
          <w:szCs w:val="22"/>
        </w:rPr>
        <w:t>.</w:t>
      </w:r>
    </w:p>
    <w:p w14:paraId="3BE53424" w14:textId="77777777" w:rsidR="00F52CDE" w:rsidRPr="00B30A12" w:rsidRDefault="00F52CDE" w:rsidP="00537E23">
      <w:pPr>
        <w:widowControl w:val="0"/>
        <w:rPr>
          <w:color w:val="000000"/>
          <w:sz w:val="22"/>
          <w:szCs w:val="22"/>
        </w:rPr>
      </w:pPr>
    </w:p>
    <w:p w14:paraId="630E1CEC" w14:textId="77777777" w:rsidR="00F52CDE" w:rsidRPr="00B30A12" w:rsidRDefault="00F52CDE" w:rsidP="00537E23">
      <w:pPr>
        <w:widowControl w:val="0"/>
        <w:rPr>
          <w:color w:val="000000"/>
          <w:sz w:val="22"/>
          <w:szCs w:val="22"/>
        </w:rPr>
      </w:pPr>
      <w:r w:rsidRPr="00B30A12">
        <w:rPr>
          <w:color w:val="000000"/>
          <w:sz w:val="22"/>
          <w:szCs w:val="22"/>
        </w:rPr>
        <w:t>In dieser Studie waren Dosissteigerungen von 400 mg auf 600 mg täglich und dann von 600 mg auf 800 mg täglich erlaubt.</w:t>
      </w:r>
      <w:r w:rsidR="0054657F" w:rsidRPr="00B30A12">
        <w:rPr>
          <w:color w:val="000000"/>
          <w:sz w:val="22"/>
          <w:szCs w:val="22"/>
        </w:rPr>
        <w:t xml:space="preserve"> </w:t>
      </w:r>
      <w:r w:rsidRPr="00B30A12">
        <w:rPr>
          <w:color w:val="000000"/>
          <w:sz w:val="22"/>
          <w:szCs w:val="22"/>
        </w:rPr>
        <w:t>Nach einem Follow-up von 42</w:t>
      </w:r>
      <w:r w:rsidR="000B60CB" w:rsidRPr="00B30A12">
        <w:rPr>
          <w:color w:val="000000"/>
          <w:sz w:val="22"/>
          <w:szCs w:val="22"/>
        </w:rPr>
        <w:t> </w:t>
      </w:r>
      <w:r w:rsidRPr="00B30A12">
        <w:rPr>
          <w:color w:val="000000"/>
          <w:sz w:val="22"/>
          <w:szCs w:val="22"/>
        </w:rPr>
        <w:t>Monaten trat bei 11</w:t>
      </w:r>
      <w:r w:rsidR="000B60CB" w:rsidRPr="00B30A12">
        <w:rPr>
          <w:color w:val="000000"/>
          <w:sz w:val="22"/>
          <w:szCs w:val="22"/>
        </w:rPr>
        <w:t> </w:t>
      </w:r>
      <w:r w:rsidRPr="00B30A12">
        <w:rPr>
          <w:color w:val="000000"/>
          <w:sz w:val="22"/>
          <w:szCs w:val="22"/>
        </w:rPr>
        <w:t>Patienten ein innerhalb von 4</w:t>
      </w:r>
      <w:r w:rsidR="000B60CB" w:rsidRPr="00B30A12">
        <w:rPr>
          <w:color w:val="000000"/>
          <w:sz w:val="22"/>
          <w:szCs w:val="22"/>
        </w:rPr>
        <w:t> </w:t>
      </w:r>
      <w:r w:rsidRPr="00B30A12">
        <w:rPr>
          <w:color w:val="000000"/>
          <w:sz w:val="22"/>
          <w:szCs w:val="22"/>
        </w:rPr>
        <w:t xml:space="preserve">Wochen bestätigter Verlust </w:t>
      </w:r>
      <w:r w:rsidR="003C61B7" w:rsidRPr="00B30A12">
        <w:rPr>
          <w:color w:val="000000"/>
          <w:sz w:val="22"/>
          <w:szCs w:val="22"/>
        </w:rPr>
        <w:t>de</w:t>
      </w:r>
      <w:r w:rsidR="00680171" w:rsidRPr="00B30A12">
        <w:rPr>
          <w:color w:val="000000"/>
          <w:sz w:val="22"/>
          <w:szCs w:val="22"/>
        </w:rPr>
        <w:t>r</w:t>
      </w:r>
      <w:r w:rsidRPr="00B30A12">
        <w:rPr>
          <w:color w:val="000000"/>
          <w:sz w:val="22"/>
          <w:szCs w:val="22"/>
        </w:rPr>
        <w:t xml:space="preserve"> zytogenetischen </w:t>
      </w:r>
      <w:r w:rsidR="00680171" w:rsidRPr="00B30A12">
        <w:rPr>
          <w:color w:val="000000"/>
          <w:sz w:val="22"/>
          <w:szCs w:val="22"/>
        </w:rPr>
        <w:t>Remission</w:t>
      </w:r>
      <w:r w:rsidRPr="00B30A12">
        <w:rPr>
          <w:color w:val="000000"/>
          <w:sz w:val="22"/>
          <w:szCs w:val="22"/>
        </w:rPr>
        <w:t xml:space="preserve"> auf. Von diesen 11</w:t>
      </w:r>
      <w:r w:rsidR="000B60CB" w:rsidRPr="00B30A12">
        <w:rPr>
          <w:color w:val="000000"/>
          <w:sz w:val="22"/>
          <w:szCs w:val="22"/>
        </w:rPr>
        <w:t> </w:t>
      </w:r>
      <w:r w:rsidRPr="00B30A12">
        <w:rPr>
          <w:color w:val="000000"/>
          <w:sz w:val="22"/>
          <w:szCs w:val="22"/>
        </w:rPr>
        <w:t>Patienten wurde bei 4</w:t>
      </w:r>
      <w:r w:rsidR="000B60CB" w:rsidRPr="00B30A12">
        <w:rPr>
          <w:color w:val="000000"/>
          <w:sz w:val="22"/>
          <w:szCs w:val="22"/>
        </w:rPr>
        <w:t> </w:t>
      </w:r>
      <w:r w:rsidRPr="00B30A12">
        <w:rPr>
          <w:color w:val="000000"/>
          <w:sz w:val="22"/>
          <w:szCs w:val="22"/>
        </w:rPr>
        <w:t>Patienten die Dosis auf 800 mg täglich gesteigert. Bei 2 von diesen trat erneut ein</w:t>
      </w:r>
      <w:r w:rsidR="00680171" w:rsidRPr="00B30A12">
        <w:rPr>
          <w:color w:val="000000"/>
          <w:sz w:val="22"/>
          <w:szCs w:val="22"/>
        </w:rPr>
        <w:t>e</w:t>
      </w:r>
      <w:r w:rsidRPr="00B30A12">
        <w:rPr>
          <w:color w:val="000000"/>
          <w:sz w:val="22"/>
          <w:szCs w:val="22"/>
        </w:rPr>
        <w:t xml:space="preserve"> zytogenetische </w:t>
      </w:r>
      <w:r w:rsidR="00680171" w:rsidRPr="00B30A12">
        <w:rPr>
          <w:color w:val="000000"/>
          <w:sz w:val="22"/>
          <w:szCs w:val="22"/>
        </w:rPr>
        <w:t>Remission</w:t>
      </w:r>
      <w:r w:rsidRPr="00B30A12">
        <w:rPr>
          <w:color w:val="000000"/>
          <w:sz w:val="22"/>
          <w:szCs w:val="22"/>
        </w:rPr>
        <w:t xml:space="preserve"> auf (bei einem partiell</w:t>
      </w:r>
      <w:r w:rsidR="00B752C1" w:rsidRPr="00B30A12">
        <w:rPr>
          <w:color w:val="000000"/>
          <w:sz w:val="22"/>
          <w:szCs w:val="22"/>
        </w:rPr>
        <w:t xml:space="preserve"> und bei einem komplett, wobei letzterer auch ein</w:t>
      </w:r>
      <w:r w:rsidR="00680171" w:rsidRPr="00B30A12">
        <w:rPr>
          <w:color w:val="000000"/>
          <w:sz w:val="22"/>
          <w:szCs w:val="22"/>
        </w:rPr>
        <w:t>e</w:t>
      </w:r>
      <w:r w:rsidR="00B752C1" w:rsidRPr="00B30A12">
        <w:rPr>
          <w:color w:val="000000"/>
          <w:sz w:val="22"/>
          <w:szCs w:val="22"/>
        </w:rPr>
        <w:t xml:space="preserve"> molekulare </w:t>
      </w:r>
      <w:r w:rsidR="00680171" w:rsidRPr="00B30A12">
        <w:rPr>
          <w:color w:val="000000"/>
          <w:sz w:val="22"/>
          <w:szCs w:val="22"/>
        </w:rPr>
        <w:t>Remission</w:t>
      </w:r>
      <w:r w:rsidR="00B752C1" w:rsidRPr="00B30A12">
        <w:rPr>
          <w:color w:val="000000"/>
          <w:sz w:val="22"/>
          <w:szCs w:val="22"/>
        </w:rPr>
        <w:t xml:space="preserve"> erreichte), während von den 7</w:t>
      </w:r>
      <w:r w:rsidR="000B60CB" w:rsidRPr="00B30A12">
        <w:rPr>
          <w:color w:val="000000"/>
          <w:sz w:val="22"/>
          <w:szCs w:val="22"/>
        </w:rPr>
        <w:t> </w:t>
      </w:r>
      <w:r w:rsidR="00B752C1" w:rsidRPr="00B30A12">
        <w:rPr>
          <w:color w:val="000000"/>
          <w:sz w:val="22"/>
          <w:szCs w:val="22"/>
        </w:rPr>
        <w:t xml:space="preserve">Patienten ohne Dosiserhöhung nur bei einem </w:t>
      </w:r>
      <w:r w:rsidR="003C61B7" w:rsidRPr="00B30A12">
        <w:rPr>
          <w:color w:val="000000"/>
          <w:sz w:val="22"/>
          <w:szCs w:val="22"/>
        </w:rPr>
        <w:t xml:space="preserve">erneut </w:t>
      </w:r>
      <w:r w:rsidR="00B752C1" w:rsidRPr="00B30A12">
        <w:rPr>
          <w:color w:val="000000"/>
          <w:sz w:val="22"/>
          <w:szCs w:val="22"/>
        </w:rPr>
        <w:t>eine komplette zytogenetische Remission auftrat. Die Häufigkeit einiger Nebenwirkungen war bei den 40</w:t>
      </w:r>
      <w:r w:rsidR="000B60CB" w:rsidRPr="00B30A12">
        <w:rPr>
          <w:color w:val="000000"/>
          <w:sz w:val="22"/>
          <w:szCs w:val="22"/>
        </w:rPr>
        <w:t> </w:t>
      </w:r>
      <w:r w:rsidR="00B752C1" w:rsidRPr="00B30A12">
        <w:rPr>
          <w:color w:val="000000"/>
          <w:sz w:val="22"/>
          <w:szCs w:val="22"/>
        </w:rPr>
        <w:t xml:space="preserve">Patienten, bei denen die Dosis auf 800 mg täglich erhöht </w:t>
      </w:r>
      <w:r w:rsidR="002C7E33" w:rsidRPr="00B30A12">
        <w:rPr>
          <w:color w:val="000000"/>
          <w:sz w:val="22"/>
          <w:szCs w:val="22"/>
        </w:rPr>
        <w:t xml:space="preserve">wurde, größer im Vergleich zur </w:t>
      </w:r>
      <w:r w:rsidR="00B752C1" w:rsidRPr="00B30A12">
        <w:rPr>
          <w:color w:val="000000"/>
          <w:sz w:val="22"/>
          <w:szCs w:val="22"/>
        </w:rPr>
        <w:t>Patientenpopulation vor der Dosiserhöhung (</w:t>
      </w:r>
      <w:r w:rsidR="00FC64C4" w:rsidRPr="00B30A12">
        <w:rPr>
          <w:color w:val="000000"/>
          <w:sz w:val="22"/>
          <w:szCs w:val="22"/>
        </w:rPr>
        <w:t>n </w:t>
      </w:r>
      <w:r w:rsidR="00B752C1" w:rsidRPr="00B30A12">
        <w:rPr>
          <w:color w:val="000000"/>
          <w:sz w:val="22"/>
          <w:szCs w:val="22"/>
        </w:rPr>
        <w:t>= 551).</w:t>
      </w:r>
      <w:r w:rsidR="003C61B7" w:rsidRPr="00B30A12">
        <w:rPr>
          <w:color w:val="000000"/>
          <w:sz w:val="22"/>
          <w:szCs w:val="22"/>
        </w:rPr>
        <w:t xml:space="preserve"> </w:t>
      </w:r>
      <w:r w:rsidR="00B752C1" w:rsidRPr="00B30A12">
        <w:rPr>
          <w:color w:val="000000"/>
          <w:sz w:val="22"/>
          <w:szCs w:val="22"/>
        </w:rPr>
        <w:t>Zu den häufigeren Nebenwirkungen zählten gastrointestinale Blutungen, Konjunktivitis und Transaminasen- oder Bilirubinerhöhungen. Andere Nebenwirkungen wurden mit geringerer oder gleicher Häufigkeit berichtet.</w:t>
      </w:r>
    </w:p>
    <w:p w14:paraId="2F786D64" w14:textId="77777777" w:rsidR="006615F9" w:rsidRPr="00B30A12" w:rsidRDefault="006615F9" w:rsidP="00537E23">
      <w:pPr>
        <w:widowControl w:val="0"/>
        <w:rPr>
          <w:color w:val="000000"/>
          <w:sz w:val="22"/>
          <w:szCs w:val="22"/>
        </w:rPr>
      </w:pPr>
    </w:p>
    <w:p w14:paraId="3A095F22" w14:textId="77777777" w:rsidR="00D72F2D" w:rsidRPr="00B30A12" w:rsidRDefault="006615F9" w:rsidP="00537E23">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t xml:space="preserve">Chronische Phase, nach Interferon-Versagen: </w:t>
      </w:r>
      <w:r w:rsidRPr="00B30A12">
        <w:rPr>
          <w:i w:val="0"/>
          <w:color w:val="000000"/>
          <w:szCs w:val="22"/>
          <w:lang w:val="de-DE"/>
        </w:rPr>
        <w:t>532</w:t>
      </w:r>
      <w:r w:rsidR="00C80819" w:rsidRPr="00B30A12">
        <w:rPr>
          <w:i w:val="0"/>
          <w:color w:val="000000"/>
          <w:szCs w:val="22"/>
          <w:lang w:val="de-DE"/>
        </w:rPr>
        <w:t> </w:t>
      </w:r>
      <w:r w:rsidR="00DE12A5" w:rsidRPr="00B30A12">
        <w:rPr>
          <w:i w:val="0"/>
          <w:color w:val="000000"/>
          <w:szCs w:val="22"/>
          <w:lang w:val="de-DE"/>
        </w:rPr>
        <w:t xml:space="preserve">erwachsene </w:t>
      </w:r>
      <w:r w:rsidRPr="00B30A12">
        <w:rPr>
          <w:i w:val="0"/>
          <w:color w:val="000000"/>
          <w:szCs w:val="22"/>
          <w:lang w:val="de-DE"/>
        </w:rPr>
        <w:t>Patienten wurden mit einer Startdosis von 400</w:t>
      </w:r>
      <w:r w:rsidR="001922B0" w:rsidRPr="00B30A12">
        <w:rPr>
          <w:i w:val="0"/>
          <w:color w:val="000000"/>
          <w:szCs w:val="22"/>
          <w:lang w:val="de-DE"/>
        </w:rPr>
        <w:t> mg</w:t>
      </w:r>
      <w:r w:rsidRPr="00B30A12">
        <w:rPr>
          <w:i w:val="0"/>
          <w:color w:val="000000"/>
          <w:szCs w:val="22"/>
          <w:lang w:val="de-DE"/>
        </w:rPr>
        <w:t xml:space="preserve"> behandelt. Die Patienten verteilten sich auf nachfolgend genannte drei Hauptgruppen: Keine Verbesserung des hämatologischen Befundes (29</w:t>
      </w:r>
      <w:r w:rsidR="006766AC" w:rsidRPr="00B30A12">
        <w:rPr>
          <w:i w:val="0"/>
          <w:color w:val="000000"/>
          <w:szCs w:val="22"/>
          <w:lang w:val="de-DE"/>
        </w:rPr>
        <w:t>%</w:t>
      </w:r>
      <w:r w:rsidRPr="00B30A12">
        <w:rPr>
          <w:i w:val="0"/>
          <w:color w:val="000000"/>
          <w:szCs w:val="22"/>
          <w:lang w:val="de-DE"/>
        </w:rPr>
        <w:t>), keine Verbesserung des zytogenetischen Befundes (35</w:t>
      </w:r>
      <w:r w:rsidR="006766AC" w:rsidRPr="00B30A12">
        <w:rPr>
          <w:i w:val="0"/>
          <w:color w:val="000000"/>
          <w:szCs w:val="22"/>
          <w:lang w:val="de-DE"/>
        </w:rPr>
        <w:t>%</w:t>
      </w:r>
      <w:r w:rsidRPr="00B30A12">
        <w:rPr>
          <w:i w:val="0"/>
          <w:color w:val="000000"/>
          <w:szCs w:val="22"/>
          <w:lang w:val="de-DE"/>
        </w:rPr>
        <w:t>) oder Intoleranz gegenüber Interferon (36</w:t>
      </w:r>
      <w:r w:rsidR="006766AC" w:rsidRPr="00B30A12">
        <w:rPr>
          <w:i w:val="0"/>
          <w:color w:val="000000"/>
          <w:szCs w:val="22"/>
          <w:lang w:val="de-DE"/>
        </w:rPr>
        <w:t>%</w:t>
      </w:r>
      <w:r w:rsidRPr="00B30A12">
        <w:rPr>
          <w:i w:val="0"/>
          <w:color w:val="000000"/>
          <w:szCs w:val="22"/>
          <w:lang w:val="de-DE"/>
        </w:rPr>
        <w:t>). Die Patienten waren vorher im Median über 14</w:t>
      </w:r>
      <w:r w:rsidR="00C80819" w:rsidRPr="00B30A12">
        <w:rPr>
          <w:i w:val="0"/>
          <w:color w:val="000000"/>
          <w:szCs w:val="22"/>
          <w:lang w:val="de-DE"/>
        </w:rPr>
        <w:t> </w:t>
      </w:r>
      <w:r w:rsidRPr="00B30A12">
        <w:rPr>
          <w:i w:val="0"/>
          <w:color w:val="000000"/>
          <w:szCs w:val="22"/>
          <w:lang w:val="de-DE"/>
        </w:rPr>
        <w:t>Monate mit einer IFN-Therapie von ≥</w:t>
      </w:r>
      <w:r w:rsidR="00975215" w:rsidRPr="00B30A12">
        <w:rPr>
          <w:i w:val="0"/>
          <w:color w:val="000000"/>
          <w:szCs w:val="22"/>
          <w:lang w:val="de-DE"/>
        </w:rPr>
        <w:t> </w:t>
      </w:r>
      <w:r w:rsidRPr="00B30A12">
        <w:rPr>
          <w:i w:val="0"/>
          <w:color w:val="000000"/>
          <w:szCs w:val="22"/>
          <w:lang w:val="de-DE"/>
        </w:rPr>
        <w:t>25</w:t>
      </w:r>
      <w:r w:rsidR="00975215" w:rsidRPr="00B30A12">
        <w:rPr>
          <w:i w:val="0"/>
          <w:color w:val="000000"/>
          <w:szCs w:val="22"/>
          <w:lang w:val="de-DE"/>
        </w:rPr>
        <w:t> </w:t>
      </w:r>
      <w:r w:rsidRPr="00B30A12">
        <w:rPr>
          <w:i w:val="0"/>
          <w:color w:val="000000"/>
          <w:szCs w:val="22"/>
          <w:lang w:val="de-DE"/>
        </w:rPr>
        <w:t>x</w:t>
      </w:r>
      <w:r w:rsidR="00975215" w:rsidRPr="00B30A12">
        <w:rPr>
          <w:i w:val="0"/>
          <w:color w:val="000000"/>
          <w:szCs w:val="22"/>
          <w:lang w:val="de-DE"/>
        </w:rPr>
        <w:t> </w:t>
      </w:r>
      <w:r w:rsidRPr="00B30A12">
        <w:rPr>
          <w:i w:val="0"/>
          <w:color w:val="000000"/>
          <w:szCs w:val="22"/>
          <w:lang w:val="de-DE"/>
        </w:rPr>
        <w:t>10</w:t>
      </w:r>
      <w:r w:rsidRPr="00B30A12">
        <w:rPr>
          <w:i w:val="0"/>
          <w:color w:val="000000"/>
          <w:szCs w:val="22"/>
          <w:vertAlign w:val="superscript"/>
          <w:lang w:val="de-DE"/>
        </w:rPr>
        <w:t>6</w:t>
      </w:r>
      <w:r w:rsidRPr="00B30A12">
        <w:rPr>
          <w:i w:val="0"/>
          <w:color w:val="000000"/>
          <w:szCs w:val="22"/>
          <w:lang w:val="de-DE"/>
        </w:rPr>
        <w:t xml:space="preserve"> IU/Woche behandelt worden und befanden sich alle mit einem medianen Zeitabstand von 32</w:t>
      </w:r>
      <w:r w:rsidR="00C80819" w:rsidRPr="00B30A12">
        <w:rPr>
          <w:i w:val="0"/>
          <w:color w:val="000000"/>
          <w:szCs w:val="22"/>
          <w:lang w:val="de-DE"/>
        </w:rPr>
        <w:t> </w:t>
      </w:r>
      <w:r w:rsidRPr="00B30A12">
        <w:rPr>
          <w:i w:val="0"/>
          <w:color w:val="000000"/>
          <w:szCs w:val="22"/>
          <w:lang w:val="de-DE"/>
        </w:rPr>
        <w:t xml:space="preserve">Monaten nach Diagnosestellung in der späten chronischen Phase. Der primäre Wirksamkeitsparameter der Studie war das Ausmaß der </w:t>
      </w:r>
      <w:r w:rsidR="006725DB" w:rsidRPr="00B30A12">
        <w:rPr>
          <w:i w:val="0"/>
          <w:color w:val="000000"/>
          <w:szCs w:val="22"/>
          <w:lang w:val="de-DE"/>
        </w:rPr>
        <w:t xml:space="preserve">guten </w:t>
      </w:r>
      <w:r w:rsidRPr="00B30A12">
        <w:rPr>
          <w:i w:val="0"/>
          <w:color w:val="000000"/>
          <w:szCs w:val="22"/>
          <w:lang w:val="de-DE"/>
        </w:rPr>
        <w:t xml:space="preserve">zytogenetischen Remission („major cytogenetic response“, </w:t>
      </w:r>
      <w:r w:rsidR="00C305B8" w:rsidRPr="00B30A12">
        <w:rPr>
          <w:i w:val="0"/>
          <w:color w:val="000000"/>
          <w:szCs w:val="22"/>
          <w:lang w:val="de-DE"/>
        </w:rPr>
        <w:t xml:space="preserve">komplette </w:t>
      </w:r>
      <w:r w:rsidRPr="00B30A12">
        <w:rPr>
          <w:i w:val="0"/>
          <w:color w:val="000000"/>
          <w:szCs w:val="22"/>
          <w:lang w:val="de-DE"/>
        </w:rPr>
        <w:t xml:space="preserve">plus </w:t>
      </w:r>
      <w:r w:rsidR="00472959" w:rsidRPr="00B30A12">
        <w:rPr>
          <w:i w:val="0"/>
          <w:color w:val="000000"/>
          <w:szCs w:val="22"/>
          <w:lang w:val="de-DE"/>
        </w:rPr>
        <w:t>partielle</w:t>
      </w:r>
      <w:r w:rsidRPr="00B30A12">
        <w:rPr>
          <w:i w:val="0"/>
          <w:color w:val="000000"/>
          <w:szCs w:val="22"/>
          <w:lang w:val="de-DE"/>
        </w:rPr>
        <w:t xml:space="preserve"> </w:t>
      </w:r>
      <w:r w:rsidR="00680171" w:rsidRPr="00B30A12">
        <w:rPr>
          <w:i w:val="0"/>
          <w:color w:val="000000"/>
          <w:szCs w:val="22"/>
          <w:lang w:val="de-DE"/>
        </w:rPr>
        <w:t>Remission</w:t>
      </w:r>
      <w:r w:rsidRPr="00B30A12">
        <w:rPr>
          <w:i w:val="0"/>
          <w:color w:val="000000"/>
          <w:szCs w:val="22"/>
          <w:lang w:val="de-DE"/>
        </w:rPr>
        <w:t>, 0 bis 35</w:t>
      </w:r>
      <w:r w:rsidR="006766AC" w:rsidRPr="00B30A12">
        <w:rPr>
          <w:i w:val="0"/>
          <w:color w:val="000000"/>
          <w:szCs w:val="22"/>
          <w:lang w:val="de-DE"/>
        </w:rPr>
        <w:t>%</w:t>
      </w:r>
      <w:r w:rsidRPr="00B30A12">
        <w:rPr>
          <w:i w:val="0"/>
          <w:color w:val="000000"/>
          <w:szCs w:val="22"/>
          <w:lang w:val="de-DE"/>
        </w:rPr>
        <w:t xml:space="preserve"> Ph</w:t>
      </w:r>
      <w:r w:rsidRPr="00B30A12">
        <w:rPr>
          <w:i w:val="0"/>
          <w:color w:val="000000"/>
          <w:szCs w:val="22"/>
          <w:vertAlign w:val="superscript"/>
          <w:lang w:val="de-DE"/>
        </w:rPr>
        <w:t>+</w:t>
      </w:r>
      <w:r w:rsidR="00BB0C48" w:rsidRPr="00B30A12">
        <w:rPr>
          <w:i w:val="0"/>
          <w:color w:val="000000"/>
          <w:szCs w:val="22"/>
          <w:vertAlign w:val="superscript"/>
          <w:lang w:val="de-DE"/>
        </w:rPr>
        <w:t>-</w:t>
      </w:r>
      <w:r w:rsidRPr="00B30A12">
        <w:rPr>
          <w:i w:val="0"/>
          <w:color w:val="000000"/>
          <w:szCs w:val="22"/>
          <w:lang w:val="de-DE"/>
        </w:rPr>
        <w:t>Metaphasen im Knochenmark).</w:t>
      </w:r>
    </w:p>
    <w:p w14:paraId="149371F9" w14:textId="77777777" w:rsidR="006615F9" w:rsidRPr="00B30A12" w:rsidRDefault="006615F9" w:rsidP="00537E23">
      <w:pPr>
        <w:widowControl w:val="0"/>
        <w:rPr>
          <w:color w:val="000000"/>
          <w:sz w:val="22"/>
          <w:szCs w:val="22"/>
        </w:rPr>
      </w:pPr>
    </w:p>
    <w:p w14:paraId="77881008" w14:textId="77777777" w:rsidR="006615F9" w:rsidRPr="00B30A12" w:rsidRDefault="006615F9" w:rsidP="00537E23">
      <w:pPr>
        <w:widowControl w:val="0"/>
        <w:rPr>
          <w:color w:val="000000"/>
          <w:sz w:val="22"/>
          <w:szCs w:val="22"/>
        </w:rPr>
      </w:pPr>
      <w:r w:rsidRPr="00B30A12">
        <w:rPr>
          <w:color w:val="000000"/>
          <w:sz w:val="22"/>
          <w:szCs w:val="22"/>
        </w:rPr>
        <w:t>In dieser Studie wiesen 6</w:t>
      </w:r>
      <w:r w:rsidR="008F7114" w:rsidRPr="00B30A12">
        <w:rPr>
          <w:color w:val="000000"/>
          <w:sz w:val="22"/>
          <w:szCs w:val="22"/>
        </w:rPr>
        <w:t>5</w:t>
      </w:r>
      <w:r w:rsidR="006766AC" w:rsidRPr="00B30A12">
        <w:rPr>
          <w:color w:val="000000"/>
          <w:sz w:val="22"/>
          <w:szCs w:val="22"/>
        </w:rPr>
        <w:t>%</w:t>
      </w:r>
      <w:r w:rsidRPr="00B30A12">
        <w:rPr>
          <w:color w:val="000000"/>
          <w:sz w:val="22"/>
          <w:szCs w:val="22"/>
        </w:rPr>
        <w:t xml:space="preserve"> der Patienten eine </w:t>
      </w:r>
      <w:r w:rsidR="00C305B8" w:rsidRPr="00B30A12">
        <w:rPr>
          <w:color w:val="000000"/>
          <w:sz w:val="22"/>
          <w:szCs w:val="22"/>
        </w:rPr>
        <w:t xml:space="preserve">gute </w:t>
      </w:r>
      <w:r w:rsidRPr="00B30A12">
        <w:rPr>
          <w:color w:val="000000"/>
          <w:sz w:val="22"/>
          <w:szCs w:val="22"/>
        </w:rPr>
        <w:t xml:space="preserve">zytogenetische Remission auf, die bei </w:t>
      </w:r>
      <w:r w:rsidR="008F7114" w:rsidRPr="00B30A12">
        <w:rPr>
          <w:color w:val="000000"/>
          <w:sz w:val="22"/>
          <w:szCs w:val="22"/>
        </w:rPr>
        <w:t>53</w:t>
      </w:r>
      <w:r w:rsidR="006766AC" w:rsidRPr="00B30A12">
        <w:rPr>
          <w:color w:val="000000"/>
          <w:sz w:val="22"/>
          <w:szCs w:val="22"/>
        </w:rPr>
        <w:t>%</w:t>
      </w:r>
      <w:r w:rsidRPr="00B30A12">
        <w:rPr>
          <w:color w:val="000000"/>
          <w:sz w:val="22"/>
          <w:szCs w:val="22"/>
        </w:rPr>
        <w:t xml:space="preserve"> (bestätigt </w:t>
      </w:r>
      <w:r w:rsidR="008F7114" w:rsidRPr="00B30A12">
        <w:rPr>
          <w:color w:val="000000"/>
          <w:sz w:val="22"/>
          <w:szCs w:val="22"/>
        </w:rPr>
        <w:t>4</w:t>
      </w:r>
      <w:r w:rsidRPr="00B30A12">
        <w:rPr>
          <w:color w:val="000000"/>
          <w:sz w:val="22"/>
          <w:szCs w:val="22"/>
        </w:rPr>
        <w:t>3</w:t>
      </w:r>
      <w:r w:rsidR="006766AC" w:rsidRPr="00B30A12">
        <w:rPr>
          <w:color w:val="000000"/>
          <w:sz w:val="22"/>
          <w:szCs w:val="22"/>
        </w:rPr>
        <w:t>%</w:t>
      </w:r>
      <w:r w:rsidRPr="00B30A12">
        <w:rPr>
          <w:color w:val="000000"/>
          <w:sz w:val="22"/>
          <w:szCs w:val="22"/>
        </w:rPr>
        <w:t xml:space="preserve">) der Patienten </w:t>
      </w:r>
      <w:r w:rsidR="00C305B8" w:rsidRPr="00B30A12">
        <w:rPr>
          <w:color w:val="000000"/>
          <w:sz w:val="22"/>
          <w:szCs w:val="22"/>
        </w:rPr>
        <w:t xml:space="preserve">komplett </w:t>
      </w:r>
      <w:r w:rsidRPr="00B30A12">
        <w:rPr>
          <w:color w:val="000000"/>
          <w:sz w:val="22"/>
          <w:szCs w:val="22"/>
        </w:rPr>
        <w:t>war (vgl. Tabelle</w:t>
      </w:r>
      <w:r w:rsidR="007D25C6" w:rsidRPr="00B30A12">
        <w:rPr>
          <w:color w:val="000000"/>
          <w:sz w:val="22"/>
          <w:szCs w:val="22"/>
        </w:rPr>
        <w:t> </w:t>
      </w:r>
      <w:r w:rsidR="0094523F" w:rsidRPr="00B30A12">
        <w:rPr>
          <w:color w:val="000000"/>
          <w:sz w:val="22"/>
          <w:szCs w:val="22"/>
        </w:rPr>
        <w:t>3</w:t>
      </w:r>
      <w:r w:rsidRPr="00B30A12">
        <w:rPr>
          <w:color w:val="000000"/>
          <w:sz w:val="22"/>
          <w:szCs w:val="22"/>
        </w:rPr>
        <w:t xml:space="preserve">). Eine </w:t>
      </w:r>
      <w:r w:rsidR="00C305B8" w:rsidRPr="00B30A12">
        <w:rPr>
          <w:color w:val="000000"/>
          <w:sz w:val="22"/>
          <w:szCs w:val="22"/>
        </w:rPr>
        <w:t xml:space="preserve">komplette </w:t>
      </w:r>
      <w:r w:rsidRPr="00B30A12">
        <w:rPr>
          <w:color w:val="000000"/>
          <w:sz w:val="22"/>
          <w:szCs w:val="22"/>
        </w:rPr>
        <w:t>hämato</w:t>
      </w:r>
      <w:r w:rsidRPr="00B30A12">
        <w:rPr>
          <w:color w:val="000000"/>
          <w:sz w:val="22"/>
          <w:szCs w:val="22"/>
        </w:rPr>
        <w:softHyphen/>
        <w:t>logische Remission wurde bei 9</w:t>
      </w:r>
      <w:r w:rsidR="008F7114" w:rsidRPr="00B30A12">
        <w:rPr>
          <w:color w:val="000000"/>
          <w:sz w:val="22"/>
          <w:szCs w:val="22"/>
        </w:rPr>
        <w:t>5</w:t>
      </w:r>
      <w:r w:rsidR="006766AC" w:rsidRPr="00B30A12">
        <w:rPr>
          <w:color w:val="000000"/>
          <w:sz w:val="22"/>
          <w:szCs w:val="22"/>
        </w:rPr>
        <w:t>%</w:t>
      </w:r>
      <w:r w:rsidRPr="00B30A12">
        <w:rPr>
          <w:color w:val="000000"/>
          <w:sz w:val="22"/>
          <w:szCs w:val="22"/>
        </w:rPr>
        <w:t xml:space="preserve"> der Patienten erreicht.</w:t>
      </w:r>
    </w:p>
    <w:p w14:paraId="39DBF40C" w14:textId="77777777" w:rsidR="006615F9" w:rsidRPr="00B30A12" w:rsidRDefault="006615F9" w:rsidP="00537E23">
      <w:pPr>
        <w:widowControl w:val="0"/>
        <w:rPr>
          <w:color w:val="000000"/>
          <w:sz w:val="22"/>
          <w:szCs w:val="22"/>
        </w:rPr>
      </w:pPr>
    </w:p>
    <w:p w14:paraId="462E54FD" w14:textId="77777777" w:rsidR="006615F9" w:rsidRPr="00B30A12" w:rsidRDefault="006615F9" w:rsidP="00537E23">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t xml:space="preserve">Akzelerierte Phase: </w:t>
      </w:r>
      <w:r w:rsidRPr="00B30A12">
        <w:rPr>
          <w:i w:val="0"/>
          <w:color w:val="000000"/>
          <w:szCs w:val="22"/>
          <w:lang w:val="de-DE"/>
        </w:rPr>
        <w:t>235</w:t>
      </w:r>
      <w:r w:rsidR="00C80819" w:rsidRPr="00B30A12">
        <w:rPr>
          <w:i w:val="0"/>
          <w:color w:val="000000"/>
          <w:szCs w:val="22"/>
          <w:lang w:val="de-DE"/>
        </w:rPr>
        <w:t> </w:t>
      </w:r>
      <w:r w:rsidR="00DE12A5" w:rsidRPr="00B30A12">
        <w:rPr>
          <w:i w:val="0"/>
          <w:color w:val="000000"/>
          <w:szCs w:val="22"/>
          <w:lang w:val="de-DE"/>
        </w:rPr>
        <w:t xml:space="preserve">erwachsene </w:t>
      </w:r>
      <w:r w:rsidRPr="00B30A12">
        <w:rPr>
          <w:i w:val="0"/>
          <w:color w:val="000000"/>
          <w:szCs w:val="22"/>
          <w:lang w:val="de-DE"/>
        </w:rPr>
        <w:t>Patienten in der akzelerierten Phase wurden in die Studie eingeschlossen. Die ersten 77</w:t>
      </w:r>
      <w:r w:rsidR="00C80819" w:rsidRPr="00B30A12">
        <w:rPr>
          <w:i w:val="0"/>
          <w:color w:val="000000"/>
          <w:szCs w:val="22"/>
          <w:lang w:val="de-DE"/>
        </w:rPr>
        <w:t> </w:t>
      </w:r>
      <w:r w:rsidRPr="00B30A12">
        <w:rPr>
          <w:i w:val="0"/>
          <w:color w:val="000000"/>
          <w:szCs w:val="22"/>
          <w:lang w:val="de-DE"/>
        </w:rPr>
        <w:t>Patienten begannen die Behandlung mit 400</w:t>
      </w:r>
      <w:r w:rsidR="001922B0" w:rsidRPr="00B30A12">
        <w:rPr>
          <w:i w:val="0"/>
          <w:color w:val="000000"/>
          <w:szCs w:val="22"/>
          <w:lang w:val="de-DE"/>
        </w:rPr>
        <w:t> mg</w:t>
      </w:r>
      <w:r w:rsidRPr="00B30A12">
        <w:rPr>
          <w:i w:val="0"/>
          <w:color w:val="000000"/>
          <w:szCs w:val="22"/>
          <w:lang w:val="de-DE"/>
        </w:rPr>
        <w:t>. Das Prüfprotokoll wurde anschließend ergänzt, um höhere Dosen zu ermöglichen, und die verbleibenden 158</w:t>
      </w:r>
      <w:r w:rsidR="00C80819" w:rsidRPr="00B30A12">
        <w:rPr>
          <w:i w:val="0"/>
          <w:color w:val="000000"/>
          <w:szCs w:val="22"/>
          <w:lang w:val="de-DE"/>
        </w:rPr>
        <w:t> </w:t>
      </w:r>
      <w:r w:rsidRPr="00B30A12">
        <w:rPr>
          <w:i w:val="0"/>
          <w:color w:val="000000"/>
          <w:szCs w:val="22"/>
          <w:lang w:val="de-DE"/>
        </w:rPr>
        <w:t>Patienten begannen die Behandlung mit 600</w:t>
      </w:r>
      <w:r w:rsidR="001922B0" w:rsidRPr="00B30A12">
        <w:rPr>
          <w:i w:val="0"/>
          <w:color w:val="000000"/>
          <w:szCs w:val="22"/>
          <w:lang w:val="de-DE"/>
        </w:rPr>
        <w:t> mg</w:t>
      </w:r>
      <w:r w:rsidRPr="00B30A12">
        <w:rPr>
          <w:i w:val="0"/>
          <w:color w:val="000000"/>
          <w:szCs w:val="22"/>
          <w:lang w:val="de-DE"/>
        </w:rPr>
        <w:t>.</w:t>
      </w:r>
    </w:p>
    <w:p w14:paraId="7A7F4593" w14:textId="77777777" w:rsidR="006615F9" w:rsidRPr="00B30A12" w:rsidRDefault="006615F9" w:rsidP="00537E23">
      <w:pPr>
        <w:widowControl w:val="0"/>
        <w:rPr>
          <w:color w:val="000000"/>
          <w:sz w:val="22"/>
          <w:szCs w:val="22"/>
        </w:rPr>
      </w:pPr>
    </w:p>
    <w:p w14:paraId="7F9D062B" w14:textId="77777777" w:rsidR="00D72F2D" w:rsidRPr="00B30A12" w:rsidRDefault="006615F9" w:rsidP="00537E23">
      <w:pPr>
        <w:pStyle w:val="BodyTextIndent3"/>
        <w:ind w:left="0"/>
        <w:rPr>
          <w:rFonts w:ascii="Times New Roman" w:hAnsi="Times New Roman"/>
          <w:color w:val="000000"/>
          <w:szCs w:val="22"/>
        </w:rPr>
      </w:pPr>
      <w:r w:rsidRPr="00B30A12">
        <w:rPr>
          <w:rFonts w:ascii="Times New Roman" w:hAnsi="Times New Roman"/>
          <w:color w:val="000000"/>
          <w:szCs w:val="22"/>
        </w:rPr>
        <w:t>Der primäre Wirksamkeitsparameter war das Ausmaß der hämatologische</w:t>
      </w:r>
      <w:r w:rsidR="00BB4295" w:rsidRPr="00B30A12">
        <w:rPr>
          <w:rFonts w:ascii="Times New Roman" w:hAnsi="Times New Roman"/>
          <w:color w:val="000000"/>
          <w:szCs w:val="22"/>
        </w:rPr>
        <w:t>n</w:t>
      </w:r>
      <w:r w:rsidRPr="00B30A12">
        <w:rPr>
          <w:rFonts w:ascii="Times New Roman" w:hAnsi="Times New Roman"/>
          <w:color w:val="000000"/>
          <w:szCs w:val="22"/>
        </w:rPr>
        <w:t xml:space="preserve"> Remission: </w:t>
      </w:r>
      <w:r w:rsidR="00C305B8" w:rsidRPr="00B30A12">
        <w:rPr>
          <w:rFonts w:ascii="Times New Roman" w:hAnsi="Times New Roman"/>
          <w:color w:val="000000"/>
          <w:szCs w:val="22"/>
        </w:rPr>
        <w:t xml:space="preserve">Komplette </w:t>
      </w:r>
      <w:r w:rsidRPr="00B30A12">
        <w:rPr>
          <w:rFonts w:ascii="Times New Roman" w:hAnsi="Times New Roman"/>
          <w:color w:val="000000"/>
          <w:szCs w:val="22"/>
        </w:rPr>
        <w:t>hä</w:t>
      </w:r>
      <w:r w:rsidRPr="00B30A12">
        <w:rPr>
          <w:rFonts w:ascii="Times New Roman" w:hAnsi="Times New Roman"/>
          <w:color w:val="000000"/>
          <w:szCs w:val="22"/>
        </w:rPr>
        <w:softHyphen/>
        <w:t>matologische Remission, keine Leukämie mehr nachweisbar (Verschwinden der Blasten aus Knochen</w:t>
      </w:r>
      <w:r w:rsidRPr="00B30A12">
        <w:rPr>
          <w:rFonts w:ascii="Times New Roman" w:hAnsi="Times New Roman"/>
          <w:color w:val="000000"/>
          <w:szCs w:val="22"/>
        </w:rPr>
        <w:softHyphen/>
        <w:t xml:space="preserve">mark und Blut, jedoch keine </w:t>
      </w:r>
      <w:r w:rsidR="00C305B8" w:rsidRPr="00B30A12">
        <w:rPr>
          <w:rFonts w:ascii="Times New Roman" w:hAnsi="Times New Roman"/>
          <w:color w:val="000000"/>
          <w:szCs w:val="22"/>
        </w:rPr>
        <w:t xml:space="preserve">komplette </w:t>
      </w:r>
      <w:r w:rsidRPr="00B30A12">
        <w:rPr>
          <w:rFonts w:ascii="Times New Roman" w:hAnsi="Times New Roman"/>
          <w:color w:val="000000"/>
          <w:szCs w:val="22"/>
        </w:rPr>
        <w:t>hämatologische Rekonstitution) oder Wiedereintritt in die chronische Phase der CML. Bei 7</w:t>
      </w:r>
      <w:r w:rsidR="008F7114" w:rsidRPr="00B30A12">
        <w:rPr>
          <w:rFonts w:ascii="Times New Roman" w:hAnsi="Times New Roman"/>
          <w:color w:val="000000"/>
          <w:szCs w:val="22"/>
        </w:rPr>
        <w:t>1,5</w:t>
      </w:r>
      <w:r w:rsidR="006766AC" w:rsidRPr="00B30A12">
        <w:rPr>
          <w:rFonts w:ascii="Times New Roman" w:hAnsi="Times New Roman"/>
          <w:color w:val="000000"/>
          <w:szCs w:val="22"/>
        </w:rPr>
        <w:t>%</w:t>
      </w:r>
      <w:r w:rsidRPr="00B30A12">
        <w:rPr>
          <w:rFonts w:ascii="Times New Roman" w:hAnsi="Times New Roman"/>
          <w:color w:val="000000"/>
          <w:szCs w:val="22"/>
        </w:rPr>
        <w:t xml:space="preserve"> der Patienten konnte ein</w:t>
      </w:r>
      <w:r w:rsidR="00680171" w:rsidRPr="00B30A12">
        <w:rPr>
          <w:rFonts w:ascii="Times New Roman" w:hAnsi="Times New Roman"/>
          <w:color w:val="000000"/>
          <w:szCs w:val="22"/>
        </w:rPr>
        <w:t>e</w:t>
      </w:r>
      <w:r w:rsidRPr="00B30A12">
        <w:rPr>
          <w:rFonts w:ascii="Times New Roman" w:hAnsi="Times New Roman"/>
          <w:color w:val="000000"/>
          <w:szCs w:val="22"/>
        </w:rPr>
        <w:t xml:space="preserve"> hämatologische </w:t>
      </w:r>
      <w:r w:rsidR="00680171" w:rsidRPr="00B30A12">
        <w:rPr>
          <w:rFonts w:ascii="Times New Roman" w:hAnsi="Times New Roman"/>
          <w:color w:val="000000"/>
          <w:szCs w:val="22"/>
        </w:rPr>
        <w:t>Remission</w:t>
      </w:r>
      <w:r w:rsidRPr="00B30A12">
        <w:rPr>
          <w:rFonts w:ascii="Times New Roman" w:hAnsi="Times New Roman"/>
          <w:color w:val="000000"/>
          <w:szCs w:val="22"/>
        </w:rPr>
        <w:t xml:space="preserve"> nach</w:t>
      </w:r>
      <w:r w:rsidRPr="00B30A12">
        <w:rPr>
          <w:rFonts w:ascii="Times New Roman" w:hAnsi="Times New Roman"/>
          <w:color w:val="000000"/>
          <w:szCs w:val="22"/>
        </w:rPr>
        <w:softHyphen/>
        <w:t>gewiesen werden (vgl. Tabelle</w:t>
      </w:r>
      <w:r w:rsidR="007D25C6" w:rsidRPr="00B30A12">
        <w:rPr>
          <w:rFonts w:ascii="Times New Roman" w:hAnsi="Times New Roman"/>
          <w:color w:val="000000"/>
          <w:szCs w:val="22"/>
        </w:rPr>
        <w:t> </w:t>
      </w:r>
      <w:r w:rsidR="0094523F" w:rsidRPr="00B30A12">
        <w:rPr>
          <w:rFonts w:ascii="Times New Roman" w:hAnsi="Times New Roman"/>
          <w:color w:val="000000"/>
          <w:szCs w:val="22"/>
        </w:rPr>
        <w:t>3</w:t>
      </w:r>
      <w:r w:rsidRPr="00B30A12">
        <w:rPr>
          <w:rFonts w:ascii="Times New Roman" w:hAnsi="Times New Roman"/>
          <w:color w:val="000000"/>
          <w:szCs w:val="22"/>
        </w:rPr>
        <w:t>). Als wichtiges Ergebnis zeigte sich bei 2</w:t>
      </w:r>
      <w:r w:rsidR="008F7114" w:rsidRPr="00B30A12">
        <w:rPr>
          <w:rFonts w:ascii="Times New Roman" w:hAnsi="Times New Roman"/>
          <w:color w:val="000000"/>
          <w:szCs w:val="22"/>
        </w:rPr>
        <w:t>7,7</w:t>
      </w:r>
      <w:r w:rsidR="006766AC" w:rsidRPr="00B30A12">
        <w:rPr>
          <w:rFonts w:ascii="Times New Roman" w:hAnsi="Times New Roman"/>
          <w:color w:val="000000"/>
          <w:szCs w:val="22"/>
        </w:rPr>
        <w:t>%</w:t>
      </w:r>
      <w:r w:rsidRPr="00B30A12">
        <w:rPr>
          <w:rFonts w:ascii="Times New Roman" w:hAnsi="Times New Roman"/>
          <w:color w:val="000000"/>
          <w:szCs w:val="22"/>
        </w:rPr>
        <w:t xml:space="preserve"> der Patienten auch eine </w:t>
      </w:r>
      <w:r w:rsidR="00C305B8" w:rsidRPr="00B30A12">
        <w:rPr>
          <w:rFonts w:ascii="Times New Roman" w:hAnsi="Times New Roman"/>
          <w:color w:val="000000"/>
          <w:szCs w:val="22"/>
        </w:rPr>
        <w:t xml:space="preserve">gute </w:t>
      </w:r>
      <w:r w:rsidRPr="00B30A12">
        <w:rPr>
          <w:rFonts w:ascii="Times New Roman" w:hAnsi="Times New Roman"/>
          <w:color w:val="000000"/>
          <w:szCs w:val="22"/>
        </w:rPr>
        <w:t xml:space="preserve">zytogenetische Remission, die bei </w:t>
      </w:r>
      <w:r w:rsidR="008F7114" w:rsidRPr="00B30A12">
        <w:rPr>
          <w:rFonts w:ascii="Times New Roman" w:hAnsi="Times New Roman"/>
          <w:color w:val="000000"/>
          <w:szCs w:val="22"/>
        </w:rPr>
        <w:t>20,4</w:t>
      </w:r>
      <w:r w:rsidR="006766AC" w:rsidRPr="00B30A12">
        <w:rPr>
          <w:rFonts w:ascii="Times New Roman" w:hAnsi="Times New Roman"/>
          <w:color w:val="000000"/>
          <w:szCs w:val="22"/>
        </w:rPr>
        <w:t>%</w:t>
      </w:r>
      <w:r w:rsidRPr="00B30A12">
        <w:rPr>
          <w:rFonts w:ascii="Times New Roman" w:hAnsi="Times New Roman"/>
          <w:color w:val="000000"/>
          <w:szCs w:val="22"/>
        </w:rPr>
        <w:t xml:space="preserve"> (bestätigt 1</w:t>
      </w:r>
      <w:r w:rsidR="008F7114" w:rsidRPr="00B30A12">
        <w:rPr>
          <w:rFonts w:ascii="Times New Roman" w:hAnsi="Times New Roman"/>
          <w:color w:val="000000"/>
          <w:szCs w:val="22"/>
        </w:rPr>
        <w:t>6</w:t>
      </w:r>
      <w:r w:rsidR="006766AC" w:rsidRPr="00B30A12">
        <w:rPr>
          <w:rFonts w:ascii="Times New Roman" w:hAnsi="Times New Roman"/>
          <w:color w:val="000000"/>
          <w:szCs w:val="22"/>
        </w:rPr>
        <w:t>%</w:t>
      </w:r>
      <w:r w:rsidRPr="00B30A12">
        <w:rPr>
          <w:rFonts w:ascii="Times New Roman" w:hAnsi="Times New Roman"/>
          <w:color w:val="000000"/>
          <w:szCs w:val="22"/>
        </w:rPr>
        <w:t xml:space="preserve">) der Patienten </w:t>
      </w:r>
      <w:r w:rsidR="00C305B8" w:rsidRPr="00B30A12">
        <w:rPr>
          <w:rFonts w:ascii="Times New Roman" w:hAnsi="Times New Roman"/>
          <w:color w:val="000000"/>
          <w:szCs w:val="22"/>
        </w:rPr>
        <w:t xml:space="preserve">komplett </w:t>
      </w:r>
      <w:r w:rsidRPr="00B30A12">
        <w:rPr>
          <w:rFonts w:ascii="Times New Roman" w:hAnsi="Times New Roman"/>
          <w:color w:val="000000"/>
          <w:szCs w:val="22"/>
        </w:rPr>
        <w:t>war. Bei den Patienten, die mit 600</w:t>
      </w:r>
      <w:r w:rsidR="001922B0" w:rsidRPr="00B30A12">
        <w:rPr>
          <w:rFonts w:ascii="Times New Roman" w:hAnsi="Times New Roman"/>
          <w:color w:val="000000"/>
          <w:szCs w:val="22"/>
        </w:rPr>
        <w:t> mg</w:t>
      </w:r>
      <w:r w:rsidRPr="00B30A12">
        <w:rPr>
          <w:rFonts w:ascii="Times New Roman" w:hAnsi="Times New Roman"/>
          <w:color w:val="000000"/>
          <w:szCs w:val="22"/>
        </w:rPr>
        <w:t xml:space="preserve"> behandelt </w:t>
      </w:r>
      <w:r w:rsidR="00BB4295" w:rsidRPr="00B30A12">
        <w:rPr>
          <w:rFonts w:ascii="Times New Roman" w:hAnsi="Times New Roman"/>
          <w:color w:val="000000"/>
          <w:szCs w:val="22"/>
        </w:rPr>
        <w:t>wurden</w:t>
      </w:r>
      <w:r w:rsidRPr="00B30A12">
        <w:rPr>
          <w:rFonts w:ascii="Times New Roman" w:hAnsi="Times New Roman"/>
          <w:color w:val="000000"/>
          <w:szCs w:val="22"/>
        </w:rPr>
        <w:t xml:space="preserve">, </w:t>
      </w:r>
      <w:r w:rsidR="00BB4295" w:rsidRPr="00B30A12">
        <w:rPr>
          <w:rFonts w:ascii="Times New Roman" w:hAnsi="Times New Roman"/>
          <w:color w:val="000000"/>
          <w:szCs w:val="22"/>
        </w:rPr>
        <w:t xml:space="preserve">betragen die gegenwärtigen Schätzungen für </w:t>
      </w:r>
      <w:r w:rsidRPr="00B30A12">
        <w:rPr>
          <w:rFonts w:ascii="Times New Roman" w:hAnsi="Times New Roman"/>
          <w:color w:val="000000"/>
          <w:szCs w:val="22"/>
        </w:rPr>
        <w:t xml:space="preserve">ein </w:t>
      </w:r>
      <w:r w:rsidR="00BB4295" w:rsidRPr="00B30A12">
        <w:rPr>
          <w:rFonts w:ascii="Times New Roman" w:hAnsi="Times New Roman"/>
          <w:color w:val="000000"/>
          <w:szCs w:val="22"/>
        </w:rPr>
        <w:t xml:space="preserve">medianes </w:t>
      </w:r>
      <w:r w:rsidRPr="00B30A12">
        <w:rPr>
          <w:rFonts w:ascii="Times New Roman" w:hAnsi="Times New Roman"/>
          <w:color w:val="000000"/>
          <w:szCs w:val="22"/>
        </w:rPr>
        <w:t>pro</w:t>
      </w:r>
      <w:r w:rsidRPr="00B30A12">
        <w:rPr>
          <w:rFonts w:ascii="Times New Roman" w:hAnsi="Times New Roman"/>
          <w:color w:val="000000"/>
          <w:szCs w:val="22"/>
        </w:rPr>
        <w:softHyphen/>
        <w:t xml:space="preserve">gressionsfreies Überleben und ein Gesamtüberleben </w:t>
      </w:r>
      <w:r w:rsidR="00BB4295" w:rsidRPr="00B30A12">
        <w:rPr>
          <w:rFonts w:ascii="Times New Roman" w:hAnsi="Times New Roman"/>
          <w:color w:val="000000"/>
          <w:szCs w:val="22"/>
        </w:rPr>
        <w:t>22,9</w:t>
      </w:r>
      <w:r w:rsidRPr="00B30A12">
        <w:rPr>
          <w:rFonts w:ascii="Times New Roman" w:hAnsi="Times New Roman"/>
          <w:color w:val="000000"/>
          <w:szCs w:val="22"/>
        </w:rPr>
        <w:t xml:space="preserve"> bzw. </w:t>
      </w:r>
      <w:r w:rsidR="00BB4295" w:rsidRPr="00B30A12">
        <w:rPr>
          <w:rFonts w:ascii="Times New Roman" w:hAnsi="Times New Roman"/>
          <w:color w:val="000000"/>
          <w:szCs w:val="22"/>
        </w:rPr>
        <w:t>42,5</w:t>
      </w:r>
      <w:r w:rsidR="000B60CB" w:rsidRPr="00B30A12">
        <w:rPr>
          <w:rFonts w:ascii="Times New Roman" w:hAnsi="Times New Roman"/>
          <w:color w:val="000000"/>
          <w:szCs w:val="22"/>
        </w:rPr>
        <w:t> </w:t>
      </w:r>
      <w:r w:rsidR="00BB4295" w:rsidRPr="00B30A12">
        <w:rPr>
          <w:rFonts w:ascii="Times New Roman" w:hAnsi="Times New Roman"/>
          <w:color w:val="000000"/>
          <w:szCs w:val="22"/>
        </w:rPr>
        <w:t>Monate</w:t>
      </w:r>
      <w:r w:rsidRPr="00B30A12">
        <w:rPr>
          <w:rFonts w:ascii="Times New Roman" w:hAnsi="Times New Roman"/>
          <w:color w:val="000000"/>
          <w:szCs w:val="22"/>
        </w:rPr>
        <w:t>.</w:t>
      </w:r>
    </w:p>
    <w:p w14:paraId="4602A3DF" w14:textId="77777777" w:rsidR="006615F9" w:rsidRPr="00B30A12" w:rsidRDefault="006615F9" w:rsidP="00537E23">
      <w:pPr>
        <w:widowControl w:val="0"/>
        <w:rPr>
          <w:color w:val="000000"/>
          <w:sz w:val="22"/>
          <w:szCs w:val="22"/>
        </w:rPr>
      </w:pPr>
    </w:p>
    <w:p w14:paraId="6E556C6A" w14:textId="77777777" w:rsidR="006615F9" w:rsidRPr="00B30A12" w:rsidRDefault="006615F9" w:rsidP="00537E23">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lastRenderedPageBreak/>
        <w:t>Myeloische Blastenkrise</w:t>
      </w:r>
      <w:r w:rsidRPr="00B30A12">
        <w:rPr>
          <w:i w:val="0"/>
          <w:color w:val="000000"/>
          <w:szCs w:val="22"/>
          <w:lang w:val="de-DE"/>
        </w:rPr>
        <w:t>: 260</w:t>
      </w:r>
      <w:r w:rsidR="00C80819" w:rsidRPr="00B30A12">
        <w:rPr>
          <w:i w:val="0"/>
          <w:color w:val="000000"/>
          <w:szCs w:val="22"/>
          <w:lang w:val="de-DE"/>
        </w:rPr>
        <w:t> </w:t>
      </w:r>
      <w:r w:rsidRPr="00B30A12">
        <w:rPr>
          <w:i w:val="0"/>
          <w:color w:val="000000"/>
          <w:szCs w:val="22"/>
          <w:lang w:val="de-DE"/>
        </w:rPr>
        <w:t>Patienten in der myeloischen Blastenkrise wurden in die Studie eingeschlossen. 95 (37</w:t>
      </w:r>
      <w:r w:rsidR="006766AC" w:rsidRPr="00B30A12">
        <w:rPr>
          <w:i w:val="0"/>
          <w:color w:val="000000"/>
          <w:szCs w:val="22"/>
          <w:lang w:val="de-DE"/>
        </w:rPr>
        <w:t>%</w:t>
      </w:r>
      <w:r w:rsidRPr="00B30A12">
        <w:rPr>
          <w:i w:val="0"/>
          <w:color w:val="000000"/>
          <w:szCs w:val="22"/>
          <w:lang w:val="de-DE"/>
        </w:rPr>
        <w:t>) waren mit einer Chemotherapie in der</w:t>
      </w:r>
      <w:r w:rsidR="00094914" w:rsidRPr="00B30A12">
        <w:rPr>
          <w:i w:val="0"/>
          <w:color w:val="000000"/>
          <w:szCs w:val="22"/>
          <w:lang w:val="de-DE"/>
        </w:rPr>
        <w:t xml:space="preserve"> </w:t>
      </w:r>
      <w:r w:rsidRPr="00B30A12">
        <w:rPr>
          <w:i w:val="0"/>
          <w:color w:val="000000"/>
          <w:szCs w:val="22"/>
          <w:lang w:val="de-DE"/>
        </w:rPr>
        <w:t>akzelerierten Phase oder der Blastenkrise vorbehandelt worden („vorbehandelte Patienten“), 165 (63</w:t>
      </w:r>
      <w:r w:rsidR="006766AC" w:rsidRPr="00B30A12">
        <w:rPr>
          <w:i w:val="0"/>
          <w:color w:val="000000"/>
          <w:szCs w:val="22"/>
          <w:lang w:val="de-DE"/>
        </w:rPr>
        <w:t>%</w:t>
      </w:r>
      <w:r w:rsidRPr="00B30A12">
        <w:rPr>
          <w:i w:val="0"/>
          <w:color w:val="000000"/>
          <w:szCs w:val="22"/>
          <w:lang w:val="de-DE"/>
        </w:rPr>
        <w:t>) der Patienten nicht („nicht vorbehandelte Patienten“). Die ersten 37</w:t>
      </w:r>
      <w:r w:rsidR="00C80819" w:rsidRPr="00B30A12">
        <w:rPr>
          <w:i w:val="0"/>
          <w:color w:val="000000"/>
          <w:szCs w:val="22"/>
          <w:lang w:val="de-DE"/>
        </w:rPr>
        <w:t> </w:t>
      </w:r>
      <w:r w:rsidRPr="00B30A12">
        <w:rPr>
          <w:i w:val="0"/>
          <w:color w:val="000000"/>
          <w:szCs w:val="22"/>
          <w:lang w:val="de-DE"/>
        </w:rPr>
        <w:t>Patienten begannen die Behandlung mit 400</w:t>
      </w:r>
      <w:r w:rsidR="001922B0" w:rsidRPr="00B30A12">
        <w:rPr>
          <w:i w:val="0"/>
          <w:color w:val="000000"/>
          <w:szCs w:val="22"/>
          <w:lang w:val="de-DE"/>
        </w:rPr>
        <w:t> mg</w:t>
      </w:r>
      <w:r w:rsidRPr="00B30A12">
        <w:rPr>
          <w:i w:val="0"/>
          <w:color w:val="000000"/>
          <w:szCs w:val="22"/>
          <w:lang w:val="de-DE"/>
        </w:rPr>
        <w:t>. Das Prüfprotokoll wurde anschließend ergänzt, um höhere Dosen zu ermöglichen, und die verbleibenden 223</w:t>
      </w:r>
      <w:r w:rsidR="00C80819" w:rsidRPr="00B30A12">
        <w:rPr>
          <w:i w:val="0"/>
          <w:color w:val="000000"/>
          <w:szCs w:val="22"/>
          <w:lang w:val="de-DE"/>
        </w:rPr>
        <w:t> </w:t>
      </w:r>
      <w:r w:rsidRPr="00B30A12">
        <w:rPr>
          <w:i w:val="0"/>
          <w:color w:val="000000"/>
          <w:szCs w:val="22"/>
          <w:lang w:val="de-DE"/>
        </w:rPr>
        <w:t>Patienten begannen die Behandlung mit 600</w:t>
      </w:r>
      <w:r w:rsidR="001922B0" w:rsidRPr="00B30A12">
        <w:rPr>
          <w:i w:val="0"/>
          <w:color w:val="000000"/>
          <w:szCs w:val="22"/>
          <w:lang w:val="de-DE"/>
        </w:rPr>
        <w:t> mg</w:t>
      </w:r>
      <w:r w:rsidRPr="00B30A12">
        <w:rPr>
          <w:i w:val="0"/>
          <w:color w:val="000000"/>
          <w:szCs w:val="22"/>
          <w:lang w:val="de-DE"/>
        </w:rPr>
        <w:t>.</w:t>
      </w:r>
    </w:p>
    <w:p w14:paraId="5E2D0682" w14:textId="77777777" w:rsidR="006615F9" w:rsidRPr="00B30A12" w:rsidRDefault="006615F9" w:rsidP="00537E23">
      <w:pPr>
        <w:widowControl w:val="0"/>
        <w:rPr>
          <w:color w:val="000000"/>
          <w:sz w:val="22"/>
          <w:szCs w:val="22"/>
        </w:rPr>
      </w:pPr>
    </w:p>
    <w:p w14:paraId="005F8791" w14:textId="77777777" w:rsidR="006615F9" w:rsidRPr="00B30A12" w:rsidRDefault="006615F9" w:rsidP="00537E23">
      <w:pPr>
        <w:widowControl w:val="0"/>
        <w:rPr>
          <w:color w:val="000000"/>
          <w:sz w:val="22"/>
          <w:szCs w:val="22"/>
        </w:rPr>
      </w:pPr>
      <w:r w:rsidRPr="00B30A12">
        <w:rPr>
          <w:color w:val="000000"/>
          <w:sz w:val="22"/>
          <w:szCs w:val="22"/>
        </w:rPr>
        <w:t>Der primäre Wirksamkeitsparameter war das Ausmaß de</w:t>
      </w:r>
      <w:r w:rsidR="00680171" w:rsidRPr="00B30A12">
        <w:rPr>
          <w:color w:val="000000"/>
          <w:sz w:val="22"/>
          <w:szCs w:val="22"/>
        </w:rPr>
        <w:t>r</w:t>
      </w:r>
      <w:r w:rsidRPr="00B30A12">
        <w:rPr>
          <w:color w:val="000000"/>
          <w:sz w:val="22"/>
          <w:szCs w:val="22"/>
        </w:rPr>
        <w:t xml:space="preserve"> hämatologischen </w:t>
      </w:r>
      <w:r w:rsidR="00680171" w:rsidRPr="00B30A12">
        <w:rPr>
          <w:color w:val="000000"/>
          <w:sz w:val="22"/>
          <w:szCs w:val="22"/>
        </w:rPr>
        <w:t>Remission</w:t>
      </w:r>
      <w:r w:rsidRPr="00B30A12">
        <w:rPr>
          <w:color w:val="000000"/>
          <w:sz w:val="22"/>
          <w:szCs w:val="22"/>
        </w:rPr>
        <w:t xml:space="preserve">: </w:t>
      </w:r>
      <w:r w:rsidR="00C305B8" w:rsidRPr="00B30A12">
        <w:rPr>
          <w:color w:val="000000"/>
          <w:sz w:val="22"/>
          <w:szCs w:val="22"/>
        </w:rPr>
        <w:t xml:space="preserve">Komplette </w:t>
      </w:r>
      <w:r w:rsidRPr="00B30A12">
        <w:rPr>
          <w:color w:val="000000"/>
          <w:sz w:val="22"/>
          <w:szCs w:val="22"/>
        </w:rPr>
        <w:t>hämatologische Remission, keine Leukämie mehr nachweisbar oder Wiedereintritt in die chronische Phase der CML. Es wurden die gleichen Kriterien, wie in der Studie mit Patienten in der akzelerierten Phase angewendet. Bei dieser Studie zeigten 31</w:t>
      </w:r>
      <w:r w:rsidR="006766AC" w:rsidRPr="00B30A12">
        <w:rPr>
          <w:color w:val="000000"/>
          <w:sz w:val="22"/>
          <w:szCs w:val="22"/>
        </w:rPr>
        <w:t>%</w:t>
      </w:r>
      <w:r w:rsidRPr="00B30A12">
        <w:rPr>
          <w:color w:val="000000"/>
          <w:sz w:val="22"/>
          <w:szCs w:val="22"/>
        </w:rPr>
        <w:t xml:space="preserve"> der Patienten ein</w:t>
      </w:r>
      <w:r w:rsidR="00680171" w:rsidRPr="00B30A12">
        <w:rPr>
          <w:color w:val="000000"/>
          <w:sz w:val="22"/>
          <w:szCs w:val="22"/>
        </w:rPr>
        <w:t>e</w:t>
      </w:r>
      <w:r w:rsidRPr="00B30A12">
        <w:rPr>
          <w:color w:val="000000"/>
          <w:sz w:val="22"/>
          <w:szCs w:val="22"/>
        </w:rPr>
        <w:t xml:space="preserve"> hämatologische </w:t>
      </w:r>
      <w:r w:rsidR="00680171" w:rsidRPr="00B30A12">
        <w:rPr>
          <w:color w:val="000000"/>
          <w:sz w:val="22"/>
          <w:szCs w:val="22"/>
        </w:rPr>
        <w:t>Remission</w:t>
      </w:r>
      <w:r w:rsidRPr="00B30A12">
        <w:rPr>
          <w:color w:val="000000"/>
          <w:sz w:val="22"/>
          <w:szCs w:val="22"/>
        </w:rPr>
        <w:t xml:space="preserve"> (36</w:t>
      </w:r>
      <w:r w:rsidR="006766AC" w:rsidRPr="00B30A12">
        <w:rPr>
          <w:color w:val="000000"/>
          <w:sz w:val="22"/>
          <w:szCs w:val="22"/>
        </w:rPr>
        <w:t>%</w:t>
      </w:r>
      <w:r w:rsidRPr="00B30A12">
        <w:rPr>
          <w:color w:val="000000"/>
          <w:sz w:val="22"/>
          <w:szCs w:val="22"/>
        </w:rPr>
        <w:t xml:space="preserve"> bei den nicht vorbehandelten Patienten und 22</w:t>
      </w:r>
      <w:r w:rsidR="006766AC" w:rsidRPr="00B30A12">
        <w:rPr>
          <w:color w:val="000000"/>
          <w:sz w:val="22"/>
          <w:szCs w:val="22"/>
        </w:rPr>
        <w:t>%</w:t>
      </w:r>
      <w:r w:rsidRPr="00B30A12">
        <w:rPr>
          <w:color w:val="000000"/>
          <w:sz w:val="22"/>
          <w:szCs w:val="22"/>
        </w:rPr>
        <w:t xml:space="preserve"> bei den vorbehandelten Patienten). Das Aus</w:t>
      </w:r>
      <w:r w:rsidRPr="00B30A12">
        <w:rPr>
          <w:color w:val="000000"/>
          <w:sz w:val="22"/>
          <w:szCs w:val="22"/>
        </w:rPr>
        <w:softHyphen/>
        <w:t>maß de</w:t>
      </w:r>
      <w:r w:rsidR="00680171" w:rsidRPr="00B30A12">
        <w:rPr>
          <w:color w:val="000000"/>
          <w:sz w:val="22"/>
          <w:szCs w:val="22"/>
        </w:rPr>
        <w:t>r</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war ebenfalls bei den mit 600</w:t>
      </w:r>
      <w:r w:rsidR="001922B0" w:rsidRPr="00B30A12">
        <w:rPr>
          <w:color w:val="000000"/>
          <w:sz w:val="22"/>
          <w:szCs w:val="22"/>
        </w:rPr>
        <w:t> mg</w:t>
      </w:r>
      <w:r w:rsidRPr="00B30A12">
        <w:rPr>
          <w:color w:val="000000"/>
          <w:sz w:val="22"/>
          <w:szCs w:val="22"/>
        </w:rPr>
        <w:t xml:space="preserve"> behandelten Patienten höher (33</w:t>
      </w:r>
      <w:r w:rsidR="006766AC" w:rsidRPr="00B30A12">
        <w:rPr>
          <w:color w:val="000000"/>
          <w:sz w:val="22"/>
          <w:szCs w:val="22"/>
        </w:rPr>
        <w:t>%</w:t>
      </w:r>
      <w:r w:rsidRPr="00B30A12">
        <w:rPr>
          <w:color w:val="000000"/>
          <w:sz w:val="22"/>
          <w:szCs w:val="22"/>
        </w:rPr>
        <w:t>) als bei den mit 400</w:t>
      </w:r>
      <w:r w:rsidR="001922B0" w:rsidRPr="00B30A12">
        <w:rPr>
          <w:color w:val="000000"/>
          <w:sz w:val="22"/>
          <w:szCs w:val="22"/>
        </w:rPr>
        <w:t> mg</w:t>
      </w:r>
      <w:r w:rsidRPr="00B30A12">
        <w:rPr>
          <w:color w:val="000000"/>
          <w:sz w:val="22"/>
          <w:szCs w:val="22"/>
        </w:rPr>
        <w:t xml:space="preserve"> behandelten Patienten (16</w:t>
      </w:r>
      <w:r w:rsidR="006766AC" w:rsidRPr="00B30A12">
        <w:rPr>
          <w:color w:val="000000"/>
          <w:sz w:val="22"/>
          <w:szCs w:val="22"/>
        </w:rPr>
        <w:t>%</w:t>
      </w:r>
      <w:r w:rsidRPr="00B30A12">
        <w:rPr>
          <w:color w:val="000000"/>
          <w:sz w:val="22"/>
          <w:szCs w:val="22"/>
        </w:rPr>
        <w:t>, p=0,0220). Bei den nicht vorbehandelten und bei den vorbehandelten Patienten ergab sich eine mediane Überlebenszeit von 7,7 bzw. 4,7</w:t>
      </w:r>
      <w:r w:rsidR="00C80819" w:rsidRPr="00B30A12">
        <w:rPr>
          <w:color w:val="000000"/>
          <w:sz w:val="22"/>
          <w:szCs w:val="22"/>
        </w:rPr>
        <w:t> </w:t>
      </w:r>
      <w:r w:rsidRPr="00B30A12">
        <w:rPr>
          <w:color w:val="000000"/>
          <w:sz w:val="22"/>
          <w:szCs w:val="22"/>
        </w:rPr>
        <w:t>Monaten.</w:t>
      </w:r>
    </w:p>
    <w:p w14:paraId="6BE06D16" w14:textId="77777777" w:rsidR="006615F9" w:rsidRPr="00B30A12" w:rsidRDefault="006615F9" w:rsidP="00537E23">
      <w:pPr>
        <w:widowControl w:val="0"/>
        <w:rPr>
          <w:color w:val="000000"/>
          <w:sz w:val="22"/>
          <w:szCs w:val="22"/>
        </w:rPr>
      </w:pPr>
    </w:p>
    <w:p w14:paraId="1BC5D3AA" w14:textId="77777777" w:rsidR="006615F9" w:rsidRPr="00B30A12" w:rsidRDefault="006615F9" w:rsidP="00537E23">
      <w:pPr>
        <w:widowControl w:val="0"/>
        <w:rPr>
          <w:color w:val="000000"/>
          <w:sz w:val="22"/>
          <w:szCs w:val="22"/>
        </w:rPr>
      </w:pPr>
      <w:r w:rsidRPr="00B30A12">
        <w:rPr>
          <w:i/>
          <w:color w:val="000000"/>
          <w:sz w:val="22"/>
          <w:szCs w:val="22"/>
        </w:rPr>
        <w:t>Lymphatische Blastenkrise</w:t>
      </w:r>
      <w:r w:rsidRPr="00B30A12">
        <w:rPr>
          <w:color w:val="000000"/>
          <w:sz w:val="22"/>
          <w:szCs w:val="22"/>
        </w:rPr>
        <w:t>: Eine begrenzte Anzahl von Patienten wurde in Phase</w:t>
      </w:r>
      <w:r w:rsidR="00FC64C4" w:rsidRPr="00B30A12">
        <w:rPr>
          <w:color w:val="000000"/>
          <w:sz w:val="22"/>
          <w:szCs w:val="22"/>
        </w:rPr>
        <w:t>-I-</w:t>
      </w:r>
      <w:r w:rsidRPr="00B30A12">
        <w:rPr>
          <w:color w:val="000000"/>
          <w:sz w:val="22"/>
          <w:szCs w:val="22"/>
        </w:rPr>
        <w:t>Studien aufgenom</w:t>
      </w:r>
      <w:r w:rsidRPr="00B30A12">
        <w:rPr>
          <w:color w:val="000000"/>
          <w:sz w:val="22"/>
          <w:szCs w:val="22"/>
        </w:rPr>
        <w:softHyphen/>
        <w:t>men (n=10). Die hämatologische Remissionsrate betrug 70</w:t>
      </w:r>
      <w:r w:rsidR="006766AC" w:rsidRPr="00B30A12">
        <w:rPr>
          <w:color w:val="000000"/>
          <w:sz w:val="22"/>
          <w:szCs w:val="22"/>
        </w:rPr>
        <w:t>%</w:t>
      </w:r>
      <w:r w:rsidRPr="00B30A12">
        <w:rPr>
          <w:color w:val="000000"/>
          <w:sz w:val="22"/>
          <w:szCs w:val="22"/>
        </w:rPr>
        <w:t xml:space="preserve"> mit einer 2</w:t>
      </w:r>
      <w:r w:rsidR="00975215" w:rsidRPr="00B30A12">
        <w:rPr>
          <w:color w:val="000000"/>
          <w:sz w:val="22"/>
          <w:szCs w:val="22"/>
        </w:rPr>
        <w:t>–</w:t>
      </w:r>
      <w:r w:rsidRPr="00B30A12">
        <w:rPr>
          <w:color w:val="000000"/>
          <w:sz w:val="22"/>
          <w:szCs w:val="22"/>
        </w:rPr>
        <w:t>3</w:t>
      </w:r>
      <w:r w:rsidR="00FC64C4" w:rsidRPr="00B30A12">
        <w:rPr>
          <w:color w:val="000000"/>
          <w:sz w:val="22"/>
          <w:szCs w:val="22"/>
        </w:rPr>
        <w:t>-</w:t>
      </w:r>
      <w:r w:rsidRPr="00B30A12">
        <w:rPr>
          <w:color w:val="000000"/>
          <w:sz w:val="22"/>
          <w:szCs w:val="22"/>
        </w:rPr>
        <w:t>monatigen Ansprechdauer.</w:t>
      </w:r>
    </w:p>
    <w:p w14:paraId="0F55ED90" w14:textId="77777777" w:rsidR="006615F9" w:rsidRPr="00B30A12" w:rsidRDefault="006615F9" w:rsidP="00537E23">
      <w:pPr>
        <w:widowControl w:val="0"/>
        <w:rPr>
          <w:color w:val="000000"/>
          <w:sz w:val="22"/>
          <w:szCs w:val="22"/>
        </w:rPr>
      </w:pPr>
    </w:p>
    <w:p w14:paraId="6E8767C1" w14:textId="77777777" w:rsidR="006615F9" w:rsidRPr="00B30A12" w:rsidRDefault="006615F9" w:rsidP="007A2B84">
      <w:pPr>
        <w:keepNext/>
        <w:widowControl w:val="0"/>
        <w:tabs>
          <w:tab w:val="left" w:pos="1134"/>
        </w:tabs>
        <w:rPr>
          <w:b/>
          <w:color w:val="000000"/>
          <w:sz w:val="22"/>
          <w:szCs w:val="22"/>
        </w:rPr>
      </w:pPr>
      <w:r w:rsidRPr="00B30A12">
        <w:rPr>
          <w:b/>
          <w:color w:val="000000"/>
          <w:sz w:val="22"/>
          <w:szCs w:val="22"/>
        </w:rPr>
        <w:lastRenderedPageBreak/>
        <w:t>Tabelle</w:t>
      </w:r>
      <w:r w:rsidR="00C80819" w:rsidRPr="00B30A12">
        <w:rPr>
          <w:b/>
          <w:color w:val="000000"/>
          <w:sz w:val="22"/>
          <w:szCs w:val="22"/>
        </w:rPr>
        <w:t> </w:t>
      </w:r>
      <w:r w:rsidR="0094523F" w:rsidRPr="00B30A12">
        <w:rPr>
          <w:b/>
          <w:color w:val="000000"/>
          <w:sz w:val="22"/>
          <w:szCs w:val="22"/>
        </w:rPr>
        <w:t>3</w:t>
      </w:r>
      <w:r w:rsidRPr="00B30A12">
        <w:rPr>
          <w:b/>
          <w:color w:val="000000"/>
          <w:sz w:val="22"/>
          <w:szCs w:val="22"/>
        </w:rPr>
        <w:tab/>
        <w:t>Ansprechraten in den CML-Studien</w:t>
      </w:r>
      <w:r w:rsidR="00DE12A5" w:rsidRPr="00B30A12">
        <w:rPr>
          <w:b/>
          <w:color w:val="000000"/>
          <w:sz w:val="22"/>
          <w:szCs w:val="22"/>
        </w:rPr>
        <w:t xml:space="preserve"> an Erwachsenen</w:t>
      </w:r>
    </w:p>
    <w:p w14:paraId="5BA44B07" w14:textId="77777777" w:rsidR="006615F9" w:rsidRPr="00B30A12" w:rsidRDefault="006615F9" w:rsidP="007A2B84">
      <w:pPr>
        <w:keepNext/>
        <w:widowControl w:val="0"/>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1985"/>
        <w:gridCol w:w="2410"/>
      </w:tblGrid>
      <w:tr w:rsidR="006615F9" w:rsidRPr="00B30A12" w14:paraId="60322584" w14:textId="77777777" w:rsidTr="00AD54DF">
        <w:trPr>
          <w:cantSplit/>
        </w:trPr>
        <w:tc>
          <w:tcPr>
            <w:tcW w:w="2552" w:type="dxa"/>
          </w:tcPr>
          <w:p w14:paraId="48DF2562" w14:textId="77777777" w:rsidR="006615F9" w:rsidRPr="00B30A12" w:rsidRDefault="006615F9" w:rsidP="00AD54DF">
            <w:pPr>
              <w:keepNext/>
              <w:widowControl w:val="0"/>
              <w:rPr>
                <w:color w:val="000000"/>
                <w:sz w:val="22"/>
                <w:szCs w:val="22"/>
              </w:rPr>
            </w:pPr>
          </w:p>
        </w:tc>
        <w:tc>
          <w:tcPr>
            <w:tcW w:w="2126" w:type="dxa"/>
            <w:tcBorders>
              <w:bottom w:val="nil"/>
            </w:tcBorders>
          </w:tcPr>
          <w:p w14:paraId="33A9F246" w14:textId="77777777" w:rsidR="008F7114" w:rsidRPr="00B30A12" w:rsidRDefault="006615F9" w:rsidP="00AD54DF">
            <w:pPr>
              <w:keepNext/>
              <w:widowControl w:val="0"/>
              <w:jc w:val="center"/>
              <w:rPr>
                <w:color w:val="000000"/>
                <w:sz w:val="22"/>
                <w:szCs w:val="22"/>
              </w:rPr>
            </w:pPr>
            <w:r w:rsidRPr="00B30A12">
              <w:rPr>
                <w:color w:val="000000"/>
                <w:sz w:val="22"/>
                <w:szCs w:val="22"/>
              </w:rPr>
              <w:t>Studie 0110</w:t>
            </w:r>
          </w:p>
          <w:p w14:paraId="19C040D2" w14:textId="77777777" w:rsidR="008F7114" w:rsidRPr="00B30A12" w:rsidRDefault="008F7114" w:rsidP="00AD54DF">
            <w:pPr>
              <w:keepNext/>
              <w:widowControl w:val="0"/>
              <w:jc w:val="center"/>
              <w:rPr>
                <w:color w:val="000000"/>
                <w:sz w:val="22"/>
                <w:szCs w:val="22"/>
              </w:rPr>
            </w:pPr>
            <w:r w:rsidRPr="00B30A12">
              <w:rPr>
                <w:color w:val="000000"/>
                <w:sz w:val="22"/>
                <w:szCs w:val="22"/>
              </w:rPr>
              <w:t>37-Monatsdaten</w:t>
            </w:r>
          </w:p>
          <w:p w14:paraId="7F838683" w14:textId="77777777" w:rsidR="00D72F2D" w:rsidRPr="00B30A12" w:rsidRDefault="006615F9" w:rsidP="00AD54DF">
            <w:pPr>
              <w:keepNext/>
              <w:widowControl w:val="0"/>
              <w:jc w:val="center"/>
              <w:rPr>
                <w:color w:val="000000"/>
                <w:sz w:val="22"/>
                <w:szCs w:val="22"/>
              </w:rPr>
            </w:pPr>
            <w:r w:rsidRPr="00B30A12">
              <w:rPr>
                <w:color w:val="000000"/>
                <w:sz w:val="22"/>
                <w:szCs w:val="22"/>
              </w:rPr>
              <w:t>Chronische Phase,</w:t>
            </w:r>
          </w:p>
          <w:p w14:paraId="73CC41B4" w14:textId="77777777" w:rsidR="006615F9" w:rsidRPr="00B30A12" w:rsidRDefault="006615F9" w:rsidP="00AD54DF">
            <w:pPr>
              <w:keepNext/>
              <w:widowControl w:val="0"/>
              <w:jc w:val="center"/>
              <w:rPr>
                <w:color w:val="000000"/>
                <w:sz w:val="22"/>
                <w:szCs w:val="22"/>
              </w:rPr>
            </w:pPr>
            <w:r w:rsidRPr="00B30A12">
              <w:rPr>
                <w:color w:val="000000"/>
                <w:sz w:val="22"/>
                <w:szCs w:val="22"/>
              </w:rPr>
              <w:t>IFN-Versagen (n=532)</w:t>
            </w:r>
          </w:p>
        </w:tc>
        <w:tc>
          <w:tcPr>
            <w:tcW w:w="1985" w:type="dxa"/>
            <w:tcBorders>
              <w:bottom w:val="nil"/>
            </w:tcBorders>
          </w:tcPr>
          <w:p w14:paraId="7E0188CD" w14:textId="77777777" w:rsidR="006615F9" w:rsidRPr="00B30A12" w:rsidRDefault="006615F9" w:rsidP="00AD54DF">
            <w:pPr>
              <w:keepNext/>
              <w:widowControl w:val="0"/>
              <w:jc w:val="center"/>
              <w:rPr>
                <w:color w:val="000000"/>
                <w:sz w:val="22"/>
                <w:szCs w:val="22"/>
              </w:rPr>
            </w:pPr>
            <w:r w:rsidRPr="00B30A12">
              <w:rPr>
                <w:color w:val="000000"/>
                <w:sz w:val="22"/>
                <w:szCs w:val="22"/>
              </w:rPr>
              <w:t>Studie 0190</w:t>
            </w:r>
          </w:p>
          <w:p w14:paraId="1BEA2EC4" w14:textId="77777777" w:rsidR="008F7114" w:rsidRPr="00B30A12" w:rsidRDefault="008F7114" w:rsidP="00AD54DF">
            <w:pPr>
              <w:keepNext/>
              <w:widowControl w:val="0"/>
              <w:jc w:val="center"/>
              <w:rPr>
                <w:color w:val="000000"/>
                <w:sz w:val="22"/>
                <w:szCs w:val="22"/>
              </w:rPr>
            </w:pPr>
            <w:r w:rsidRPr="00B30A12">
              <w:rPr>
                <w:color w:val="000000"/>
                <w:sz w:val="22"/>
                <w:szCs w:val="22"/>
              </w:rPr>
              <w:t>40,5-Monatsdaten</w:t>
            </w:r>
          </w:p>
          <w:p w14:paraId="0210C649" w14:textId="77777777" w:rsidR="00D72F2D" w:rsidRPr="00B30A12" w:rsidRDefault="006615F9" w:rsidP="00AD54DF">
            <w:pPr>
              <w:keepNext/>
              <w:widowControl w:val="0"/>
              <w:jc w:val="center"/>
              <w:rPr>
                <w:color w:val="000000"/>
                <w:sz w:val="22"/>
                <w:szCs w:val="22"/>
              </w:rPr>
            </w:pPr>
            <w:r w:rsidRPr="00B30A12">
              <w:rPr>
                <w:color w:val="000000"/>
                <w:sz w:val="22"/>
                <w:szCs w:val="22"/>
              </w:rPr>
              <w:t>Akzelerierte Phase</w:t>
            </w:r>
          </w:p>
          <w:p w14:paraId="58939105" w14:textId="77777777" w:rsidR="006615F9" w:rsidRPr="00B30A12" w:rsidRDefault="006615F9" w:rsidP="00AD54DF">
            <w:pPr>
              <w:keepNext/>
              <w:widowControl w:val="0"/>
              <w:jc w:val="center"/>
              <w:rPr>
                <w:color w:val="000000"/>
                <w:sz w:val="22"/>
                <w:szCs w:val="22"/>
              </w:rPr>
            </w:pPr>
            <w:r w:rsidRPr="00B30A12">
              <w:rPr>
                <w:color w:val="000000"/>
                <w:sz w:val="22"/>
                <w:szCs w:val="22"/>
              </w:rPr>
              <w:t>(n=235)</w:t>
            </w:r>
          </w:p>
        </w:tc>
        <w:tc>
          <w:tcPr>
            <w:tcW w:w="2410" w:type="dxa"/>
            <w:tcBorders>
              <w:bottom w:val="nil"/>
            </w:tcBorders>
          </w:tcPr>
          <w:p w14:paraId="302F56FE" w14:textId="77777777" w:rsidR="006615F9" w:rsidRPr="00B30A12" w:rsidRDefault="006615F9" w:rsidP="00AD54DF">
            <w:pPr>
              <w:keepNext/>
              <w:widowControl w:val="0"/>
              <w:jc w:val="center"/>
              <w:rPr>
                <w:color w:val="000000"/>
                <w:sz w:val="22"/>
                <w:szCs w:val="22"/>
              </w:rPr>
            </w:pPr>
            <w:r w:rsidRPr="00B30A12">
              <w:rPr>
                <w:color w:val="000000"/>
                <w:sz w:val="22"/>
                <w:szCs w:val="22"/>
              </w:rPr>
              <w:t>Studie 0102</w:t>
            </w:r>
          </w:p>
          <w:p w14:paraId="23292784" w14:textId="77777777" w:rsidR="008F7114" w:rsidRPr="00B30A12" w:rsidRDefault="008F7114" w:rsidP="00AD54DF">
            <w:pPr>
              <w:keepNext/>
              <w:widowControl w:val="0"/>
              <w:jc w:val="center"/>
              <w:rPr>
                <w:color w:val="000000"/>
                <w:sz w:val="22"/>
                <w:szCs w:val="22"/>
              </w:rPr>
            </w:pPr>
            <w:r w:rsidRPr="00B30A12">
              <w:rPr>
                <w:color w:val="000000"/>
                <w:sz w:val="22"/>
                <w:szCs w:val="22"/>
              </w:rPr>
              <w:t>38-Monatsdaten</w:t>
            </w:r>
          </w:p>
          <w:p w14:paraId="7CDDB33D" w14:textId="77777777" w:rsidR="006615F9" w:rsidRPr="00B30A12" w:rsidRDefault="006615F9" w:rsidP="00AD54DF">
            <w:pPr>
              <w:keepNext/>
              <w:widowControl w:val="0"/>
              <w:jc w:val="center"/>
              <w:rPr>
                <w:color w:val="000000"/>
                <w:sz w:val="22"/>
                <w:szCs w:val="22"/>
              </w:rPr>
            </w:pPr>
            <w:r w:rsidRPr="00B30A12">
              <w:rPr>
                <w:color w:val="000000"/>
                <w:sz w:val="22"/>
                <w:szCs w:val="22"/>
              </w:rPr>
              <w:t>Myeloische Blastenkrise (</w:t>
            </w:r>
            <w:r w:rsidR="00FC64C4" w:rsidRPr="00B30A12">
              <w:rPr>
                <w:color w:val="000000"/>
                <w:sz w:val="22"/>
                <w:szCs w:val="22"/>
              </w:rPr>
              <w:t>n</w:t>
            </w:r>
            <w:r w:rsidRPr="00B30A12">
              <w:rPr>
                <w:color w:val="000000"/>
                <w:sz w:val="22"/>
                <w:szCs w:val="22"/>
              </w:rPr>
              <w:t>=260)</w:t>
            </w:r>
          </w:p>
        </w:tc>
      </w:tr>
      <w:tr w:rsidR="006615F9" w:rsidRPr="00B30A12" w14:paraId="6FB5B67D" w14:textId="77777777" w:rsidTr="00AD54DF">
        <w:trPr>
          <w:cantSplit/>
        </w:trPr>
        <w:tc>
          <w:tcPr>
            <w:tcW w:w="2552" w:type="dxa"/>
            <w:tcBorders>
              <w:bottom w:val="nil"/>
              <w:right w:val="nil"/>
            </w:tcBorders>
          </w:tcPr>
          <w:p w14:paraId="7ED62A9E" w14:textId="77777777" w:rsidR="006615F9" w:rsidRPr="00B30A12" w:rsidRDefault="006615F9" w:rsidP="00AD54DF">
            <w:pPr>
              <w:keepNext/>
              <w:widowControl w:val="0"/>
              <w:rPr>
                <w:color w:val="000000"/>
                <w:sz w:val="22"/>
                <w:szCs w:val="22"/>
              </w:rPr>
            </w:pPr>
          </w:p>
        </w:tc>
        <w:tc>
          <w:tcPr>
            <w:tcW w:w="6521" w:type="dxa"/>
            <w:gridSpan w:val="3"/>
            <w:tcBorders>
              <w:left w:val="nil"/>
            </w:tcBorders>
          </w:tcPr>
          <w:p w14:paraId="792DDE4A" w14:textId="77777777" w:rsidR="006615F9" w:rsidRPr="00B30A12" w:rsidRDefault="006615F9" w:rsidP="00AD54DF">
            <w:pPr>
              <w:keepNext/>
              <w:widowControl w:val="0"/>
              <w:jc w:val="center"/>
              <w:rPr>
                <w:color w:val="000000"/>
                <w:sz w:val="22"/>
                <w:szCs w:val="22"/>
              </w:rPr>
            </w:pPr>
            <w:r w:rsidRPr="00B30A12">
              <w:rPr>
                <w:color w:val="000000"/>
                <w:sz w:val="22"/>
                <w:szCs w:val="22"/>
              </w:rPr>
              <w:t>% der Patienten (</w:t>
            </w:r>
            <w:r w:rsidR="008B0DF4" w:rsidRPr="00B30A12">
              <w:rPr>
                <w:color w:val="000000"/>
                <w:sz w:val="22"/>
                <w:szCs w:val="22"/>
              </w:rPr>
              <w:t>KI</w:t>
            </w:r>
            <w:r w:rsidRPr="00B30A12">
              <w:rPr>
                <w:color w:val="000000"/>
                <w:sz w:val="22"/>
                <w:szCs w:val="22"/>
                <w:vertAlign w:val="subscript"/>
              </w:rPr>
              <w:t>95</w:t>
            </w:r>
            <w:r w:rsidR="006766AC" w:rsidRPr="00B30A12">
              <w:rPr>
                <w:color w:val="000000"/>
                <w:sz w:val="22"/>
                <w:szCs w:val="22"/>
                <w:vertAlign w:val="subscript"/>
              </w:rPr>
              <w:t>%</w:t>
            </w:r>
            <w:r w:rsidRPr="00B30A12">
              <w:rPr>
                <w:color w:val="000000"/>
                <w:sz w:val="22"/>
                <w:szCs w:val="22"/>
              </w:rPr>
              <w:t>)</w:t>
            </w:r>
          </w:p>
        </w:tc>
      </w:tr>
      <w:tr w:rsidR="006615F9" w:rsidRPr="00B30A12" w14:paraId="0132522E" w14:textId="77777777" w:rsidTr="00AD54DF">
        <w:trPr>
          <w:cantSplit/>
        </w:trPr>
        <w:tc>
          <w:tcPr>
            <w:tcW w:w="2552" w:type="dxa"/>
            <w:tcBorders>
              <w:bottom w:val="nil"/>
            </w:tcBorders>
          </w:tcPr>
          <w:p w14:paraId="2926D21F" w14:textId="77777777" w:rsidR="006615F9" w:rsidRPr="00B30A12" w:rsidRDefault="006615F9" w:rsidP="00AD54DF">
            <w:pPr>
              <w:keepNext/>
              <w:widowControl w:val="0"/>
              <w:rPr>
                <w:color w:val="000000"/>
                <w:sz w:val="22"/>
                <w:szCs w:val="22"/>
              </w:rPr>
            </w:pPr>
            <w:r w:rsidRPr="00B30A12">
              <w:rPr>
                <w:color w:val="000000"/>
                <w:sz w:val="22"/>
                <w:szCs w:val="22"/>
              </w:rPr>
              <w:t xml:space="preserve">Hämatologische </w:t>
            </w:r>
            <w:r w:rsidR="00680171" w:rsidRPr="00B30A12">
              <w:rPr>
                <w:color w:val="000000"/>
                <w:sz w:val="22"/>
                <w:szCs w:val="22"/>
              </w:rPr>
              <w:t>Remission</w:t>
            </w:r>
            <w:r w:rsidRPr="00B30A12">
              <w:rPr>
                <w:color w:val="000000"/>
                <w:sz w:val="22"/>
                <w:szCs w:val="22"/>
                <w:vertAlign w:val="superscript"/>
              </w:rPr>
              <w:t>1</w:t>
            </w:r>
          </w:p>
        </w:tc>
        <w:tc>
          <w:tcPr>
            <w:tcW w:w="2126" w:type="dxa"/>
            <w:tcBorders>
              <w:bottom w:val="nil"/>
            </w:tcBorders>
          </w:tcPr>
          <w:p w14:paraId="5157BAB7" w14:textId="77777777" w:rsidR="006615F9" w:rsidRPr="00B30A12" w:rsidRDefault="006615F9" w:rsidP="00AD54DF">
            <w:pPr>
              <w:keepNext/>
              <w:widowControl w:val="0"/>
              <w:jc w:val="center"/>
              <w:rPr>
                <w:color w:val="000000"/>
                <w:sz w:val="22"/>
                <w:szCs w:val="22"/>
              </w:rPr>
            </w:pPr>
            <w:r w:rsidRPr="00B30A12">
              <w:rPr>
                <w:color w:val="000000"/>
                <w:sz w:val="22"/>
                <w:szCs w:val="22"/>
              </w:rPr>
              <w:t>9</w:t>
            </w:r>
            <w:r w:rsidR="008F7114" w:rsidRPr="00B30A12">
              <w:rPr>
                <w:color w:val="000000"/>
                <w:sz w:val="22"/>
                <w:szCs w:val="22"/>
              </w:rPr>
              <w:t>5</w:t>
            </w:r>
            <w:r w:rsidR="006766AC" w:rsidRPr="00B30A12">
              <w:rPr>
                <w:color w:val="000000"/>
                <w:sz w:val="22"/>
                <w:szCs w:val="22"/>
              </w:rPr>
              <w:t>%</w:t>
            </w:r>
            <w:r w:rsidRPr="00B30A12">
              <w:rPr>
                <w:color w:val="000000"/>
                <w:sz w:val="22"/>
                <w:szCs w:val="22"/>
              </w:rPr>
              <w:t xml:space="preserve"> (9</w:t>
            </w:r>
            <w:r w:rsidR="008F7114" w:rsidRPr="00B30A12">
              <w:rPr>
                <w:color w:val="000000"/>
                <w:sz w:val="22"/>
                <w:szCs w:val="22"/>
              </w:rPr>
              <w:t>2,3</w:t>
            </w:r>
            <w:r w:rsidR="00975215" w:rsidRPr="00B30A12">
              <w:rPr>
                <w:color w:val="000000"/>
                <w:sz w:val="22"/>
                <w:szCs w:val="22"/>
              </w:rPr>
              <w:t>–</w:t>
            </w:r>
            <w:r w:rsidRPr="00B30A12">
              <w:rPr>
                <w:color w:val="000000"/>
                <w:sz w:val="22"/>
                <w:szCs w:val="22"/>
              </w:rPr>
              <w:t>9</w:t>
            </w:r>
            <w:r w:rsidR="008F7114" w:rsidRPr="00B30A12">
              <w:rPr>
                <w:color w:val="000000"/>
                <w:sz w:val="22"/>
                <w:szCs w:val="22"/>
              </w:rPr>
              <w:t>6,3</w:t>
            </w:r>
            <w:r w:rsidRPr="00B30A12">
              <w:rPr>
                <w:color w:val="000000"/>
                <w:sz w:val="22"/>
                <w:szCs w:val="22"/>
              </w:rPr>
              <w:t>)</w:t>
            </w:r>
          </w:p>
        </w:tc>
        <w:tc>
          <w:tcPr>
            <w:tcW w:w="1985" w:type="dxa"/>
            <w:tcBorders>
              <w:bottom w:val="nil"/>
            </w:tcBorders>
          </w:tcPr>
          <w:p w14:paraId="2DA2D4F3" w14:textId="77777777" w:rsidR="006615F9" w:rsidRPr="00B30A12" w:rsidRDefault="006615F9" w:rsidP="00AD54DF">
            <w:pPr>
              <w:keepNext/>
              <w:widowControl w:val="0"/>
              <w:jc w:val="center"/>
              <w:rPr>
                <w:color w:val="000000"/>
                <w:sz w:val="22"/>
                <w:szCs w:val="22"/>
              </w:rPr>
            </w:pPr>
            <w:r w:rsidRPr="00B30A12">
              <w:rPr>
                <w:color w:val="000000"/>
                <w:sz w:val="22"/>
                <w:szCs w:val="22"/>
              </w:rPr>
              <w:t>7</w:t>
            </w:r>
            <w:r w:rsidR="008F7114" w:rsidRPr="00B30A12">
              <w:rPr>
                <w:color w:val="000000"/>
                <w:sz w:val="22"/>
                <w:szCs w:val="22"/>
              </w:rPr>
              <w:t>1</w:t>
            </w:r>
            <w:r w:rsidR="006766AC" w:rsidRPr="00B30A12">
              <w:rPr>
                <w:color w:val="000000"/>
                <w:sz w:val="22"/>
                <w:szCs w:val="22"/>
              </w:rPr>
              <w:t>%</w:t>
            </w:r>
            <w:r w:rsidRPr="00B30A12">
              <w:rPr>
                <w:color w:val="000000"/>
                <w:sz w:val="22"/>
                <w:szCs w:val="22"/>
              </w:rPr>
              <w:t xml:space="preserve"> (65</w:t>
            </w:r>
            <w:r w:rsidR="008F7114" w:rsidRPr="00B30A12">
              <w:rPr>
                <w:color w:val="000000"/>
                <w:sz w:val="22"/>
                <w:szCs w:val="22"/>
              </w:rPr>
              <w:t>,3</w:t>
            </w:r>
            <w:r w:rsidR="00975215" w:rsidRPr="00B30A12">
              <w:rPr>
                <w:color w:val="000000"/>
                <w:sz w:val="22"/>
                <w:szCs w:val="22"/>
              </w:rPr>
              <w:t>–</w:t>
            </w:r>
            <w:r w:rsidRPr="00B30A12">
              <w:rPr>
                <w:color w:val="000000"/>
                <w:sz w:val="22"/>
                <w:szCs w:val="22"/>
              </w:rPr>
              <w:t>7</w:t>
            </w:r>
            <w:r w:rsidR="008F7114" w:rsidRPr="00B30A12">
              <w:rPr>
                <w:color w:val="000000"/>
                <w:sz w:val="22"/>
                <w:szCs w:val="22"/>
              </w:rPr>
              <w:t>7,2</w:t>
            </w:r>
            <w:r w:rsidRPr="00B30A12">
              <w:rPr>
                <w:color w:val="000000"/>
                <w:sz w:val="22"/>
                <w:szCs w:val="22"/>
              </w:rPr>
              <w:t>)</w:t>
            </w:r>
          </w:p>
        </w:tc>
        <w:tc>
          <w:tcPr>
            <w:tcW w:w="2410" w:type="dxa"/>
            <w:tcBorders>
              <w:bottom w:val="nil"/>
            </w:tcBorders>
          </w:tcPr>
          <w:p w14:paraId="5AD03947" w14:textId="77777777" w:rsidR="006615F9" w:rsidRPr="00B30A12" w:rsidRDefault="006615F9" w:rsidP="00AD54DF">
            <w:pPr>
              <w:keepNext/>
              <w:widowControl w:val="0"/>
              <w:jc w:val="center"/>
              <w:rPr>
                <w:color w:val="000000"/>
                <w:sz w:val="22"/>
                <w:szCs w:val="22"/>
              </w:rPr>
            </w:pPr>
            <w:r w:rsidRPr="00B30A12">
              <w:rPr>
                <w:color w:val="000000"/>
                <w:sz w:val="22"/>
                <w:szCs w:val="22"/>
              </w:rPr>
              <w:t>31</w:t>
            </w:r>
            <w:r w:rsidR="006766AC" w:rsidRPr="00B30A12">
              <w:rPr>
                <w:color w:val="000000"/>
                <w:sz w:val="22"/>
                <w:szCs w:val="22"/>
              </w:rPr>
              <w:t>%</w:t>
            </w:r>
            <w:r w:rsidRPr="00B30A12">
              <w:rPr>
                <w:color w:val="000000"/>
                <w:sz w:val="22"/>
                <w:szCs w:val="22"/>
              </w:rPr>
              <w:t xml:space="preserve"> (25,2</w:t>
            </w:r>
            <w:r w:rsidR="00975215" w:rsidRPr="00B30A12">
              <w:rPr>
                <w:color w:val="000000"/>
                <w:sz w:val="22"/>
                <w:szCs w:val="22"/>
              </w:rPr>
              <w:t>–</w:t>
            </w:r>
            <w:r w:rsidRPr="00B30A12">
              <w:rPr>
                <w:color w:val="000000"/>
                <w:sz w:val="22"/>
                <w:szCs w:val="22"/>
              </w:rPr>
              <w:t>36,8)</w:t>
            </w:r>
          </w:p>
        </w:tc>
      </w:tr>
      <w:tr w:rsidR="006615F9" w:rsidRPr="00B30A12" w14:paraId="0E11DA8E" w14:textId="77777777" w:rsidTr="00AD54DF">
        <w:trPr>
          <w:cantSplit/>
        </w:trPr>
        <w:tc>
          <w:tcPr>
            <w:tcW w:w="2552" w:type="dxa"/>
            <w:tcBorders>
              <w:top w:val="nil"/>
              <w:bottom w:val="nil"/>
            </w:tcBorders>
          </w:tcPr>
          <w:p w14:paraId="02876C15" w14:textId="77777777" w:rsidR="006615F9" w:rsidRPr="00B30A12" w:rsidRDefault="00C305B8" w:rsidP="00AD54DF">
            <w:pPr>
              <w:keepNext/>
              <w:widowControl w:val="0"/>
              <w:ind w:left="318"/>
              <w:rPr>
                <w:color w:val="000000"/>
                <w:sz w:val="22"/>
                <w:szCs w:val="22"/>
              </w:rPr>
            </w:pPr>
            <w:r w:rsidRPr="00B30A12">
              <w:rPr>
                <w:color w:val="000000"/>
                <w:sz w:val="22"/>
                <w:szCs w:val="22"/>
              </w:rPr>
              <w:t xml:space="preserve">Komplette </w:t>
            </w:r>
            <w:r w:rsidR="006615F9" w:rsidRPr="00B30A12">
              <w:rPr>
                <w:color w:val="000000"/>
                <w:sz w:val="22"/>
                <w:szCs w:val="22"/>
              </w:rPr>
              <w:t>hämatologische Remission (</w:t>
            </w:r>
            <w:smartTag w:uri="urn:schemas-microsoft-com:office:smarttags" w:element="stockticker">
              <w:r w:rsidR="006615F9" w:rsidRPr="00B30A12">
                <w:rPr>
                  <w:color w:val="000000"/>
                  <w:sz w:val="22"/>
                  <w:szCs w:val="22"/>
                </w:rPr>
                <w:t>CHR</w:t>
              </w:r>
            </w:smartTag>
            <w:r w:rsidR="006615F9" w:rsidRPr="00B30A12">
              <w:rPr>
                <w:color w:val="000000"/>
                <w:sz w:val="22"/>
                <w:szCs w:val="22"/>
              </w:rPr>
              <w:t>)</w:t>
            </w:r>
          </w:p>
        </w:tc>
        <w:tc>
          <w:tcPr>
            <w:tcW w:w="2126" w:type="dxa"/>
            <w:tcBorders>
              <w:top w:val="nil"/>
              <w:bottom w:val="nil"/>
            </w:tcBorders>
          </w:tcPr>
          <w:p w14:paraId="204A0C0B" w14:textId="77777777" w:rsidR="006615F9" w:rsidRPr="00B30A12" w:rsidRDefault="006615F9" w:rsidP="00AD54DF">
            <w:pPr>
              <w:keepNext/>
              <w:widowControl w:val="0"/>
              <w:jc w:val="center"/>
              <w:rPr>
                <w:color w:val="000000"/>
                <w:sz w:val="22"/>
                <w:szCs w:val="22"/>
              </w:rPr>
            </w:pPr>
            <w:r w:rsidRPr="00B30A12">
              <w:rPr>
                <w:color w:val="000000"/>
                <w:sz w:val="22"/>
                <w:szCs w:val="22"/>
              </w:rPr>
              <w:t>9</w:t>
            </w:r>
            <w:r w:rsidR="008F7114" w:rsidRPr="00B30A12">
              <w:rPr>
                <w:color w:val="000000"/>
                <w:sz w:val="22"/>
                <w:szCs w:val="22"/>
              </w:rPr>
              <w:t>5</w:t>
            </w:r>
            <w:r w:rsidR="006766AC" w:rsidRPr="00B30A12">
              <w:rPr>
                <w:color w:val="000000"/>
                <w:sz w:val="22"/>
                <w:szCs w:val="22"/>
              </w:rPr>
              <w:t>%</w:t>
            </w:r>
          </w:p>
        </w:tc>
        <w:tc>
          <w:tcPr>
            <w:tcW w:w="1985" w:type="dxa"/>
            <w:tcBorders>
              <w:top w:val="nil"/>
              <w:bottom w:val="nil"/>
            </w:tcBorders>
          </w:tcPr>
          <w:p w14:paraId="53BCB9A1" w14:textId="77777777" w:rsidR="006615F9" w:rsidRPr="00B30A12" w:rsidRDefault="008F7114" w:rsidP="00AD54DF">
            <w:pPr>
              <w:keepNext/>
              <w:widowControl w:val="0"/>
              <w:jc w:val="center"/>
              <w:rPr>
                <w:color w:val="000000"/>
                <w:sz w:val="22"/>
                <w:szCs w:val="22"/>
              </w:rPr>
            </w:pPr>
            <w:r w:rsidRPr="00B30A12">
              <w:rPr>
                <w:color w:val="000000"/>
                <w:sz w:val="22"/>
                <w:szCs w:val="22"/>
              </w:rPr>
              <w:t>42</w:t>
            </w:r>
            <w:r w:rsidR="006766AC" w:rsidRPr="00B30A12">
              <w:rPr>
                <w:color w:val="000000"/>
                <w:sz w:val="22"/>
                <w:szCs w:val="22"/>
              </w:rPr>
              <w:t>%</w:t>
            </w:r>
          </w:p>
        </w:tc>
        <w:tc>
          <w:tcPr>
            <w:tcW w:w="2410" w:type="dxa"/>
            <w:tcBorders>
              <w:top w:val="nil"/>
              <w:bottom w:val="nil"/>
            </w:tcBorders>
          </w:tcPr>
          <w:p w14:paraId="0A2A2674" w14:textId="77777777" w:rsidR="006615F9" w:rsidRPr="00B30A12" w:rsidRDefault="008F7114" w:rsidP="00AD54DF">
            <w:pPr>
              <w:keepNext/>
              <w:widowControl w:val="0"/>
              <w:jc w:val="center"/>
              <w:rPr>
                <w:color w:val="000000"/>
                <w:sz w:val="22"/>
                <w:szCs w:val="22"/>
              </w:rPr>
            </w:pPr>
            <w:r w:rsidRPr="00B30A12">
              <w:rPr>
                <w:color w:val="000000"/>
                <w:sz w:val="22"/>
                <w:szCs w:val="22"/>
              </w:rPr>
              <w:t>8</w:t>
            </w:r>
            <w:r w:rsidR="006766AC" w:rsidRPr="00B30A12">
              <w:rPr>
                <w:color w:val="000000"/>
                <w:sz w:val="22"/>
                <w:szCs w:val="22"/>
              </w:rPr>
              <w:t>%</w:t>
            </w:r>
          </w:p>
        </w:tc>
      </w:tr>
      <w:tr w:rsidR="006615F9" w:rsidRPr="00B30A12" w14:paraId="2222169A" w14:textId="77777777" w:rsidTr="00AD54DF">
        <w:trPr>
          <w:cantSplit/>
        </w:trPr>
        <w:tc>
          <w:tcPr>
            <w:tcW w:w="2552" w:type="dxa"/>
            <w:tcBorders>
              <w:top w:val="nil"/>
              <w:bottom w:val="nil"/>
            </w:tcBorders>
          </w:tcPr>
          <w:p w14:paraId="5DFA25B8" w14:textId="77777777" w:rsidR="006615F9" w:rsidRPr="00B30A12" w:rsidRDefault="006615F9" w:rsidP="00AD54DF">
            <w:pPr>
              <w:keepNext/>
              <w:widowControl w:val="0"/>
              <w:ind w:left="318"/>
              <w:rPr>
                <w:color w:val="000000"/>
                <w:sz w:val="22"/>
                <w:szCs w:val="22"/>
              </w:rPr>
            </w:pPr>
            <w:r w:rsidRPr="00B30A12">
              <w:rPr>
                <w:color w:val="000000"/>
                <w:sz w:val="22"/>
                <w:szCs w:val="22"/>
              </w:rPr>
              <w:t>Keine Leukämie mehr nachweisbar (NEL)</w:t>
            </w:r>
          </w:p>
        </w:tc>
        <w:tc>
          <w:tcPr>
            <w:tcW w:w="2126" w:type="dxa"/>
            <w:tcBorders>
              <w:top w:val="nil"/>
              <w:bottom w:val="nil"/>
            </w:tcBorders>
          </w:tcPr>
          <w:p w14:paraId="6085DD28" w14:textId="77777777" w:rsidR="006615F9" w:rsidRPr="00B30A12" w:rsidRDefault="006615F9" w:rsidP="00AD54DF">
            <w:pPr>
              <w:keepNext/>
              <w:widowControl w:val="0"/>
              <w:jc w:val="center"/>
              <w:rPr>
                <w:color w:val="000000"/>
                <w:sz w:val="22"/>
                <w:szCs w:val="22"/>
              </w:rPr>
            </w:pPr>
            <w:r w:rsidRPr="00B30A12">
              <w:rPr>
                <w:color w:val="000000"/>
                <w:sz w:val="22"/>
                <w:szCs w:val="22"/>
              </w:rPr>
              <w:t xml:space="preserve">Nicht </w:t>
            </w:r>
            <w:r w:rsidR="00F85BB5" w:rsidRPr="00B30A12">
              <w:rPr>
                <w:color w:val="000000"/>
                <w:sz w:val="22"/>
                <w:szCs w:val="22"/>
              </w:rPr>
              <w:t>zutreffend</w:t>
            </w:r>
          </w:p>
        </w:tc>
        <w:tc>
          <w:tcPr>
            <w:tcW w:w="1985" w:type="dxa"/>
            <w:tcBorders>
              <w:top w:val="nil"/>
              <w:bottom w:val="nil"/>
            </w:tcBorders>
          </w:tcPr>
          <w:p w14:paraId="0A823528" w14:textId="77777777" w:rsidR="006615F9" w:rsidRPr="00B30A12" w:rsidRDefault="006615F9" w:rsidP="00AD54DF">
            <w:pPr>
              <w:keepNext/>
              <w:widowControl w:val="0"/>
              <w:jc w:val="center"/>
              <w:rPr>
                <w:color w:val="000000"/>
                <w:sz w:val="22"/>
                <w:szCs w:val="22"/>
              </w:rPr>
            </w:pPr>
            <w:r w:rsidRPr="00B30A12">
              <w:rPr>
                <w:color w:val="000000"/>
                <w:sz w:val="22"/>
                <w:szCs w:val="22"/>
              </w:rPr>
              <w:t>12</w:t>
            </w:r>
            <w:r w:rsidR="006766AC" w:rsidRPr="00B30A12">
              <w:rPr>
                <w:color w:val="000000"/>
                <w:sz w:val="22"/>
                <w:szCs w:val="22"/>
              </w:rPr>
              <w:t>%</w:t>
            </w:r>
          </w:p>
        </w:tc>
        <w:tc>
          <w:tcPr>
            <w:tcW w:w="2410" w:type="dxa"/>
            <w:tcBorders>
              <w:top w:val="nil"/>
              <w:bottom w:val="nil"/>
            </w:tcBorders>
          </w:tcPr>
          <w:p w14:paraId="403DE90B" w14:textId="77777777" w:rsidR="006615F9" w:rsidRPr="00B30A12" w:rsidRDefault="006615F9" w:rsidP="00AD54DF">
            <w:pPr>
              <w:keepNext/>
              <w:widowControl w:val="0"/>
              <w:jc w:val="center"/>
              <w:rPr>
                <w:color w:val="000000"/>
                <w:sz w:val="22"/>
                <w:szCs w:val="22"/>
              </w:rPr>
            </w:pPr>
            <w:r w:rsidRPr="00B30A12">
              <w:rPr>
                <w:color w:val="000000"/>
                <w:sz w:val="22"/>
                <w:szCs w:val="22"/>
              </w:rPr>
              <w:t>5</w:t>
            </w:r>
            <w:r w:rsidR="006766AC" w:rsidRPr="00B30A12">
              <w:rPr>
                <w:color w:val="000000"/>
                <w:sz w:val="22"/>
                <w:szCs w:val="22"/>
              </w:rPr>
              <w:t>%</w:t>
            </w:r>
          </w:p>
        </w:tc>
      </w:tr>
      <w:tr w:rsidR="006615F9" w:rsidRPr="00B30A12" w14:paraId="2D938EE6" w14:textId="77777777" w:rsidTr="00AD54DF">
        <w:trPr>
          <w:cantSplit/>
        </w:trPr>
        <w:tc>
          <w:tcPr>
            <w:tcW w:w="2552" w:type="dxa"/>
            <w:tcBorders>
              <w:top w:val="nil"/>
              <w:bottom w:val="nil"/>
            </w:tcBorders>
          </w:tcPr>
          <w:p w14:paraId="10C9CFFD" w14:textId="77777777" w:rsidR="006615F9" w:rsidRPr="00B30A12" w:rsidRDefault="006615F9" w:rsidP="00AD54DF">
            <w:pPr>
              <w:keepNext/>
              <w:widowControl w:val="0"/>
              <w:ind w:left="318"/>
              <w:rPr>
                <w:color w:val="000000"/>
                <w:sz w:val="22"/>
                <w:szCs w:val="22"/>
              </w:rPr>
            </w:pPr>
            <w:r w:rsidRPr="00B30A12">
              <w:rPr>
                <w:color w:val="000000"/>
                <w:sz w:val="22"/>
                <w:szCs w:val="22"/>
              </w:rPr>
              <w:t>Wiedereintritt in die chronische Phase (</w:t>
            </w:r>
            <w:smartTag w:uri="urn:schemas-microsoft-com:office:smarttags" w:element="stockticker">
              <w:r w:rsidRPr="00B30A12">
                <w:rPr>
                  <w:color w:val="000000"/>
                  <w:sz w:val="22"/>
                  <w:szCs w:val="22"/>
                </w:rPr>
                <w:t>RTC</w:t>
              </w:r>
            </w:smartTag>
            <w:r w:rsidRPr="00B30A12">
              <w:rPr>
                <w:color w:val="000000"/>
                <w:sz w:val="22"/>
                <w:szCs w:val="22"/>
              </w:rPr>
              <w:t>)</w:t>
            </w:r>
          </w:p>
        </w:tc>
        <w:tc>
          <w:tcPr>
            <w:tcW w:w="2126" w:type="dxa"/>
            <w:tcBorders>
              <w:top w:val="nil"/>
              <w:bottom w:val="nil"/>
            </w:tcBorders>
          </w:tcPr>
          <w:p w14:paraId="293CDFAC" w14:textId="77777777" w:rsidR="006615F9" w:rsidRPr="00B30A12" w:rsidRDefault="006615F9" w:rsidP="00AD54DF">
            <w:pPr>
              <w:keepNext/>
              <w:widowControl w:val="0"/>
              <w:jc w:val="center"/>
              <w:rPr>
                <w:color w:val="000000"/>
                <w:sz w:val="22"/>
                <w:szCs w:val="22"/>
              </w:rPr>
            </w:pPr>
            <w:r w:rsidRPr="00B30A12">
              <w:rPr>
                <w:color w:val="000000"/>
                <w:sz w:val="22"/>
                <w:szCs w:val="22"/>
              </w:rPr>
              <w:t xml:space="preserve">Nicht </w:t>
            </w:r>
            <w:r w:rsidR="00F85BB5" w:rsidRPr="00B30A12">
              <w:rPr>
                <w:color w:val="000000"/>
                <w:sz w:val="22"/>
                <w:szCs w:val="22"/>
              </w:rPr>
              <w:t>zutreffend</w:t>
            </w:r>
          </w:p>
        </w:tc>
        <w:tc>
          <w:tcPr>
            <w:tcW w:w="1985" w:type="dxa"/>
            <w:tcBorders>
              <w:top w:val="nil"/>
              <w:bottom w:val="nil"/>
            </w:tcBorders>
          </w:tcPr>
          <w:p w14:paraId="1F5D9D42" w14:textId="77777777" w:rsidR="006615F9" w:rsidRPr="00B30A12" w:rsidRDefault="008F7114" w:rsidP="00AD54DF">
            <w:pPr>
              <w:keepNext/>
              <w:widowControl w:val="0"/>
              <w:jc w:val="center"/>
              <w:rPr>
                <w:color w:val="000000"/>
                <w:sz w:val="22"/>
                <w:szCs w:val="22"/>
              </w:rPr>
            </w:pPr>
            <w:r w:rsidRPr="00B30A12">
              <w:rPr>
                <w:color w:val="000000"/>
                <w:sz w:val="22"/>
                <w:szCs w:val="22"/>
              </w:rPr>
              <w:t>17</w:t>
            </w:r>
            <w:r w:rsidR="006766AC" w:rsidRPr="00B30A12">
              <w:rPr>
                <w:color w:val="000000"/>
                <w:sz w:val="22"/>
                <w:szCs w:val="22"/>
              </w:rPr>
              <w:t>%</w:t>
            </w:r>
          </w:p>
        </w:tc>
        <w:tc>
          <w:tcPr>
            <w:tcW w:w="2410" w:type="dxa"/>
            <w:tcBorders>
              <w:top w:val="nil"/>
              <w:bottom w:val="nil"/>
            </w:tcBorders>
          </w:tcPr>
          <w:p w14:paraId="6566A34C" w14:textId="77777777" w:rsidR="006615F9" w:rsidRPr="00B30A12" w:rsidRDefault="006615F9" w:rsidP="00AD54DF">
            <w:pPr>
              <w:keepNext/>
              <w:widowControl w:val="0"/>
              <w:jc w:val="center"/>
              <w:rPr>
                <w:color w:val="000000"/>
                <w:sz w:val="22"/>
                <w:szCs w:val="22"/>
              </w:rPr>
            </w:pPr>
            <w:r w:rsidRPr="00B30A12">
              <w:rPr>
                <w:color w:val="000000"/>
                <w:sz w:val="22"/>
                <w:szCs w:val="22"/>
              </w:rPr>
              <w:t>18</w:t>
            </w:r>
            <w:r w:rsidR="006766AC" w:rsidRPr="00B30A12">
              <w:rPr>
                <w:color w:val="000000"/>
                <w:sz w:val="22"/>
                <w:szCs w:val="22"/>
              </w:rPr>
              <w:t>%</w:t>
            </w:r>
          </w:p>
        </w:tc>
      </w:tr>
      <w:tr w:rsidR="006615F9" w:rsidRPr="00B30A12" w14:paraId="068F7972" w14:textId="77777777" w:rsidTr="00AD54DF">
        <w:trPr>
          <w:cantSplit/>
        </w:trPr>
        <w:tc>
          <w:tcPr>
            <w:tcW w:w="2552" w:type="dxa"/>
            <w:tcBorders>
              <w:top w:val="single" w:sz="4" w:space="0" w:color="auto"/>
              <w:bottom w:val="nil"/>
            </w:tcBorders>
          </w:tcPr>
          <w:p w14:paraId="10DDE3CD" w14:textId="77777777" w:rsidR="006615F9" w:rsidRPr="00B30A12" w:rsidRDefault="00C305B8" w:rsidP="00AD54DF">
            <w:pPr>
              <w:pStyle w:val="Header"/>
              <w:keepNext/>
              <w:widowControl w:val="0"/>
              <w:tabs>
                <w:tab w:val="clear" w:pos="4320"/>
                <w:tab w:val="clear" w:pos="8640"/>
              </w:tabs>
              <w:rPr>
                <w:color w:val="000000"/>
                <w:szCs w:val="22"/>
              </w:rPr>
            </w:pPr>
            <w:r w:rsidRPr="00B30A12">
              <w:rPr>
                <w:color w:val="000000"/>
                <w:szCs w:val="22"/>
              </w:rPr>
              <w:t xml:space="preserve">Gute </w:t>
            </w:r>
            <w:r w:rsidR="006615F9" w:rsidRPr="00B30A12">
              <w:rPr>
                <w:color w:val="000000"/>
                <w:szCs w:val="22"/>
              </w:rPr>
              <w:t xml:space="preserve">zytogenetische </w:t>
            </w:r>
            <w:r w:rsidR="00680171" w:rsidRPr="00B30A12">
              <w:rPr>
                <w:color w:val="000000"/>
                <w:szCs w:val="22"/>
              </w:rPr>
              <w:t>Remission</w:t>
            </w:r>
            <w:r w:rsidR="006615F9" w:rsidRPr="00B30A12">
              <w:rPr>
                <w:color w:val="000000"/>
                <w:szCs w:val="22"/>
                <w:vertAlign w:val="superscript"/>
              </w:rPr>
              <w:t>2</w:t>
            </w:r>
          </w:p>
        </w:tc>
        <w:tc>
          <w:tcPr>
            <w:tcW w:w="2126" w:type="dxa"/>
            <w:tcBorders>
              <w:top w:val="single" w:sz="4" w:space="0" w:color="auto"/>
              <w:bottom w:val="nil"/>
            </w:tcBorders>
          </w:tcPr>
          <w:p w14:paraId="2B78E593" w14:textId="77777777" w:rsidR="006615F9" w:rsidRPr="00B30A12" w:rsidRDefault="006615F9" w:rsidP="00AD54DF">
            <w:pPr>
              <w:keepNext/>
              <w:widowControl w:val="0"/>
              <w:jc w:val="center"/>
              <w:rPr>
                <w:color w:val="000000"/>
                <w:sz w:val="22"/>
                <w:szCs w:val="22"/>
              </w:rPr>
            </w:pPr>
            <w:r w:rsidRPr="00B30A12">
              <w:rPr>
                <w:color w:val="000000"/>
                <w:sz w:val="22"/>
                <w:szCs w:val="22"/>
              </w:rPr>
              <w:t>6</w:t>
            </w:r>
            <w:r w:rsidR="008F7114" w:rsidRPr="00B30A12">
              <w:rPr>
                <w:color w:val="000000"/>
                <w:sz w:val="22"/>
                <w:szCs w:val="22"/>
              </w:rPr>
              <w:t>5</w:t>
            </w:r>
            <w:r w:rsidR="006766AC" w:rsidRPr="00B30A12">
              <w:rPr>
                <w:color w:val="000000"/>
                <w:sz w:val="22"/>
                <w:szCs w:val="22"/>
              </w:rPr>
              <w:t>%</w:t>
            </w:r>
            <w:r w:rsidRPr="00B30A12">
              <w:rPr>
                <w:color w:val="000000"/>
                <w:sz w:val="22"/>
                <w:szCs w:val="22"/>
              </w:rPr>
              <w:t xml:space="preserve"> (</w:t>
            </w:r>
            <w:r w:rsidR="008F7114" w:rsidRPr="00B30A12">
              <w:rPr>
                <w:color w:val="000000"/>
                <w:sz w:val="22"/>
                <w:szCs w:val="22"/>
              </w:rPr>
              <w:t>61,2</w:t>
            </w:r>
            <w:r w:rsidR="00975215" w:rsidRPr="00B30A12">
              <w:rPr>
                <w:color w:val="000000"/>
                <w:sz w:val="22"/>
                <w:szCs w:val="22"/>
              </w:rPr>
              <w:t>–</w:t>
            </w:r>
            <w:r w:rsidRPr="00B30A12">
              <w:rPr>
                <w:color w:val="000000"/>
                <w:sz w:val="22"/>
                <w:szCs w:val="22"/>
              </w:rPr>
              <w:t>6</w:t>
            </w:r>
            <w:r w:rsidR="008F7114" w:rsidRPr="00B30A12">
              <w:rPr>
                <w:color w:val="000000"/>
                <w:sz w:val="22"/>
                <w:szCs w:val="22"/>
              </w:rPr>
              <w:t>9,5</w:t>
            </w:r>
            <w:r w:rsidRPr="00B30A12">
              <w:rPr>
                <w:color w:val="000000"/>
                <w:sz w:val="22"/>
                <w:szCs w:val="22"/>
              </w:rPr>
              <w:t>)</w:t>
            </w:r>
          </w:p>
        </w:tc>
        <w:tc>
          <w:tcPr>
            <w:tcW w:w="1985" w:type="dxa"/>
            <w:tcBorders>
              <w:top w:val="single" w:sz="4" w:space="0" w:color="auto"/>
              <w:bottom w:val="nil"/>
            </w:tcBorders>
          </w:tcPr>
          <w:p w14:paraId="580BF16C" w14:textId="77777777" w:rsidR="006615F9" w:rsidRPr="00B30A12" w:rsidRDefault="006615F9" w:rsidP="00AD54DF">
            <w:pPr>
              <w:keepNext/>
              <w:widowControl w:val="0"/>
              <w:jc w:val="center"/>
              <w:rPr>
                <w:color w:val="000000"/>
                <w:sz w:val="22"/>
                <w:szCs w:val="22"/>
              </w:rPr>
            </w:pPr>
            <w:r w:rsidRPr="00B30A12">
              <w:rPr>
                <w:color w:val="000000"/>
                <w:sz w:val="22"/>
                <w:szCs w:val="22"/>
              </w:rPr>
              <w:t>2</w:t>
            </w:r>
            <w:r w:rsidR="008F7114" w:rsidRPr="00B30A12">
              <w:rPr>
                <w:color w:val="000000"/>
                <w:sz w:val="22"/>
                <w:szCs w:val="22"/>
              </w:rPr>
              <w:t>8</w:t>
            </w:r>
            <w:r w:rsidR="006766AC" w:rsidRPr="00B30A12">
              <w:rPr>
                <w:color w:val="000000"/>
                <w:sz w:val="22"/>
                <w:szCs w:val="22"/>
              </w:rPr>
              <w:t>%</w:t>
            </w:r>
            <w:r w:rsidRPr="00B30A12">
              <w:rPr>
                <w:color w:val="000000"/>
                <w:sz w:val="22"/>
                <w:szCs w:val="22"/>
              </w:rPr>
              <w:t xml:space="preserve"> (</w:t>
            </w:r>
            <w:r w:rsidR="008F7114" w:rsidRPr="00B30A12">
              <w:rPr>
                <w:color w:val="000000"/>
                <w:sz w:val="22"/>
                <w:szCs w:val="22"/>
              </w:rPr>
              <w:t>22,0</w:t>
            </w:r>
            <w:r w:rsidR="00975215" w:rsidRPr="00B30A12">
              <w:rPr>
                <w:color w:val="000000"/>
                <w:sz w:val="22"/>
                <w:szCs w:val="22"/>
              </w:rPr>
              <w:t>–</w:t>
            </w:r>
            <w:r w:rsidRPr="00B30A12">
              <w:rPr>
                <w:color w:val="000000"/>
                <w:sz w:val="22"/>
                <w:szCs w:val="22"/>
              </w:rPr>
              <w:t>3</w:t>
            </w:r>
            <w:r w:rsidR="008F7114" w:rsidRPr="00B30A12">
              <w:rPr>
                <w:color w:val="000000"/>
                <w:sz w:val="22"/>
                <w:szCs w:val="22"/>
              </w:rPr>
              <w:t>3,9</w:t>
            </w:r>
            <w:r w:rsidRPr="00B30A12">
              <w:rPr>
                <w:color w:val="000000"/>
                <w:sz w:val="22"/>
                <w:szCs w:val="22"/>
              </w:rPr>
              <w:t>)</w:t>
            </w:r>
          </w:p>
        </w:tc>
        <w:tc>
          <w:tcPr>
            <w:tcW w:w="2410" w:type="dxa"/>
            <w:tcBorders>
              <w:top w:val="single" w:sz="4" w:space="0" w:color="auto"/>
              <w:bottom w:val="nil"/>
            </w:tcBorders>
          </w:tcPr>
          <w:p w14:paraId="5D399ED7" w14:textId="77777777" w:rsidR="006615F9" w:rsidRPr="00B30A12" w:rsidRDefault="006615F9" w:rsidP="00AD54DF">
            <w:pPr>
              <w:keepNext/>
              <w:widowControl w:val="0"/>
              <w:jc w:val="center"/>
              <w:rPr>
                <w:color w:val="000000"/>
                <w:sz w:val="22"/>
                <w:szCs w:val="22"/>
              </w:rPr>
            </w:pPr>
            <w:r w:rsidRPr="00B30A12">
              <w:rPr>
                <w:color w:val="000000"/>
                <w:sz w:val="22"/>
                <w:szCs w:val="22"/>
              </w:rPr>
              <w:t>15</w:t>
            </w:r>
            <w:r w:rsidR="006766AC" w:rsidRPr="00B30A12">
              <w:rPr>
                <w:color w:val="000000"/>
                <w:sz w:val="22"/>
                <w:szCs w:val="22"/>
              </w:rPr>
              <w:t>%</w:t>
            </w:r>
            <w:r w:rsidRPr="00B30A12">
              <w:rPr>
                <w:color w:val="000000"/>
                <w:sz w:val="22"/>
                <w:szCs w:val="22"/>
              </w:rPr>
              <w:t xml:space="preserve"> (11,2</w:t>
            </w:r>
            <w:r w:rsidR="00975215" w:rsidRPr="00B30A12">
              <w:rPr>
                <w:color w:val="000000"/>
                <w:sz w:val="22"/>
                <w:szCs w:val="22"/>
              </w:rPr>
              <w:t>–</w:t>
            </w:r>
            <w:r w:rsidRPr="00B30A12">
              <w:rPr>
                <w:color w:val="000000"/>
                <w:sz w:val="22"/>
                <w:szCs w:val="22"/>
              </w:rPr>
              <w:t>20,4)</w:t>
            </w:r>
          </w:p>
        </w:tc>
      </w:tr>
      <w:tr w:rsidR="006615F9" w:rsidRPr="00B30A12" w14:paraId="51F9BD99" w14:textId="77777777" w:rsidTr="00AD54DF">
        <w:trPr>
          <w:cantSplit/>
        </w:trPr>
        <w:tc>
          <w:tcPr>
            <w:tcW w:w="2552" w:type="dxa"/>
            <w:tcBorders>
              <w:top w:val="nil"/>
              <w:bottom w:val="nil"/>
            </w:tcBorders>
          </w:tcPr>
          <w:p w14:paraId="4932CE00" w14:textId="77777777" w:rsidR="006615F9" w:rsidRPr="00B30A12" w:rsidRDefault="00C305B8" w:rsidP="00AD54DF">
            <w:pPr>
              <w:pStyle w:val="Header"/>
              <w:keepNext/>
              <w:widowControl w:val="0"/>
              <w:tabs>
                <w:tab w:val="clear" w:pos="4320"/>
                <w:tab w:val="clear" w:pos="8640"/>
              </w:tabs>
              <w:ind w:left="318"/>
              <w:rPr>
                <w:color w:val="000000"/>
                <w:szCs w:val="22"/>
              </w:rPr>
            </w:pPr>
            <w:r w:rsidRPr="00B30A12">
              <w:rPr>
                <w:color w:val="000000"/>
                <w:szCs w:val="22"/>
              </w:rPr>
              <w:t>Komplett</w:t>
            </w:r>
          </w:p>
          <w:p w14:paraId="3D15A9B2" w14:textId="77777777" w:rsidR="006615F9" w:rsidRPr="00B30A12" w:rsidRDefault="006615F9" w:rsidP="00AD54DF">
            <w:pPr>
              <w:pStyle w:val="Header"/>
              <w:keepNext/>
              <w:widowControl w:val="0"/>
              <w:tabs>
                <w:tab w:val="clear" w:pos="4320"/>
                <w:tab w:val="clear" w:pos="8640"/>
              </w:tabs>
              <w:ind w:left="318"/>
              <w:rPr>
                <w:color w:val="000000"/>
                <w:szCs w:val="22"/>
              </w:rPr>
            </w:pPr>
            <w:r w:rsidRPr="00B30A12">
              <w:rPr>
                <w:color w:val="000000"/>
                <w:szCs w:val="22"/>
              </w:rPr>
              <w:t>(Bestätigt</w:t>
            </w:r>
            <w:r w:rsidRPr="00B30A12">
              <w:rPr>
                <w:color w:val="000000"/>
                <w:szCs w:val="22"/>
                <w:vertAlign w:val="superscript"/>
              </w:rPr>
              <w:t>3</w:t>
            </w:r>
            <w:r w:rsidRPr="00B30A12">
              <w:rPr>
                <w:color w:val="000000"/>
                <w:szCs w:val="22"/>
              </w:rPr>
              <w:t>)[95</w:t>
            </w:r>
            <w:r w:rsidR="006766AC" w:rsidRPr="00B30A12">
              <w:rPr>
                <w:color w:val="000000"/>
                <w:szCs w:val="22"/>
              </w:rPr>
              <w:t>%</w:t>
            </w:r>
            <w:r w:rsidR="008B0DF4" w:rsidRPr="00B30A12">
              <w:rPr>
                <w:color w:val="000000"/>
                <w:szCs w:val="22"/>
              </w:rPr>
              <w:t>-KI</w:t>
            </w:r>
            <w:r w:rsidRPr="00B30A12">
              <w:rPr>
                <w:color w:val="000000"/>
                <w:szCs w:val="22"/>
              </w:rPr>
              <w:t>]</w:t>
            </w:r>
          </w:p>
        </w:tc>
        <w:tc>
          <w:tcPr>
            <w:tcW w:w="2126" w:type="dxa"/>
            <w:tcBorders>
              <w:top w:val="nil"/>
              <w:bottom w:val="nil"/>
            </w:tcBorders>
          </w:tcPr>
          <w:p w14:paraId="031BE763" w14:textId="77777777" w:rsidR="006615F9" w:rsidRPr="00B30A12" w:rsidRDefault="008F7114" w:rsidP="00AD54DF">
            <w:pPr>
              <w:keepNext/>
              <w:widowControl w:val="0"/>
              <w:jc w:val="center"/>
              <w:rPr>
                <w:color w:val="000000"/>
                <w:sz w:val="22"/>
                <w:szCs w:val="22"/>
              </w:rPr>
            </w:pPr>
            <w:r w:rsidRPr="00B30A12">
              <w:rPr>
                <w:color w:val="000000"/>
                <w:sz w:val="22"/>
                <w:szCs w:val="22"/>
              </w:rPr>
              <w:t>53</w:t>
            </w:r>
            <w:r w:rsidR="006766AC" w:rsidRPr="00B30A12">
              <w:rPr>
                <w:color w:val="000000"/>
                <w:sz w:val="22"/>
                <w:szCs w:val="22"/>
              </w:rPr>
              <w:t>%</w:t>
            </w:r>
          </w:p>
          <w:p w14:paraId="60886CA5" w14:textId="77777777" w:rsidR="006615F9" w:rsidRPr="00B30A12" w:rsidRDefault="006615F9" w:rsidP="00AD54DF">
            <w:pPr>
              <w:keepNext/>
              <w:widowControl w:val="0"/>
              <w:jc w:val="center"/>
              <w:rPr>
                <w:color w:val="000000"/>
                <w:sz w:val="22"/>
                <w:szCs w:val="22"/>
              </w:rPr>
            </w:pPr>
            <w:r w:rsidRPr="00B30A12">
              <w:rPr>
                <w:color w:val="000000"/>
                <w:sz w:val="22"/>
                <w:szCs w:val="22"/>
              </w:rPr>
              <w:t>(</w:t>
            </w:r>
            <w:r w:rsidR="008F7114" w:rsidRPr="00B30A12">
              <w:rPr>
                <w:color w:val="000000"/>
                <w:sz w:val="22"/>
                <w:szCs w:val="22"/>
              </w:rPr>
              <w:t>4</w:t>
            </w:r>
            <w:r w:rsidRPr="00B30A12">
              <w:rPr>
                <w:color w:val="000000"/>
                <w:sz w:val="22"/>
                <w:szCs w:val="22"/>
              </w:rPr>
              <w:t>3</w:t>
            </w:r>
            <w:r w:rsidR="006766AC" w:rsidRPr="00B30A12">
              <w:rPr>
                <w:color w:val="000000"/>
                <w:sz w:val="22"/>
                <w:szCs w:val="22"/>
              </w:rPr>
              <w:t>%</w:t>
            </w:r>
            <w:r w:rsidRPr="00B30A12">
              <w:rPr>
                <w:color w:val="000000"/>
                <w:sz w:val="22"/>
                <w:szCs w:val="22"/>
              </w:rPr>
              <w:t>)[</w:t>
            </w:r>
            <w:r w:rsidR="008F7114" w:rsidRPr="00B30A12">
              <w:rPr>
                <w:color w:val="000000"/>
                <w:sz w:val="22"/>
                <w:szCs w:val="22"/>
              </w:rPr>
              <w:t>38,6</w:t>
            </w:r>
            <w:r w:rsidR="00975215" w:rsidRPr="00B30A12">
              <w:rPr>
                <w:color w:val="000000"/>
                <w:sz w:val="22"/>
                <w:szCs w:val="22"/>
              </w:rPr>
              <w:t>–</w:t>
            </w:r>
            <w:r w:rsidR="008F7114" w:rsidRPr="00B30A12">
              <w:rPr>
                <w:color w:val="000000"/>
                <w:sz w:val="22"/>
                <w:szCs w:val="22"/>
              </w:rPr>
              <w:t>47,2</w:t>
            </w:r>
            <w:r w:rsidRPr="00B30A12">
              <w:rPr>
                <w:color w:val="000000"/>
                <w:sz w:val="22"/>
                <w:szCs w:val="22"/>
              </w:rPr>
              <w:t>]</w:t>
            </w:r>
          </w:p>
        </w:tc>
        <w:tc>
          <w:tcPr>
            <w:tcW w:w="1985" w:type="dxa"/>
            <w:tcBorders>
              <w:top w:val="nil"/>
              <w:bottom w:val="nil"/>
            </w:tcBorders>
          </w:tcPr>
          <w:p w14:paraId="6CBCF22C" w14:textId="77777777" w:rsidR="006615F9" w:rsidRPr="00B30A12" w:rsidRDefault="008F7114" w:rsidP="00AD54DF">
            <w:pPr>
              <w:keepNext/>
              <w:widowControl w:val="0"/>
              <w:jc w:val="center"/>
              <w:rPr>
                <w:color w:val="000000"/>
                <w:sz w:val="22"/>
                <w:szCs w:val="22"/>
              </w:rPr>
            </w:pPr>
            <w:r w:rsidRPr="00B30A12">
              <w:rPr>
                <w:color w:val="000000"/>
                <w:sz w:val="22"/>
                <w:szCs w:val="22"/>
              </w:rPr>
              <w:t>20</w:t>
            </w:r>
            <w:r w:rsidR="006766AC" w:rsidRPr="00B30A12">
              <w:rPr>
                <w:color w:val="000000"/>
                <w:sz w:val="22"/>
                <w:szCs w:val="22"/>
              </w:rPr>
              <w:t>%</w:t>
            </w:r>
          </w:p>
          <w:p w14:paraId="27A378F9" w14:textId="77777777" w:rsidR="006615F9" w:rsidRPr="00B30A12" w:rsidRDefault="006615F9" w:rsidP="00AD54DF">
            <w:pPr>
              <w:keepNext/>
              <w:widowControl w:val="0"/>
              <w:jc w:val="center"/>
              <w:rPr>
                <w:color w:val="000000"/>
                <w:sz w:val="22"/>
                <w:szCs w:val="22"/>
              </w:rPr>
            </w:pPr>
            <w:r w:rsidRPr="00B30A12">
              <w:rPr>
                <w:color w:val="000000"/>
                <w:sz w:val="22"/>
                <w:szCs w:val="22"/>
              </w:rPr>
              <w:t>(</w:t>
            </w:r>
            <w:r w:rsidR="008F7114" w:rsidRPr="00B30A12">
              <w:rPr>
                <w:color w:val="000000"/>
                <w:sz w:val="22"/>
                <w:szCs w:val="22"/>
              </w:rPr>
              <w:t>16</w:t>
            </w:r>
            <w:r w:rsidR="006766AC" w:rsidRPr="00B30A12">
              <w:rPr>
                <w:color w:val="000000"/>
                <w:sz w:val="22"/>
                <w:szCs w:val="22"/>
              </w:rPr>
              <w:t>%</w:t>
            </w:r>
            <w:r w:rsidRPr="00B30A12">
              <w:rPr>
                <w:color w:val="000000"/>
                <w:sz w:val="22"/>
                <w:szCs w:val="22"/>
              </w:rPr>
              <w:t>) [</w:t>
            </w:r>
            <w:r w:rsidR="008F7114" w:rsidRPr="00B30A12">
              <w:rPr>
                <w:color w:val="000000"/>
                <w:sz w:val="22"/>
                <w:szCs w:val="22"/>
              </w:rPr>
              <w:t>11,3</w:t>
            </w:r>
            <w:r w:rsidR="00975215" w:rsidRPr="00B30A12">
              <w:rPr>
                <w:color w:val="000000"/>
                <w:sz w:val="22"/>
                <w:szCs w:val="22"/>
              </w:rPr>
              <w:t>–</w:t>
            </w:r>
            <w:r w:rsidR="008F7114" w:rsidRPr="00B30A12">
              <w:rPr>
                <w:color w:val="000000"/>
                <w:sz w:val="22"/>
                <w:szCs w:val="22"/>
              </w:rPr>
              <w:t>21,0</w:t>
            </w:r>
            <w:r w:rsidRPr="00B30A12">
              <w:rPr>
                <w:color w:val="000000"/>
                <w:sz w:val="22"/>
                <w:szCs w:val="22"/>
              </w:rPr>
              <w:t>]</w:t>
            </w:r>
          </w:p>
        </w:tc>
        <w:tc>
          <w:tcPr>
            <w:tcW w:w="2410" w:type="dxa"/>
            <w:tcBorders>
              <w:top w:val="nil"/>
              <w:bottom w:val="nil"/>
            </w:tcBorders>
          </w:tcPr>
          <w:p w14:paraId="4564AD04" w14:textId="77777777" w:rsidR="006615F9" w:rsidRPr="00B30A12" w:rsidRDefault="006615F9" w:rsidP="00AD54DF">
            <w:pPr>
              <w:keepNext/>
              <w:widowControl w:val="0"/>
              <w:jc w:val="center"/>
              <w:rPr>
                <w:color w:val="000000"/>
                <w:sz w:val="22"/>
                <w:szCs w:val="22"/>
              </w:rPr>
            </w:pPr>
            <w:r w:rsidRPr="00B30A12">
              <w:rPr>
                <w:color w:val="000000"/>
                <w:sz w:val="22"/>
                <w:szCs w:val="22"/>
              </w:rPr>
              <w:t>7</w:t>
            </w:r>
            <w:r w:rsidR="006766AC" w:rsidRPr="00B30A12">
              <w:rPr>
                <w:color w:val="000000"/>
                <w:sz w:val="22"/>
                <w:szCs w:val="22"/>
              </w:rPr>
              <w:t>%</w:t>
            </w:r>
          </w:p>
          <w:p w14:paraId="424E5403" w14:textId="77777777" w:rsidR="006615F9" w:rsidRPr="00B30A12" w:rsidRDefault="006615F9" w:rsidP="00AD54DF">
            <w:pPr>
              <w:keepNext/>
              <w:widowControl w:val="0"/>
              <w:jc w:val="center"/>
              <w:rPr>
                <w:color w:val="000000"/>
                <w:sz w:val="22"/>
                <w:szCs w:val="22"/>
              </w:rPr>
            </w:pPr>
            <w:r w:rsidRPr="00B30A12">
              <w:rPr>
                <w:color w:val="000000"/>
                <w:sz w:val="22"/>
                <w:szCs w:val="22"/>
              </w:rPr>
              <w:t>(</w:t>
            </w:r>
            <w:r w:rsidR="008F7114" w:rsidRPr="00B30A12">
              <w:rPr>
                <w:color w:val="000000"/>
                <w:sz w:val="22"/>
                <w:szCs w:val="22"/>
              </w:rPr>
              <w:t>2</w:t>
            </w:r>
            <w:r w:rsidR="006766AC" w:rsidRPr="00B30A12">
              <w:rPr>
                <w:color w:val="000000"/>
                <w:sz w:val="22"/>
                <w:szCs w:val="22"/>
              </w:rPr>
              <w:t>%</w:t>
            </w:r>
            <w:r w:rsidRPr="00B30A12">
              <w:rPr>
                <w:color w:val="000000"/>
                <w:sz w:val="22"/>
                <w:szCs w:val="22"/>
              </w:rPr>
              <w:t>)[0,</w:t>
            </w:r>
            <w:r w:rsidR="008F7114" w:rsidRPr="00B30A12">
              <w:rPr>
                <w:color w:val="000000"/>
                <w:sz w:val="22"/>
                <w:szCs w:val="22"/>
              </w:rPr>
              <w:t>6</w:t>
            </w:r>
            <w:r w:rsidR="00975215" w:rsidRPr="00B30A12">
              <w:rPr>
                <w:color w:val="000000"/>
                <w:sz w:val="22"/>
                <w:szCs w:val="22"/>
              </w:rPr>
              <w:t>–</w:t>
            </w:r>
            <w:r w:rsidR="008F7114" w:rsidRPr="00B30A12">
              <w:rPr>
                <w:color w:val="000000"/>
                <w:sz w:val="22"/>
                <w:szCs w:val="22"/>
              </w:rPr>
              <w:t>4,4</w:t>
            </w:r>
            <w:r w:rsidRPr="00B30A12">
              <w:rPr>
                <w:color w:val="000000"/>
                <w:sz w:val="22"/>
                <w:szCs w:val="22"/>
              </w:rPr>
              <w:t>]</w:t>
            </w:r>
          </w:p>
        </w:tc>
      </w:tr>
      <w:tr w:rsidR="006615F9" w:rsidRPr="00B30A12" w14:paraId="1E0C255F" w14:textId="77777777" w:rsidTr="00AD54DF">
        <w:trPr>
          <w:cantSplit/>
        </w:trPr>
        <w:tc>
          <w:tcPr>
            <w:tcW w:w="2552" w:type="dxa"/>
            <w:tcBorders>
              <w:top w:val="nil"/>
            </w:tcBorders>
          </w:tcPr>
          <w:p w14:paraId="74EB6D7F" w14:textId="77777777" w:rsidR="006615F9" w:rsidRPr="00B30A12" w:rsidRDefault="006615F9" w:rsidP="00AD54DF">
            <w:pPr>
              <w:pStyle w:val="Header"/>
              <w:keepNext/>
              <w:widowControl w:val="0"/>
              <w:tabs>
                <w:tab w:val="clear" w:pos="4320"/>
                <w:tab w:val="clear" w:pos="8640"/>
              </w:tabs>
              <w:ind w:left="318"/>
              <w:rPr>
                <w:color w:val="000000"/>
                <w:szCs w:val="22"/>
              </w:rPr>
            </w:pPr>
            <w:r w:rsidRPr="00B30A12">
              <w:rPr>
                <w:color w:val="000000"/>
                <w:szCs w:val="22"/>
              </w:rPr>
              <w:t>Partiell</w:t>
            </w:r>
          </w:p>
        </w:tc>
        <w:tc>
          <w:tcPr>
            <w:tcW w:w="2126" w:type="dxa"/>
            <w:tcBorders>
              <w:top w:val="nil"/>
            </w:tcBorders>
          </w:tcPr>
          <w:p w14:paraId="06D495F4" w14:textId="77777777" w:rsidR="006615F9" w:rsidRPr="00B30A12" w:rsidRDefault="006615F9" w:rsidP="00AD54DF">
            <w:pPr>
              <w:keepNext/>
              <w:widowControl w:val="0"/>
              <w:jc w:val="center"/>
              <w:rPr>
                <w:color w:val="000000"/>
                <w:sz w:val="22"/>
                <w:szCs w:val="22"/>
              </w:rPr>
            </w:pPr>
            <w:r w:rsidRPr="00B30A12">
              <w:rPr>
                <w:color w:val="000000"/>
                <w:sz w:val="22"/>
                <w:szCs w:val="22"/>
              </w:rPr>
              <w:t>1</w:t>
            </w:r>
            <w:r w:rsidR="008F7114" w:rsidRPr="00B30A12">
              <w:rPr>
                <w:color w:val="000000"/>
                <w:sz w:val="22"/>
                <w:szCs w:val="22"/>
              </w:rPr>
              <w:t>2</w:t>
            </w:r>
            <w:r w:rsidR="006766AC" w:rsidRPr="00B30A12">
              <w:rPr>
                <w:color w:val="000000"/>
                <w:sz w:val="22"/>
                <w:szCs w:val="22"/>
              </w:rPr>
              <w:t>%</w:t>
            </w:r>
          </w:p>
        </w:tc>
        <w:tc>
          <w:tcPr>
            <w:tcW w:w="1985" w:type="dxa"/>
            <w:tcBorders>
              <w:top w:val="nil"/>
            </w:tcBorders>
          </w:tcPr>
          <w:p w14:paraId="24896C03" w14:textId="77777777" w:rsidR="006615F9" w:rsidRPr="00B30A12" w:rsidRDefault="006615F9" w:rsidP="00AD54DF">
            <w:pPr>
              <w:keepNext/>
              <w:widowControl w:val="0"/>
              <w:jc w:val="center"/>
              <w:rPr>
                <w:color w:val="000000"/>
                <w:sz w:val="22"/>
                <w:szCs w:val="22"/>
              </w:rPr>
            </w:pPr>
            <w:r w:rsidRPr="00B30A12">
              <w:rPr>
                <w:color w:val="000000"/>
                <w:sz w:val="22"/>
                <w:szCs w:val="22"/>
              </w:rPr>
              <w:t>7</w:t>
            </w:r>
            <w:r w:rsidR="006766AC" w:rsidRPr="00B30A12">
              <w:rPr>
                <w:color w:val="000000"/>
                <w:sz w:val="22"/>
                <w:szCs w:val="22"/>
              </w:rPr>
              <w:t>%</w:t>
            </w:r>
          </w:p>
        </w:tc>
        <w:tc>
          <w:tcPr>
            <w:tcW w:w="2410" w:type="dxa"/>
            <w:tcBorders>
              <w:top w:val="nil"/>
            </w:tcBorders>
          </w:tcPr>
          <w:p w14:paraId="470175AC" w14:textId="77777777" w:rsidR="006615F9" w:rsidRPr="00B30A12" w:rsidRDefault="006615F9" w:rsidP="00AD54DF">
            <w:pPr>
              <w:keepNext/>
              <w:widowControl w:val="0"/>
              <w:jc w:val="center"/>
              <w:rPr>
                <w:color w:val="000000"/>
                <w:sz w:val="22"/>
                <w:szCs w:val="22"/>
              </w:rPr>
            </w:pPr>
            <w:r w:rsidRPr="00B30A12">
              <w:rPr>
                <w:color w:val="000000"/>
                <w:sz w:val="22"/>
                <w:szCs w:val="22"/>
              </w:rPr>
              <w:t>8</w:t>
            </w:r>
            <w:r w:rsidR="006766AC" w:rsidRPr="00B30A12">
              <w:rPr>
                <w:color w:val="000000"/>
                <w:sz w:val="22"/>
                <w:szCs w:val="22"/>
              </w:rPr>
              <w:t>%</w:t>
            </w:r>
          </w:p>
        </w:tc>
      </w:tr>
      <w:tr w:rsidR="006615F9" w:rsidRPr="00B30A12" w14:paraId="474C69F4" w14:textId="77777777" w:rsidTr="00AD54DF">
        <w:trPr>
          <w:cantSplit/>
        </w:trPr>
        <w:tc>
          <w:tcPr>
            <w:tcW w:w="9073" w:type="dxa"/>
            <w:gridSpan w:val="4"/>
          </w:tcPr>
          <w:p w14:paraId="530277D7" w14:textId="77777777" w:rsidR="006615F9" w:rsidRPr="00B30A12" w:rsidRDefault="006615F9" w:rsidP="00537E23">
            <w:pPr>
              <w:widowControl w:val="0"/>
              <w:rPr>
                <w:b/>
                <w:color w:val="000000"/>
                <w:sz w:val="22"/>
                <w:szCs w:val="22"/>
              </w:rPr>
            </w:pPr>
            <w:r w:rsidRPr="00B30A12">
              <w:rPr>
                <w:b/>
                <w:color w:val="000000"/>
                <w:sz w:val="22"/>
                <w:szCs w:val="22"/>
                <w:vertAlign w:val="superscript"/>
              </w:rPr>
              <w:t xml:space="preserve">1 </w:t>
            </w:r>
            <w:r w:rsidRPr="00B30A12">
              <w:rPr>
                <w:b/>
                <w:color w:val="000000"/>
                <w:sz w:val="22"/>
                <w:szCs w:val="22"/>
              </w:rPr>
              <w:t>Kriterien für d</w:t>
            </w:r>
            <w:r w:rsidR="00680171" w:rsidRPr="00B30A12">
              <w:rPr>
                <w:b/>
                <w:color w:val="000000"/>
                <w:sz w:val="22"/>
                <w:szCs w:val="22"/>
              </w:rPr>
              <w:t>ie</w:t>
            </w:r>
            <w:r w:rsidRPr="00B30A12">
              <w:rPr>
                <w:b/>
                <w:color w:val="000000"/>
                <w:sz w:val="22"/>
                <w:szCs w:val="22"/>
              </w:rPr>
              <w:t xml:space="preserve"> hämatologische </w:t>
            </w:r>
            <w:r w:rsidR="00680171" w:rsidRPr="00B30A12">
              <w:rPr>
                <w:b/>
                <w:color w:val="000000"/>
                <w:sz w:val="22"/>
                <w:szCs w:val="22"/>
              </w:rPr>
              <w:t>Remission</w:t>
            </w:r>
            <w:r w:rsidRPr="00B30A12">
              <w:rPr>
                <w:b/>
                <w:color w:val="000000"/>
                <w:sz w:val="22"/>
                <w:szCs w:val="22"/>
              </w:rPr>
              <w:t xml:space="preserve"> (</w:t>
            </w:r>
            <w:r w:rsidR="00680171" w:rsidRPr="00B30A12">
              <w:rPr>
                <w:b/>
                <w:color w:val="000000"/>
                <w:sz w:val="22"/>
                <w:szCs w:val="22"/>
              </w:rPr>
              <w:t>Remission</w:t>
            </w:r>
            <w:r w:rsidRPr="00B30A12">
              <w:rPr>
                <w:b/>
                <w:color w:val="000000"/>
                <w:sz w:val="22"/>
                <w:szCs w:val="22"/>
              </w:rPr>
              <w:t xml:space="preserve"> bestätigt nach ≥</w:t>
            </w:r>
            <w:r w:rsidR="00975215" w:rsidRPr="00B30A12">
              <w:rPr>
                <w:b/>
                <w:color w:val="000000"/>
                <w:sz w:val="22"/>
                <w:szCs w:val="22"/>
              </w:rPr>
              <w:t> </w:t>
            </w:r>
            <w:r w:rsidRPr="00B30A12">
              <w:rPr>
                <w:b/>
                <w:color w:val="000000"/>
                <w:sz w:val="22"/>
                <w:szCs w:val="22"/>
              </w:rPr>
              <w:t>4</w:t>
            </w:r>
            <w:r w:rsidR="00975215" w:rsidRPr="00B30A12">
              <w:rPr>
                <w:b/>
                <w:color w:val="000000"/>
                <w:sz w:val="22"/>
                <w:szCs w:val="22"/>
              </w:rPr>
              <w:t> </w:t>
            </w:r>
            <w:r w:rsidRPr="00B30A12">
              <w:rPr>
                <w:b/>
                <w:color w:val="000000"/>
                <w:sz w:val="22"/>
                <w:szCs w:val="22"/>
              </w:rPr>
              <w:t>Wochen):</w:t>
            </w:r>
          </w:p>
          <w:p w14:paraId="20BC5424" w14:textId="77777777" w:rsidR="006615F9" w:rsidRPr="00B30A12" w:rsidRDefault="006615F9" w:rsidP="00537E23">
            <w:pPr>
              <w:widowControl w:val="0"/>
              <w:ind w:left="885" w:hanging="885"/>
              <w:rPr>
                <w:color w:val="000000"/>
                <w:sz w:val="22"/>
                <w:szCs w:val="22"/>
              </w:rPr>
            </w:pPr>
            <w:smartTag w:uri="urn:schemas-microsoft-com:office:smarttags" w:element="stockticker">
              <w:r w:rsidRPr="00B30A12">
                <w:rPr>
                  <w:color w:val="000000"/>
                  <w:sz w:val="22"/>
                  <w:szCs w:val="22"/>
                </w:rPr>
                <w:t>CHR</w:t>
              </w:r>
            </w:smartTag>
            <w:r w:rsidR="009E4015" w:rsidRPr="00B30A12">
              <w:rPr>
                <w:color w:val="000000"/>
                <w:sz w:val="22"/>
                <w:szCs w:val="22"/>
              </w:rPr>
              <w:tab/>
            </w:r>
            <w:r w:rsidRPr="00B30A12">
              <w:rPr>
                <w:color w:val="000000"/>
                <w:sz w:val="22"/>
                <w:szCs w:val="22"/>
              </w:rPr>
              <w:t>Studie 0110: Leukozyten &lt;</w:t>
            </w:r>
            <w:r w:rsidR="0082715A" w:rsidRPr="00B30A12">
              <w:rPr>
                <w:color w:val="000000"/>
                <w:sz w:val="22"/>
                <w:szCs w:val="22"/>
              </w:rPr>
              <w:t> </w:t>
            </w:r>
            <w:r w:rsidRPr="00B30A12">
              <w:rPr>
                <w:color w:val="000000"/>
                <w:sz w:val="22"/>
                <w:szCs w:val="22"/>
              </w:rPr>
              <w:t>10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Thrombozyten &lt;</w:t>
            </w:r>
            <w:r w:rsidR="0082715A" w:rsidRPr="00B30A12">
              <w:rPr>
                <w:color w:val="000000"/>
                <w:sz w:val="22"/>
                <w:szCs w:val="22"/>
              </w:rPr>
              <w:t> </w:t>
            </w:r>
            <w:r w:rsidRPr="00B30A12">
              <w:rPr>
                <w:color w:val="000000"/>
                <w:sz w:val="22"/>
                <w:szCs w:val="22"/>
              </w:rPr>
              <w:t>450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Myelozyten + Metamyelozyten &lt;</w:t>
            </w:r>
            <w:r w:rsidR="0082715A" w:rsidRPr="00B30A12">
              <w:rPr>
                <w:color w:val="000000"/>
                <w:sz w:val="22"/>
                <w:szCs w:val="22"/>
              </w:rPr>
              <w:t> </w:t>
            </w:r>
            <w:r w:rsidRPr="00B30A12">
              <w:rPr>
                <w:color w:val="000000"/>
                <w:sz w:val="22"/>
                <w:szCs w:val="22"/>
              </w:rPr>
              <w:t>5</w:t>
            </w:r>
            <w:r w:rsidR="006766AC" w:rsidRPr="00B30A12">
              <w:rPr>
                <w:color w:val="000000"/>
                <w:sz w:val="22"/>
                <w:szCs w:val="22"/>
              </w:rPr>
              <w:t>%</w:t>
            </w:r>
            <w:r w:rsidRPr="00B30A12">
              <w:rPr>
                <w:color w:val="000000"/>
                <w:sz w:val="22"/>
                <w:szCs w:val="22"/>
              </w:rPr>
              <w:t xml:space="preserve"> im Blut, keine Blasten und Promyelozyten im Blut, Basophile &lt;</w:t>
            </w:r>
            <w:r w:rsidR="0082715A" w:rsidRPr="00B30A12">
              <w:rPr>
                <w:color w:val="000000"/>
                <w:sz w:val="22"/>
                <w:szCs w:val="22"/>
              </w:rPr>
              <w:t> </w:t>
            </w:r>
            <w:r w:rsidRPr="00B30A12">
              <w:rPr>
                <w:color w:val="000000"/>
                <w:sz w:val="22"/>
                <w:szCs w:val="22"/>
              </w:rPr>
              <w:t>20</w:t>
            </w:r>
            <w:r w:rsidR="006766AC" w:rsidRPr="00B30A12">
              <w:rPr>
                <w:color w:val="000000"/>
                <w:sz w:val="22"/>
                <w:szCs w:val="22"/>
              </w:rPr>
              <w:t>%</w:t>
            </w:r>
            <w:r w:rsidRPr="00B30A12">
              <w:rPr>
                <w:color w:val="000000"/>
                <w:sz w:val="22"/>
                <w:szCs w:val="22"/>
              </w:rPr>
              <w:t>, keine extramedulläre Be</w:t>
            </w:r>
            <w:r w:rsidRPr="00B30A12">
              <w:rPr>
                <w:color w:val="000000"/>
                <w:sz w:val="22"/>
                <w:szCs w:val="22"/>
              </w:rPr>
              <w:softHyphen/>
              <w:t>teiligung.</w:t>
            </w:r>
            <w:r w:rsidR="009E4015" w:rsidRPr="00B30A12">
              <w:rPr>
                <w:color w:val="000000"/>
                <w:sz w:val="22"/>
                <w:szCs w:val="22"/>
              </w:rPr>
              <w:t xml:space="preserve"> </w:t>
            </w:r>
            <w:r w:rsidRPr="00B30A12">
              <w:rPr>
                <w:color w:val="000000"/>
                <w:sz w:val="22"/>
                <w:szCs w:val="22"/>
              </w:rPr>
              <w:t>Studien 0102 und 0109: ANC ≥</w:t>
            </w:r>
            <w:r w:rsidR="0082715A" w:rsidRPr="00B30A12">
              <w:rPr>
                <w:color w:val="000000"/>
                <w:sz w:val="22"/>
                <w:szCs w:val="22"/>
              </w:rPr>
              <w:t> </w:t>
            </w:r>
            <w:r w:rsidRPr="00B30A12">
              <w:rPr>
                <w:color w:val="000000"/>
                <w:sz w:val="22"/>
                <w:szCs w:val="22"/>
              </w:rPr>
              <w:t>1,5</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Thrombozyten ≥</w:t>
            </w:r>
            <w:r w:rsidR="0082715A" w:rsidRPr="00B30A12">
              <w:rPr>
                <w:color w:val="000000"/>
                <w:sz w:val="22"/>
                <w:szCs w:val="22"/>
              </w:rPr>
              <w:t> </w:t>
            </w:r>
            <w:r w:rsidRPr="00B30A12">
              <w:rPr>
                <w:color w:val="000000"/>
                <w:sz w:val="22"/>
                <w:szCs w:val="22"/>
              </w:rPr>
              <w:t>100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keine Blasten im Blut, Blasten im Knochenmark &lt;</w:t>
            </w:r>
            <w:r w:rsidR="0082715A" w:rsidRPr="00B30A12">
              <w:rPr>
                <w:color w:val="000000"/>
                <w:sz w:val="22"/>
                <w:szCs w:val="22"/>
              </w:rPr>
              <w:t> </w:t>
            </w:r>
            <w:r w:rsidRPr="00B30A12">
              <w:rPr>
                <w:color w:val="000000"/>
                <w:sz w:val="22"/>
                <w:szCs w:val="22"/>
              </w:rPr>
              <w:t>5</w:t>
            </w:r>
            <w:r w:rsidR="006766AC" w:rsidRPr="00B30A12">
              <w:rPr>
                <w:color w:val="000000"/>
                <w:sz w:val="22"/>
                <w:szCs w:val="22"/>
              </w:rPr>
              <w:t>%</w:t>
            </w:r>
            <w:r w:rsidRPr="00B30A12">
              <w:rPr>
                <w:color w:val="000000"/>
                <w:sz w:val="22"/>
                <w:szCs w:val="22"/>
              </w:rPr>
              <w:t xml:space="preserve"> und keine extramedulläre Erkrankung.</w:t>
            </w:r>
          </w:p>
          <w:p w14:paraId="73F4A52B" w14:textId="77777777" w:rsidR="006615F9" w:rsidRPr="00B30A12" w:rsidRDefault="006615F9" w:rsidP="00537E23">
            <w:pPr>
              <w:widowControl w:val="0"/>
              <w:ind w:left="885" w:hanging="885"/>
              <w:rPr>
                <w:color w:val="000000"/>
                <w:sz w:val="22"/>
                <w:szCs w:val="22"/>
              </w:rPr>
            </w:pPr>
            <w:r w:rsidRPr="00B30A12">
              <w:rPr>
                <w:color w:val="000000"/>
                <w:sz w:val="22"/>
                <w:szCs w:val="22"/>
              </w:rPr>
              <w:t>NEL</w:t>
            </w:r>
            <w:r w:rsidR="009E4015" w:rsidRPr="00B30A12">
              <w:rPr>
                <w:color w:val="000000"/>
                <w:sz w:val="22"/>
                <w:szCs w:val="22"/>
              </w:rPr>
              <w:tab/>
            </w:r>
            <w:r w:rsidRPr="00B30A12">
              <w:rPr>
                <w:color w:val="000000"/>
                <w:sz w:val="22"/>
                <w:szCs w:val="22"/>
              </w:rPr>
              <w:t xml:space="preserve">Gleiche Kriterien wie beim </w:t>
            </w:r>
            <w:smartTag w:uri="urn:schemas-microsoft-com:office:smarttags" w:element="stockticker">
              <w:r w:rsidRPr="00B30A12">
                <w:rPr>
                  <w:color w:val="000000"/>
                  <w:sz w:val="22"/>
                  <w:szCs w:val="22"/>
                </w:rPr>
                <w:t>CHR</w:t>
              </w:r>
            </w:smartTag>
            <w:r w:rsidRPr="00B30A12">
              <w:rPr>
                <w:color w:val="000000"/>
                <w:sz w:val="22"/>
                <w:szCs w:val="22"/>
              </w:rPr>
              <w:t xml:space="preserve"> jedoch mit ANC ≥</w:t>
            </w:r>
            <w:r w:rsidR="0082715A" w:rsidRPr="00B30A12">
              <w:rPr>
                <w:color w:val="000000"/>
                <w:sz w:val="22"/>
                <w:szCs w:val="22"/>
              </w:rPr>
              <w:t> </w:t>
            </w:r>
            <w:r w:rsidRPr="00B30A12">
              <w:rPr>
                <w:color w:val="000000"/>
                <w:sz w:val="22"/>
                <w:szCs w:val="22"/>
              </w:rPr>
              <w:t>1</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und Thrombozyten ≥</w:t>
            </w:r>
            <w:r w:rsidR="0082715A" w:rsidRPr="00B30A12">
              <w:rPr>
                <w:color w:val="000000"/>
                <w:sz w:val="22"/>
                <w:szCs w:val="22"/>
              </w:rPr>
              <w:t> </w:t>
            </w:r>
            <w:r w:rsidRPr="00B30A12">
              <w:rPr>
                <w:color w:val="000000"/>
                <w:sz w:val="22"/>
                <w:szCs w:val="22"/>
              </w:rPr>
              <w:t>20</w:t>
            </w:r>
            <w:r w:rsidR="00C80819" w:rsidRPr="00B30A12">
              <w:rPr>
                <w:color w:val="000000"/>
                <w:sz w:val="22"/>
                <w:szCs w:val="22"/>
              </w:rPr>
              <w:t> </w:t>
            </w:r>
            <w:r w:rsidRPr="00B30A12">
              <w:rPr>
                <w:color w:val="000000"/>
                <w:sz w:val="22"/>
                <w:szCs w:val="22"/>
              </w:rPr>
              <w:t>x</w:t>
            </w:r>
            <w:r w:rsidR="00C80819" w:rsidRPr="00B30A12">
              <w:rPr>
                <w:color w:val="000000"/>
                <w:sz w:val="22"/>
                <w:szCs w:val="22"/>
              </w:rPr>
              <w:t> </w:t>
            </w:r>
            <w:r w:rsidRPr="00B30A12">
              <w:rPr>
                <w:color w:val="000000"/>
                <w:sz w:val="22"/>
                <w:szCs w:val="22"/>
              </w:rPr>
              <w:t>10</w:t>
            </w:r>
            <w:r w:rsidRPr="00B30A12">
              <w:rPr>
                <w:color w:val="000000"/>
                <w:sz w:val="22"/>
                <w:szCs w:val="22"/>
                <w:vertAlign w:val="superscript"/>
              </w:rPr>
              <w:t>9</w:t>
            </w:r>
            <w:r w:rsidRPr="00B30A12">
              <w:rPr>
                <w:color w:val="000000"/>
                <w:sz w:val="22"/>
                <w:szCs w:val="22"/>
              </w:rPr>
              <w:t>/l (nur Studien 0102 und 0109).</w:t>
            </w:r>
          </w:p>
          <w:p w14:paraId="0B715664" w14:textId="77777777" w:rsidR="006615F9" w:rsidRPr="00B30A12" w:rsidRDefault="006615F9" w:rsidP="00537E23">
            <w:pPr>
              <w:widowControl w:val="0"/>
              <w:ind w:left="885" w:hanging="885"/>
              <w:rPr>
                <w:color w:val="000000"/>
                <w:sz w:val="22"/>
                <w:szCs w:val="22"/>
              </w:rPr>
            </w:pPr>
            <w:smartTag w:uri="urn:schemas-microsoft-com:office:smarttags" w:element="stockticker">
              <w:r w:rsidRPr="00B30A12">
                <w:rPr>
                  <w:color w:val="000000"/>
                  <w:sz w:val="22"/>
                  <w:szCs w:val="22"/>
                </w:rPr>
                <w:t>RTC</w:t>
              </w:r>
            </w:smartTag>
            <w:r w:rsidR="009E4015" w:rsidRPr="00B30A12">
              <w:rPr>
                <w:color w:val="000000"/>
                <w:sz w:val="22"/>
                <w:szCs w:val="22"/>
              </w:rPr>
              <w:tab/>
            </w:r>
            <w:r w:rsidRPr="00B30A12">
              <w:rPr>
                <w:color w:val="000000"/>
                <w:sz w:val="22"/>
                <w:szCs w:val="22"/>
              </w:rPr>
              <w:t>&lt;</w:t>
            </w:r>
            <w:r w:rsidR="0082715A" w:rsidRPr="00B30A12">
              <w:rPr>
                <w:color w:val="000000"/>
                <w:sz w:val="22"/>
                <w:szCs w:val="22"/>
              </w:rPr>
              <w:t> </w:t>
            </w:r>
            <w:r w:rsidRPr="00B30A12">
              <w:rPr>
                <w:color w:val="000000"/>
                <w:sz w:val="22"/>
                <w:szCs w:val="22"/>
              </w:rPr>
              <w:t>15</w:t>
            </w:r>
            <w:r w:rsidR="006766AC" w:rsidRPr="00B30A12">
              <w:rPr>
                <w:color w:val="000000"/>
                <w:sz w:val="22"/>
                <w:szCs w:val="22"/>
              </w:rPr>
              <w:t>%</w:t>
            </w:r>
            <w:r w:rsidRPr="00B30A12">
              <w:rPr>
                <w:color w:val="000000"/>
                <w:sz w:val="22"/>
                <w:szCs w:val="22"/>
              </w:rPr>
              <w:t xml:space="preserve"> Blasten im Knochenmark und peripheren Blut, &lt;</w:t>
            </w:r>
            <w:r w:rsidR="0082715A" w:rsidRPr="00B30A12">
              <w:rPr>
                <w:color w:val="000000"/>
                <w:sz w:val="22"/>
                <w:szCs w:val="22"/>
              </w:rPr>
              <w:t> </w:t>
            </w:r>
            <w:r w:rsidRPr="00B30A12">
              <w:rPr>
                <w:color w:val="000000"/>
                <w:sz w:val="22"/>
                <w:szCs w:val="22"/>
              </w:rPr>
              <w:t>30</w:t>
            </w:r>
            <w:r w:rsidR="006766AC" w:rsidRPr="00B30A12">
              <w:rPr>
                <w:color w:val="000000"/>
                <w:sz w:val="22"/>
                <w:szCs w:val="22"/>
              </w:rPr>
              <w:t>%</w:t>
            </w:r>
            <w:r w:rsidRPr="00B30A12">
              <w:rPr>
                <w:color w:val="000000"/>
                <w:sz w:val="22"/>
                <w:szCs w:val="22"/>
              </w:rPr>
              <w:t xml:space="preserve"> Blasten und Promyelozyten im Knochenmark und peripheren Blut, &lt;</w:t>
            </w:r>
            <w:r w:rsidR="0082715A" w:rsidRPr="00B30A12">
              <w:rPr>
                <w:color w:val="000000"/>
                <w:sz w:val="22"/>
                <w:szCs w:val="22"/>
              </w:rPr>
              <w:t> </w:t>
            </w:r>
            <w:r w:rsidRPr="00B30A12">
              <w:rPr>
                <w:color w:val="000000"/>
                <w:sz w:val="22"/>
                <w:szCs w:val="22"/>
              </w:rPr>
              <w:t>20</w:t>
            </w:r>
            <w:r w:rsidR="006766AC" w:rsidRPr="00B30A12">
              <w:rPr>
                <w:color w:val="000000"/>
                <w:sz w:val="22"/>
                <w:szCs w:val="22"/>
              </w:rPr>
              <w:t>%</w:t>
            </w:r>
            <w:r w:rsidRPr="00B30A12">
              <w:rPr>
                <w:color w:val="000000"/>
                <w:sz w:val="22"/>
                <w:szCs w:val="22"/>
              </w:rPr>
              <w:t xml:space="preserve"> Basophile im peripheren Blut, keine andere extramedulläre Erkrankung außer Milz und Leber (nur 0102 und 0109).</w:t>
            </w:r>
          </w:p>
          <w:p w14:paraId="160BDFDF" w14:textId="77777777" w:rsidR="006615F9" w:rsidRPr="00B30A12" w:rsidRDefault="006615F9" w:rsidP="00537E23">
            <w:pPr>
              <w:widowControl w:val="0"/>
              <w:rPr>
                <w:color w:val="000000"/>
                <w:sz w:val="22"/>
                <w:szCs w:val="22"/>
              </w:rPr>
            </w:pPr>
            <w:r w:rsidRPr="00B30A12">
              <w:rPr>
                <w:b/>
                <w:color w:val="000000"/>
                <w:sz w:val="22"/>
                <w:szCs w:val="22"/>
                <w:vertAlign w:val="superscript"/>
              </w:rPr>
              <w:t xml:space="preserve">2 </w:t>
            </w:r>
            <w:r w:rsidRPr="00B30A12">
              <w:rPr>
                <w:b/>
                <w:color w:val="000000"/>
                <w:sz w:val="22"/>
                <w:szCs w:val="22"/>
              </w:rPr>
              <w:t xml:space="preserve">Kriterien für zytogenetische </w:t>
            </w:r>
            <w:r w:rsidR="00680171" w:rsidRPr="00B30A12">
              <w:rPr>
                <w:b/>
                <w:color w:val="000000"/>
                <w:sz w:val="22"/>
                <w:szCs w:val="22"/>
              </w:rPr>
              <w:t>Remission</w:t>
            </w:r>
            <w:r w:rsidRPr="00B30A12">
              <w:rPr>
                <w:b/>
                <w:color w:val="000000"/>
                <w:sz w:val="22"/>
                <w:szCs w:val="22"/>
              </w:rPr>
              <w:t>:</w:t>
            </w:r>
            <w:r w:rsidRPr="00B30A12">
              <w:rPr>
                <w:b/>
                <w:color w:val="000000"/>
                <w:sz w:val="22"/>
                <w:szCs w:val="22"/>
              </w:rPr>
              <w:br/>
            </w:r>
            <w:r w:rsidRPr="00B30A12">
              <w:rPr>
                <w:color w:val="000000"/>
                <w:sz w:val="22"/>
                <w:szCs w:val="22"/>
              </w:rPr>
              <w:t>Ein</w:t>
            </w:r>
            <w:r w:rsidR="00680171" w:rsidRPr="00B30A12">
              <w:rPr>
                <w:color w:val="000000"/>
                <w:sz w:val="22"/>
                <w:szCs w:val="22"/>
              </w:rPr>
              <w:t>e</w:t>
            </w:r>
            <w:r w:rsidRPr="00B30A12">
              <w:rPr>
                <w:color w:val="000000"/>
                <w:sz w:val="22"/>
                <w:szCs w:val="22"/>
              </w:rPr>
              <w:t xml:space="preserve"> </w:t>
            </w:r>
            <w:r w:rsidR="00C305B8" w:rsidRPr="00B30A12">
              <w:rPr>
                <w:color w:val="000000"/>
                <w:sz w:val="22"/>
                <w:szCs w:val="22"/>
              </w:rPr>
              <w:t xml:space="preserve">gute </w:t>
            </w:r>
            <w:r w:rsidR="00680171" w:rsidRPr="00B30A12">
              <w:rPr>
                <w:color w:val="000000"/>
                <w:sz w:val="22"/>
                <w:szCs w:val="22"/>
              </w:rPr>
              <w:t>Remission</w:t>
            </w:r>
            <w:r w:rsidRPr="00B30A12">
              <w:rPr>
                <w:color w:val="000000"/>
                <w:sz w:val="22"/>
                <w:szCs w:val="22"/>
              </w:rPr>
              <w:t xml:space="preserve"> beinhaltet sowohl </w:t>
            </w:r>
            <w:r w:rsidR="00C305B8" w:rsidRPr="00B30A12">
              <w:rPr>
                <w:color w:val="000000"/>
                <w:sz w:val="22"/>
                <w:szCs w:val="22"/>
              </w:rPr>
              <w:t xml:space="preserve">komplette </w:t>
            </w:r>
            <w:r w:rsidRPr="00B30A12">
              <w:rPr>
                <w:color w:val="000000"/>
                <w:sz w:val="22"/>
                <w:szCs w:val="22"/>
              </w:rPr>
              <w:t xml:space="preserve">als auch </w:t>
            </w:r>
            <w:r w:rsidR="00A14B62" w:rsidRPr="00B30A12">
              <w:rPr>
                <w:color w:val="000000"/>
                <w:sz w:val="22"/>
                <w:szCs w:val="22"/>
              </w:rPr>
              <w:t>partielle</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w:t>
            </w:r>
            <w:r w:rsidR="00C305B8" w:rsidRPr="00B30A12">
              <w:rPr>
                <w:color w:val="000000"/>
                <w:sz w:val="22"/>
                <w:szCs w:val="22"/>
              </w:rPr>
              <w:t>Komplett</w:t>
            </w:r>
            <w:r w:rsidRPr="00B30A12">
              <w:rPr>
                <w:color w:val="000000"/>
                <w:sz w:val="22"/>
                <w:szCs w:val="22"/>
              </w:rPr>
              <w:t>: 0</w:t>
            </w:r>
            <w:r w:rsidR="006766AC" w:rsidRPr="00B30A12">
              <w:rPr>
                <w:color w:val="000000"/>
                <w:sz w:val="22"/>
                <w:szCs w:val="22"/>
              </w:rPr>
              <w:t>%</w:t>
            </w:r>
            <w:r w:rsidRPr="00B30A12">
              <w:rPr>
                <w:color w:val="000000"/>
                <w:sz w:val="22"/>
                <w:szCs w:val="22"/>
              </w:rPr>
              <w:t xml:space="preserve"> Ph</w:t>
            </w:r>
            <w:r w:rsidRPr="00B30A12">
              <w:rPr>
                <w:color w:val="000000"/>
                <w:sz w:val="22"/>
                <w:szCs w:val="22"/>
                <w:vertAlign w:val="superscript"/>
              </w:rPr>
              <w:t>+</w:t>
            </w:r>
            <w:r w:rsidRPr="00B30A12">
              <w:rPr>
                <w:color w:val="000000"/>
                <w:sz w:val="22"/>
                <w:szCs w:val="22"/>
              </w:rPr>
              <w:t xml:space="preserve">-Metaphasen, </w:t>
            </w:r>
            <w:r w:rsidR="00C305B8" w:rsidRPr="00B30A12">
              <w:rPr>
                <w:color w:val="000000"/>
                <w:sz w:val="22"/>
                <w:szCs w:val="22"/>
              </w:rPr>
              <w:t>partiell</w:t>
            </w:r>
            <w:r w:rsidRPr="00B30A12">
              <w:rPr>
                <w:color w:val="000000"/>
                <w:sz w:val="22"/>
                <w:szCs w:val="22"/>
              </w:rPr>
              <w:t>: 1–35</w:t>
            </w:r>
            <w:r w:rsidR="006766AC" w:rsidRPr="00B30A12">
              <w:rPr>
                <w:color w:val="000000"/>
                <w:sz w:val="22"/>
                <w:szCs w:val="22"/>
              </w:rPr>
              <w:t>%</w:t>
            </w:r>
            <w:r w:rsidRPr="00B30A12">
              <w:rPr>
                <w:color w:val="000000"/>
                <w:sz w:val="22"/>
                <w:szCs w:val="22"/>
              </w:rPr>
              <w:t>.</w:t>
            </w:r>
          </w:p>
          <w:p w14:paraId="60982190" w14:textId="77777777" w:rsidR="006615F9" w:rsidRPr="00B30A12" w:rsidRDefault="006615F9" w:rsidP="00537E23">
            <w:pPr>
              <w:pStyle w:val="Header"/>
              <w:widowControl w:val="0"/>
              <w:tabs>
                <w:tab w:val="clear" w:pos="4320"/>
                <w:tab w:val="clear" w:pos="8640"/>
              </w:tabs>
              <w:rPr>
                <w:b/>
                <w:color w:val="000000"/>
                <w:szCs w:val="22"/>
                <w:vertAlign w:val="superscript"/>
              </w:rPr>
            </w:pPr>
            <w:r w:rsidRPr="00B30A12">
              <w:rPr>
                <w:color w:val="000000"/>
                <w:szCs w:val="22"/>
                <w:vertAlign w:val="superscript"/>
              </w:rPr>
              <w:t>3</w:t>
            </w:r>
            <w:r w:rsidRPr="00B30A12">
              <w:rPr>
                <w:b/>
                <w:color w:val="000000"/>
                <w:szCs w:val="22"/>
                <w:vertAlign w:val="superscript"/>
              </w:rPr>
              <w:t xml:space="preserve"> </w:t>
            </w:r>
            <w:r w:rsidRPr="00B30A12">
              <w:rPr>
                <w:color w:val="000000"/>
                <w:szCs w:val="22"/>
              </w:rPr>
              <w:t>Ein</w:t>
            </w:r>
            <w:r w:rsidR="00680171" w:rsidRPr="00B30A12">
              <w:rPr>
                <w:color w:val="000000"/>
                <w:szCs w:val="22"/>
              </w:rPr>
              <w:t>e</w:t>
            </w:r>
            <w:r w:rsidRPr="00B30A12">
              <w:rPr>
                <w:color w:val="000000"/>
                <w:szCs w:val="22"/>
              </w:rPr>
              <w:t xml:space="preserve"> </w:t>
            </w:r>
            <w:r w:rsidR="00492935" w:rsidRPr="00B30A12">
              <w:rPr>
                <w:color w:val="000000"/>
                <w:szCs w:val="22"/>
              </w:rPr>
              <w:t xml:space="preserve">komplette </w:t>
            </w:r>
            <w:r w:rsidRPr="00B30A12">
              <w:rPr>
                <w:color w:val="000000"/>
                <w:szCs w:val="22"/>
              </w:rPr>
              <w:t xml:space="preserve">zytogenetische </w:t>
            </w:r>
            <w:r w:rsidR="00680171" w:rsidRPr="00B30A12">
              <w:rPr>
                <w:color w:val="000000"/>
                <w:szCs w:val="22"/>
              </w:rPr>
              <w:t>Remission</w:t>
            </w:r>
            <w:r w:rsidRPr="00B30A12">
              <w:rPr>
                <w:color w:val="000000"/>
                <w:szCs w:val="22"/>
              </w:rPr>
              <w:t xml:space="preserve"> wurde durch eine zweite zytogenetische Untersuchung des Knochenmarks bestätigt, die mindestens einen Monat nach der anfänglichen Knochenmarksunter</w:t>
            </w:r>
            <w:r w:rsidRPr="00B30A12">
              <w:rPr>
                <w:color w:val="000000"/>
                <w:szCs w:val="22"/>
              </w:rPr>
              <w:softHyphen/>
              <w:t>suchung durchgeführt wurde.</w:t>
            </w:r>
          </w:p>
        </w:tc>
      </w:tr>
    </w:tbl>
    <w:p w14:paraId="59898AE8" w14:textId="77777777" w:rsidR="006615F9" w:rsidRPr="00B30A12" w:rsidRDefault="006615F9" w:rsidP="00537E23">
      <w:pPr>
        <w:widowControl w:val="0"/>
        <w:rPr>
          <w:color w:val="000000"/>
          <w:sz w:val="22"/>
          <w:szCs w:val="22"/>
        </w:rPr>
      </w:pPr>
    </w:p>
    <w:p w14:paraId="0CA2DB3F" w14:textId="77777777" w:rsidR="006615F9" w:rsidRPr="00B30A12" w:rsidRDefault="006615F9" w:rsidP="00537E23">
      <w:pPr>
        <w:widowControl w:val="0"/>
        <w:rPr>
          <w:color w:val="000000"/>
          <w:sz w:val="22"/>
          <w:szCs w:val="22"/>
        </w:rPr>
      </w:pPr>
      <w:r w:rsidRPr="00B30A12">
        <w:rPr>
          <w:i/>
          <w:color w:val="000000"/>
          <w:sz w:val="22"/>
          <w:szCs w:val="22"/>
        </w:rPr>
        <w:t xml:space="preserve">Kinder: </w:t>
      </w:r>
      <w:r w:rsidRPr="00B30A12">
        <w:rPr>
          <w:color w:val="000000"/>
          <w:sz w:val="22"/>
          <w:szCs w:val="22"/>
        </w:rPr>
        <w:t>Insgesamt 26</w:t>
      </w:r>
      <w:r w:rsidR="00C80819" w:rsidRPr="00B30A12">
        <w:rPr>
          <w:color w:val="000000"/>
          <w:sz w:val="22"/>
          <w:szCs w:val="22"/>
        </w:rPr>
        <w:t> </w:t>
      </w:r>
      <w:r w:rsidRPr="00B30A12">
        <w:rPr>
          <w:color w:val="000000"/>
          <w:sz w:val="22"/>
          <w:szCs w:val="22"/>
        </w:rPr>
        <w:t>Kinder unter 18</w:t>
      </w:r>
      <w:r w:rsidR="00C80819" w:rsidRPr="00B30A12">
        <w:rPr>
          <w:color w:val="000000"/>
          <w:sz w:val="22"/>
          <w:szCs w:val="22"/>
        </w:rPr>
        <w:t> </w:t>
      </w:r>
      <w:r w:rsidRPr="00B30A12">
        <w:rPr>
          <w:color w:val="000000"/>
          <w:sz w:val="22"/>
          <w:szCs w:val="22"/>
        </w:rPr>
        <w:t>Jahren mit CML in der chronischen Phase (n = 11) oder CML in der Blastenkrise bzw. mit Philadelphia-Chromosom-positiver akuter Leukämie (n = 15) wurden in eine Dosis-Eskala</w:t>
      </w:r>
      <w:r w:rsidRPr="00B30A12">
        <w:rPr>
          <w:color w:val="000000"/>
          <w:sz w:val="22"/>
          <w:szCs w:val="22"/>
        </w:rPr>
        <w:softHyphen/>
        <w:t>tionsstudie der Phase</w:t>
      </w:r>
      <w:r w:rsidR="007D25C6" w:rsidRPr="00B30A12">
        <w:rPr>
          <w:color w:val="000000"/>
          <w:sz w:val="22"/>
          <w:szCs w:val="22"/>
        </w:rPr>
        <w:t> </w:t>
      </w:r>
      <w:r w:rsidRPr="00B30A12">
        <w:rPr>
          <w:color w:val="000000"/>
          <w:sz w:val="22"/>
          <w:szCs w:val="22"/>
        </w:rPr>
        <w:t>I aufgenommen. Es handelte sich um eine Gruppe intensiv vorbehandelter Patien</w:t>
      </w:r>
      <w:r w:rsidRPr="00B30A12">
        <w:rPr>
          <w:color w:val="000000"/>
          <w:sz w:val="22"/>
          <w:szCs w:val="22"/>
        </w:rPr>
        <w:softHyphen/>
        <w:t>ten, von denen 46</w:t>
      </w:r>
      <w:r w:rsidR="006766AC" w:rsidRPr="00B30A12">
        <w:rPr>
          <w:color w:val="000000"/>
          <w:sz w:val="22"/>
          <w:szCs w:val="22"/>
        </w:rPr>
        <w:t>%</w:t>
      </w:r>
      <w:r w:rsidRPr="00B30A12">
        <w:rPr>
          <w:color w:val="000000"/>
          <w:sz w:val="22"/>
          <w:szCs w:val="22"/>
        </w:rPr>
        <w:t xml:space="preserve"> zuvor eine Knochenmarktransplantation und 73</w:t>
      </w:r>
      <w:r w:rsidR="006766AC" w:rsidRPr="00B30A12">
        <w:rPr>
          <w:color w:val="000000"/>
          <w:sz w:val="22"/>
          <w:szCs w:val="22"/>
        </w:rPr>
        <w:t>%</w:t>
      </w:r>
      <w:r w:rsidRPr="00B30A12">
        <w:rPr>
          <w:color w:val="000000"/>
          <w:sz w:val="22"/>
          <w:szCs w:val="22"/>
        </w:rPr>
        <w:t xml:space="preserve"> eine Chemotherapie mit mehre</w:t>
      </w:r>
      <w:r w:rsidRPr="00B30A12">
        <w:rPr>
          <w:color w:val="000000"/>
          <w:sz w:val="22"/>
          <w:szCs w:val="22"/>
        </w:rPr>
        <w:softHyphen/>
        <w:t>ren Wirkstoffen erhalten hatten. Die Patienten wurden mit Glivec-Dosierungen von 260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(n = 5), 340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(n = 9), 440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(n = 7) und 570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(n = 5) behandelt. Unter den 9</w:t>
      </w:r>
      <w:r w:rsidR="00C80819" w:rsidRPr="00B30A12">
        <w:rPr>
          <w:color w:val="000000"/>
          <w:sz w:val="22"/>
          <w:szCs w:val="22"/>
        </w:rPr>
        <w:t> </w:t>
      </w:r>
      <w:r w:rsidRPr="00B30A12">
        <w:rPr>
          <w:color w:val="000000"/>
          <w:sz w:val="22"/>
          <w:szCs w:val="22"/>
        </w:rPr>
        <w:t>Patienten mit CML in der chronischen Phase und verfügbaren zytogenetischen Daten erreichten 4 (44</w:t>
      </w:r>
      <w:r w:rsidR="006766AC" w:rsidRPr="00B30A12">
        <w:rPr>
          <w:color w:val="000000"/>
          <w:sz w:val="22"/>
          <w:szCs w:val="22"/>
        </w:rPr>
        <w:t>%</w:t>
      </w:r>
      <w:r w:rsidRPr="00B30A12">
        <w:rPr>
          <w:color w:val="000000"/>
          <w:sz w:val="22"/>
          <w:szCs w:val="22"/>
        </w:rPr>
        <w:t>) bzw. 3 (33</w:t>
      </w:r>
      <w:r w:rsidR="006766AC" w:rsidRPr="00B30A12">
        <w:rPr>
          <w:color w:val="000000"/>
          <w:sz w:val="22"/>
          <w:szCs w:val="22"/>
        </w:rPr>
        <w:t>%</w:t>
      </w:r>
      <w:r w:rsidRPr="00B30A12">
        <w:rPr>
          <w:color w:val="000000"/>
          <w:sz w:val="22"/>
          <w:szCs w:val="22"/>
        </w:rPr>
        <w:t>) ein</w:t>
      </w:r>
      <w:r w:rsidR="00680171" w:rsidRPr="00B30A12">
        <w:rPr>
          <w:color w:val="000000"/>
          <w:sz w:val="22"/>
          <w:szCs w:val="22"/>
        </w:rPr>
        <w:t>e</w:t>
      </w:r>
      <w:r w:rsidRPr="00B30A12">
        <w:rPr>
          <w:color w:val="000000"/>
          <w:sz w:val="22"/>
          <w:szCs w:val="22"/>
        </w:rPr>
        <w:t xml:space="preserve"> </w:t>
      </w:r>
      <w:r w:rsidR="00492935" w:rsidRPr="00B30A12">
        <w:rPr>
          <w:color w:val="000000"/>
          <w:sz w:val="22"/>
          <w:szCs w:val="22"/>
        </w:rPr>
        <w:t xml:space="preserve">komplette </w:t>
      </w:r>
      <w:r w:rsidRPr="00B30A12">
        <w:rPr>
          <w:color w:val="000000"/>
          <w:sz w:val="22"/>
          <w:szCs w:val="22"/>
        </w:rPr>
        <w:t xml:space="preserve">bzw. </w:t>
      </w:r>
      <w:r w:rsidR="00472959" w:rsidRPr="00B30A12">
        <w:rPr>
          <w:color w:val="000000"/>
          <w:sz w:val="22"/>
          <w:szCs w:val="22"/>
        </w:rPr>
        <w:t>partielle</w:t>
      </w:r>
      <w:r w:rsidRPr="00B30A12">
        <w:rPr>
          <w:color w:val="000000"/>
          <w:sz w:val="22"/>
          <w:szCs w:val="22"/>
        </w:rPr>
        <w:t xml:space="preserve"> zytogenetische </w:t>
      </w:r>
      <w:r w:rsidR="00680171" w:rsidRPr="00B30A12">
        <w:rPr>
          <w:color w:val="000000"/>
          <w:sz w:val="22"/>
          <w:szCs w:val="22"/>
        </w:rPr>
        <w:t>Remission</w:t>
      </w:r>
      <w:r w:rsidRPr="00B30A12">
        <w:rPr>
          <w:color w:val="000000"/>
          <w:sz w:val="22"/>
          <w:szCs w:val="22"/>
        </w:rPr>
        <w:t>, was einer Rate von 77</w:t>
      </w:r>
      <w:r w:rsidR="006766AC" w:rsidRPr="00B30A12">
        <w:rPr>
          <w:color w:val="000000"/>
          <w:sz w:val="22"/>
          <w:szCs w:val="22"/>
        </w:rPr>
        <w:t>%</w:t>
      </w:r>
      <w:r w:rsidRPr="00B30A12">
        <w:rPr>
          <w:color w:val="000000"/>
          <w:sz w:val="22"/>
          <w:szCs w:val="22"/>
        </w:rPr>
        <w:t xml:space="preserve"> </w:t>
      </w:r>
      <w:r w:rsidR="00492935" w:rsidRPr="00B30A12">
        <w:rPr>
          <w:color w:val="000000"/>
          <w:sz w:val="22"/>
          <w:szCs w:val="22"/>
        </w:rPr>
        <w:t xml:space="preserve">guter </w:t>
      </w:r>
      <w:r w:rsidRPr="00B30A12">
        <w:rPr>
          <w:color w:val="000000"/>
          <w:sz w:val="22"/>
          <w:szCs w:val="22"/>
        </w:rPr>
        <w:t>zytogenetische</w:t>
      </w:r>
      <w:r w:rsidR="00680171" w:rsidRPr="00B30A12">
        <w:rPr>
          <w:color w:val="000000"/>
          <w:sz w:val="22"/>
          <w:szCs w:val="22"/>
        </w:rPr>
        <w:t>r</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entspricht.</w:t>
      </w:r>
    </w:p>
    <w:p w14:paraId="5EC1C81E" w14:textId="77777777" w:rsidR="00514DA3" w:rsidRPr="00B30A12" w:rsidRDefault="00514DA3" w:rsidP="00537E23">
      <w:pPr>
        <w:widowControl w:val="0"/>
        <w:rPr>
          <w:color w:val="000000"/>
          <w:sz w:val="22"/>
          <w:szCs w:val="22"/>
        </w:rPr>
      </w:pPr>
    </w:p>
    <w:p w14:paraId="4B2704A2" w14:textId="77777777" w:rsidR="00D72F2D" w:rsidRPr="00B30A12" w:rsidRDefault="00514DA3" w:rsidP="00537E23">
      <w:pPr>
        <w:widowControl w:val="0"/>
        <w:rPr>
          <w:color w:val="000000"/>
          <w:sz w:val="22"/>
          <w:szCs w:val="22"/>
        </w:rPr>
      </w:pPr>
      <w:r w:rsidRPr="00B30A12">
        <w:rPr>
          <w:color w:val="000000"/>
          <w:sz w:val="22"/>
          <w:szCs w:val="22"/>
        </w:rPr>
        <w:t>Insgesamt 51 Kinder mit neu diagnostizierter und unbehandelter CML in der chron</w:t>
      </w:r>
      <w:r w:rsidR="00BB0C48" w:rsidRPr="00B30A12">
        <w:rPr>
          <w:color w:val="000000"/>
          <w:sz w:val="22"/>
          <w:szCs w:val="22"/>
        </w:rPr>
        <w:t>i</w:t>
      </w:r>
      <w:r w:rsidRPr="00B30A12">
        <w:rPr>
          <w:color w:val="000000"/>
          <w:sz w:val="22"/>
          <w:szCs w:val="22"/>
        </w:rPr>
        <w:t>schen Phase wurden in eine offene, multizentrische, einarmige Phase</w:t>
      </w:r>
      <w:r w:rsidR="00BB0C48" w:rsidRPr="00B30A12">
        <w:rPr>
          <w:color w:val="000000"/>
          <w:sz w:val="22"/>
          <w:szCs w:val="22"/>
        </w:rPr>
        <w:t>-</w:t>
      </w:r>
      <w:r w:rsidRPr="00B30A12">
        <w:rPr>
          <w:color w:val="000000"/>
          <w:sz w:val="22"/>
          <w:szCs w:val="22"/>
        </w:rPr>
        <w:t>II-Studie eingeschlossen. Die Patienten wurden bei Abwesenheit einer dosislimitierenden Toxizität ununterbrochen mit 340 mg/m</w:t>
      </w:r>
      <w:r w:rsidRPr="00B30A12">
        <w:rPr>
          <w:color w:val="000000"/>
          <w:sz w:val="22"/>
          <w:szCs w:val="22"/>
          <w:vertAlign w:val="superscript"/>
        </w:rPr>
        <w:t>2</w:t>
      </w:r>
      <w:r w:rsidRPr="00B30A12">
        <w:rPr>
          <w:color w:val="000000"/>
          <w:sz w:val="22"/>
          <w:szCs w:val="22"/>
        </w:rPr>
        <w:t xml:space="preserve">/Tag Glivec behandelt. Die Behandlung mit Glivec induziert bei neu diagnostizierten Kindern mit CML ein rasches Ansprechen mit einer kompletten hämatologischen Ansprechrate von 78% nach 8-wöchiger Therapie. Die hohe komplette hämatologische Ansprechrate geht mit der Entwicklung einer </w:t>
      </w:r>
      <w:r w:rsidRPr="00B30A12">
        <w:rPr>
          <w:color w:val="000000"/>
          <w:sz w:val="22"/>
          <w:szCs w:val="22"/>
        </w:rPr>
        <w:lastRenderedPageBreak/>
        <w:t>kompletten zytogenetischen Ansprechrate (</w:t>
      </w:r>
      <w:smartTag w:uri="urn:schemas-microsoft-com:office:smarttags" w:element="stockticker">
        <w:r w:rsidRPr="00B30A12">
          <w:rPr>
            <w:color w:val="000000"/>
            <w:sz w:val="22"/>
            <w:szCs w:val="22"/>
          </w:rPr>
          <w:t>CCR</w:t>
        </w:r>
      </w:smartTag>
      <w:r w:rsidRPr="00B30A12">
        <w:rPr>
          <w:color w:val="000000"/>
          <w:sz w:val="22"/>
          <w:szCs w:val="22"/>
        </w:rPr>
        <w:t xml:space="preserve">) in Höhe von 65% einher. Dies ist vergleichbar mit den Ergebnissen, die bei Erwachsenen beobachtet wurden. Zusätzlich wurde bei 16% ein partielles zytogenetisches Ansprechen beobachtet, was insgesamt einer </w:t>
      </w:r>
      <w:r w:rsidR="00593254" w:rsidRPr="00B30A12">
        <w:rPr>
          <w:color w:val="000000"/>
          <w:sz w:val="22"/>
          <w:szCs w:val="22"/>
        </w:rPr>
        <w:t xml:space="preserve">guten </w:t>
      </w:r>
      <w:r w:rsidRPr="00B30A12">
        <w:rPr>
          <w:color w:val="000000"/>
          <w:sz w:val="22"/>
          <w:szCs w:val="22"/>
        </w:rPr>
        <w:t xml:space="preserve">zytogenetischen Remissionsrate von 81% entspricht. Die Mehrheit der Patienten, die eine </w:t>
      </w:r>
      <w:smartTag w:uri="urn:schemas-microsoft-com:office:smarttags" w:element="stockticker">
        <w:r w:rsidRPr="00B30A12">
          <w:rPr>
            <w:color w:val="000000"/>
            <w:sz w:val="22"/>
            <w:szCs w:val="22"/>
          </w:rPr>
          <w:t>CCR</w:t>
        </w:r>
      </w:smartTag>
      <w:r w:rsidRPr="00B30A12">
        <w:rPr>
          <w:color w:val="000000"/>
          <w:sz w:val="22"/>
          <w:szCs w:val="22"/>
        </w:rPr>
        <w:t xml:space="preserve"> erreichten, entwickelten die </w:t>
      </w:r>
      <w:smartTag w:uri="urn:schemas-microsoft-com:office:smarttags" w:element="stockticker">
        <w:r w:rsidRPr="00B30A12">
          <w:rPr>
            <w:color w:val="000000"/>
            <w:sz w:val="22"/>
            <w:szCs w:val="22"/>
          </w:rPr>
          <w:t>CCR</w:t>
        </w:r>
      </w:smartTag>
      <w:r w:rsidRPr="00B30A12">
        <w:rPr>
          <w:color w:val="000000"/>
          <w:sz w:val="22"/>
          <w:szCs w:val="22"/>
        </w:rPr>
        <w:t xml:space="preserve"> innerhalb von 3 bis 10 Monaten mit einer medianen Zeit bis zum Ansprechen von 5,6 Monaten, basierend auf der Kaplan-Meier-Schätzung.</w:t>
      </w:r>
    </w:p>
    <w:p w14:paraId="32E99D9C" w14:textId="77777777" w:rsidR="00004597" w:rsidRPr="00B30A12" w:rsidRDefault="00004597" w:rsidP="00537E23">
      <w:pPr>
        <w:widowControl w:val="0"/>
        <w:rPr>
          <w:color w:val="000000"/>
          <w:sz w:val="22"/>
          <w:szCs w:val="22"/>
        </w:rPr>
      </w:pPr>
    </w:p>
    <w:p w14:paraId="47502C95" w14:textId="77777777" w:rsidR="00004597" w:rsidRPr="00B30A12" w:rsidRDefault="00004597" w:rsidP="00537E23">
      <w:pPr>
        <w:widowControl w:val="0"/>
        <w:rPr>
          <w:color w:val="000000"/>
          <w:sz w:val="22"/>
          <w:szCs w:val="22"/>
        </w:rPr>
      </w:pPr>
      <w:r w:rsidRPr="00B30A12">
        <w:rPr>
          <w:color w:val="000000"/>
          <w:sz w:val="22"/>
          <w:szCs w:val="22"/>
        </w:rPr>
        <w:t>Die Europäische Arzneimittel-Agentur hat</w:t>
      </w:r>
      <w:r w:rsidR="0000498E" w:rsidRPr="00B30A12">
        <w:rPr>
          <w:color w:val="000000"/>
          <w:sz w:val="22"/>
          <w:szCs w:val="22"/>
        </w:rPr>
        <w:t xml:space="preserve"> </w:t>
      </w:r>
      <w:r w:rsidR="002C5FB4" w:rsidRPr="00B30A12">
        <w:rPr>
          <w:color w:val="000000"/>
          <w:sz w:val="22"/>
          <w:szCs w:val="22"/>
        </w:rPr>
        <w:t xml:space="preserve">für </w:t>
      </w:r>
      <w:r w:rsidR="0000498E" w:rsidRPr="00B30A12">
        <w:rPr>
          <w:color w:val="000000"/>
          <w:sz w:val="22"/>
          <w:szCs w:val="22"/>
        </w:rPr>
        <w:t xml:space="preserve">Glivec </w:t>
      </w:r>
      <w:r w:rsidR="002C5FB4" w:rsidRPr="00B30A12">
        <w:rPr>
          <w:color w:val="000000"/>
          <w:sz w:val="22"/>
          <w:szCs w:val="22"/>
        </w:rPr>
        <w:t xml:space="preserve">eine Freistellung </w:t>
      </w:r>
      <w:r w:rsidR="0000498E" w:rsidRPr="00B30A12">
        <w:rPr>
          <w:color w:val="000000"/>
          <w:sz w:val="22"/>
          <w:szCs w:val="22"/>
        </w:rPr>
        <w:t xml:space="preserve">von der Verpflichtung zur Vorlage von Ergebnissen zu Studien in allen pädiatrischen </w:t>
      </w:r>
      <w:r w:rsidR="002C5FB4" w:rsidRPr="00B30A12">
        <w:rPr>
          <w:color w:val="000000"/>
          <w:sz w:val="22"/>
          <w:szCs w:val="22"/>
        </w:rPr>
        <w:t>Altersklassen</w:t>
      </w:r>
      <w:r w:rsidR="0000498E" w:rsidRPr="00B30A12">
        <w:rPr>
          <w:color w:val="000000"/>
          <w:sz w:val="22"/>
          <w:szCs w:val="22"/>
        </w:rPr>
        <w:t xml:space="preserve"> in Philadelphia-Chromosom</w:t>
      </w:r>
      <w:r w:rsidR="00F835BA" w:rsidRPr="00B30A12">
        <w:rPr>
          <w:color w:val="000000"/>
          <w:sz w:val="22"/>
          <w:szCs w:val="22"/>
        </w:rPr>
        <w:t xml:space="preserve"> (bcr-abl-Translokation)-positiver</w:t>
      </w:r>
      <w:r w:rsidR="0000498E" w:rsidRPr="00B30A12">
        <w:rPr>
          <w:color w:val="000000"/>
          <w:sz w:val="22"/>
          <w:szCs w:val="22"/>
        </w:rPr>
        <w:t xml:space="preserve"> chronischer myeloischer Leukämie </w:t>
      </w:r>
      <w:r w:rsidR="002C5FB4" w:rsidRPr="00B30A12">
        <w:rPr>
          <w:color w:val="000000"/>
          <w:sz w:val="22"/>
          <w:szCs w:val="22"/>
        </w:rPr>
        <w:t>gewährt</w:t>
      </w:r>
      <w:r w:rsidR="0000498E" w:rsidRPr="00B30A12">
        <w:rPr>
          <w:color w:val="000000"/>
          <w:sz w:val="22"/>
          <w:szCs w:val="22"/>
        </w:rPr>
        <w:t xml:space="preserve"> (siehe Abschnitt 4.2 bzgl. Informationen zur Anwendung bei Kindern und Jugendlichen).</w:t>
      </w:r>
    </w:p>
    <w:p w14:paraId="69CB31D5" w14:textId="77777777" w:rsidR="002C0958" w:rsidRPr="00B30A12" w:rsidRDefault="002C0958" w:rsidP="00537E23">
      <w:pPr>
        <w:widowControl w:val="0"/>
        <w:rPr>
          <w:color w:val="000000"/>
          <w:sz w:val="22"/>
          <w:szCs w:val="22"/>
        </w:rPr>
      </w:pPr>
    </w:p>
    <w:p w14:paraId="3343B330" w14:textId="77777777" w:rsidR="002C0958" w:rsidRPr="00B30A12" w:rsidRDefault="002C0958" w:rsidP="007A2B84">
      <w:pPr>
        <w:keepNext/>
        <w:widowControl w:val="0"/>
        <w:rPr>
          <w:color w:val="000000"/>
          <w:sz w:val="22"/>
          <w:szCs w:val="22"/>
          <w:u w:val="single"/>
        </w:rPr>
      </w:pPr>
      <w:r w:rsidRPr="00B30A12">
        <w:rPr>
          <w:color w:val="000000"/>
          <w:sz w:val="22"/>
          <w:szCs w:val="22"/>
          <w:u w:val="single"/>
        </w:rPr>
        <w:t>Klinische Studien bei Ph+ </w:t>
      </w:r>
      <w:smartTag w:uri="urn:schemas-microsoft-com:office:smarttags" w:element="stockticker">
        <w:r w:rsidRPr="00B30A12">
          <w:rPr>
            <w:color w:val="000000"/>
            <w:sz w:val="22"/>
            <w:szCs w:val="22"/>
            <w:u w:val="single"/>
          </w:rPr>
          <w:t>ALL</w:t>
        </w:r>
      </w:smartTag>
    </w:p>
    <w:p w14:paraId="473E071D" w14:textId="77777777" w:rsidR="002C0958" w:rsidRPr="00B30A12" w:rsidRDefault="002C0958" w:rsidP="00537E23">
      <w:pPr>
        <w:widowControl w:val="0"/>
        <w:rPr>
          <w:color w:val="000000"/>
          <w:sz w:val="22"/>
          <w:szCs w:val="22"/>
        </w:rPr>
      </w:pPr>
      <w:r w:rsidRPr="00B30A12">
        <w:rPr>
          <w:i/>
          <w:color w:val="000000"/>
          <w:sz w:val="22"/>
          <w:szCs w:val="22"/>
        </w:rPr>
        <w:t>Neu diagnostizierte Ph+ </w:t>
      </w:r>
      <w:smartTag w:uri="urn:schemas-microsoft-com:office:smarttags" w:element="stockticker">
        <w:r w:rsidRPr="00B30A12">
          <w:rPr>
            <w:i/>
            <w:color w:val="000000"/>
            <w:sz w:val="22"/>
            <w:szCs w:val="22"/>
          </w:rPr>
          <w:t>ALL</w:t>
        </w:r>
      </w:smartTag>
      <w:r w:rsidRPr="00B30A12">
        <w:rPr>
          <w:i/>
          <w:color w:val="000000"/>
          <w:sz w:val="22"/>
          <w:szCs w:val="22"/>
        </w:rPr>
        <w:t>:</w:t>
      </w:r>
      <w:r w:rsidRPr="00B30A12">
        <w:rPr>
          <w:color w:val="000000"/>
          <w:sz w:val="22"/>
          <w:szCs w:val="22"/>
        </w:rPr>
        <w:t xml:space="preserve"> In einer kontrollierten Studie (ADE10) mit Imatinib vs. Chemotherapieinduzierter Behandlung bei 55 neu diagnostizierten Patienten im Alter von 55 Jahren und älter erzeugte die Imatinib-Monotherapie eine signifikant höhere komplette hämatologische Ansprechrate als die Chemotherapie (96,3% vs. 50%; p = 0,0001). Wenn Imatinib im Rahmen einer Notfalltherapie bei Patienten, die nicht oder nur schlecht auf die Chemotherapie ansprachen, gegeben wurde, resultierte dies bei 9 von 11 Patienten (81,8%) in einem </w:t>
      </w:r>
      <w:r w:rsidR="00590D8C" w:rsidRPr="00B30A12">
        <w:rPr>
          <w:color w:val="000000"/>
          <w:sz w:val="22"/>
          <w:szCs w:val="22"/>
        </w:rPr>
        <w:t xml:space="preserve">kompletten </w:t>
      </w:r>
      <w:r w:rsidRPr="00B30A12">
        <w:rPr>
          <w:color w:val="000000"/>
          <w:sz w:val="22"/>
          <w:szCs w:val="22"/>
        </w:rPr>
        <w:t>hämatologischen Ansprechen. Die klinische Wirkung war nach zweiwöchiger Therapie bei den Imatinib-Patienten mit einer stärkeren Reduktion von bcr-abl-Transkripten verbunden als im Chemotherapie-Arm (p = 0,02). Nachdem alle Patienten Imatinib und eine Konsolidierungschemotherapie (siehe Tabelle </w:t>
      </w:r>
      <w:r w:rsidR="0094523F" w:rsidRPr="00B30A12">
        <w:rPr>
          <w:color w:val="000000"/>
          <w:sz w:val="22"/>
          <w:szCs w:val="22"/>
        </w:rPr>
        <w:t>4</w:t>
      </w:r>
      <w:r w:rsidRPr="00B30A12">
        <w:rPr>
          <w:color w:val="000000"/>
          <w:sz w:val="22"/>
          <w:szCs w:val="22"/>
        </w:rPr>
        <w:t xml:space="preserve">) nach Induktion erhielten, waren die Werte der bcr-abl-Transkripte nach 8 Wochen in beiden Armen identisch. Wie auf Grund des Studiendesigns erwartet, wurden keine Unterschiede bei der Remissionsdauer, dem krankheitsfreien Überleben oder dem Gesamtüberleben beobachtet, obwohl Patienten mit </w:t>
      </w:r>
      <w:r w:rsidR="00590D8C" w:rsidRPr="00B30A12">
        <w:rPr>
          <w:color w:val="000000"/>
          <w:sz w:val="22"/>
          <w:szCs w:val="22"/>
        </w:rPr>
        <w:t xml:space="preserve">komplettem </w:t>
      </w:r>
      <w:r w:rsidRPr="00B30A12">
        <w:rPr>
          <w:color w:val="000000"/>
          <w:sz w:val="22"/>
          <w:szCs w:val="22"/>
        </w:rPr>
        <w:t>molekularen Ansprechen und bleibender minimaler Resterkrankung ein besseres Ergebnis sowohl im Hinblick auf die Remissionsdauer (p = 0,01) als auch auf das krankheitsfreie Überleben (p = 0,02) zeigten.</w:t>
      </w:r>
    </w:p>
    <w:p w14:paraId="31A3B2BC" w14:textId="77777777" w:rsidR="002C0958" w:rsidRPr="00B30A12" w:rsidRDefault="002C0958" w:rsidP="00537E23">
      <w:pPr>
        <w:widowControl w:val="0"/>
        <w:rPr>
          <w:color w:val="000000"/>
          <w:sz w:val="22"/>
          <w:szCs w:val="22"/>
        </w:rPr>
      </w:pPr>
    </w:p>
    <w:p w14:paraId="700CAFE9" w14:textId="77777777" w:rsidR="002C0958" w:rsidRPr="00B30A12" w:rsidRDefault="002C0958" w:rsidP="00537E23">
      <w:pPr>
        <w:widowControl w:val="0"/>
        <w:tabs>
          <w:tab w:val="left" w:pos="1134"/>
        </w:tabs>
        <w:rPr>
          <w:color w:val="000000"/>
          <w:sz w:val="22"/>
          <w:szCs w:val="22"/>
        </w:rPr>
      </w:pPr>
      <w:r w:rsidRPr="00B30A12">
        <w:rPr>
          <w:color w:val="000000"/>
          <w:sz w:val="22"/>
          <w:szCs w:val="22"/>
        </w:rPr>
        <w:t>Die Ergebnisse, die in einer Population von 211</w:t>
      </w:r>
      <w:r w:rsidR="00DB2690" w:rsidRPr="00B30A12">
        <w:rPr>
          <w:color w:val="000000"/>
          <w:sz w:val="22"/>
          <w:szCs w:val="22"/>
        </w:rPr>
        <w:t> </w:t>
      </w:r>
      <w:r w:rsidRPr="00B30A12">
        <w:rPr>
          <w:color w:val="000000"/>
          <w:sz w:val="22"/>
          <w:szCs w:val="22"/>
        </w:rPr>
        <w:t>neu diagnostizierten Ph+ </w:t>
      </w:r>
      <w:smartTag w:uri="urn:schemas-microsoft-com:office:smarttags" w:element="stockticker">
        <w:r w:rsidRPr="00B30A12">
          <w:rPr>
            <w:color w:val="000000"/>
            <w:sz w:val="22"/>
            <w:szCs w:val="22"/>
          </w:rPr>
          <w:t>ALL</w:t>
        </w:r>
      </w:smartTag>
      <w:r w:rsidRPr="00B30A12">
        <w:rPr>
          <w:color w:val="000000"/>
          <w:sz w:val="22"/>
          <w:szCs w:val="22"/>
        </w:rPr>
        <w:t>-Patienten in vier unkontrollierten klinischen Studien (AAU02, ADE04, AJP01 und AUS01) beobachtet wurden, stimmen mit den oben beschriebenen Ergebnissen überein. Die Kombination von Imatinib mit chemotherapeutischer Induktion (siehe Tabelle </w:t>
      </w:r>
      <w:r w:rsidR="0094523F" w:rsidRPr="00B30A12">
        <w:rPr>
          <w:color w:val="000000"/>
          <w:sz w:val="22"/>
          <w:szCs w:val="22"/>
        </w:rPr>
        <w:t>4</w:t>
      </w:r>
      <w:r w:rsidRPr="00B30A12">
        <w:rPr>
          <w:color w:val="000000"/>
          <w:sz w:val="22"/>
          <w:szCs w:val="22"/>
        </w:rPr>
        <w:t xml:space="preserve">) resultierte in einer </w:t>
      </w:r>
      <w:r w:rsidR="00590D8C" w:rsidRPr="00B30A12">
        <w:rPr>
          <w:color w:val="000000"/>
          <w:sz w:val="22"/>
          <w:szCs w:val="22"/>
        </w:rPr>
        <w:t xml:space="preserve">kompletten </w:t>
      </w:r>
      <w:r w:rsidRPr="00B30A12">
        <w:rPr>
          <w:color w:val="000000"/>
          <w:sz w:val="22"/>
          <w:szCs w:val="22"/>
        </w:rPr>
        <w:t xml:space="preserve">hämatologischen Ansprechrate von 93% (147 von 158 auswertbaren Patienten) und in einer </w:t>
      </w:r>
      <w:r w:rsidR="00590D8C" w:rsidRPr="00B30A12">
        <w:rPr>
          <w:color w:val="000000"/>
          <w:sz w:val="22"/>
          <w:szCs w:val="22"/>
        </w:rPr>
        <w:t xml:space="preserve">guten </w:t>
      </w:r>
      <w:r w:rsidRPr="00B30A12">
        <w:rPr>
          <w:color w:val="000000"/>
          <w:sz w:val="22"/>
          <w:szCs w:val="22"/>
        </w:rPr>
        <w:t xml:space="preserve">zytogenetischen Ansprechrate von 90% (19 von 21 auswertbaren Patienten). Die </w:t>
      </w:r>
      <w:r w:rsidR="00590D8C" w:rsidRPr="00B30A12">
        <w:rPr>
          <w:color w:val="000000"/>
          <w:sz w:val="22"/>
          <w:szCs w:val="22"/>
        </w:rPr>
        <w:t xml:space="preserve">komplette </w:t>
      </w:r>
      <w:r w:rsidRPr="00B30A12">
        <w:rPr>
          <w:color w:val="000000"/>
          <w:sz w:val="22"/>
          <w:szCs w:val="22"/>
        </w:rPr>
        <w:t>molekulare Ansprechrate betrug 48% (49 von 102 auswertbaren Patienten). Das krankheitsfreie Überleben (</w:t>
      </w:r>
      <w:smartTag w:uri="urn:schemas-microsoft-com:office:smarttags" w:element="stockticker">
        <w:r w:rsidRPr="00B30A12">
          <w:rPr>
            <w:color w:val="000000"/>
            <w:sz w:val="22"/>
            <w:szCs w:val="22"/>
          </w:rPr>
          <w:t>DFS</w:t>
        </w:r>
      </w:smartTag>
      <w:r w:rsidRPr="00B30A12">
        <w:rPr>
          <w:color w:val="000000"/>
          <w:sz w:val="22"/>
          <w:szCs w:val="22"/>
        </w:rPr>
        <w:t>) und das Gesamtüberleben (OS) überschritten konstant 1</w:t>
      </w:r>
      <w:r w:rsidR="00DB2690" w:rsidRPr="00B30A12">
        <w:rPr>
          <w:color w:val="000000"/>
          <w:sz w:val="22"/>
          <w:szCs w:val="22"/>
        </w:rPr>
        <w:t> </w:t>
      </w:r>
      <w:r w:rsidRPr="00B30A12">
        <w:rPr>
          <w:color w:val="000000"/>
          <w:sz w:val="22"/>
          <w:szCs w:val="22"/>
        </w:rPr>
        <w:t>Jahr und waren der historischen Kontrolle in zwei Studien (AJP01 und AUS01) überlegen (</w:t>
      </w:r>
      <w:smartTag w:uri="urn:schemas-microsoft-com:office:smarttags" w:element="stockticker">
        <w:r w:rsidRPr="00B30A12">
          <w:rPr>
            <w:color w:val="000000"/>
            <w:sz w:val="22"/>
            <w:szCs w:val="22"/>
          </w:rPr>
          <w:t>DFS</w:t>
        </w:r>
      </w:smartTag>
      <w:r w:rsidRPr="00B30A12">
        <w:rPr>
          <w:color w:val="000000"/>
          <w:sz w:val="22"/>
          <w:szCs w:val="22"/>
        </w:rPr>
        <w:t>: p &lt; 0,001; OS: p &lt; 0,0001).</w:t>
      </w:r>
    </w:p>
    <w:p w14:paraId="31C560C7" w14:textId="77777777" w:rsidR="002C0958" w:rsidRPr="00B30A12" w:rsidRDefault="002C0958" w:rsidP="00537E23">
      <w:pPr>
        <w:widowControl w:val="0"/>
        <w:tabs>
          <w:tab w:val="left" w:pos="1134"/>
        </w:tabs>
        <w:rPr>
          <w:color w:val="000000"/>
          <w:sz w:val="22"/>
          <w:szCs w:val="22"/>
        </w:rPr>
      </w:pPr>
    </w:p>
    <w:p w14:paraId="7C1E71C1" w14:textId="77777777" w:rsidR="002C0958" w:rsidRPr="00B30A12" w:rsidRDefault="002C0958" w:rsidP="00AD54DF">
      <w:pPr>
        <w:keepNext/>
        <w:keepLines/>
        <w:widowControl w:val="0"/>
        <w:tabs>
          <w:tab w:val="left" w:pos="1134"/>
        </w:tabs>
        <w:rPr>
          <w:b/>
          <w:color w:val="000000"/>
          <w:sz w:val="22"/>
          <w:szCs w:val="22"/>
          <w:lang w:val="de-CH"/>
        </w:rPr>
      </w:pPr>
      <w:r w:rsidRPr="00B30A12">
        <w:rPr>
          <w:b/>
          <w:color w:val="000000"/>
          <w:sz w:val="22"/>
          <w:szCs w:val="22"/>
          <w:lang w:val="de-CH"/>
        </w:rPr>
        <w:t>Tabelle </w:t>
      </w:r>
      <w:r w:rsidR="0094523F" w:rsidRPr="00B30A12">
        <w:rPr>
          <w:b/>
          <w:color w:val="000000"/>
          <w:sz w:val="22"/>
          <w:szCs w:val="22"/>
          <w:lang w:val="de-CH"/>
        </w:rPr>
        <w:t>4</w:t>
      </w:r>
      <w:r w:rsidRPr="00B30A12">
        <w:rPr>
          <w:b/>
          <w:color w:val="000000"/>
          <w:sz w:val="22"/>
          <w:szCs w:val="22"/>
          <w:lang w:val="de-CH"/>
        </w:rPr>
        <w:tab/>
        <w:t>Angewendete Chemotherapie-Schemata in Kombination mit Imatinib</w:t>
      </w:r>
    </w:p>
    <w:p w14:paraId="36FEF38C" w14:textId="77777777" w:rsidR="002C0958" w:rsidRPr="00B30A12" w:rsidRDefault="002C0958" w:rsidP="00AD54DF">
      <w:pPr>
        <w:pStyle w:val="EndnoteText"/>
        <w:keepNext/>
        <w:widowControl w:val="0"/>
        <w:rPr>
          <w:color w:val="000000"/>
          <w:sz w:val="22"/>
          <w:szCs w:val="22"/>
          <w:lang w:val="de-D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C0958" w:rsidRPr="00B30A12" w14:paraId="444B1680" w14:textId="77777777" w:rsidTr="00AD54DF">
        <w:trPr>
          <w:cantSplit/>
        </w:trPr>
        <w:tc>
          <w:tcPr>
            <w:tcW w:w="2148" w:type="dxa"/>
            <w:tcBorders>
              <w:top w:val="single" w:sz="4" w:space="0" w:color="auto"/>
              <w:bottom w:val="single" w:sz="4" w:space="0" w:color="auto"/>
            </w:tcBorders>
            <w:shd w:val="clear" w:color="auto" w:fill="auto"/>
          </w:tcPr>
          <w:p w14:paraId="6DD21434"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2F5E00A2" w14:textId="77777777" w:rsidR="002C0958" w:rsidRPr="00B30A12" w:rsidRDefault="002C0958" w:rsidP="00AD54DF">
            <w:pPr>
              <w:pStyle w:val="Table"/>
              <w:keepLines w:val="0"/>
              <w:widowControl w:val="0"/>
              <w:rPr>
                <w:rFonts w:ascii="Times New Roman" w:hAnsi="Times New Roman"/>
                <w:color w:val="000000"/>
                <w:sz w:val="22"/>
                <w:szCs w:val="22"/>
              </w:rPr>
            </w:pPr>
          </w:p>
        </w:tc>
      </w:tr>
      <w:tr w:rsidR="002C0958" w:rsidRPr="00B30A12" w14:paraId="75E5A997" w14:textId="77777777" w:rsidTr="00AD54DF">
        <w:trPr>
          <w:cantSplit/>
        </w:trPr>
        <w:tc>
          <w:tcPr>
            <w:tcW w:w="2148" w:type="dxa"/>
            <w:tcBorders>
              <w:top w:val="single" w:sz="4" w:space="0" w:color="auto"/>
              <w:bottom w:val="single" w:sz="4" w:space="0" w:color="auto"/>
            </w:tcBorders>
            <w:shd w:val="clear" w:color="auto" w:fill="auto"/>
          </w:tcPr>
          <w:p w14:paraId="0FAB0990"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Vorphase</w:t>
            </w:r>
          </w:p>
        </w:tc>
        <w:tc>
          <w:tcPr>
            <w:tcW w:w="6732" w:type="dxa"/>
            <w:gridSpan w:val="4"/>
            <w:tcBorders>
              <w:top w:val="single" w:sz="4" w:space="0" w:color="auto"/>
              <w:bottom w:val="single" w:sz="4" w:space="0" w:color="auto"/>
            </w:tcBorders>
            <w:shd w:val="clear" w:color="auto" w:fill="auto"/>
          </w:tcPr>
          <w:p w14:paraId="2F9AA3B8" w14:textId="77777777" w:rsidR="0006487A"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5A878B7B" w14:textId="77777777" w:rsidR="0006487A"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200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3, 4, 5;</w:t>
            </w:r>
          </w:p>
          <w:p w14:paraId="1CFECC05" w14:textId="77777777" w:rsidR="002C0958"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MTX 12 mg intrathekal, Tag 1</w:t>
            </w:r>
          </w:p>
        </w:tc>
      </w:tr>
      <w:tr w:rsidR="002C0958" w:rsidRPr="00B30A12" w14:paraId="38616E7A" w14:textId="77777777" w:rsidTr="00AD54DF">
        <w:trPr>
          <w:cantSplit/>
        </w:trPr>
        <w:tc>
          <w:tcPr>
            <w:tcW w:w="2148" w:type="dxa"/>
            <w:tcBorders>
              <w:top w:val="single" w:sz="4" w:space="0" w:color="auto"/>
              <w:bottom w:val="single" w:sz="4" w:space="0" w:color="auto"/>
            </w:tcBorders>
            <w:shd w:val="clear" w:color="auto" w:fill="auto"/>
          </w:tcPr>
          <w:p w14:paraId="06A7F487"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Remissionsinduktion</w:t>
            </w:r>
          </w:p>
        </w:tc>
        <w:tc>
          <w:tcPr>
            <w:tcW w:w="6732" w:type="dxa"/>
            <w:gridSpan w:val="4"/>
            <w:tcBorders>
              <w:top w:val="single" w:sz="4" w:space="0" w:color="auto"/>
              <w:bottom w:val="single" w:sz="4" w:space="0" w:color="auto"/>
            </w:tcBorders>
            <w:shd w:val="clear" w:color="auto" w:fill="auto"/>
          </w:tcPr>
          <w:p w14:paraId="745C9D75" w14:textId="77777777" w:rsidR="0006487A"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DEX 10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oral, Tage 6-7, 13-16;</w:t>
            </w:r>
          </w:p>
          <w:p w14:paraId="2011771C" w14:textId="77777777" w:rsidR="0006487A" w:rsidRPr="002A051A" w:rsidRDefault="002C0958" w:rsidP="00AD54DF">
            <w:pPr>
              <w:pStyle w:val="Table"/>
              <w:keepLines w:val="0"/>
              <w:widowControl w:val="0"/>
              <w:rPr>
                <w:rFonts w:ascii="Times New Roman" w:hAnsi="Times New Roman"/>
                <w:color w:val="000000"/>
                <w:sz w:val="22"/>
                <w:szCs w:val="22"/>
                <w:lang w:val="de-DE"/>
              </w:rPr>
            </w:pPr>
            <w:r w:rsidRPr="002A051A">
              <w:rPr>
                <w:rFonts w:ascii="Times New Roman" w:hAnsi="Times New Roman"/>
                <w:color w:val="000000"/>
                <w:sz w:val="22"/>
                <w:szCs w:val="22"/>
                <w:lang w:val="de-DE"/>
              </w:rPr>
              <w:t>VCR 1 mg i.v., Tage 7, 14;</w:t>
            </w:r>
          </w:p>
          <w:p w14:paraId="59132C56" w14:textId="77777777" w:rsidR="0006487A"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IDA 8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(0.5 h), Tage 7, 8, 14, 15;</w:t>
            </w:r>
          </w:p>
          <w:p w14:paraId="4F98BDCD" w14:textId="77777777" w:rsidR="0006487A"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500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i.v.(1 h) Tag 1;</w:t>
            </w:r>
          </w:p>
          <w:p w14:paraId="31B64428" w14:textId="77777777" w:rsidR="002C0958" w:rsidRPr="00B30A12" w:rsidRDefault="002C0958" w:rsidP="00AD54DF">
            <w:pPr>
              <w:pStyle w:val="Table"/>
              <w:keepLines w:val="0"/>
              <w:widowControl w:val="0"/>
              <w:rPr>
                <w:rFonts w:ascii="Times New Roman" w:hAnsi="Times New Roman"/>
                <w:color w:val="000000"/>
                <w:sz w:val="22"/>
                <w:szCs w:val="22"/>
                <w:lang w:val="de-CH"/>
              </w:rPr>
            </w:pPr>
            <w:r w:rsidRPr="00B30A12">
              <w:rPr>
                <w:rFonts w:ascii="Times New Roman" w:hAnsi="Times New Roman"/>
                <w:color w:val="000000"/>
                <w:sz w:val="22"/>
                <w:szCs w:val="22"/>
                <w:lang w:val="de-CH"/>
              </w:rPr>
              <w:t>Ara-C 60 mg/m</w:t>
            </w:r>
            <w:r w:rsidRPr="00B30A12">
              <w:rPr>
                <w:rFonts w:ascii="Times New Roman" w:hAnsi="Times New Roman"/>
                <w:color w:val="000000"/>
                <w:sz w:val="22"/>
                <w:szCs w:val="22"/>
                <w:vertAlign w:val="superscript"/>
                <w:lang w:val="de-CH"/>
              </w:rPr>
              <w:t>2</w:t>
            </w:r>
            <w:r w:rsidRPr="00B30A12">
              <w:rPr>
                <w:rFonts w:ascii="Times New Roman" w:hAnsi="Times New Roman"/>
                <w:color w:val="000000"/>
                <w:sz w:val="22"/>
                <w:szCs w:val="22"/>
                <w:lang w:val="de-CH"/>
              </w:rPr>
              <w:t xml:space="preserve"> i.v., Tage 22-25, 29-32</w:t>
            </w:r>
          </w:p>
        </w:tc>
      </w:tr>
      <w:tr w:rsidR="002C0958" w:rsidRPr="009D20BB" w14:paraId="36227507" w14:textId="77777777" w:rsidTr="00AD54DF">
        <w:trPr>
          <w:cantSplit/>
        </w:trPr>
        <w:tc>
          <w:tcPr>
            <w:tcW w:w="2148" w:type="dxa"/>
            <w:tcBorders>
              <w:top w:val="single" w:sz="4" w:space="0" w:color="auto"/>
              <w:bottom w:val="single" w:sz="4" w:space="0" w:color="auto"/>
            </w:tcBorders>
            <w:shd w:val="clear" w:color="auto" w:fill="auto"/>
          </w:tcPr>
          <w:p w14:paraId="0CD7FDCA" w14:textId="77777777" w:rsidR="002C0958"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Konsolidierungs-therapie I, </w:t>
            </w:r>
            <w:smartTag w:uri="urn:schemas-microsoft-com:office:smarttags" w:element="stockticker">
              <w:r w:rsidRPr="00B30A12">
                <w:rPr>
                  <w:rFonts w:ascii="Times New Roman" w:hAnsi="Times New Roman"/>
                  <w:color w:val="000000"/>
                  <w:sz w:val="22"/>
                  <w:szCs w:val="22"/>
                  <w:lang w:val="de-DE"/>
                </w:rPr>
                <w:t>III</w:t>
              </w:r>
            </w:smartTag>
            <w:r w:rsidRPr="00B30A12">
              <w:rPr>
                <w:rFonts w:ascii="Times New Roman" w:hAnsi="Times New Roman"/>
                <w:color w:val="000000"/>
                <w:sz w:val="22"/>
                <w:szCs w:val="22"/>
                <w:lang w:val="de-DE"/>
              </w:rPr>
              <w:t>, V</w:t>
            </w:r>
          </w:p>
        </w:tc>
        <w:tc>
          <w:tcPr>
            <w:tcW w:w="6732" w:type="dxa"/>
            <w:gridSpan w:val="4"/>
            <w:tcBorders>
              <w:top w:val="single" w:sz="4" w:space="0" w:color="auto"/>
              <w:bottom w:val="single" w:sz="4" w:space="0" w:color="auto"/>
            </w:tcBorders>
            <w:shd w:val="clear" w:color="auto" w:fill="auto"/>
          </w:tcPr>
          <w:p w14:paraId="552FDC17" w14:textId="77777777" w:rsidR="0006487A" w:rsidRPr="00B30A12" w:rsidRDefault="002C0958" w:rsidP="00AD54DF">
            <w:pPr>
              <w:pStyle w:val="Table"/>
              <w:keepLines w:val="0"/>
              <w:widowControl w:val="0"/>
              <w:rPr>
                <w:rFonts w:ascii="Times New Roman" w:hAnsi="Times New Roman"/>
                <w:color w:val="000000"/>
                <w:sz w:val="22"/>
                <w:szCs w:val="22"/>
                <w:lang w:val="sv-SE"/>
              </w:rPr>
            </w:pPr>
            <w:r w:rsidRPr="00B30A12">
              <w:rPr>
                <w:rFonts w:ascii="Times New Roman" w:hAnsi="Times New Roman"/>
                <w:color w:val="000000"/>
                <w:sz w:val="22"/>
                <w:szCs w:val="22"/>
                <w:lang w:val="sv-SE"/>
              </w:rPr>
              <w:t>MTX 500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i.v. (24 h), Tage 1, 15;</w:t>
            </w:r>
          </w:p>
          <w:p w14:paraId="281B308E" w14:textId="77777777" w:rsidR="002C0958" w:rsidRPr="00B30A12" w:rsidRDefault="002C0958" w:rsidP="00AD54DF">
            <w:pPr>
              <w:pStyle w:val="Table"/>
              <w:keepLines w:val="0"/>
              <w:widowControl w:val="0"/>
              <w:rPr>
                <w:rFonts w:ascii="Times New Roman" w:hAnsi="Times New Roman"/>
                <w:color w:val="000000"/>
                <w:sz w:val="22"/>
                <w:szCs w:val="22"/>
                <w:lang w:val="sv-SE"/>
              </w:rPr>
            </w:pPr>
            <w:r w:rsidRPr="00B30A12">
              <w:rPr>
                <w:rFonts w:ascii="Times New Roman" w:hAnsi="Times New Roman"/>
                <w:color w:val="000000"/>
                <w:sz w:val="22"/>
                <w:szCs w:val="22"/>
                <w:lang w:val="sv-SE"/>
              </w:rPr>
              <w:t>6-MP 25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oral, Tage 1-20</w:t>
            </w:r>
          </w:p>
        </w:tc>
      </w:tr>
      <w:tr w:rsidR="002C0958" w:rsidRPr="00B30A12" w14:paraId="07110AD7" w14:textId="77777777" w:rsidTr="00AD54DF">
        <w:trPr>
          <w:cantSplit/>
        </w:trPr>
        <w:tc>
          <w:tcPr>
            <w:tcW w:w="2148" w:type="dxa"/>
            <w:tcBorders>
              <w:top w:val="single" w:sz="4" w:space="0" w:color="auto"/>
              <w:bottom w:val="single" w:sz="4" w:space="0" w:color="auto"/>
            </w:tcBorders>
            <w:shd w:val="clear" w:color="auto" w:fill="auto"/>
          </w:tcPr>
          <w:p w14:paraId="62F06548" w14:textId="77777777" w:rsidR="002C0958" w:rsidRPr="00B30A12" w:rsidRDefault="002C0958" w:rsidP="00537E23">
            <w:pPr>
              <w:pStyle w:val="Table"/>
              <w:keepNext w:val="0"/>
              <w:keepLines w:val="0"/>
              <w:widowControl w:val="0"/>
              <w:rPr>
                <w:rFonts w:ascii="Times New Roman" w:hAnsi="Times New Roman"/>
                <w:color w:val="000000"/>
                <w:sz w:val="22"/>
                <w:szCs w:val="22"/>
              </w:rPr>
            </w:pPr>
            <w:r w:rsidRPr="00B30A12">
              <w:rPr>
                <w:rFonts w:ascii="Times New Roman" w:hAnsi="Times New Roman"/>
                <w:color w:val="000000"/>
                <w:sz w:val="22"/>
                <w:szCs w:val="22"/>
              </w:rPr>
              <w:t>Konsolidierungs-therapie II, IV</w:t>
            </w:r>
          </w:p>
        </w:tc>
        <w:tc>
          <w:tcPr>
            <w:tcW w:w="6732" w:type="dxa"/>
            <w:gridSpan w:val="4"/>
            <w:tcBorders>
              <w:top w:val="single" w:sz="4" w:space="0" w:color="auto"/>
              <w:bottom w:val="single" w:sz="4" w:space="0" w:color="auto"/>
            </w:tcBorders>
            <w:shd w:val="clear" w:color="auto" w:fill="auto"/>
          </w:tcPr>
          <w:p w14:paraId="3B6A6FE5" w14:textId="77777777" w:rsidR="0006487A" w:rsidRPr="00B30A12" w:rsidRDefault="002C0958" w:rsidP="00537E23">
            <w:pPr>
              <w:pStyle w:val="Table"/>
              <w:keepNext w:val="0"/>
              <w:keepLines w:val="0"/>
              <w:widowControl w:val="0"/>
              <w:rPr>
                <w:rFonts w:ascii="Times New Roman" w:hAnsi="Times New Roman"/>
                <w:color w:val="000000"/>
                <w:sz w:val="22"/>
                <w:szCs w:val="22"/>
                <w:lang w:val="pt-BR"/>
              </w:rPr>
            </w:pPr>
            <w:r w:rsidRPr="00B30A12">
              <w:rPr>
                <w:rFonts w:ascii="Times New Roman" w:hAnsi="Times New Roman"/>
                <w:color w:val="000000"/>
                <w:sz w:val="22"/>
                <w:szCs w:val="22"/>
                <w:lang w:val="pt-BR"/>
              </w:rPr>
              <w:t>Ara-C 75 mg/m</w:t>
            </w:r>
            <w:r w:rsidRPr="00B30A12">
              <w:rPr>
                <w:rFonts w:ascii="Times New Roman" w:hAnsi="Times New Roman"/>
                <w:color w:val="000000"/>
                <w:sz w:val="22"/>
                <w:szCs w:val="22"/>
                <w:vertAlign w:val="superscript"/>
                <w:lang w:val="pt-BR"/>
              </w:rPr>
              <w:t>2</w:t>
            </w:r>
            <w:r w:rsidRPr="00B30A12">
              <w:rPr>
                <w:rFonts w:ascii="Times New Roman" w:hAnsi="Times New Roman"/>
                <w:color w:val="000000"/>
                <w:sz w:val="22"/>
                <w:szCs w:val="22"/>
                <w:lang w:val="pt-BR"/>
              </w:rPr>
              <w:t xml:space="preserve"> i.v. (1 h), Tage 1-5;</w:t>
            </w:r>
          </w:p>
          <w:p w14:paraId="7D537DE1" w14:textId="77777777" w:rsidR="002C0958" w:rsidRPr="00B30A12" w:rsidRDefault="002C0958" w:rsidP="00537E23">
            <w:pPr>
              <w:pStyle w:val="Table"/>
              <w:keepNext w:val="0"/>
              <w:keepLines w:val="0"/>
              <w:widowControl w:val="0"/>
              <w:rPr>
                <w:rFonts w:ascii="Times New Roman" w:hAnsi="Times New Roman"/>
                <w:color w:val="000000"/>
                <w:sz w:val="22"/>
                <w:szCs w:val="22"/>
                <w:lang w:val="pt-BR"/>
              </w:rPr>
            </w:pPr>
            <w:r w:rsidRPr="00B30A12">
              <w:rPr>
                <w:rFonts w:ascii="Times New Roman" w:hAnsi="Times New Roman"/>
                <w:color w:val="000000"/>
                <w:sz w:val="22"/>
                <w:szCs w:val="22"/>
                <w:lang w:val="pt-BR"/>
              </w:rPr>
              <w:t>VM26 60 mg/m</w:t>
            </w:r>
            <w:r w:rsidRPr="00B30A12">
              <w:rPr>
                <w:rFonts w:ascii="Times New Roman" w:hAnsi="Times New Roman"/>
                <w:color w:val="000000"/>
                <w:sz w:val="22"/>
                <w:szCs w:val="22"/>
                <w:vertAlign w:val="superscript"/>
                <w:lang w:val="pt-BR"/>
              </w:rPr>
              <w:t>2</w:t>
            </w:r>
            <w:r w:rsidRPr="00B30A12">
              <w:rPr>
                <w:rFonts w:ascii="Times New Roman" w:hAnsi="Times New Roman"/>
                <w:color w:val="000000"/>
                <w:sz w:val="22"/>
                <w:szCs w:val="22"/>
                <w:lang w:val="pt-BR"/>
              </w:rPr>
              <w:t xml:space="preserve"> i.v. (1 h), Tage 1-5</w:t>
            </w:r>
          </w:p>
        </w:tc>
      </w:tr>
      <w:tr w:rsidR="002C0958" w:rsidRPr="00B30A12" w14:paraId="1B8EADAF" w14:textId="77777777" w:rsidTr="00AD54DF">
        <w:trPr>
          <w:cantSplit/>
        </w:trPr>
        <w:tc>
          <w:tcPr>
            <w:tcW w:w="2148" w:type="dxa"/>
            <w:tcBorders>
              <w:top w:val="single" w:sz="4" w:space="0" w:color="auto"/>
              <w:bottom w:val="single" w:sz="4" w:space="0" w:color="auto"/>
            </w:tcBorders>
            <w:shd w:val="clear" w:color="auto" w:fill="auto"/>
          </w:tcPr>
          <w:p w14:paraId="33D99560" w14:textId="77777777" w:rsidR="002C0958" w:rsidRPr="00B30A12" w:rsidRDefault="002C0958" w:rsidP="00AD54DF">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lastRenderedPageBreak/>
              <w:t>Studie AAU02</w:t>
            </w:r>
          </w:p>
        </w:tc>
        <w:tc>
          <w:tcPr>
            <w:tcW w:w="2652" w:type="dxa"/>
            <w:tcBorders>
              <w:top w:val="single" w:sz="4" w:space="0" w:color="auto"/>
              <w:bottom w:val="single" w:sz="4" w:space="0" w:color="auto"/>
            </w:tcBorders>
            <w:shd w:val="clear" w:color="auto" w:fill="auto"/>
          </w:tcPr>
          <w:p w14:paraId="3D44515A"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00F1BC7F"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54D8FC99"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235F56B9" w14:textId="77777777" w:rsidR="002C0958" w:rsidRPr="00B30A12" w:rsidRDefault="002C0958" w:rsidP="00AD54DF">
            <w:pPr>
              <w:pStyle w:val="Table"/>
              <w:keepLines w:val="0"/>
              <w:widowControl w:val="0"/>
              <w:rPr>
                <w:rFonts w:ascii="Times New Roman" w:hAnsi="Times New Roman"/>
                <w:color w:val="000000"/>
                <w:sz w:val="22"/>
                <w:szCs w:val="22"/>
              </w:rPr>
            </w:pPr>
          </w:p>
        </w:tc>
      </w:tr>
      <w:tr w:rsidR="002C0958" w:rsidRPr="00B30A12" w14:paraId="423C8724" w14:textId="77777777" w:rsidTr="00AD54DF">
        <w:trPr>
          <w:cantSplit/>
        </w:trPr>
        <w:tc>
          <w:tcPr>
            <w:tcW w:w="2148" w:type="dxa"/>
            <w:tcBorders>
              <w:top w:val="single" w:sz="4" w:space="0" w:color="auto"/>
              <w:bottom w:val="single" w:sz="4" w:space="0" w:color="auto"/>
            </w:tcBorders>
            <w:shd w:val="clear" w:color="auto" w:fill="auto"/>
          </w:tcPr>
          <w:p w14:paraId="4BA9C813" w14:textId="77777777" w:rsidR="002C0958"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Induktionstherapie (</w:t>
            </w:r>
            <w:r w:rsidRPr="00B30A12">
              <w:rPr>
                <w:rFonts w:ascii="Times New Roman" w:hAnsi="Times New Roman"/>
                <w:i/>
                <w:color w:val="000000"/>
                <w:sz w:val="22"/>
                <w:szCs w:val="22"/>
                <w:lang w:val="de-DE"/>
              </w:rPr>
              <w:t>de novo</w:t>
            </w:r>
            <w:r w:rsidRPr="00B30A12">
              <w:rPr>
                <w:rFonts w:ascii="Times New Roman" w:hAnsi="Times New Roman"/>
                <w:color w:val="000000"/>
                <w:sz w:val="22"/>
                <w:szCs w:val="22"/>
                <w:lang w:val="de-DE"/>
              </w:rPr>
              <w:t xml:space="preserve"> Ph+ </w:t>
            </w:r>
            <w:smartTag w:uri="urn:schemas-microsoft-com:office:smarttags" w:element="stockticker">
              <w:r w:rsidRPr="00B30A12">
                <w:rPr>
                  <w:rFonts w:ascii="Times New Roman" w:hAnsi="Times New Roman"/>
                  <w:color w:val="000000"/>
                  <w:sz w:val="22"/>
                  <w:szCs w:val="22"/>
                  <w:lang w:val="de-DE"/>
                </w:rPr>
                <w:t>ALL</w:t>
              </w:r>
            </w:smartTag>
            <w:r w:rsidRPr="00B30A12">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shd w:val="clear" w:color="auto" w:fill="auto"/>
          </w:tcPr>
          <w:p w14:paraId="4B6D4EE7"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Daunorubicin 30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1-3, 15-16;</w:t>
            </w:r>
          </w:p>
          <w:p w14:paraId="3B78D121"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VCR 2 mg Gesamtdosis i.v., Tage 1, 8, 15, 22;</w:t>
            </w:r>
          </w:p>
          <w:p w14:paraId="24FBB755"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750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1, 8;</w:t>
            </w:r>
          </w:p>
          <w:p w14:paraId="67B4F146" w14:textId="77777777" w:rsidR="005012B2"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Prednison 60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oral, Tage 1-7, 15-21;</w:t>
            </w:r>
          </w:p>
          <w:p w14:paraId="2398E984"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IDA 9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oral, Tage 1-28;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15 mg intrathekal, Tage 1, 8, 15, 22;</w:t>
            </w:r>
          </w:p>
          <w:p w14:paraId="3C4333B0"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40 mg intrathekal, Tage 1, 8, 15, 22;</w:t>
            </w:r>
          </w:p>
          <w:p w14:paraId="7922AC65" w14:textId="77777777" w:rsidR="002C0958"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Methylprednisolon 40 mg intrathekal, Tage 1, 8, 15, 22 </w:t>
            </w:r>
          </w:p>
        </w:tc>
      </w:tr>
      <w:tr w:rsidR="002C0958" w:rsidRPr="00B30A12" w14:paraId="15EC3176" w14:textId="77777777" w:rsidTr="00AD54DF">
        <w:trPr>
          <w:cantSplit/>
        </w:trPr>
        <w:tc>
          <w:tcPr>
            <w:tcW w:w="2148" w:type="dxa"/>
            <w:tcBorders>
              <w:top w:val="single" w:sz="4" w:space="0" w:color="auto"/>
              <w:bottom w:val="single" w:sz="4" w:space="0" w:color="auto"/>
            </w:tcBorders>
            <w:shd w:val="clear" w:color="auto" w:fill="auto"/>
          </w:tcPr>
          <w:p w14:paraId="27195203" w14:textId="77777777" w:rsidR="002C0958"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Konsolidierung (</w:t>
            </w:r>
            <w:r w:rsidRPr="00B30A12">
              <w:rPr>
                <w:rFonts w:ascii="Times New Roman" w:hAnsi="Times New Roman"/>
                <w:i/>
                <w:color w:val="000000"/>
                <w:sz w:val="22"/>
                <w:szCs w:val="22"/>
                <w:lang w:val="de-DE"/>
              </w:rPr>
              <w:t>de novo</w:t>
            </w:r>
            <w:r w:rsidRPr="00B30A12">
              <w:rPr>
                <w:rFonts w:ascii="Times New Roman" w:hAnsi="Times New Roman"/>
                <w:color w:val="000000"/>
                <w:sz w:val="22"/>
                <w:szCs w:val="22"/>
                <w:lang w:val="de-DE"/>
              </w:rPr>
              <w:t xml:space="preserve"> Ph+ </w:t>
            </w:r>
            <w:smartTag w:uri="urn:schemas-microsoft-com:office:smarttags" w:element="stockticker">
              <w:r w:rsidRPr="00B30A12">
                <w:rPr>
                  <w:rFonts w:ascii="Times New Roman" w:hAnsi="Times New Roman"/>
                  <w:color w:val="000000"/>
                  <w:sz w:val="22"/>
                  <w:szCs w:val="22"/>
                  <w:lang w:val="de-DE"/>
                </w:rPr>
                <w:t>ALL</w:t>
              </w:r>
            </w:smartTag>
            <w:r w:rsidRPr="00B30A12">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shd w:val="clear" w:color="auto" w:fill="auto"/>
          </w:tcPr>
          <w:p w14:paraId="116C0014"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1.000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/12 h i.v.(3 h), Tage 1-4;</w:t>
            </w:r>
          </w:p>
          <w:p w14:paraId="774BC193"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Mitoxantron 10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3-5;</w:t>
            </w:r>
          </w:p>
          <w:p w14:paraId="304E1B17"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MTX 15 mg intrathekal, Tag 1;</w:t>
            </w:r>
          </w:p>
          <w:p w14:paraId="3F721068" w14:textId="77777777" w:rsidR="002C0958"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Methylprednisolon 40 mg intrathekal, Tag 1</w:t>
            </w:r>
          </w:p>
        </w:tc>
      </w:tr>
      <w:tr w:rsidR="002C0958" w:rsidRPr="00B30A12" w14:paraId="515E39E3" w14:textId="77777777" w:rsidTr="00AD54DF">
        <w:trPr>
          <w:cantSplit/>
        </w:trPr>
        <w:tc>
          <w:tcPr>
            <w:tcW w:w="4800" w:type="dxa"/>
            <w:gridSpan w:val="2"/>
            <w:tcBorders>
              <w:top w:val="single" w:sz="4" w:space="0" w:color="auto"/>
              <w:bottom w:val="single" w:sz="4" w:space="0" w:color="auto"/>
            </w:tcBorders>
            <w:shd w:val="clear" w:color="auto" w:fill="auto"/>
          </w:tcPr>
          <w:p w14:paraId="213240E1" w14:textId="77777777" w:rsidR="002C0958" w:rsidRPr="00B30A12" w:rsidRDefault="002C0958" w:rsidP="00AD54DF">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t>Studie ADE04</w:t>
            </w:r>
          </w:p>
        </w:tc>
        <w:tc>
          <w:tcPr>
            <w:tcW w:w="1080" w:type="dxa"/>
            <w:tcBorders>
              <w:top w:val="single" w:sz="4" w:space="0" w:color="auto"/>
              <w:bottom w:val="single" w:sz="4" w:space="0" w:color="auto"/>
            </w:tcBorders>
          </w:tcPr>
          <w:p w14:paraId="1FEFB661"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4A347B62"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5A6E37C4" w14:textId="77777777" w:rsidR="002C0958" w:rsidRPr="00B30A12" w:rsidRDefault="002C0958" w:rsidP="00AD54DF">
            <w:pPr>
              <w:pStyle w:val="Table"/>
              <w:keepLines w:val="0"/>
              <w:widowControl w:val="0"/>
              <w:rPr>
                <w:rFonts w:ascii="Times New Roman" w:hAnsi="Times New Roman"/>
                <w:color w:val="000000"/>
                <w:sz w:val="22"/>
                <w:szCs w:val="22"/>
              </w:rPr>
            </w:pPr>
          </w:p>
        </w:tc>
      </w:tr>
      <w:tr w:rsidR="002C0958" w:rsidRPr="00B30A12" w14:paraId="196C99F8" w14:textId="77777777" w:rsidTr="00AD54DF">
        <w:trPr>
          <w:cantSplit/>
        </w:trPr>
        <w:tc>
          <w:tcPr>
            <w:tcW w:w="2148" w:type="dxa"/>
            <w:tcBorders>
              <w:top w:val="single" w:sz="4" w:space="0" w:color="auto"/>
              <w:bottom w:val="single" w:sz="4" w:space="0" w:color="auto"/>
            </w:tcBorders>
            <w:shd w:val="clear" w:color="auto" w:fill="auto"/>
          </w:tcPr>
          <w:p w14:paraId="26DF9195"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Vorphase</w:t>
            </w:r>
          </w:p>
        </w:tc>
        <w:tc>
          <w:tcPr>
            <w:tcW w:w="6732" w:type="dxa"/>
            <w:gridSpan w:val="4"/>
            <w:tcBorders>
              <w:top w:val="single" w:sz="4" w:space="0" w:color="auto"/>
              <w:bottom w:val="single" w:sz="4" w:space="0" w:color="auto"/>
            </w:tcBorders>
            <w:shd w:val="clear" w:color="auto" w:fill="auto"/>
          </w:tcPr>
          <w:p w14:paraId="69E0CBFB"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6FFE47A1"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200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3-5;</w:t>
            </w:r>
          </w:p>
          <w:p w14:paraId="090ED777" w14:textId="77777777" w:rsidR="002C0958"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MTX 15 mg intrathekal, Tag 1</w:t>
            </w:r>
          </w:p>
        </w:tc>
      </w:tr>
      <w:tr w:rsidR="002C0958" w:rsidRPr="00B30A12" w14:paraId="1386DFC7" w14:textId="77777777" w:rsidTr="00AD54DF">
        <w:trPr>
          <w:cantSplit/>
        </w:trPr>
        <w:tc>
          <w:tcPr>
            <w:tcW w:w="2148" w:type="dxa"/>
            <w:tcBorders>
              <w:top w:val="single" w:sz="4" w:space="0" w:color="auto"/>
              <w:bottom w:val="single" w:sz="4" w:space="0" w:color="auto"/>
            </w:tcBorders>
            <w:shd w:val="clear" w:color="auto" w:fill="auto"/>
          </w:tcPr>
          <w:p w14:paraId="765B793C"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Induktionstherapie I</w:t>
            </w:r>
          </w:p>
        </w:tc>
        <w:tc>
          <w:tcPr>
            <w:tcW w:w="6732" w:type="dxa"/>
            <w:gridSpan w:val="4"/>
            <w:tcBorders>
              <w:top w:val="single" w:sz="4" w:space="0" w:color="auto"/>
              <w:bottom w:val="single" w:sz="4" w:space="0" w:color="auto"/>
            </w:tcBorders>
            <w:shd w:val="clear" w:color="auto" w:fill="auto"/>
          </w:tcPr>
          <w:p w14:paraId="2E46F134"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72A01BD9"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VCR 2 mg i.v., Tage 6, 13, 20;</w:t>
            </w:r>
          </w:p>
          <w:p w14:paraId="03594A5F" w14:textId="77777777" w:rsidR="002C0958"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Daunorubicin 45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6-7, 13-14</w:t>
            </w:r>
          </w:p>
        </w:tc>
      </w:tr>
      <w:tr w:rsidR="002C0958" w:rsidRPr="009D20BB" w14:paraId="73D83F02" w14:textId="77777777" w:rsidTr="00AD54DF">
        <w:trPr>
          <w:cantSplit/>
        </w:trPr>
        <w:tc>
          <w:tcPr>
            <w:tcW w:w="2148" w:type="dxa"/>
            <w:tcBorders>
              <w:top w:val="single" w:sz="4" w:space="0" w:color="auto"/>
              <w:bottom w:val="single" w:sz="4" w:space="0" w:color="auto"/>
            </w:tcBorders>
            <w:shd w:val="clear" w:color="auto" w:fill="auto"/>
          </w:tcPr>
          <w:p w14:paraId="384390C9"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Induktionstherapie II</w:t>
            </w:r>
          </w:p>
        </w:tc>
        <w:tc>
          <w:tcPr>
            <w:tcW w:w="6732" w:type="dxa"/>
            <w:gridSpan w:val="4"/>
            <w:tcBorders>
              <w:top w:val="single" w:sz="4" w:space="0" w:color="auto"/>
              <w:bottom w:val="single" w:sz="4" w:space="0" w:color="auto"/>
            </w:tcBorders>
            <w:shd w:val="clear" w:color="auto" w:fill="auto"/>
          </w:tcPr>
          <w:p w14:paraId="13165167"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1 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(1 h), Tage 26, 46;</w:t>
            </w:r>
          </w:p>
          <w:p w14:paraId="5A3DA2D9" w14:textId="77777777" w:rsidR="005012B2" w:rsidRPr="00B30A12" w:rsidRDefault="002C0958" w:rsidP="00AD54DF">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Ara-C 75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(1 h), Tage 28-31, 35-38, 42-45;</w:t>
            </w:r>
          </w:p>
          <w:p w14:paraId="099D5526" w14:textId="77777777" w:rsidR="002C0958"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lang w:val="da-DK"/>
              </w:rPr>
              <w:t>6-MP 60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26-46</w:t>
            </w:r>
          </w:p>
        </w:tc>
      </w:tr>
      <w:tr w:rsidR="002C0958" w:rsidRPr="00B30A12" w14:paraId="1BD3E6AE" w14:textId="77777777" w:rsidTr="00AD54DF">
        <w:trPr>
          <w:cantSplit/>
        </w:trPr>
        <w:tc>
          <w:tcPr>
            <w:tcW w:w="2148" w:type="dxa"/>
            <w:tcBorders>
              <w:top w:val="nil"/>
              <w:bottom w:val="single" w:sz="4" w:space="0" w:color="auto"/>
            </w:tcBorders>
            <w:shd w:val="clear" w:color="auto" w:fill="auto"/>
          </w:tcPr>
          <w:p w14:paraId="49F6365F" w14:textId="77777777" w:rsidR="002C0958" w:rsidRPr="00B30A12" w:rsidRDefault="002C0958" w:rsidP="00537E23">
            <w:pPr>
              <w:pStyle w:val="Table"/>
              <w:keepNext w:val="0"/>
              <w:keepLines w:val="0"/>
              <w:widowControl w:val="0"/>
              <w:rPr>
                <w:rFonts w:ascii="Times New Roman" w:hAnsi="Times New Roman"/>
                <w:color w:val="000000"/>
                <w:sz w:val="22"/>
                <w:szCs w:val="22"/>
              </w:rPr>
            </w:pPr>
            <w:r w:rsidRPr="00B30A12">
              <w:rPr>
                <w:rFonts w:ascii="Times New Roman" w:hAnsi="Times New Roman"/>
                <w:color w:val="000000"/>
                <w:sz w:val="22"/>
                <w:szCs w:val="22"/>
              </w:rPr>
              <w:t>Konsolidierungs-therapie</w:t>
            </w:r>
          </w:p>
        </w:tc>
        <w:tc>
          <w:tcPr>
            <w:tcW w:w="6732" w:type="dxa"/>
            <w:gridSpan w:val="4"/>
            <w:tcBorders>
              <w:top w:val="nil"/>
              <w:bottom w:val="single" w:sz="4" w:space="0" w:color="auto"/>
            </w:tcBorders>
            <w:shd w:val="clear" w:color="auto" w:fill="auto"/>
          </w:tcPr>
          <w:p w14:paraId="0590C417" w14:textId="77777777" w:rsidR="005012B2" w:rsidRPr="002A051A" w:rsidRDefault="002C0958" w:rsidP="00537E23">
            <w:pPr>
              <w:pStyle w:val="Table"/>
              <w:keepNext w:val="0"/>
              <w:keepLines w:val="0"/>
              <w:widowControl w:val="0"/>
              <w:rPr>
                <w:rFonts w:ascii="Times New Roman" w:hAnsi="Times New Roman"/>
                <w:color w:val="000000"/>
                <w:sz w:val="22"/>
                <w:szCs w:val="22"/>
              </w:rPr>
            </w:pPr>
            <w:r w:rsidRPr="002A051A">
              <w:rPr>
                <w:rFonts w:ascii="Times New Roman" w:hAnsi="Times New Roman"/>
                <w:color w:val="000000"/>
                <w:sz w:val="22"/>
                <w:szCs w:val="22"/>
              </w:rPr>
              <w:t>DEX 10 mg/m</w:t>
            </w:r>
            <w:r w:rsidRPr="002A051A">
              <w:rPr>
                <w:rFonts w:ascii="Times New Roman" w:hAnsi="Times New Roman"/>
                <w:color w:val="000000"/>
                <w:sz w:val="22"/>
                <w:szCs w:val="22"/>
                <w:vertAlign w:val="superscript"/>
              </w:rPr>
              <w:t>2</w:t>
            </w:r>
            <w:r w:rsidRPr="002A051A">
              <w:rPr>
                <w:rFonts w:ascii="Times New Roman" w:hAnsi="Times New Roman"/>
                <w:color w:val="000000"/>
                <w:sz w:val="22"/>
                <w:szCs w:val="22"/>
              </w:rPr>
              <w:t xml:space="preserve"> oral, Tage 1-5;</w:t>
            </w:r>
          </w:p>
          <w:p w14:paraId="1DBF5736"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Vindesin 3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 1;</w:t>
            </w:r>
          </w:p>
          <w:p w14:paraId="50817694"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MTX 1,5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w:t>
            </w:r>
          </w:p>
          <w:p w14:paraId="11AEDBF1" w14:textId="77777777" w:rsidR="005012B2"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Etoposid 250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(1 h) Tage 4-5;</w:t>
            </w:r>
          </w:p>
          <w:p w14:paraId="7C386DA9" w14:textId="77777777" w:rsidR="002C0958"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2x2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(3 h, q 12 h), Tag 5</w:t>
            </w:r>
          </w:p>
        </w:tc>
      </w:tr>
      <w:tr w:rsidR="002C0958" w:rsidRPr="00B30A12" w14:paraId="6FD726FB" w14:textId="77777777" w:rsidTr="00AD54DF">
        <w:trPr>
          <w:cantSplit/>
        </w:trPr>
        <w:tc>
          <w:tcPr>
            <w:tcW w:w="2148" w:type="dxa"/>
            <w:tcBorders>
              <w:top w:val="nil"/>
              <w:bottom w:val="single" w:sz="4" w:space="0" w:color="auto"/>
            </w:tcBorders>
            <w:shd w:val="clear" w:color="auto" w:fill="auto"/>
          </w:tcPr>
          <w:p w14:paraId="2B456579" w14:textId="77777777" w:rsidR="002C0958" w:rsidRPr="00B30A12" w:rsidRDefault="002C0958" w:rsidP="00AD54DF">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t>Studie AJP01</w:t>
            </w:r>
          </w:p>
        </w:tc>
        <w:tc>
          <w:tcPr>
            <w:tcW w:w="2652" w:type="dxa"/>
            <w:tcBorders>
              <w:top w:val="nil"/>
              <w:bottom w:val="single" w:sz="4" w:space="0" w:color="auto"/>
            </w:tcBorders>
            <w:shd w:val="clear" w:color="auto" w:fill="auto"/>
          </w:tcPr>
          <w:p w14:paraId="205298A5"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080" w:type="dxa"/>
            <w:tcBorders>
              <w:top w:val="nil"/>
              <w:bottom w:val="single" w:sz="4" w:space="0" w:color="auto"/>
            </w:tcBorders>
          </w:tcPr>
          <w:p w14:paraId="1BB6A293"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380" w:type="dxa"/>
            <w:tcBorders>
              <w:top w:val="nil"/>
              <w:bottom w:val="single" w:sz="4" w:space="0" w:color="auto"/>
            </w:tcBorders>
          </w:tcPr>
          <w:p w14:paraId="48879075" w14:textId="77777777" w:rsidR="002C0958" w:rsidRPr="00B30A12" w:rsidRDefault="002C0958" w:rsidP="00AD54DF">
            <w:pPr>
              <w:pStyle w:val="Table"/>
              <w:keepLines w:val="0"/>
              <w:widowControl w:val="0"/>
              <w:rPr>
                <w:rFonts w:ascii="Times New Roman" w:hAnsi="Times New Roman"/>
                <w:color w:val="000000"/>
                <w:sz w:val="22"/>
                <w:szCs w:val="22"/>
              </w:rPr>
            </w:pPr>
          </w:p>
        </w:tc>
        <w:tc>
          <w:tcPr>
            <w:tcW w:w="1620" w:type="dxa"/>
            <w:tcBorders>
              <w:top w:val="nil"/>
              <w:bottom w:val="single" w:sz="4" w:space="0" w:color="auto"/>
            </w:tcBorders>
          </w:tcPr>
          <w:p w14:paraId="13BDB50B" w14:textId="77777777" w:rsidR="002C0958" w:rsidRPr="00B30A12" w:rsidRDefault="002C0958" w:rsidP="00AD54DF">
            <w:pPr>
              <w:pStyle w:val="Table"/>
              <w:keepLines w:val="0"/>
              <w:widowControl w:val="0"/>
              <w:rPr>
                <w:rFonts w:ascii="Times New Roman" w:hAnsi="Times New Roman"/>
                <w:color w:val="000000"/>
                <w:sz w:val="22"/>
                <w:szCs w:val="22"/>
              </w:rPr>
            </w:pPr>
          </w:p>
        </w:tc>
      </w:tr>
      <w:tr w:rsidR="002C0958" w:rsidRPr="00B30A12" w14:paraId="5D15EB70" w14:textId="77777777" w:rsidTr="00AD54DF">
        <w:trPr>
          <w:cantSplit/>
        </w:trPr>
        <w:tc>
          <w:tcPr>
            <w:tcW w:w="2148" w:type="dxa"/>
            <w:tcBorders>
              <w:top w:val="nil"/>
              <w:bottom w:val="single" w:sz="4" w:space="0" w:color="auto"/>
            </w:tcBorders>
            <w:shd w:val="clear" w:color="auto" w:fill="auto"/>
          </w:tcPr>
          <w:p w14:paraId="2BFF7008" w14:textId="77777777" w:rsidR="002C0958" w:rsidRPr="00B30A12" w:rsidRDefault="002C0958" w:rsidP="00AD54DF">
            <w:pPr>
              <w:pStyle w:val="Table"/>
              <w:keepLines w:val="0"/>
              <w:widowControl w:val="0"/>
              <w:jc w:val="both"/>
              <w:rPr>
                <w:rFonts w:ascii="Times New Roman" w:hAnsi="Times New Roman"/>
                <w:color w:val="000000"/>
                <w:sz w:val="22"/>
                <w:szCs w:val="22"/>
              </w:rPr>
            </w:pPr>
            <w:r w:rsidRPr="00B30A12">
              <w:rPr>
                <w:rFonts w:ascii="Times New Roman" w:hAnsi="Times New Roman"/>
                <w:color w:val="000000"/>
                <w:sz w:val="22"/>
                <w:szCs w:val="22"/>
              </w:rPr>
              <w:t>Induktionstherapie</w:t>
            </w:r>
          </w:p>
        </w:tc>
        <w:tc>
          <w:tcPr>
            <w:tcW w:w="6732" w:type="dxa"/>
            <w:gridSpan w:val="4"/>
            <w:tcBorders>
              <w:top w:val="nil"/>
              <w:bottom w:val="single" w:sz="4" w:space="0" w:color="auto"/>
            </w:tcBorders>
            <w:shd w:val="clear" w:color="auto" w:fill="auto"/>
          </w:tcPr>
          <w:p w14:paraId="0179BEB3"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1,2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(3 h), Tag 1;</w:t>
            </w:r>
          </w:p>
          <w:p w14:paraId="369579B2" w14:textId="77777777" w:rsidR="005012B2"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Daunorubicin 60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(1 h), Tag 1-3;</w:t>
            </w:r>
          </w:p>
          <w:p w14:paraId="1F6A8300" w14:textId="77777777" w:rsidR="005012B2" w:rsidRPr="00B30A12" w:rsidRDefault="002C0958" w:rsidP="00AD54DF">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Vincristin 1,3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Tage 1, 8, 15, 21;</w:t>
            </w:r>
          </w:p>
          <w:p w14:paraId="54305411" w14:textId="77777777" w:rsidR="002C0958" w:rsidRPr="002A051A" w:rsidRDefault="002C0958" w:rsidP="00AD54DF">
            <w:pPr>
              <w:pStyle w:val="Table"/>
              <w:keepLines w:val="0"/>
              <w:widowControl w:val="0"/>
              <w:rPr>
                <w:rFonts w:ascii="Times New Roman" w:hAnsi="Times New Roman"/>
                <w:color w:val="000000"/>
                <w:sz w:val="22"/>
                <w:szCs w:val="22"/>
                <w:lang w:val="de-DE"/>
              </w:rPr>
            </w:pPr>
            <w:r w:rsidRPr="002A051A">
              <w:rPr>
                <w:rFonts w:ascii="Times New Roman" w:hAnsi="Times New Roman"/>
                <w:color w:val="000000"/>
                <w:sz w:val="22"/>
                <w:szCs w:val="22"/>
                <w:lang w:val="de-DE"/>
              </w:rPr>
              <w:t>Prednisolon 60 mg/m</w:t>
            </w:r>
            <w:r w:rsidRPr="002A051A">
              <w:rPr>
                <w:rFonts w:ascii="Times New Roman" w:hAnsi="Times New Roman"/>
                <w:color w:val="000000"/>
                <w:sz w:val="22"/>
                <w:szCs w:val="22"/>
                <w:vertAlign w:val="superscript"/>
                <w:lang w:val="de-DE"/>
              </w:rPr>
              <w:t>2</w:t>
            </w:r>
            <w:r w:rsidRPr="002A051A">
              <w:rPr>
                <w:rFonts w:ascii="Times New Roman" w:hAnsi="Times New Roman"/>
                <w:color w:val="000000"/>
                <w:sz w:val="22"/>
                <w:szCs w:val="22"/>
                <w:lang w:val="de-DE"/>
              </w:rPr>
              <w:t>/Tag oral</w:t>
            </w:r>
          </w:p>
        </w:tc>
      </w:tr>
      <w:tr w:rsidR="002C0958" w:rsidRPr="00B30A12" w14:paraId="1663E189" w14:textId="77777777" w:rsidTr="00AD54DF">
        <w:trPr>
          <w:cantSplit/>
        </w:trPr>
        <w:tc>
          <w:tcPr>
            <w:tcW w:w="2148" w:type="dxa"/>
            <w:tcBorders>
              <w:top w:val="single" w:sz="4" w:space="0" w:color="auto"/>
              <w:bottom w:val="single" w:sz="4" w:space="0" w:color="auto"/>
            </w:tcBorders>
            <w:shd w:val="clear" w:color="auto" w:fill="auto"/>
          </w:tcPr>
          <w:p w14:paraId="2CF60AAB" w14:textId="77777777" w:rsidR="002C0958" w:rsidRPr="00B30A12" w:rsidRDefault="002C0958" w:rsidP="00AD54DF">
            <w:pPr>
              <w:pStyle w:val="Table"/>
              <w:keepLines w:val="0"/>
              <w:widowControl w:val="0"/>
              <w:tabs>
                <w:tab w:val="left" w:pos="0"/>
              </w:tabs>
              <w:rPr>
                <w:rFonts w:ascii="Times New Roman" w:hAnsi="Times New Roman"/>
                <w:color w:val="000000"/>
                <w:sz w:val="22"/>
                <w:szCs w:val="22"/>
              </w:rPr>
            </w:pPr>
            <w:r w:rsidRPr="00B30A12">
              <w:rPr>
                <w:rFonts w:ascii="Times New Roman" w:hAnsi="Times New Roman"/>
                <w:color w:val="000000"/>
                <w:sz w:val="22"/>
                <w:szCs w:val="22"/>
              </w:rPr>
              <w:t>Konsolidierungs-therapie</w:t>
            </w:r>
          </w:p>
        </w:tc>
        <w:tc>
          <w:tcPr>
            <w:tcW w:w="6732" w:type="dxa"/>
            <w:gridSpan w:val="4"/>
            <w:tcBorders>
              <w:top w:val="single" w:sz="4" w:space="0" w:color="auto"/>
              <w:bottom w:val="single" w:sz="4" w:space="0" w:color="auto"/>
            </w:tcBorders>
            <w:shd w:val="clear" w:color="auto" w:fill="auto"/>
          </w:tcPr>
          <w:p w14:paraId="760419EF" w14:textId="77777777" w:rsidR="002C0958" w:rsidRPr="00B30A12" w:rsidRDefault="002C0958" w:rsidP="00AD54DF">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Alternierender Chemotherapiezyklus: Hochdosis-Chemotherapie mit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 und Ara-C 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(q 12 h), Tage 2-3, über 4 Zyklen</w:t>
            </w:r>
          </w:p>
        </w:tc>
      </w:tr>
      <w:tr w:rsidR="002C0958" w:rsidRPr="009D20BB" w14:paraId="7B69C179" w14:textId="77777777" w:rsidTr="00AD54DF">
        <w:trPr>
          <w:cantSplit/>
        </w:trPr>
        <w:tc>
          <w:tcPr>
            <w:tcW w:w="2148" w:type="dxa"/>
            <w:tcBorders>
              <w:top w:val="single" w:sz="4" w:space="0" w:color="auto"/>
              <w:bottom w:val="single" w:sz="4" w:space="0" w:color="auto"/>
            </w:tcBorders>
            <w:shd w:val="clear" w:color="auto" w:fill="auto"/>
          </w:tcPr>
          <w:p w14:paraId="10CFF40D" w14:textId="77777777" w:rsidR="002C0958" w:rsidRPr="00B30A12" w:rsidRDefault="002C0958" w:rsidP="00537E23">
            <w:pPr>
              <w:pStyle w:val="Table"/>
              <w:keepNext w:val="0"/>
              <w:keepLines w:val="0"/>
              <w:widowControl w:val="0"/>
              <w:tabs>
                <w:tab w:val="left" w:pos="0"/>
              </w:tabs>
              <w:rPr>
                <w:rFonts w:ascii="Times New Roman" w:hAnsi="Times New Roman"/>
                <w:color w:val="000000"/>
                <w:sz w:val="22"/>
                <w:szCs w:val="22"/>
              </w:rPr>
            </w:pPr>
            <w:r w:rsidRPr="00B30A12">
              <w:rPr>
                <w:rFonts w:ascii="Times New Roman" w:hAnsi="Times New Roman"/>
                <w:color w:val="000000"/>
                <w:sz w:val="22"/>
                <w:szCs w:val="22"/>
              </w:rPr>
              <w:t>Erhaltung</w:t>
            </w:r>
          </w:p>
        </w:tc>
        <w:tc>
          <w:tcPr>
            <w:tcW w:w="6732" w:type="dxa"/>
            <w:gridSpan w:val="4"/>
            <w:tcBorders>
              <w:top w:val="single" w:sz="4" w:space="0" w:color="auto"/>
              <w:bottom w:val="single" w:sz="4" w:space="0" w:color="auto"/>
            </w:tcBorders>
            <w:shd w:val="clear" w:color="auto" w:fill="auto"/>
          </w:tcPr>
          <w:p w14:paraId="14D261CE" w14:textId="77777777" w:rsidR="005012B2" w:rsidRPr="00B30A12" w:rsidRDefault="002C0958" w:rsidP="00537E23">
            <w:pPr>
              <w:pStyle w:val="Table"/>
              <w:keepNext w:val="0"/>
              <w:keepLines w:val="0"/>
              <w:widowControl w:val="0"/>
              <w:rPr>
                <w:rFonts w:ascii="Times New Roman" w:hAnsi="Times New Roman"/>
                <w:color w:val="000000"/>
                <w:sz w:val="22"/>
                <w:szCs w:val="22"/>
                <w:lang w:val="sv-SE"/>
              </w:rPr>
            </w:pPr>
            <w:smartTag w:uri="urn:schemas-microsoft-com:office:smarttags" w:element="stockticker">
              <w:r w:rsidRPr="00B30A12">
                <w:rPr>
                  <w:rFonts w:ascii="Times New Roman" w:hAnsi="Times New Roman"/>
                  <w:color w:val="000000"/>
                  <w:sz w:val="22"/>
                  <w:szCs w:val="22"/>
                  <w:lang w:val="sv-SE"/>
                </w:rPr>
                <w:t>VCR</w:t>
              </w:r>
            </w:smartTag>
            <w:r w:rsidRPr="00B30A12">
              <w:rPr>
                <w:rFonts w:ascii="Times New Roman" w:hAnsi="Times New Roman"/>
                <w:color w:val="000000"/>
                <w:sz w:val="22"/>
                <w:szCs w:val="22"/>
                <w:lang w:val="sv-SE"/>
              </w:rPr>
              <w:t xml:space="preserve"> 1,3 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i.v., Tag 1;</w:t>
            </w:r>
          </w:p>
          <w:p w14:paraId="65FECF76" w14:textId="77777777" w:rsidR="002C0958" w:rsidRPr="00B30A12" w:rsidRDefault="002C0958" w:rsidP="00537E23">
            <w:pPr>
              <w:pStyle w:val="Table"/>
              <w:keepNext w:val="0"/>
              <w:keepLines w:val="0"/>
              <w:widowControl w:val="0"/>
              <w:rPr>
                <w:rFonts w:ascii="Times New Roman" w:hAnsi="Times New Roman"/>
                <w:color w:val="000000"/>
                <w:sz w:val="22"/>
                <w:szCs w:val="22"/>
                <w:lang w:val="sv-SE"/>
              </w:rPr>
            </w:pPr>
            <w:r w:rsidRPr="00B30A12">
              <w:rPr>
                <w:rFonts w:ascii="Times New Roman" w:hAnsi="Times New Roman"/>
                <w:color w:val="000000"/>
                <w:sz w:val="22"/>
                <w:szCs w:val="22"/>
                <w:lang w:val="sv-SE"/>
              </w:rPr>
              <w:t>Prednisolon 60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oral, Tage 1-5</w:t>
            </w:r>
          </w:p>
        </w:tc>
      </w:tr>
      <w:tr w:rsidR="002C0958" w:rsidRPr="00B30A12" w14:paraId="182C1793" w14:textId="77777777" w:rsidTr="00AD54DF">
        <w:trPr>
          <w:cantSplit/>
        </w:trPr>
        <w:tc>
          <w:tcPr>
            <w:tcW w:w="4800" w:type="dxa"/>
            <w:gridSpan w:val="2"/>
            <w:tcBorders>
              <w:top w:val="single" w:sz="4" w:space="0" w:color="auto"/>
              <w:bottom w:val="single" w:sz="4" w:space="0" w:color="auto"/>
            </w:tcBorders>
            <w:shd w:val="clear" w:color="auto" w:fill="auto"/>
          </w:tcPr>
          <w:p w14:paraId="23303678" w14:textId="77777777" w:rsidR="002C0958" w:rsidRPr="00B30A12" w:rsidRDefault="002C0958" w:rsidP="007A2B84">
            <w:pPr>
              <w:pStyle w:val="Table"/>
              <w:keepLines w:val="0"/>
              <w:widowControl w:val="0"/>
              <w:rPr>
                <w:rFonts w:ascii="Times New Roman" w:hAnsi="Times New Roman"/>
                <w:color w:val="000000"/>
                <w:sz w:val="22"/>
                <w:szCs w:val="22"/>
              </w:rPr>
            </w:pPr>
            <w:r w:rsidRPr="00B30A12">
              <w:rPr>
                <w:rFonts w:ascii="Times New Roman" w:hAnsi="Times New Roman"/>
                <w:b/>
                <w:color w:val="000000"/>
                <w:sz w:val="22"/>
                <w:szCs w:val="22"/>
              </w:rPr>
              <w:lastRenderedPageBreak/>
              <w:t>Studie AUS01</w:t>
            </w:r>
          </w:p>
        </w:tc>
        <w:tc>
          <w:tcPr>
            <w:tcW w:w="1080" w:type="dxa"/>
            <w:tcBorders>
              <w:top w:val="single" w:sz="4" w:space="0" w:color="auto"/>
              <w:bottom w:val="single" w:sz="4" w:space="0" w:color="auto"/>
            </w:tcBorders>
          </w:tcPr>
          <w:p w14:paraId="0BA668A6" w14:textId="77777777" w:rsidR="002C0958" w:rsidRPr="00B30A12" w:rsidRDefault="002C0958" w:rsidP="007A2B84">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0A094D9F" w14:textId="77777777" w:rsidR="002C0958" w:rsidRPr="00B30A12" w:rsidRDefault="002C0958" w:rsidP="007A2B84">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21F391C6" w14:textId="77777777" w:rsidR="002C0958" w:rsidRPr="00B30A12" w:rsidRDefault="002C0958" w:rsidP="007A2B84">
            <w:pPr>
              <w:pStyle w:val="Table"/>
              <w:keepLines w:val="0"/>
              <w:widowControl w:val="0"/>
              <w:rPr>
                <w:rFonts w:ascii="Times New Roman" w:hAnsi="Times New Roman"/>
                <w:color w:val="000000"/>
                <w:sz w:val="22"/>
                <w:szCs w:val="22"/>
              </w:rPr>
            </w:pPr>
          </w:p>
        </w:tc>
      </w:tr>
      <w:tr w:rsidR="002C0958" w:rsidRPr="00B30A12" w14:paraId="6E019620" w14:textId="77777777" w:rsidTr="00AD54DF">
        <w:trPr>
          <w:cantSplit/>
        </w:trPr>
        <w:tc>
          <w:tcPr>
            <w:tcW w:w="2148" w:type="dxa"/>
            <w:tcBorders>
              <w:top w:val="single" w:sz="4" w:space="0" w:color="auto"/>
              <w:bottom w:val="single" w:sz="4" w:space="0" w:color="auto"/>
            </w:tcBorders>
            <w:shd w:val="clear" w:color="auto" w:fill="auto"/>
          </w:tcPr>
          <w:p w14:paraId="6E91102E" w14:textId="77777777" w:rsidR="002C0958" w:rsidRPr="00B30A12" w:rsidRDefault="002C0958" w:rsidP="007A2B84">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Induktions-Konsolidierungs-therapie</w:t>
            </w:r>
          </w:p>
        </w:tc>
        <w:tc>
          <w:tcPr>
            <w:tcW w:w="6732" w:type="dxa"/>
            <w:gridSpan w:val="4"/>
            <w:tcBorders>
              <w:top w:val="single" w:sz="4" w:space="0" w:color="auto"/>
              <w:bottom w:val="single" w:sz="4" w:space="0" w:color="auto"/>
            </w:tcBorders>
            <w:shd w:val="clear" w:color="auto" w:fill="auto"/>
          </w:tcPr>
          <w:p w14:paraId="4E26B43D" w14:textId="77777777" w:rsidR="005012B2" w:rsidRPr="00B30A12" w:rsidRDefault="002C0958" w:rsidP="007A2B84">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Hyper-CVAD-Regime: CP 300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(3 h, q 12 h), Tage 1-3; Vincristin 2 mg i.v., Tage 4, 11;</w:t>
            </w:r>
          </w:p>
          <w:p w14:paraId="3DDD67FE" w14:textId="77777777" w:rsidR="005012B2" w:rsidRPr="00B30A12" w:rsidRDefault="002C0958" w:rsidP="007A2B84">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Doxorubicin 50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(24 h), Tag 4;</w:t>
            </w:r>
          </w:p>
          <w:p w14:paraId="71EB6153" w14:textId="77777777" w:rsidR="002C0958" w:rsidRPr="00B30A12" w:rsidRDefault="002C0958" w:rsidP="007A2B84">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DEX 40 mg/Tag an den Tagen 1-4 und 11-14, alternierend mit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 Ara-C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 h, q 12 h), Tage 2-3 (insgesamt 8 Zyklen)</w:t>
            </w:r>
          </w:p>
        </w:tc>
      </w:tr>
      <w:tr w:rsidR="002C0958" w:rsidRPr="00B30A12" w14:paraId="682060B2" w14:textId="77777777" w:rsidTr="00AD54DF">
        <w:trPr>
          <w:cantSplit/>
        </w:trPr>
        <w:tc>
          <w:tcPr>
            <w:tcW w:w="2148" w:type="dxa"/>
            <w:tcBorders>
              <w:top w:val="single" w:sz="4" w:space="0" w:color="auto"/>
              <w:bottom w:val="single" w:sz="4" w:space="0" w:color="auto"/>
            </w:tcBorders>
            <w:shd w:val="clear" w:color="auto" w:fill="auto"/>
          </w:tcPr>
          <w:p w14:paraId="4DE935E5" w14:textId="77777777" w:rsidR="002C0958" w:rsidRPr="00B30A12" w:rsidRDefault="002C0958" w:rsidP="007A2B84">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Erhaltung</w:t>
            </w:r>
          </w:p>
        </w:tc>
        <w:tc>
          <w:tcPr>
            <w:tcW w:w="6732" w:type="dxa"/>
            <w:gridSpan w:val="4"/>
            <w:tcBorders>
              <w:top w:val="single" w:sz="4" w:space="0" w:color="auto"/>
              <w:bottom w:val="single" w:sz="4" w:space="0" w:color="auto"/>
            </w:tcBorders>
            <w:shd w:val="clear" w:color="auto" w:fill="auto"/>
          </w:tcPr>
          <w:p w14:paraId="06C57E2B" w14:textId="77777777" w:rsidR="005012B2" w:rsidRPr="00B30A12" w:rsidRDefault="002C0958" w:rsidP="007A2B84">
            <w:pPr>
              <w:pStyle w:val="Table"/>
              <w:keepLines w:val="0"/>
              <w:widowControl w:val="0"/>
              <w:rPr>
                <w:rFonts w:ascii="Times New Roman" w:hAnsi="Times New Roman"/>
                <w:color w:val="000000"/>
                <w:sz w:val="22"/>
                <w:szCs w:val="22"/>
                <w:lang w:val="de-DE"/>
              </w:rPr>
            </w:pPr>
            <w:smartTag w:uri="urn:schemas-microsoft-com:office:smarttags" w:element="stockticker">
              <w:r w:rsidRPr="00B30A12">
                <w:rPr>
                  <w:rFonts w:ascii="Times New Roman" w:hAnsi="Times New Roman"/>
                  <w:color w:val="000000"/>
                  <w:sz w:val="22"/>
                  <w:szCs w:val="22"/>
                  <w:lang w:val="de-DE"/>
                </w:rPr>
                <w:t>VCR</w:t>
              </w:r>
            </w:smartTag>
            <w:r w:rsidRPr="00B30A12">
              <w:rPr>
                <w:rFonts w:ascii="Times New Roman" w:hAnsi="Times New Roman"/>
                <w:color w:val="000000"/>
                <w:sz w:val="22"/>
                <w:szCs w:val="22"/>
                <w:lang w:val="de-DE"/>
              </w:rPr>
              <w:t xml:space="preserve"> 2 mg i.v. monatlich über 13 Monate;</w:t>
            </w:r>
          </w:p>
          <w:p w14:paraId="6185E148" w14:textId="77777777" w:rsidR="002C0958" w:rsidRPr="00B30A12" w:rsidRDefault="002C0958" w:rsidP="007A2B84">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Prednisolon 200 mg oral, 5 Tage pro Monat über 13 Monate</w:t>
            </w:r>
          </w:p>
        </w:tc>
      </w:tr>
      <w:tr w:rsidR="002C0958" w:rsidRPr="00B30A12" w14:paraId="1F045087" w14:textId="77777777" w:rsidTr="00AD54DF">
        <w:trPr>
          <w:cantSplit/>
        </w:trPr>
        <w:tc>
          <w:tcPr>
            <w:tcW w:w="8880" w:type="dxa"/>
            <w:gridSpan w:val="5"/>
            <w:tcBorders>
              <w:top w:val="single" w:sz="4" w:space="0" w:color="auto"/>
              <w:bottom w:val="single" w:sz="4" w:space="0" w:color="auto"/>
            </w:tcBorders>
            <w:shd w:val="clear" w:color="auto" w:fill="auto"/>
          </w:tcPr>
          <w:p w14:paraId="3D2A68D4" w14:textId="77777777" w:rsidR="002C0958" w:rsidRPr="00B30A12" w:rsidRDefault="002C0958" w:rsidP="007A2B84">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Alle Behandlungsregime schließen die Gabe von Steroiden zur ZNS-Prophylaxe ein.</w:t>
            </w:r>
          </w:p>
        </w:tc>
      </w:tr>
      <w:tr w:rsidR="002C0958" w:rsidRPr="00B30A12" w14:paraId="16A6BA69" w14:textId="77777777" w:rsidTr="00AD54DF">
        <w:trPr>
          <w:cantSplit/>
        </w:trPr>
        <w:tc>
          <w:tcPr>
            <w:tcW w:w="8880" w:type="dxa"/>
            <w:gridSpan w:val="5"/>
            <w:tcBorders>
              <w:top w:val="single" w:sz="4" w:space="0" w:color="auto"/>
              <w:bottom w:val="single" w:sz="4" w:space="0" w:color="auto"/>
            </w:tcBorders>
            <w:shd w:val="clear" w:color="auto" w:fill="auto"/>
          </w:tcPr>
          <w:p w14:paraId="039217C6" w14:textId="77777777" w:rsidR="002C0958" w:rsidRPr="00B30A12" w:rsidRDefault="002C0958" w:rsidP="00537E23">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Ara-C: Cytosinarabinosid; CP: Cyclophosphamid; DEX: Dexamethason;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Methotrexat; 6-MP: 6-Mercaptopurin; VM26: Teniposid; </w:t>
            </w:r>
            <w:smartTag w:uri="urn:schemas-microsoft-com:office:smarttags" w:element="stockticker">
              <w:r w:rsidRPr="00B30A12">
                <w:rPr>
                  <w:rFonts w:ascii="Times New Roman" w:hAnsi="Times New Roman"/>
                  <w:color w:val="000000"/>
                  <w:sz w:val="22"/>
                  <w:szCs w:val="22"/>
                  <w:lang w:val="de-DE"/>
                </w:rPr>
                <w:t>VCR</w:t>
              </w:r>
            </w:smartTag>
            <w:r w:rsidRPr="00B30A12">
              <w:rPr>
                <w:rFonts w:ascii="Times New Roman" w:hAnsi="Times New Roman"/>
                <w:color w:val="000000"/>
                <w:sz w:val="22"/>
                <w:szCs w:val="22"/>
                <w:lang w:val="de-DE"/>
              </w:rPr>
              <w:t xml:space="preserve">: Vincristin; </w:t>
            </w:r>
            <w:smartTag w:uri="urn:schemas-microsoft-com:office:smarttags" w:element="stockticker">
              <w:r w:rsidRPr="00B30A12">
                <w:rPr>
                  <w:rFonts w:ascii="Times New Roman" w:hAnsi="Times New Roman"/>
                  <w:color w:val="000000"/>
                  <w:sz w:val="22"/>
                  <w:szCs w:val="22"/>
                  <w:lang w:val="de-DE"/>
                </w:rPr>
                <w:t>IDA</w:t>
              </w:r>
            </w:smartTag>
            <w:r w:rsidRPr="00B30A12">
              <w:rPr>
                <w:rFonts w:ascii="Times New Roman" w:hAnsi="Times New Roman"/>
                <w:color w:val="000000"/>
                <w:sz w:val="22"/>
                <w:szCs w:val="22"/>
                <w:lang w:val="de-DE"/>
              </w:rPr>
              <w:t>: Idarubicin; i.v.: intravenös</w:t>
            </w:r>
          </w:p>
        </w:tc>
      </w:tr>
    </w:tbl>
    <w:p w14:paraId="1549F975" w14:textId="77777777" w:rsidR="002C0958" w:rsidRPr="00B30A12" w:rsidRDefault="002C0958" w:rsidP="00537E23">
      <w:pPr>
        <w:pStyle w:val="EndnoteText"/>
        <w:widowControl w:val="0"/>
        <w:rPr>
          <w:color w:val="000000"/>
          <w:sz w:val="22"/>
          <w:szCs w:val="22"/>
          <w:lang w:val="de-DE"/>
        </w:rPr>
      </w:pPr>
    </w:p>
    <w:p w14:paraId="51F3B088" w14:textId="77777777" w:rsidR="007D16E4" w:rsidRPr="00B30A12" w:rsidRDefault="007D16E4" w:rsidP="00537E23">
      <w:pPr>
        <w:pStyle w:val="EndnoteText"/>
        <w:widowControl w:val="0"/>
        <w:rPr>
          <w:color w:val="000000"/>
          <w:sz w:val="22"/>
          <w:szCs w:val="22"/>
          <w:lang w:val="de-DE"/>
        </w:rPr>
      </w:pPr>
      <w:r w:rsidRPr="00B30A12">
        <w:rPr>
          <w:i/>
          <w:color w:val="000000"/>
          <w:sz w:val="22"/>
          <w:szCs w:val="22"/>
          <w:lang w:val="de-DE"/>
        </w:rPr>
        <w:t>Kinder:</w:t>
      </w:r>
      <w:r w:rsidRPr="00B30A12">
        <w:rPr>
          <w:color w:val="000000"/>
          <w:sz w:val="22"/>
          <w:szCs w:val="22"/>
          <w:lang w:val="de-DE"/>
        </w:rPr>
        <w:t xml:space="preserve"> In d</w:t>
      </w:r>
      <w:r w:rsidR="002F5D50" w:rsidRPr="00B30A12">
        <w:rPr>
          <w:color w:val="000000"/>
          <w:sz w:val="22"/>
          <w:szCs w:val="22"/>
          <w:lang w:val="de-DE"/>
        </w:rPr>
        <w:t>er</w:t>
      </w:r>
      <w:r w:rsidRPr="00B30A12">
        <w:rPr>
          <w:color w:val="000000"/>
          <w:sz w:val="22"/>
          <w:szCs w:val="22"/>
          <w:lang w:val="de-DE"/>
        </w:rPr>
        <w:t xml:space="preserve"> Studie I2301</w:t>
      </w:r>
      <w:r w:rsidR="00611D2E" w:rsidRPr="00B30A12">
        <w:rPr>
          <w:color w:val="000000"/>
          <w:sz w:val="22"/>
          <w:szCs w:val="22"/>
          <w:lang w:val="de-DE"/>
        </w:rPr>
        <w:t xml:space="preserve"> w</w:t>
      </w:r>
      <w:r w:rsidR="00795D02" w:rsidRPr="00B30A12">
        <w:rPr>
          <w:color w:val="000000"/>
          <w:sz w:val="22"/>
          <w:szCs w:val="22"/>
          <w:lang w:val="de-DE"/>
        </w:rPr>
        <w:t>urde</w:t>
      </w:r>
      <w:r w:rsidR="00611D2E" w:rsidRPr="00B30A12">
        <w:rPr>
          <w:color w:val="000000"/>
          <w:sz w:val="22"/>
          <w:szCs w:val="22"/>
          <w:lang w:val="de-DE"/>
        </w:rPr>
        <w:t xml:space="preserve"> eine Gesamtanzahl von 93</w:t>
      </w:r>
      <w:r w:rsidR="00FA0041" w:rsidRPr="00B30A12">
        <w:rPr>
          <w:color w:val="000000"/>
          <w:sz w:val="22"/>
          <w:szCs w:val="22"/>
          <w:lang w:val="de-DE"/>
        </w:rPr>
        <w:t> </w:t>
      </w:r>
      <w:r w:rsidR="00611D2E" w:rsidRPr="00B30A12">
        <w:rPr>
          <w:color w:val="000000"/>
          <w:sz w:val="22"/>
          <w:szCs w:val="22"/>
          <w:lang w:val="de-DE"/>
        </w:rPr>
        <w:t>Kindern, Jugendlichen und jungen erwachsenen Patienten (</w:t>
      </w:r>
      <w:r w:rsidR="00795D02" w:rsidRPr="00B30A12">
        <w:rPr>
          <w:color w:val="000000"/>
          <w:sz w:val="22"/>
          <w:szCs w:val="22"/>
          <w:lang w:val="de-DE"/>
        </w:rPr>
        <w:t xml:space="preserve">im Alter </w:t>
      </w:r>
      <w:r w:rsidR="00611D2E" w:rsidRPr="00B30A12">
        <w:rPr>
          <w:color w:val="000000"/>
          <w:sz w:val="22"/>
          <w:szCs w:val="22"/>
          <w:lang w:val="de-DE"/>
        </w:rPr>
        <w:t>von 1 bis 22 Jahren) mit Ph+ ALL in eine offene, multizentrische, sequen</w:t>
      </w:r>
      <w:r w:rsidR="00D8182A" w:rsidRPr="00B30A12">
        <w:rPr>
          <w:color w:val="000000"/>
          <w:sz w:val="22"/>
          <w:szCs w:val="22"/>
          <w:lang w:val="de-DE"/>
        </w:rPr>
        <w:t>z</w:t>
      </w:r>
      <w:r w:rsidR="00611D2E" w:rsidRPr="00B30A12">
        <w:rPr>
          <w:color w:val="000000"/>
          <w:sz w:val="22"/>
          <w:szCs w:val="22"/>
          <w:lang w:val="de-DE"/>
        </w:rPr>
        <w:t>ielle</w:t>
      </w:r>
      <w:r w:rsidR="00025F64" w:rsidRPr="00B30A12">
        <w:rPr>
          <w:color w:val="000000"/>
          <w:sz w:val="22"/>
          <w:szCs w:val="22"/>
          <w:lang w:val="de-DE"/>
        </w:rPr>
        <w:t>,</w:t>
      </w:r>
      <w:r w:rsidR="00611D2E" w:rsidRPr="00B30A12">
        <w:rPr>
          <w:color w:val="000000"/>
          <w:sz w:val="22"/>
          <w:szCs w:val="22"/>
          <w:lang w:val="de-DE"/>
        </w:rPr>
        <w:t xml:space="preserve"> </w:t>
      </w:r>
      <w:r w:rsidR="003B6284" w:rsidRPr="00B30A12">
        <w:rPr>
          <w:color w:val="000000"/>
          <w:sz w:val="22"/>
          <w:szCs w:val="22"/>
          <w:lang w:val="de-DE"/>
        </w:rPr>
        <w:t>nicht-randomisierte Phase</w:t>
      </w:r>
      <w:r w:rsidR="00D8182A" w:rsidRPr="00B30A12">
        <w:rPr>
          <w:color w:val="000000"/>
          <w:sz w:val="22"/>
          <w:szCs w:val="22"/>
          <w:lang w:val="de-DE"/>
        </w:rPr>
        <w:t>-</w:t>
      </w:r>
      <w:r w:rsidR="003B6284" w:rsidRPr="00B30A12">
        <w:rPr>
          <w:color w:val="000000"/>
          <w:sz w:val="22"/>
          <w:szCs w:val="22"/>
          <w:lang w:val="de-DE"/>
        </w:rPr>
        <w:t>III-</w:t>
      </w:r>
      <w:r w:rsidR="00025F64" w:rsidRPr="00B30A12">
        <w:rPr>
          <w:color w:val="000000"/>
          <w:sz w:val="22"/>
          <w:szCs w:val="22"/>
          <w:lang w:val="de-DE"/>
        </w:rPr>
        <w:t>Kohortens</w:t>
      </w:r>
      <w:r w:rsidR="003B6284" w:rsidRPr="00B30A12">
        <w:rPr>
          <w:color w:val="000000"/>
          <w:sz w:val="22"/>
          <w:szCs w:val="22"/>
          <w:lang w:val="de-DE"/>
        </w:rPr>
        <w:t>tudie</w:t>
      </w:r>
      <w:r w:rsidR="00D8182A" w:rsidRPr="00B30A12">
        <w:rPr>
          <w:color w:val="000000"/>
          <w:sz w:val="22"/>
          <w:szCs w:val="22"/>
          <w:lang w:val="de-DE"/>
        </w:rPr>
        <w:t xml:space="preserve"> eingeschlossen und</w:t>
      </w:r>
      <w:r w:rsidR="00611D2E" w:rsidRPr="00B30A12">
        <w:rPr>
          <w:color w:val="000000"/>
          <w:sz w:val="22"/>
          <w:szCs w:val="22"/>
          <w:lang w:val="de-DE"/>
        </w:rPr>
        <w:t xml:space="preserve"> nach </w:t>
      </w:r>
      <w:r w:rsidR="003B6284" w:rsidRPr="00B30A12">
        <w:rPr>
          <w:color w:val="000000"/>
          <w:sz w:val="22"/>
          <w:szCs w:val="22"/>
          <w:lang w:val="de-DE"/>
        </w:rPr>
        <w:t xml:space="preserve">einer </w:t>
      </w:r>
      <w:r w:rsidR="00611D2E" w:rsidRPr="00B30A12">
        <w:rPr>
          <w:color w:val="000000"/>
          <w:sz w:val="22"/>
          <w:szCs w:val="22"/>
          <w:lang w:val="de-DE"/>
        </w:rPr>
        <w:t>Induktion</w:t>
      </w:r>
      <w:r w:rsidR="00D8182A" w:rsidRPr="00B30A12">
        <w:rPr>
          <w:color w:val="000000"/>
          <w:sz w:val="22"/>
          <w:szCs w:val="22"/>
          <w:lang w:val="de-DE"/>
        </w:rPr>
        <w:t>s</w:t>
      </w:r>
      <w:r w:rsidR="003B6284" w:rsidRPr="00B30A12">
        <w:rPr>
          <w:color w:val="000000"/>
          <w:sz w:val="22"/>
          <w:szCs w:val="22"/>
          <w:lang w:val="de-DE"/>
        </w:rPr>
        <w:t>-Phase</w:t>
      </w:r>
      <w:r w:rsidR="00611D2E" w:rsidRPr="00B30A12">
        <w:rPr>
          <w:color w:val="000000"/>
          <w:sz w:val="22"/>
          <w:szCs w:val="22"/>
          <w:lang w:val="de-DE"/>
        </w:rPr>
        <w:t xml:space="preserve"> mit Glivec (340 mg/m²/Tag) in Kombination mit </w:t>
      </w:r>
      <w:r w:rsidR="00D8182A" w:rsidRPr="00B30A12">
        <w:rPr>
          <w:color w:val="000000"/>
          <w:sz w:val="22"/>
          <w:szCs w:val="22"/>
          <w:lang w:val="de-DE"/>
        </w:rPr>
        <w:t xml:space="preserve">einer </w:t>
      </w:r>
      <w:r w:rsidR="00611D2E" w:rsidRPr="00B30A12">
        <w:rPr>
          <w:color w:val="000000"/>
          <w:sz w:val="22"/>
          <w:szCs w:val="22"/>
          <w:lang w:val="de-DE"/>
        </w:rPr>
        <w:t>intensive</w:t>
      </w:r>
      <w:r w:rsidR="00D8182A" w:rsidRPr="00B30A12">
        <w:rPr>
          <w:color w:val="000000"/>
          <w:sz w:val="22"/>
          <w:szCs w:val="22"/>
          <w:lang w:val="de-DE"/>
        </w:rPr>
        <w:t>n</w:t>
      </w:r>
      <w:r w:rsidR="00611D2E" w:rsidRPr="00B30A12">
        <w:rPr>
          <w:color w:val="000000"/>
          <w:sz w:val="22"/>
          <w:szCs w:val="22"/>
          <w:lang w:val="de-DE"/>
        </w:rPr>
        <w:t xml:space="preserve"> Chemotherapie </w:t>
      </w:r>
      <w:r w:rsidR="002F5D50" w:rsidRPr="00B30A12">
        <w:rPr>
          <w:color w:val="000000"/>
          <w:sz w:val="22"/>
          <w:szCs w:val="22"/>
          <w:lang w:val="de-DE"/>
        </w:rPr>
        <w:t>behandelt</w:t>
      </w:r>
      <w:r w:rsidR="00611D2E" w:rsidRPr="00B30A12">
        <w:rPr>
          <w:color w:val="000000"/>
          <w:sz w:val="22"/>
          <w:szCs w:val="22"/>
          <w:lang w:val="de-DE"/>
        </w:rPr>
        <w:t>.</w:t>
      </w:r>
      <w:r w:rsidR="00DB132E" w:rsidRPr="00B30A12">
        <w:rPr>
          <w:color w:val="000000"/>
          <w:sz w:val="22"/>
          <w:szCs w:val="22"/>
          <w:lang w:val="de-DE"/>
        </w:rPr>
        <w:t xml:space="preserve"> Glivec wurde in </w:t>
      </w:r>
      <w:r w:rsidR="00795D02" w:rsidRPr="00B30A12">
        <w:rPr>
          <w:color w:val="000000"/>
          <w:sz w:val="22"/>
          <w:szCs w:val="22"/>
          <w:lang w:val="de-DE"/>
        </w:rPr>
        <w:t xml:space="preserve">den </w:t>
      </w:r>
      <w:r w:rsidR="00DB132E" w:rsidRPr="00B30A12">
        <w:rPr>
          <w:color w:val="000000"/>
          <w:sz w:val="22"/>
          <w:szCs w:val="22"/>
          <w:lang w:val="de-DE"/>
        </w:rPr>
        <w:t>Kohorten</w:t>
      </w:r>
      <w:r w:rsidR="00795D02" w:rsidRPr="00B30A12">
        <w:rPr>
          <w:color w:val="000000"/>
          <w:sz w:val="22"/>
          <w:szCs w:val="22"/>
          <w:lang w:val="de-DE"/>
        </w:rPr>
        <w:t> </w:t>
      </w:r>
      <w:r w:rsidR="00DB132E" w:rsidRPr="00B30A12">
        <w:rPr>
          <w:color w:val="000000"/>
          <w:sz w:val="22"/>
          <w:szCs w:val="22"/>
          <w:lang w:val="de-DE"/>
        </w:rPr>
        <w:t>1</w:t>
      </w:r>
      <w:r w:rsidR="00D8182A" w:rsidRPr="00B30A12">
        <w:rPr>
          <w:color w:val="000000"/>
          <w:sz w:val="22"/>
          <w:szCs w:val="22"/>
          <w:lang w:val="de-DE"/>
        </w:rPr>
        <w:t xml:space="preserve"> bis </w:t>
      </w:r>
      <w:r w:rsidR="00DB132E" w:rsidRPr="00B30A12">
        <w:rPr>
          <w:color w:val="000000"/>
          <w:sz w:val="22"/>
          <w:szCs w:val="22"/>
          <w:lang w:val="de-DE"/>
        </w:rPr>
        <w:t xml:space="preserve">5 </w:t>
      </w:r>
      <w:r w:rsidR="00D04029" w:rsidRPr="00B30A12">
        <w:rPr>
          <w:color w:val="000000"/>
          <w:sz w:val="22"/>
          <w:szCs w:val="22"/>
          <w:lang w:val="de-DE"/>
        </w:rPr>
        <w:t>intermittierend</w:t>
      </w:r>
      <w:r w:rsidR="00A0069C" w:rsidRPr="00B30A12">
        <w:rPr>
          <w:color w:val="000000"/>
          <w:sz w:val="22"/>
          <w:szCs w:val="22"/>
          <w:lang w:val="de-DE"/>
        </w:rPr>
        <w:t xml:space="preserve"> mit ansteigender Dauer und </w:t>
      </w:r>
      <w:r w:rsidR="00795D02" w:rsidRPr="00B30A12">
        <w:rPr>
          <w:color w:val="000000"/>
          <w:sz w:val="22"/>
          <w:szCs w:val="22"/>
          <w:lang w:val="de-DE"/>
        </w:rPr>
        <w:t xml:space="preserve">zunehmend </w:t>
      </w:r>
      <w:r w:rsidR="00A0069C" w:rsidRPr="00B30A12">
        <w:rPr>
          <w:color w:val="000000"/>
          <w:sz w:val="22"/>
          <w:szCs w:val="22"/>
          <w:lang w:val="de-DE"/>
        </w:rPr>
        <w:t xml:space="preserve">früherem </w:t>
      </w:r>
      <w:r w:rsidR="002F5D50" w:rsidRPr="00B30A12">
        <w:rPr>
          <w:color w:val="000000"/>
          <w:sz w:val="22"/>
          <w:szCs w:val="22"/>
          <w:lang w:val="de-DE"/>
        </w:rPr>
        <w:t>Behandlun</w:t>
      </w:r>
      <w:r w:rsidR="0088308C" w:rsidRPr="00B30A12">
        <w:rPr>
          <w:color w:val="000000"/>
          <w:sz w:val="22"/>
          <w:szCs w:val="22"/>
          <w:lang w:val="de-DE"/>
        </w:rPr>
        <w:t>g</w:t>
      </w:r>
      <w:r w:rsidR="002F5D50" w:rsidRPr="00B30A12">
        <w:rPr>
          <w:color w:val="000000"/>
          <w:sz w:val="22"/>
          <w:szCs w:val="22"/>
          <w:lang w:val="de-DE"/>
        </w:rPr>
        <w:t>ss</w:t>
      </w:r>
      <w:r w:rsidR="00A0069C" w:rsidRPr="00B30A12">
        <w:rPr>
          <w:color w:val="000000"/>
          <w:sz w:val="22"/>
          <w:szCs w:val="22"/>
          <w:lang w:val="de-DE"/>
        </w:rPr>
        <w:t>tart</w:t>
      </w:r>
      <w:r w:rsidR="00D04029" w:rsidRPr="00B30A12">
        <w:rPr>
          <w:color w:val="000000"/>
          <w:sz w:val="22"/>
          <w:szCs w:val="22"/>
          <w:lang w:val="de-DE"/>
        </w:rPr>
        <w:t xml:space="preserve"> </w:t>
      </w:r>
      <w:r w:rsidR="008338D9" w:rsidRPr="00B30A12">
        <w:rPr>
          <w:color w:val="000000"/>
          <w:sz w:val="22"/>
          <w:szCs w:val="22"/>
          <w:lang w:val="de-DE"/>
        </w:rPr>
        <w:t>von Kohorte zu Kohorte vera</w:t>
      </w:r>
      <w:r w:rsidR="00A0069C" w:rsidRPr="00B30A12">
        <w:rPr>
          <w:color w:val="000000"/>
          <w:sz w:val="22"/>
          <w:szCs w:val="22"/>
          <w:lang w:val="de-DE"/>
        </w:rPr>
        <w:t>breicht. Kohorte 1 erhielt</w:t>
      </w:r>
      <w:r w:rsidR="00D8182A" w:rsidRPr="00B30A12">
        <w:rPr>
          <w:color w:val="000000"/>
          <w:sz w:val="22"/>
          <w:szCs w:val="22"/>
          <w:lang w:val="de-DE"/>
        </w:rPr>
        <w:t xml:space="preserve"> Glivec in der </w:t>
      </w:r>
      <w:r w:rsidR="00D04029" w:rsidRPr="00B30A12">
        <w:rPr>
          <w:color w:val="000000"/>
          <w:sz w:val="22"/>
          <w:szCs w:val="22"/>
          <w:lang w:val="de-DE"/>
        </w:rPr>
        <w:t>niedrigste</w:t>
      </w:r>
      <w:r w:rsidR="00D8182A" w:rsidRPr="00B30A12">
        <w:rPr>
          <w:color w:val="000000"/>
          <w:sz w:val="22"/>
          <w:szCs w:val="22"/>
          <w:lang w:val="de-DE"/>
        </w:rPr>
        <w:t>n</w:t>
      </w:r>
      <w:r w:rsidR="00A0069C" w:rsidRPr="00B30A12">
        <w:rPr>
          <w:color w:val="000000"/>
          <w:sz w:val="22"/>
          <w:szCs w:val="22"/>
          <w:lang w:val="de-DE"/>
        </w:rPr>
        <w:t xml:space="preserve"> und Kohorte 5 </w:t>
      </w:r>
      <w:r w:rsidR="00D8182A" w:rsidRPr="00B30A12">
        <w:rPr>
          <w:color w:val="000000"/>
          <w:sz w:val="22"/>
          <w:szCs w:val="22"/>
          <w:lang w:val="de-DE"/>
        </w:rPr>
        <w:t>in der</w:t>
      </w:r>
      <w:r w:rsidR="00A0069C" w:rsidRPr="00B30A12">
        <w:rPr>
          <w:color w:val="000000"/>
          <w:sz w:val="22"/>
          <w:szCs w:val="22"/>
          <w:lang w:val="de-DE"/>
        </w:rPr>
        <w:t xml:space="preserve"> höchste</w:t>
      </w:r>
      <w:r w:rsidR="00D8182A" w:rsidRPr="00B30A12">
        <w:rPr>
          <w:color w:val="000000"/>
          <w:sz w:val="22"/>
          <w:szCs w:val="22"/>
          <w:lang w:val="de-DE"/>
        </w:rPr>
        <w:t>n</w:t>
      </w:r>
      <w:r w:rsidR="00A0069C" w:rsidRPr="00B30A12">
        <w:rPr>
          <w:color w:val="000000"/>
          <w:sz w:val="22"/>
          <w:szCs w:val="22"/>
          <w:lang w:val="de-DE"/>
        </w:rPr>
        <w:t xml:space="preserve"> Intensität (längste Dauer in Tagen mit kontinuierlicher täglicher Dosierung mit Glivec während de</w:t>
      </w:r>
      <w:r w:rsidR="00057D58" w:rsidRPr="00B30A12">
        <w:rPr>
          <w:color w:val="000000"/>
          <w:sz w:val="22"/>
          <w:szCs w:val="22"/>
          <w:lang w:val="de-DE"/>
        </w:rPr>
        <w:t>s</w:t>
      </w:r>
      <w:r w:rsidR="00A0069C" w:rsidRPr="00B30A12">
        <w:rPr>
          <w:color w:val="000000"/>
          <w:sz w:val="22"/>
          <w:szCs w:val="22"/>
          <w:lang w:val="de-DE"/>
        </w:rPr>
        <w:t xml:space="preserve"> ersten Chemotherapie-</w:t>
      </w:r>
      <w:r w:rsidR="00795D02" w:rsidRPr="00B30A12">
        <w:rPr>
          <w:color w:val="000000"/>
          <w:sz w:val="22"/>
          <w:szCs w:val="22"/>
          <w:lang w:val="de-DE"/>
        </w:rPr>
        <w:t>Zyklus</w:t>
      </w:r>
      <w:r w:rsidR="00A0069C" w:rsidRPr="00B30A12">
        <w:rPr>
          <w:color w:val="000000"/>
          <w:sz w:val="22"/>
          <w:szCs w:val="22"/>
          <w:lang w:val="de-DE"/>
        </w:rPr>
        <w:t xml:space="preserve">). </w:t>
      </w:r>
      <w:r w:rsidR="00D04029" w:rsidRPr="00B30A12">
        <w:rPr>
          <w:color w:val="000000"/>
          <w:sz w:val="22"/>
          <w:szCs w:val="22"/>
          <w:lang w:val="de-DE"/>
        </w:rPr>
        <w:t>Die k</w:t>
      </w:r>
      <w:r w:rsidR="00A0069C" w:rsidRPr="00B30A12">
        <w:rPr>
          <w:color w:val="000000"/>
          <w:sz w:val="22"/>
          <w:szCs w:val="22"/>
          <w:lang w:val="de-DE"/>
        </w:rPr>
        <w:t>ontinuierliche tägliche Gabe von Glivec</w:t>
      </w:r>
      <w:r w:rsidR="00D8182A" w:rsidRPr="00B30A12">
        <w:rPr>
          <w:color w:val="000000"/>
          <w:sz w:val="22"/>
          <w:szCs w:val="22"/>
          <w:lang w:val="de-DE"/>
        </w:rPr>
        <w:t xml:space="preserve"> bei </w:t>
      </w:r>
      <w:r w:rsidR="00E25904" w:rsidRPr="00B30A12">
        <w:rPr>
          <w:color w:val="000000"/>
          <w:sz w:val="22"/>
          <w:szCs w:val="22"/>
          <w:lang w:val="de-DE"/>
        </w:rPr>
        <w:t xml:space="preserve">Patienten aus </w:t>
      </w:r>
      <w:r w:rsidR="00D8182A" w:rsidRPr="00B30A12">
        <w:rPr>
          <w:color w:val="000000"/>
          <w:sz w:val="22"/>
          <w:szCs w:val="22"/>
          <w:lang w:val="de-DE"/>
        </w:rPr>
        <w:t>Kohorte</w:t>
      </w:r>
      <w:r w:rsidR="00E25904" w:rsidRPr="00B30A12">
        <w:rPr>
          <w:color w:val="000000"/>
          <w:sz w:val="22"/>
          <w:szCs w:val="22"/>
          <w:lang w:val="de-DE"/>
        </w:rPr>
        <w:t> </w:t>
      </w:r>
      <w:r w:rsidR="00D8182A" w:rsidRPr="00B30A12">
        <w:rPr>
          <w:color w:val="000000"/>
          <w:sz w:val="22"/>
          <w:szCs w:val="22"/>
          <w:lang w:val="de-DE"/>
        </w:rPr>
        <w:t>5 (n=50)</w:t>
      </w:r>
      <w:r w:rsidR="00A0069C" w:rsidRPr="00B30A12">
        <w:rPr>
          <w:color w:val="000000"/>
          <w:sz w:val="22"/>
          <w:szCs w:val="22"/>
          <w:lang w:val="de-DE"/>
        </w:rPr>
        <w:t xml:space="preserve"> in Kombination mit </w:t>
      </w:r>
      <w:r w:rsidR="00D8182A" w:rsidRPr="00B30A12">
        <w:rPr>
          <w:color w:val="000000"/>
          <w:sz w:val="22"/>
          <w:szCs w:val="22"/>
          <w:lang w:val="de-DE"/>
        </w:rPr>
        <w:t xml:space="preserve">einer </w:t>
      </w:r>
      <w:r w:rsidR="00A0069C" w:rsidRPr="00B30A12">
        <w:rPr>
          <w:color w:val="000000"/>
          <w:sz w:val="22"/>
          <w:szCs w:val="22"/>
          <w:lang w:val="de-DE"/>
        </w:rPr>
        <w:t xml:space="preserve">Chemotherapie </w:t>
      </w:r>
      <w:r w:rsidR="00E25904" w:rsidRPr="00B30A12">
        <w:rPr>
          <w:color w:val="000000"/>
          <w:sz w:val="22"/>
          <w:szCs w:val="22"/>
          <w:lang w:val="de-DE"/>
        </w:rPr>
        <w:t xml:space="preserve">in der frühen Behandlungsphase </w:t>
      </w:r>
      <w:r w:rsidR="00A0069C" w:rsidRPr="00B30A12">
        <w:rPr>
          <w:color w:val="000000"/>
          <w:sz w:val="22"/>
          <w:szCs w:val="22"/>
          <w:lang w:val="de-DE"/>
        </w:rPr>
        <w:t xml:space="preserve">verbesserte die </w:t>
      </w:r>
      <w:r w:rsidR="00250949" w:rsidRPr="00B30A12">
        <w:rPr>
          <w:color w:val="000000"/>
          <w:sz w:val="22"/>
          <w:szCs w:val="22"/>
          <w:lang w:val="de-DE"/>
        </w:rPr>
        <w:t>Ereignis</w:t>
      </w:r>
      <w:r w:rsidR="000C0F7F" w:rsidRPr="00B30A12">
        <w:rPr>
          <w:color w:val="000000"/>
          <w:sz w:val="22"/>
          <w:szCs w:val="22"/>
          <w:lang w:val="de-DE"/>
        </w:rPr>
        <w:t>-</w:t>
      </w:r>
      <w:r w:rsidR="00A0069C" w:rsidRPr="00B30A12">
        <w:rPr>
          <w:color w:val="000000"/>
          <w:sz w:val="22"/>
          <w:szCs w:val="22"/>
          <w:lang w:val="de-DE"/>
        </w:rPr>
        <w:t xml:space="preserve">freie </w:t>
      </w:r>
      <w:r w:rsidR="00057D58" w:rsidRPr="00B30A12">
        <w:rPr>
          <w:color w:val="000000"/>
          <w:sz w:val="22"/>
          <w:szCs w:val="22"/>
          <w:lang w:val="de-DE"/>
        </w:rPr>
        <w:t>Überlebensz</w:t>
      </w:r>
      <w:r w:rsidR="00A0069C" w:rsidRPr="00B30A12">
        <w:rPr>
          <w:color w:val="000000"/>
          <w:sz w:val="22"/>
          <w:szCs w:val="22"/>
          <w:lang w:val="de-DE"/>
        </w:rPr>
        <w:t>eit (EFS)</w:t>
      </w:r>
      <w:r w:rsidR="00E25904" w:rsidRPr="00B30A12">
        <w:rPr>
          <w:color w:val="000000"/>
          <w:sz w:val="22"/>
          <w:szCs w:val="22"/>
          <w:lang w:val="de-DE"/>
        </w:rPr>
        <w:t xml:space="preserve"> über 4 Jahre</w:t>
      </w:r>
      <w:r w:rsidR="000C0F7F" w:rsidRPr="00B30A12">
        <w:rPr>
          <w:color w:val="000000"/>
          <w:sz w:val="22"/>
          <w:szCs w:val="22"/>
          <w:lang w:val="de-DE"/>
        </w:rPr>
        <w:t>,</w:t>
      </w:r>
      <w:r w:rsidR="00A0069C" w:rsidRPr="00B30A12">
        <w:rPr>
          <w:color w:val="000000"/>
          <w:sz w:val="22"/>
          <w:szCs w:val="22"/>
          <w:lang w:val="de-DE"/>
        </w:rPr>
        <w:t xml:space="preserve"> verglichen </w:t>
      </w:r>
      <w:r w:rsidR="00D04029" w:rsidRPr="00B30A12">
        <w:rPr>
          <w:color w:val="000000"/>
          <w:sz w:val="22"/>
          <w:szCs w:val="22"/>
          <w:lang w:val="de-DE"/>
        </w:rPr>
        <w:t>mit</w:t>
      </w:r>
      <w:r w:rsidR="00A0069C" w:rsidRPr="00B30A12">
        <w:rPr>
          <w:color w:val="000000"/>
          <w:sz w:val="22"/>
          <w:szCs w:val="22"/>
          <w:lang w:val="de-DE"/>
        </w:rPr>
        <w:t xml:space="preserve"> historischen Kontrollen (n=120), die </w:t>
      </w:r>
      <w:r w:rsidR="000C0F7F" w:rsidRPr="00B30A12">
        <w:rPr>
          <w:color w:val="000000"/>
          <w:sz w:val="22"/>
          <w:szCs w:val="22"/>
          <w:lang w:val="de-DE"/>
        </w:rPr>
        <w:t xml:space="preserve">eine </w:t>
      </w:r>
      <w:r w:rsidR="00A0069C" w:rsidRPr="00B30A12">
        <w:rPr>
          <w:color w:val="000000"/>
          <w:sz w:val="22"/>
          <w:szCs w:val="22"/>
          <w:lang w:val="de-DE"/>
        </w:rPr>
        <w:t>Standardchemotherapie ohne Glivec</w:t>
      </w:r>
      <w:r w:rsidR="000C0F7F" w:rsidRPr="00B30A12">
        <w:rPr>
          <w:color w:val="000000"/>
          <w:sz w:val="22"/>
          <w:szCs w:val="22"/>
          <w:lang w:val="de-DE"/>
        </w:rPr>
        <w:t xml:space="preserve"> erhielten</w:t>
      </w:r>
      <w:r w:rsidR="00A0069C" w:rsidRPr="00B30A12">
        <w:rPr>
          <w:color w:val="000000"/>
          <w:sz w:val="22"/>
          <w:szCs w:val="22"/>
          <w:lang w:val="de-DE"/>
        </w:rPr>
        <w:t xml:space="preserve"> (</w:t>
      </w:r>
      <w:r w:rsidR="00F9664E" w:rsidRPr="00B30A12">
        <w:rPr>
          <w:color w:val="000000"/>
          <w:sz w:val="22"/>
          <w:szCs w:val="22"/>
          <w:lang w:val="de-DE"/>
        </w:rPr>
        <w:t xml:space="preserve">entspricht </w:t>
      </w:r>
      <w:r w:rsidR="000C0F7F" w:rsidRPr="00B30A12">
        <w:rPr>
          <w:color w:val="000000"/>
          <w:sz w:val="22"/>
          <w:szCs w:val="22"/>
          <w:lang w:val="de-DE"/>
        </w:rPr>
        <w:t>69,</w:t>
      </w:r>
      <w:r w:rsidR="00A0069C" w:rsidRPr="00B30A12">
        <w:rPr>
          <w:color w:val="000000"/>
          <w:sz w:val="22"/>
          <w:szCs w:val="22"/>
          <w:lang w:val="de-DE"/>
        </w:rPr>
        <w:t>6% vs</w:t>
      </w:r>
      <w:r w:rsidR="000C0F7F" w:rsidRPr="00B30A12">
        <w:rPr>
          <w:color w:val="000000"/>
          <w:sz w:val="22"/>
          <w:szCs w:val="22"/>
          <w:lang w:val="de-DE"/>
        </w:rPr>
        <w:t xml:space="preserve"> 31,</w:t>
      </w:r>
      <w:r w:rsidR="00A0069C" w:rsidRPr="00B30A12">
        <w:rPr>
          <w:color w:val="000000"/>
          <w:sz w:val="22"/>
          <w:szCs w:val="22"/>
          <w:lang w:val="de-DE"/>
        </w:rPr>
        <w:t>6%). D</w:t>
      </w:r>
      <w:r w:rsidR="009C0548" w:rsidRPr="00B30A12">
        <w:rPr>
          <w:color w:val="000000"/>
          <w:sz w:val="22"/>
          <w:szCs w:val="22"/>
          <w:lang w:val="de-DE"/>
        </w:rPr>
        <w:t>as</w:t>
      </w:r>
      <w:r w:rsidR="00A0069C" w:rsidRPr="00B30A12">
        <w:rPr>
          <w:color w:val="000000"/>
          <w:sz w:val="22"/>
          <w:szCs w:val="22"/>
          <w:lang w:val="de-DE"/>
        </w:rPr>
        <w:t xml:space="preserve"> </w:t>
      </w:r>
      <w:r w:rsidR="00E25904" w:rsidRPr="00B30A12">
        <w:rPr>
          <w:color w:val="000000"/>
          <w:sz w:val="22"/>
          <w:szCs w:val="22"/>
          <w:lang w:val="de-DE"/>
        </w:rPr>
        <w:t>geschätzte</w:t>
      </w:r>
      <w:r w:rsidR="00A0069C" w:rsidRPr="00B30A12">
        <w:rPr>
          <w:color w:val="000000"/>
          <w:sz w:val="22"/>
          <w:szCs w:val="22"/>
          <w:lang w:val="de-DE"/>
        </w:rPr>
        <w:t xml:space="preserve"> 4-Jahres</w:t>
      </w:r>
      <w:r w:rsidR="000C0F7F" w:rsidRPr="00B30A12">
        <w:rPr>
          <w:color w:val="000000"/>
          <w:sz w:val="22"/>
          <w:szCs w:val="22"/>
          <w:lang w:val="de-DE"/>
        </w:rPr>
        <w:t>-</w:t>
      </w:r>
      <w:r w:rsidR="00A0069C" w:rsidRPr="00B30A12">
        <w:rPr>
          <w:color w:val="000000"/>
          <w:sz w:val="22"/>
          <w:szCs w:val="22"/>
          <w:lang w:val="de-DE"/>
        </w:rPr>
        <w:t>Gesamtüberleben</w:t>
      </w:r>
      <w:r w:rsidR="000C0F7F" w:rsidRPr="00B30A12">
        <w:rPr>
          <w:color w:val="000000"/>
          <w:sz w:val="22"/>
          <w:szCs w:val="22"/>
          <w:lang w:val="de-DE"/>
        </w:rPr>
        <w:t xml:space="preserve"> bei Patienten</w:t>
      </w:r>
      <w:r w:rsidR="00A0069C" w:rsidRPr="00B30A12">
        <w:rPr>
          <w:color w:val="000000"/>
          <w:sz w:val="22"/>
          <w:szCs w:val="22"/>
          <w:lang w:val="de-DE"/>
        </w:rPr>
        <w:t xml:space="preserve"> in Kohorte 5 </w:t>
      </w:r>
      <w:r w:rsidR="000C0F7F" w:rsidRPr="00B30A12">
        <w:rPr>
          <w:color w:val="000000"/>
          <w:sz w:val="22"/>
          <w:szCs w:val="22"/>
          <w:lang w:val="de-DE"/>
        </w:rPr>
        <w:t>lag</w:t>
      </w:r>
      <w:r w:rsidR="00A0069C" w:rsidRPr="00B30A12">
        <w:rPr>
          <w:color w:val="000000"/>
          <w:sz w:val="22"/>
          <w:szCs w:val="22"/>
          <w:lang w:val="de-DE"/>
        </w:rPr>
        <w:t xml:space="preserve"> </w:t>
      </w:r>
      <w:r w:rsidR="00FA0041" w:rsidRPr="00B30A12">
        <w:rPr>
          <w:color w:val="000000"/>
          <w:sz w:val="22"/>
          <w:szCs w:val="22"/>
          <w:lang w:val="de-DE"/>
        </w:rPr>
        <w:t xml:space="preserve">bei </w:t>
      </w:r>
      <w:r w:rsidR="00A0069C" w:rsidRPr="00B30A12">
        <w:rPr>
          <w:color w:val="000000"/>
          <w:sz w:val="22"/>
          <w:szCs w:val="22"/>
          <w:lang w:val="de-DE"/>
        </w:rPr>
        <w:t>83</w:t>
      </w:r>
      <w:r w:rsidR="000C0F7F" w:rsidRPr="00B30A12">
        <w:rPr>
          <w:color w:val="000000"/>
          <w:sz w:val="22"/>
          <w:szCs w:val="22"/>
          <w:lang w:val="de-DE"/>
        </w:rPr>
        <w:t>,</w:t>
      </w:r>
      <w:r w:rsidR="00A0069C" w:rsidRPr="00B30A12">
        <w:rPr>
          <w:color w:val="000000"/>
          <w:sz w:val="22"/>
          <w:szCs w:val="22"/>
          <w:lang w:val="de-DE"/>
        </w:rPr>
        <w:t xml:space="preserve">6% verglichen </w:t>
      </w:r>
      <w:r w:rsidR="00E25904" w:rsidRPr="00B30A12">
        <w:rPr>
          <w:color w:val="000000"/>
          <w:sz w:val="22"/>
          <w:szCs w:val="22"/>
          <w:lang w:val="de-DE"/>
        </w:rPr>
        <w:t>mit</w:t>
      </w:r>
      <w:r w:rsidR="00A0069C" w:rsidRPr="00B30A12">
        <w:rPr>
          <w:color w:val="000000"/>
          <w:sz w:val="22"/>
          <w:szCs w:val="22"/>
          <w:lang w:val="de-DE"/>
        </w:rPr>
        <w:t xml:space="preserve"> 44</w:t>
      </w:r>
      <w:r w:rsidR="000C0F7F" w:rsidRPr="00B30A12">
        <w:rPr>
          <w:color w:val="000000"/>
          <w:sz w:val="22"/>
          <w:szCs w:val="22"/>
          <w:lang w:val="de-DE"/>
        </w:rPr>
        <w:t>,</w:t>
      </w:r>
      <w:r w:rsidR="00A0069C" w:rsidRPr="00B30A12">
        <w:rPr>
          <w:color w:val="000000"/>
          <w:sz w:val="22"/>
          <w:szCs w:val="22"/>
          <w:lang w:val="de-DE"/>
        </w:rPr>
        <w:t xml:space="preserve">8% </w:t>
      </w:r>
      <w:r w:rsidR="000C0F7F" w:rsidRPr="00B30A12">
        <w:rPr>
          <w:color w:val="000000"/>
          <w:sz w:val="22"/>
          <w:szCs w:val="22"/>
          <w:lang w:val="de-DE"/>
        </w:rPr>
        <w:t>bei</w:t>
      </w:r>
      <w:r w:rsidR="00A0069C" w:rsidRPr="00B30A12">
        <w:rPr>
          <w:color w:val="000000"/>
          <w:sz w:val="22"/>
          <w:szCs w:val="22"/>
          <w:lang w:val="de-DE"/>
        </w:rPr>
        <w:t xml:space="preserve"> den historischen Kontrollen. 20 von 50 (40%) Patienten</w:t>
      </w:r>
      <w:r w:rsidR="00D04029" w:rsidRPr="00B30A12">
        <w:rPr>
          <w:color w:val="000000"/>
          <w:sz w:val="22"/>
          <w:szCs w:val="22"/>
          <w:lang w:val="de-DE"/>
        </w:rPr>
        <w:t xml:space="preserve"> in Kohorte</w:t>
      </w:r>
      <w:r w:rsidR="008067E5" w:rsidRPr="00B30A12">
        <w:rPr>
          <w:color w:val="000000"/>
          <w:sz w:val="22"/>
          <w:szCs w:val="22"/>
          <w:lang w:val="de-DE"/>
        </w:rPr>
        <w:t> </w:t>
      </w:r>
      <w:r w:rsidR="00D04029" w:rsidRPr="00B30A12">
        <w:rPr>
          <w:color w:val="000000"/>
          <w:sz w:val="22"/>
          <w:szCs w:val="22"/>
          <w:lang w:val="de-DE"/>
        </w:rPr>
        <w:t xml:space="preserve">5 </w:t>
      </w:r>
      <w:r w:rsidR="00A0069C" w:rsidRPr="00B30A12">
        <w:rPr>
          <w:color w:val="000000"/>
          <w:sz w:val="22"/>
          <w:szCs w:val="22"/>
          <w:lang w:val="de-DE"/>
        </w:rPr>
        <w:t xml:space="preserve">bekamen </w:t>
      </w:r>
      <w:r w:rsidR="00E25904" w:rsidRPr="00B30A12">
        <w:rPr>
          <w:color w:val="000000"/>
          <w:sz w:val="22"/>
          <w:szCs w:val="22"/>
          <w:lang w:val="de-DE"/>
        </w:rPr>
        <w:t>hämatopoetische</w:t>
      </w:r>
      <w:r w:rsidR="001D7EC3" w:rsidRPr="00B30A12">
        <w:rPr>
          <w:color w:val="000000"/>
          <w:sz w:val="22"/>
          <w:szCs w:val="22"/>
          <w:lang w:val="de-DE"/>
        </w:rPr>
        <w:t xml:space="preserve"> Stammzelltransplantation</w:t>
      </w:r>
      <w:r w:rsidR="000C0F7F" w:rsidRPr="00B30A12">
        <w:rPr>
          <w:color w:val="000000"/>
          <w:sz w:val="22"/>
          <w:szCs w:val="22"/>
          <w:lang w:val="de-DE"/>
        </w:rPr>
        <w:t>en</w:t>
      </w:r>
      <w:r w:rsidR="001D7EC3" w:rsidRPr="00B30A12">
        <w:rPr>
          <w:color w:val="000000"/>
          <w:sz w:val="22"/>
          <w:szCs w:val="22"/>
          <w:lang w:val="de-DE"/>
        </w:rPr>
        <w:t>.</w:t>
      </w:r>
    </w:p>
    <w:p w14:paraId="0CC81FA3" w14:textId="77777777" w:rsidR="00BB20C9" w:rsidRPr="00B30A12" w:rsidRDefault="00BB20C9" w:rsidP="00537E23">
      <w:pPr>
        <w:pStyle w:val="EndnoteText"/>
        <w:widowControl w:val="0"/>
        <w:rPr>
          <w:color w:val="000000"/>
          <w:sz w:val="22"/>
          <w:szCs w:val="22"/>
          <w:lang w:val="de-DE"/>
        </w:rPr>
      </w:pPr>
    </w:p>
    <w:p w14:paraId="7472559A" w14:textId="77777777" w:rsidR="00BB20C9" w:rsidRPr="00B30A12" w:rsidRDefault="00BB20C9" w:rsidP="007A2B84">
      <w:pPr>
        <w:pStyle w:val="EndnoteText"/>
        <w:keepNext/>
        <w:widowControl w:val="0"/>
        <w:ind w:left="1134" w:hanging="1134"/>
        <w:rPr>
          <w:b/>
          <w:color w:val="000000"/>
          <w:sz w:val="22"/>
          <w:szCs w:val="22"/>
          <w:lang w:val="de-CH"/>
        </w:rPr>
      </w:pPr>
      <w:r w:rsidRPr="00B30A12">
        <w:rPr>
          <w:b/>
          <w:color w:val="000000"/>
          <w:sz w:val="22"/>
          <w:szCs w:val="22"/>
          <w:lang w:val="de-CH"/>
        </w:rPr>
        <w:t>Tabelle </w:t>
      </w:r>
      <w:r w:rsidR="0094523F" w:rsidRPr="00B30A12">
        <w:rPr>
          <w:b/>
          <w:color w:val="000000"/>
          <w:sz w:val="22"/>
          <w:szCs w:val="22"/>
          <w:lang w:val="de-CH"/>
        </w:rPr>
        <w:t>5</w:t>
      </w:r>
      <w:r w:rsidRPr="00B30A12">
        <w:rPr>
          <w:b/>
          <w:color w:val="000000"/>
          <w:sz w:val="22"/>
          <w:szCs w:val="22"/>
          <w:lang w:val="de-CH"/>
        </w:rPr>
        <w:tab/>
      </w:r>
      <w:r w:rsidR="00D8182A" w:rsidRPr="00B30A12">
        <w:rPr>
          <w:b/>
          <w:color w:val="000000"/>
          <w:sz w:val="22"/>
          <w:szCs w:val="22"/>
          <w:lang w:val="de-CH"/>
        </w:rPr>
        <w:t>Ange</w:t>
      </w:r>
      <w:r w:rsidRPr="00B30A12">
        <w:rPr>
          <w:b/>
          <w:color w:val="000000"/>
          <w:sz w:val="22"/>
          <w:szCs w:val="22"/>
          <w:lang w:val="de-CH"/>
        </w:rPr>
        <w:t>wendete Chemotherapie</w:t>
      </w:r>
      <w:r w:rsidR="00D8182A" w:rsidRPr="00B30A12">
        <w:rPr>
          <w:b/>
          <w:color w:val="000000"/>
          <w:sz w:val="22"/>
          <w:szCs w:val="22"/>
          <w:lang w:val="de-CH"/>
        </w:rPr>
        <w:t>-Schemata</w:t>
      </w:r>
      <w:r w:rsidRPr="00B30A12">
        <w:rPr>
          <w:b/>
          <w:color w:val="000000"/>
          <w:sz w:val="22"/>
          <w:szCs w:val="22"/>
          <w:lang w:val="de-CH"/>
        </w:rPr>
        <w:t xml:space="preserve"> in Kombination mit Imatinib in </w:t>
      </w:r>
      <w:r w:rsidR="000C0F7F" w:rsidRPr="00B30A12">
        <w:rPr>
          <w:b/>
          <w:color w:val="000000"/>
          <w:sz w:val="22"/>
          <w:szCs w:val="22"/>
          <w:lang w:val="de-CH"/>
        </w:rPr>
        <w:t xml:space="preserve">der </w:t>
      </w:r>
      <w:r w:rsidRPr="00B30A12">
        <w:rPr>
          <w:b/>
          <w:color w:val="000000"/>
          <w:sz w:val="22"/>
          <w:szCs w:val="22"/>
          <w:lang w:val="de-CH"/>
        </w:rPr>
        <w:t>Studie I2301</w:t>
      </w:r>
    </w:p>
    <w:p w14:paraId="614AE749" w14:textId="77777777" w:rsidR="00BB20C9" w:rsidRPr="00B30A12" w:rsidRDefault="00BB20C9" w:rsidP="007A2B84">
      <w:pPr>
        <w:pStyle w:val="EndnoteText"/>
        <w:keepNext/>
        <w:widowControl w:val="0"/>
        <w:rPr>
          <w:color w:val="000000"/>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6699"/>
      </w:tblGrid>
      <w:tr w:rsidR="00BB20C9" w:rsidRPr="00B30A12" w14:paraId="2FD873A8" w14:textId="77777777" w:rsidTr="00AD54DF">
        <w:trPr>
          <w:cantSplit/>
        </w:trPr>
        <w:tc>
          <w:tcPr>
            <w:tcW w:w="2358" w:type="dxa"/>
            <w:shd w:val="clear" w:color="auto" w:fill="auto"/>
          </w:tcPr>
          <w:p w14:paraId="1197BC8E" w14:textId="77777777" w:rsidR="00BB20C9" w:rsidRPr="00B30A12" w:rsidRDefault="000B5E3D" w:rsidP="00537E23">
            <w:pPr>
              <w:pStyle w:val="EndnoteText"/>
              <w:widowControl w:val="0"/>
              <w:rPr>
                <w:color w:val="000000"/>
                <w:sz w:val="22"/>
                <w:szCs w:val="22"/>
              </w:rPr>
            </w:pPr>
            <w:r w:rsidRPr="00B30A12">
              <w:rPr>
                <w:color w:val="000000"/>
                <w:sz w:val="22"/>
                <w:szCs w:val="22"/>
              </w:rPr>
              <w:t>Konsolidierungsblock</w:t>
            </w:r>
            <w:r w:rsidR="00BB20C9" w:rsidRPr="00B30A12">
              <w:rPr>
                <w:color w:val="000000"/>
                <w:sz w:val="22"/>
                <w:szCs w:val="22"/>
              </w:rPr>
              <w:t> 1</w:t>
            </w:r>
          </w:p>
          <w:p w14:paraId="05294FAF" w14:textId="77777777" w:rsidR="00BB20C9" w:rsidRPr="00B30A12" w:rsidRDefault="00BB20C9" w:rsidP="00537E23">
            <w:pPr>
              <w:pStyle w:val="EndnoteText"/>
              <w:widowControl w:val="0"/>
              <w:rPr>
                <w:color w:val="000000"/>
                <w:sz w:val="22"/>
                <w:szCs w:val="22"/>
              </w:rPr>
            </w:pPr>
            <w:r w:rsidRPr="00B30A12">
              <w:rPr>
                <w:color w:val="000000"/>
                <w:sz w:val="22"/>
                <w:szCs w:val="22"/>
              </w:rPr>
              <w:t>(3 </w:t>
            </w:r>
            <w:r w:rsidR="000B5E3D" w:rsidRPr="00B30A12">
              <w:rPr>
                <w:color w:val="000000"/>
                <w:sz w:val="22"/>
                <w:szCs w:val="22"/>
              </w:rPr>
              <w:t>Wochen</w:t>
            </w:r>
            <w:r w:rsidRPr="00B30A12">
              <w:rPr>
                <w:color w:val="000000"/>
                <w:sz w:val="22"/>
                <w:szCs w:val="22"/>
              </w:rPr>
              <w:t>)</w:t>
            </w:r>
          </w:p>
        </w:tc>
        <w:tc>
          <w:tcPr>
            <w:tcW w:w="6923" w:type="dxa"/>
            <w:shd w:val="clear" w:color="auto" w:fill="auto"/>
          </w:tcPr>
          <w:p w14:paraId="1CE2939D"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0C0F7F"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w:t>
            </w:r>
          </w:p>
          <w:p w14:paraId="3B45B9DD" w14:textId="77777777" w:rsidR="00BB20C9" w:rsidRPr="00B30A12" w:rsidRDefault="000C0F7F" w:rsidP="00537E23">
            <w:pPr>
              <w:pStyle w:val="EndnoteText"/>
              <w:widowControl w:val="0"/>
              <w:rPr>
                <w:color w:val="000000"/>
                <w:sz w:val="22"/>
                <w:szCs w:val="22"/>
                <w:lang w:val="de-DE"/>
              </w:rPr>
            </w:pPr>
            <w:r w:rsidRPr="00B30A12">
              <w:rPr>
                <w:color w:val="000000"/>
                <w:sz w:val="22"/>
                <w:szCs w:val="22"/>
                <w:lang w:val="de-DE"/>
              </w:rPr>
              <w:t>Ifosfamid (1,</w:t>
            </w:r>
            <w:r w:rsidR="00BB20C9" w:rsidRPr="00B30A12">
              <w:rPr>
                <w:color w:val="000000"/>
                <w:sz w:val="22"/>
                <w:szCs w:val="22"/>
                <w:lang w:val="de-DE"/>
              </w:rPr>
              <w:t>8 g/m</w:t>
            </w:r>
            <w:r w:rsidR="00BB20C9" w:rsidRPr="00B30A12">
              <w:rPr>
                <w:color w:val="000000"/>
                <w:sz w:val="22"/>
                <w:szCs w:val="22"/>
                <w:vertAlign w:val="superscript"/>
                <w:lang w:val="de-DE"/>
              </w:rPr>
              <w:t>2</w:t>
            </w:r>
            <w:r w:rsidR="00BB20C9" w:rsidRPr="00B30A12">
              <w:rPr>
                <w:color w:val="000000"/>
                <w:sz w:val="22"/>
                <w:szCs w:val="22"/>
                <w:lang w:val="de-DE"/>
              </w:rPr>
              <w:t>/</w:t>
            </w:r>
            <w:r w:rsidR="00413F72" w:rsidRPr="00B30A12">
              <w:rPr>
                <w:color w:val="000000"/>
                <w:sz w:val="22"/>
                <w:szCs w:val="22"/>
                <w:lang w:val="de-DE"/>
              </w:rPr>
              <w:t>Tag</w:t>
            </w:r>
            <w:r w:rsidR="00BB20C9" w:rsidRPr="00B30A12">
              <w:rPr>
                <w:color w:val="000000"/>
                <w:sz w:val="22"/>
                <w:szCs w:val="22"/>
                <w:lang w:val="de-DE"/>
              </w:rPr>
              <w:t xml:space="preserve">, </w:t>
            </w:r>
            <w:r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BB20C9" w:rsidRPr="00B30A12">
              <w:rPr>
                <w:color w:val="000000"/>
                <w:sz w:val="22"/>
                <w:szCs w:val="22"/>
                <w:lang w:val="de-DE"/>
              </w:rPr>
              <w:t> 1</w:t>
            </w:r>
            <w:r w:rsidR="00BB20C9" w:rsidRPr="00B30A12">
              <w:rPr>
                <w:color w:val="000000"/>
                <w:sz w:val="22"/>
                <w:szCs w:val="22"/>
                <w:lang w:val="de-DE"/>
              </w:rPr>
              <w:noBreakHyphen/>
              <w:t>5</w:t>
            </w:r>
          </w:p>
          <w:p w14:paraId="7CF8263A"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MESNA (360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Dosis</w:t>
            </w:r>
            <w:r w:rsidRPr="00B30A12">
              <w:rPr>
                <w:color w:val="000000"/>
                <w:sz w:val="22"/>
                <w:szCs w:val="22"/>
                <w:lang w:val="de-DE"/>
              </w:rPr>
              <w:t xml:space="preserve"> q3h, x 8</w:t>
            </w:r>
            <w:r w:rsidR="0092578F" w:rsidRPr="00B30A12">
              <w:rPr>
                <w:color w:val="000000"/>
                <w:sz w:val="22"/>
                <w:szCs w:val="22"/>
                <w:lang w:val="de-DE"/>
              </w:rPr>
              <w:t> </w:t>
            </w:r>
            <w:r w:rsidR="00413F72" w:rsidRPr="00B30A12">
              <w:rPr>
                <w:color w:val="000000"/>
                <w:sz w:val="22"/>
                <w:szCs w:val="22"/>
                <w:lang w:val="de-DE"/>
              </w:rPr>
              <w:t>Dosen</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0C0F7F"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w:t>
            </w:r>
          </w:p>
          <w:p w14:paraId="56DF8232"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 xml:space="preserve">g/kg, </w:t>
            </w:r>
            <w:r w:rsidR="000C0F7F" w:rsidRPr="00B30A12">
              <w:rPr>
                <w:color w:val="000000"/>
                <w:sz w:val="22"/>
                <w:szCs w:val="22"/>
                <w:lang w:val="de-DE"/>
              </w:rPr>
              <w:t>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6</w:t>
            </w:r>
            <w:r w:rsidRPr="00B30A12">
              <w:rPr>
                <w:color w:val="000000"/>
                <w:sz w:val="22"/>
                <w:szCs w:val="22"/>
                <w:lang w:val="de-DE"/>
              </w:rPr>
              <w:noBreakHyphen/>
              <w:t xml:space="preserve">15 </w:t>
            </w:r>
            <w:r w:rsidR="00413F72" w:rsidRPr="00B30A12">
              <w:rPr>
                <w:color w:val="000000"/>
                <w:sz w:val="22"/>
                <w:szCs w:val="22"/>
                <w:lang w:val="de-DE"/>
              </w:rPr>
              <w:t>oder bis</w:t>
            </w:r>
            <w:r w:rsidRPr="00B30A12">
              <w:rPr>
                <w:color w:val="000000"/>
                <w:sz w:val="22"/>
                <w:szCs w:val="22"/>
                <w:lang w:val="de-DE"/>
              </w:rPr>
              <w:t xml:space="preserve"> ANC &gt; 1500 post nadir</w:t>
            </w:r>
          </w:p>
          <w:p w14:paraId="57928D35" w14:textId="77777777" w:rsidR="00BB20C9" w:rsidRPr="00B30A12" w:rsidRDefault="00367F75" w:rsidP="00537E23">
            <w:pPr>
              <w:pStyle w:val="EndnoteText"/>
              <w:widowControl w:val="0"/>
              <w:rPr>
                <w:color w:val="000000"/>
                <w:sz w:val="22"/>
                <w:szCs w:val="22"/>
                <w:lang w:val="de-DE"/>
              </w:rPr>
            </w:pPr>
            <w:r w:rsidRPr="00B30A12">
              <w:rPr>
                <w:color w:val="000000"/>
                <w:sz w:val="22"/>
                <w:szCs w:val="22"/>
                <w:lang w:val="de-DE"/>
              </w:rPr>
              <w:t>i.th.</w:t>
            </w:r>
            <w:r w:rsidR="00BB20C9" w:rsidRPr="00B30A12">
              <w:rPr>
                <w:color w:val="000000"/>
                <w:sz w:val="22"/>
                <w:szCs w:val="22"/>
                <w:lang w:val="de-DE"/>
              </w:rPr>
              <w:t xml:space="preserve"> Methotrexat (</w:t>
            </w:r>
            <w:r w:rsidR="00413F72" w:rsidRPr="00B30A12">
              <w:rPr>
                <w:color w:val="000000"/>
                <w:sz w:val="22"/>
                <w:szCs w:val="22"/>
                <w:lang w:val="de-DE"/>
              </w:rPr>
              <w:t>alters-angepasst</w:t>
            </w:r>
            <w:r w:rsidR="00BB20C9" w:rsidRPr="00B30A12">
              <w:rPr>
                <w:color w:val="000000"/>
                <w:sz w:val="22"/>
                <w:szCs w:val="22"/>
                <w:lang w:val="de-DE"/>
              </w:rPr>
              <w:t xml:space="preserve">): </w:t>
            </w:r>
            <w:r w:rsidR="00413F72" w:rsidRPr="00B30A12">
              <w:rPr>
                <w:color w:val="000000"/>
                <w:sz w:val="22"/>
                <w:szCs w:val="22"/>
                <w:lang w:val="de-DE"/>
              </w:rPr>
              <w:t>Tag</w:t>
            </w:r>
            <w:r w:rsidR="00BB20C9" w:rsidRPr="00B30A12">
              <w:rPr>
                <w:color w:val="000000"/>
                <w:sz w:val="22"/>
                <w:szCs w:val="22"/>
                <w:lang w:val="de-DE"/>
              </w:rPr>
              <w:t xml:space="preserve"> 1 </w:t>
            </w:r>
            <w:r w:rsidR="00127C07" w:rsidRPr="00B30A12">
              <w:rPr>
                <w:color w:val="000000"/>
                <w:sz w:val="22"/>
                <w:szCs w:val="22"/>
                <w:lang w:val="de-DE"/>
              </w:rPr>
              <w:t>AUSSCHLIESSLICH</w:t>
            </w:r>
          </w:p>
          <w:p w14:paraId="2C400A50" w14:textId="77777777" w:rsidR="00BB20C9" w:rsidRPr="00B30A12" w:rsidRDefault="00413F72"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Pr="00B30A12">
              <w:rPr>
                <w:color w:val="000000"/>
                <w:sz w:val="22"/>
                <w:szCs w:val="22"/>
                <w:lang w:val="de-DE"/>
              </w:rPr>
              <w:t>alters-angepasst</w:t>
            </w:r>
            <w:r w:rsidR="00BB20C9" w:rsidRPr="00B30A12">
              <w:rPr>
                <w:color w:val="000000"/>
                <w:sz w:val="22"/>
                <w:szCs w:val="22"/>
                <w:lang w:val="de-DE"/>
              </w:rPr>
              <w:t xml:space="preserve">): </w:t>
            </w:r>
            <w:r w:rsidRPr="00B30A12">
              <w:rPr>
                <w:color w:val="000000"/>
                <w:sz w:val="22"/>
                <w:szCs w:val="22"/>
                <w:lang w:val="de-DE"/>
              </w:rPr>
              <w:t>Tag</w:t>
            </w:r>
            <w:r w:rsidR="00BB20C9" w:rsidRPr="00B30A12">
              <w:rPr>
                <w:color w:val="000000"/>
                <w:sz w:val="22"/>
                <w:szCs w:val="22"/>
                <w:lang w:val="de-DE"/>
              </w:rPr>
              <w:t> 8, 15</w:t>
            </w:r>
          </w:p>
        </w:tc>
      </w:tr>
      <w:tr w:rsidR="00BB20C9" w:rsidRPr="00B30A12" w14:paraId="06663023" w14:textId="77777777" w:rsidTr="00AD54DF">
        <w:trPr>
          <w:cantSplit/>
        </w:trPr>
        <w:tc>
          <w:tcPr>
            <w:tcW w:w="2358" w:type="dxa"/>
            <w:shd w:val="clear" w:color="auto" w:fill="auto"/>
          </w:tcPr>
          <w:p w14:paraId="1DD9D0A5" w14:textId="77777777" w:rsidR="000B5E3D" w:rsidRPr="00B30A12" w:rsidRDefault="000B5E3D" w:rsidP="00537E23">
            <w:pPr>
              <w:pStyle w:val="EndnoteText"/>
              <w:widowControl w:val="0"/>
              <w:rPr>
                <w:color w:val="000000"/>
                <w:sz w:val="22"/>
                <w:szCs w:val="22"/>
                <w:lang w:val="de-DE"/>
              </w:rPr>
            </w:pPr>
            <w:r w:rsidRPr="00B30A12">
              <w:rPr>
                <w:color w:val="000000"/>
                <w:sz w:val="22"/>
                <w:szCs w:val="22"/>
                <w:lang w:val="de-DE"/>
              </w:rPr>
              <w:t>Konsolidierungsblock 2</w:t>
            </w:r>
          </w:p>
          <w:p w14:paraId="482610E6" w14:textId="77777777" w:rsidR="00BB20C9" w:rsidRPr="00B30A12" w:rsidRDefault="000B5E3D" w:rsidP="00537E23">
            <w:pPr>
              <w:pStyle w:val="EndnoteText"/>
              <w:widowControl w:val="0"/>
              <w:rPr>
                <w:color w:val="000000"/>
                <w:sz w:val="22"/>
                <w:szCs w:val="22"/>
                <w:lang w:val="de-DE"/>
              </w:rPr>
            </w:pPr>
            <w:r w:rsidRPr="00B30A12">
              <w:rPr>
                <w:color w:val="000000"/>
                <w:sz w:val="22"/>
                <w:szCs w:val="22"/>
                <w:lang w:val="de-DE"/>
              </w:rPr>
              <w:t>(3 Wochen)</w:t>
            </w:r>
          </w:p>
        </w:tc>
        <w:tc>
          <w:tcPr>
            <w:tcW w:w="6923" w:type="dxa"/>
            <w:shd w:val="clear" w:color="auto" w:fill="auto"/>
          </w:tcPr>
          <w:p w14:paraId="776321EA"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Methotrexat (5 g/m</w:t>
            </w:r>
            <w:r w:rsidRPr="00B30A12">
              <w:rPr>
                <w:color w:val="000000"/>
                <w:sz w:val="22"/>
                <w:szCs w:val="22"/>
                <w:vertAlign w:val="superscript"/>
                <w:lang w:val="de-DE"/>
              </w:rPr>
              <w:t>2</w:t>
            </w:r>
            <w:r w:rsidRPr="00B30A12">
              <w:rPr>
                <w:color w:val="000000"/>
                <w:sz w:val="22"/>
                <w:szCs w:val="22"/>
                <w:lang w:val="de-DE"/>
              </w:rPr>
              <w:t xml:space="preserve"> </w:t>
            </w:r>
            <w:r w:rsidR="00413F72" w:rsidRPr="00B30A12">
              <w:rPr>
                <w:color w:val="000000"/>
                <w:sz w:val="22"/>
                <w:szCs w:val="22"/>
                <w:lang w:val="de-DE"/>
              </w:rPr>
              <w:t>über</w:t>
            </w:r>
            <w:r w:rsidRPr="00B30A12">
              <w:rPr>
                <w:color w:val="000000"/>
                <w:sz w:val="22"/>
                <w:szCs w:val="22"/>
                <w:lang w:val="de-DE"/>
              </w:rPr>
              <w:t xml:space="preserve"> 24 </w:t>
            </w:r>
            <w:r w:rsidR="00413F72" w:rsidRPr="00B30A12">
              <w:rPr>
                <w:color w:val="000000"/>
                <w:sz w:val="22"/>
                <w:szCs w:val="22"/>
                <w:lang w:val="de-DE"/>
              </w:rPr>
              <w:t>Stunden</w:t>
            </w:r>
            <w:r w:rsidRPr="00B30A12">
              <w:rPr>
                <w:color w:val="000000"/>
                <w:sz w:val="22"/>
                <w:szCs w:val="22"/>
                <w:lang w:val="de-DE"/>
              </w:rPr>
              <w:t xml:space="preserve">, </w:t>
            </w:r>
            <w:r w:rsidR="000C0F7F"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1</w:t>
            </w:r>
          </w:p>
          <w:p w14:paraId="31191076"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w:t>
            </w:r>
            <w:r w:rsidR="00413F72" w:rsidRPr="00B30A12">
              <w:rPr>
                <w:color w:val="000000"/>
                <w:sz w:val="22"/>
                <w:szCs w:val="22"/>
                <w:lang w:val="de-DE"/>
              </w:rPr>
              <w:t>bei Stunde</w:t>
            </w:r>
            <w:r w:rsidRPr="00B30A12">
              <w:rPr>
                <w:color w:val="000000"/>
                <w:sz w:val="22"/>
                <w:szCs w:val="22"/>
                <w:lang w:val="de-DE"/>
              </w:rPr>
              <w:t xml:space="preserve"> 36, </w:t>
            </w:r>
            <w:r w:rsidR="000C0F7F" w:rsidRPr="00B30A12">
              <w:rPr>
                <w:color w:val="000000"/>
                <w:sz w:val="22"/>
                <w:szCs w:val="22"/>
                <w:lang w:val="de-DE"/>
              </w:rPr>
              <w:t>i.v.</w:t>
            </w:r>
            <w:r w:rsidRPr="00B30A12">
              <w:rPr>
                <w:color w:val="000000"/>
                <w:sz w:val="22"/>
                <w:szCs w:val="22"/>
                <w:lang w:val="de-DE"/>
              </w:rPr>
              <w:t>; 15 mg/m</w:t>
            </w:r>
            <w:r w:rsidRPr="00B30A12">
              <w:rPr>
                <w:color w:val="000000"/>
                <w:sz w:val="22"/>
                <w:szCs w:val="22"/>
                <w:vertAlign w:val="superscript"/>
                <w:lang w:val="de-DE"/>
              </w:rPr>
              <w:t>2</w:t>
            </w:r>
            <w:r w:rsidRPr="00B30A12">
              <w:rPr>
                <w:color w:val="000000"/>
                <w:sz w:val="22"/>
                <w:szCs w:val="22"/>
                <w:lang w:val="de-DE"/>
              </w:rPr>
              <w:t xml:space="preserve"> </w:t>
            </w:r>
            <w:r w:rsidR="009C6632" w:rsidRPr="00B30A12">
              <w:rPr>
                <w:color w:val="000000"/>
                <w:sz w:val="22"/>
                <w:szCs w:val="22"/>
                <w:lang w:val="de-DE"/>
              </w:rPr>
              <w:t>i.v.</w:t>
            </w:r>
            <w:r w:rsidRPr="00B30A12">
              <w:rPr>
                <w:color w:val="000000"/>
                <w:sz w:val="22"/>
                <w:szCs w:val="22"/>
                <w:lang w:val="de-DE"/>
              </w:rPr>
              <w:t xml:space="preserve"> o</w:t>
            </w:r>
            <w:r w:rsidR="000C0F7F" w:rsidRPr="00B30A12">
              <w:rPr>
                <w:color w:val="000000"/>
                <w:sz w:val="22"/>
                <w:szCs w:val="22"/>
                <w:lang w:val="de-DE"/>
              </w:rPr>
              <w:t>de</w:t>
            </w:r>
            <w:r w:rsidRPr="00B30A12">
              <w:rPr>
                <w:color w:val="000000"/>
                <w:sz w:val="22"/>
                <w:szCs w:val="22"/>
                <w:lang w:val="de-DE"/>
              </w:rPr>
              <w:t xml:space="preserve">r </w:t>
            </w:r>
            <w:r w:rsidR="000C0F7F" w:rsidRPr="00B30A12">
              <w:rPr>
                <w:color w:val="000000"/>
                <w:sz w:val="22"/>
                <w:szCs w:val="22"/>
                <w:lang w:val="de-DE"/>
              </w:rPr>
              <w:t>p.o.</w:t>
            </w:r>
            <w:r w:rsidRPr="00B30A12">
              <w:rPr>
                <w:color w:val="000000"/>
                <w:sz w:val="22"/>
                <w:szCs w:val="22"/>
                <w:lang w:val="de-DE"/>
              </w:rPr>
              <w:t xml:space="preserve"> q6h x 6 </w:t>
            </w:r>
            <w:r w:rsidR="00413F72" w:rsidRPr="00B30A12">
              <w:rPr>
                <w:color w:val="000000"/>
                <w:sz w:val="22"/>
                <w:szCs w:val="22"/>
                <w:lang w:val="de-DE"/>
              </w:rPr>
              <w:t>Dosen</w:t>
            </w:r>
            <w:r w:rsidRPr="00B30A12">
              <w:rPr>
                <w:color w:val="000000"/>
                <w:sz w:val="22"/>
                <w:szCs w:val="22"/>
                <w:lang w:val="de-DE"/>
              </w:rPr>
              <w:t xml:space="preserve">)iii: </w:t>
            </w:r>
            <w:r w:rsidR="00413F72" w:rsidRPr="00B30A12">
              <w:rPr>
                <w:color w:val="000000"/>
                <w:sz w:val="22"/>
                <w:szCs w:val="22"/>
                <w:lang w:val="de-DE"/>
              </w:rPr>
              <w:t>Tage 2 u</w:t>
            </w:r>
            <w:r w:rsidRPr="00B30A12">
              <w:rPr>
                <w:color w:val="000000"/>
                <w:sz w:val="22"/>
                <w:szCs w:val="22"/>
                <w:lang w:val="de-DE"/>
              </w:rPr>
              <w:t>nd 3</w:t>
            </w:r>
          </w:p>
          <w:p w14:paraId="29993B7C" w14:textId="77777777" w:rsidR="00BB20C9" w:rsidRPr="00B30A12" w:rsidRDefault="00413F72"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Pr="00B30A12">
              <w:rPr>
                <w:color w:val="000000"/>
                <w:sz w:val="22"/>
                <w:szCs w:val="22"/>
                <w:lang w:val="de-DE"/>
              </w:rPr>
              <w:t>alters-angepasst</w:t>
            </w:r>
            <w:r w:rsidR="00BB20C9" w:rsidRPr="00B30A12">
              <w:rPr>
                <w:color w:val="000000"/>
                <w:sz w:val="22"/>
                <w:szCs w:val="22"/>
                <w:lang w:val="de-DE"/>
              </w:rPr>
              <w:t xml:space="preserve">): </w:t>
            </w:r>
            <w:r w:rsidRPr="00B30A12">
              <w:rPr>
                <w:color w:val="000000"/>
                <w:sz w:val="22"/>
                <w:szCs w:val="22"/>
                <w:lang w:val="de-DE"/>
              </w:rPr>
              <w:t>Tag</w:t>
            </w:r>
            <w:r w:rsidR="00BB20C9" w:rsidRPr="00B30A12">
              <w:rPr>
                <w:color w:val="000000"/>
                <w:sz w:val="22"/>
                <w:szCs w:val="22"/>
                <w:lang w:val="de-DE"/>
              </w:rPr>
              <w:t> 1</w:t>
            </w:r>
          </w:p>
          <w:p w14:paraId="768BDBDC"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ARA-C (3 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Dosis</w:t>
            </w:r>
            <w:r w:rsidRPr="00B30A12">
              <w:rPr>
                <w:color w:val="000000"/>
                <w:sz w:val="22"/>
                <w:szCs w:val="22"/>
                <w:lang w:val="de-DE"/>
              </w:rPr>
              <w:t xml:space="preserve"> q 12 h x 4, </w:t>
            </w:r>
            <w:r w:rsidR="000C0F7F"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 2 u</w:t>
            </w:r>
            <w:r w:rsidRPr="00B30A12">
              <w:rPr>
                <w:color w:val="000000"/>
                <w:sz w:val="22"/>
                <w:szCs w:val="22"/>
                <w:lang w:val="de-DE"/>
              </w:rPr>
              <w:t>nd 3</w:t>
            </w:r>
          </w:p>
          <w:p w14:paraId="6E7E82A0"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 xml:space="preserve">g/kg, </w:t>
            </w:r>
            <w:r w:rsidR="000C0F7F" w:rsidRPr="00B30A12">
              <w:rPr>
                <w:color w:val="000000"/>
                <w:sz w:val="22"/>
                <w:szCs w:val="22"/>
                <w:lang w:val="de-DE"/>
              </w:rPr>
              <w:t>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4</w:t>
            </w:r>
            <w:r w:rsidR="000C0F7F" w:rsidRPr="00B30A12">
              <w:rPr>
                <w:color w:val="000000"/>
                <w:sz w:val="22"/>
                <w:szCs w:val="22"/>
                <w:lang w:val="de-DE"/>
              </w:rPr>
              <w:noBreakHyphen/>
            </w:r>
            <w:r w:rsidRPr="00B30A12">
              <w:rPr>
                <w:color w:val="000000"/>
                <w:sz w:val="22"/>
                <w:szCs w:val="22"/>
                <w:lang w:val="de-DE"/>
              </w:rPr>
              <w:t xml:space="preserve">13 </w:t>
            </w:r>
            <w:r w:rsidR="00456D6F" w:rsidRPr="00B30A12">
              <w:rPr>
                <w:color w:val="000000"/>
                <w:sz w:val="22"/>
                <w:szCs w:val="22"/>
                <w:lang w:val="de-DE"/>
              </w:rPr>
              <w:t>oder bis</w:t>
            </w:r>
            <w:r w:rsidRPr="00B30A12">
              <w:rPr>
                <w:color w:val="000000"/>
                <w:sz w:val="22"/>
                <w:szCs w:val="22"/>
                <w:lang w:val="de-DE"/>
              </w:rPr>
              <w:t xml:space="preserve"> ANC &gt; 1500 post nadir</w:t>
            </w:r>
          </w:p>
        </w:tc>
      </w:tr>
      <w:tr w:rsidR="00BB20C9" w:rsidRPr="00B30A12" w14:paraId="355371D4" w14:textId="77777777" w:rsidTr="00AD54DF">
        <w:trPr>
          <w:cantSplit/>
        </w:trPr>
        <w:tc>
          <w:tcPr>
            <w:tcW w:w="2358" w:type="dxa"/>
            <w:shd w:val="clear" w:color="auto" w:fill="auto"/>
          </w:tcPr>
          <w:p w14:paraId="19515382" w14:textId="77777777" w:rsidR="00BB20C9" w:rsidRPr="00B30A12" w:rsidRDefault="00BB20C9" w:rsidP="00537E23">
            <w:pPr>
              <w:pStyle w:val="EndnoteText"/>
              <w:widowControl w:val="0"/>
              <w:rPr>
                <w:color w:val="000000"/>
                <w:sz w:val="22"/>
                <w:szCs w:val="22"/>
              </w:rPr>
            </w:pPr>
            <w:r w:rsidRPr="00B30A12">
              <w:rPr>
                <w:color w:val="000000"/>
                <w:sz w:val="22"/>
                <w:szCs w:val="22"/>
              </w:rPr>
              <w:t>Reindu</w:t>
            </w:r>
            <w:r w:rsidR="000B5E3D" w:rsidRPr="00B30A12">
              <w:rPr>
                <w:color w:val="000000"/>
                <w:sz w:val="22"/>
                <w:szCs w:val="22"/>
              </w:rPr>
              <w:t>k</w:t>
            </w:r>
            <w:r w:rsidRPr="00B30A12">
              <w:rPr>
                <w:color w:val="000000"/>
                <w:sz w:val="22"/>
                <w:szCs w:val="22"/>
              </w:rPr>
              <w:t>tion</w:t>
            </w:r>
            <w:r w:rsidR="000B5E3D" w:rsidRPr="00B30A12">
              <w:rPr>
                <w:color w:val="000000"/>
                <w:sz w:val="22"/>
                <w:szCs w:val="22"/>
              </w:rPr>
              <w:t>s</w:t>
            </w:r>
            <w:r w:rsidRPr="00B30A12">
              <w:rPr>
                <w:color w:val="000000"/>
                <w:sz w:val="22"/>
                <w:szCs w:val="22"/>
              </w:rPr>
              <w:t>block 1</w:t>
            </w:r>
          </w:p>
          <w:p w14:paraId="5FFD5CD2" w14:textId="77777777" w:rsidR="00BB20C9" w:rsidRPr="00B30A12" w:rsidRDefault="00BB20C9" w:rsidP="00537E23">
            <w:pPr>
              <w:pStyle w:val="EndnoteText"/>
              <w:widowControl w:val="0"/>
              <w:rPr>
                <w:color w:val="000000"/>
                <w:sz w:val="22"/>
                <w:szCs w:val="22"/>
              </w:rPr>
            </w:pPr>
            <w:r w:rsidRPr="00B30A12">
              <w:rPr>
                <w:color w:val="000000"/>
                <w:sz w:val="22"/>
                <w:szCs w:val="22"/>
              </w:rPr>
              <w:t>(3 </w:t>
            </w:r>
            <w:r w:rsidR="000B5E3D" w:rsidRPr="00B30A12">
              <w:rPr>
                <w:color w:val="000000"/>
                <w:sz w:val="22"/>
                <w:szCs w:val="22"/>
              </w:rPr>
              <w:t>Wochen</w:t>
            </w:r>
            <w:r w:rsidRPr="00B30A12">
              <w:rPr>
                <w:color w:val="000000"/>
                <w:sz w:val="22"/>
                <w:szCs w:val="22"/>
              </w:rPr>
              <w:t>)</w:t>
            </w:r>
          </w:p>
        </w:tc>
        <w:tc>
          <w:tcPr>
            <w:tcW w:w="6923" w:type="dxa"/>
            <w:shd w:val="clear" w:color="auto" w:fill="auto"/>
          </w:tcPr>
          <w:p w14:paraId="15DEBFC8" w14:textId="77777777" w:rsidR="00BB20C9" w:rsidRPr="00B30A12" w:rsidRDefault="008338D9" w:rsidP="00537E23">
            <w:pPr>
              <w:pStyle w:val="EndnoteText"/>
              <w:widowControl w:val="0"/>
              <w:rPr>
                <w:color w:val="000000"/>
                <w:sz w:val="22"/>
                <w:szCs w:val="22"/>
                <w:lang w:val="de-DE"/>
              </w:rPr>
            </w:pPr>
            <w:r w:rsidRPr="00B30A12">
              <w:rPr>
                <w:color w:val="000000"/>
                <w:sz w:val="22"/>
                <w:szCs w:val="22"/>
                <w:lang w:val="de-DE"/>
              </w:rPr>
              <w:t>VCR (1,</w:t>
            </w:r>
            <w:r w:rsidR="00BB20C9" w:rsidRPr="00B30A12">
              <w:rPr>
                <w:color w:val="000000"/>
                <w:sz w:val="22"/>
                <w:szCs w:val="22"/>
                <w:lang w:val="de-DE"/>
              </w:rPr>
              <w:t>5 mg/m</w:t>
            </w:r>
            <w:r w:rsidR="00BB20C9" w:rsidRPr="00B30A12">
              <w:rPr>
                <w:color w:val="000000"/>
                <w:sz w:val="22"/>
                <w:szCs w:val="22"/>
                <w:vertAlign w:val="superscript"/>
                <w:lang w:val="de-DE"/>
              </w:rPr>
              <w:t>2</w:t>
            </w:r>
            <w:r w:rsidR="00BB20C9" w:rsidRPr="00B30A12">
              <w:rPr>
                <w:color w:val="000000"/>
                <w:sz w:val="22"/>
                <w:szCs w:val="22"/>
                <w:lang w:val="de-DE"/>
              </w:rPr>
              <w:t>/</w:t>
            </w:r>
            <w:r w:rsidR="00413F72" w:rsidRPr="00B30A12">
              <w:rPr>
                <w:color w:val="000000"/>
                <w:sz w:val="22"/>
                <w:szCs w:val="22"/>
                <w:lang w:val="de-DE"/>
              </w:rPr>
              <w:t>Tag</w:t>
            </w:r>
            <w:r w:rsidR="00BB20C9" w:rsidRPr="00B30A12">
              <w:rPr>
                <w:color w:val="000000"/>
                <w:sz w:val="22"/>
                <w:szCs w:val="22"/>
                <w:lang w:val="de-DE"/>
              </w:rPr>
              <w:t xml:space="preserve">, </w:t>
            </w:r>
            <w:r w:rsidR="000C0F7F"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127C07" w:rsidRPr="00B30A12">
              <w:rPr>
                <w:color w:val="000000"/>
                <w:sz w:val="22"/>
                <w:szCs w:val="22"/>
                <w:lang w:val="de-DE"/>
              </w:rPr>
              <w:t> 1, 8, u</w:t>
            </w:r>
            <w:r w:rsidR="00BB20C9" w:rsidRPr="00B30A12">
              <w:rPr>
                <w:color w:val="000000"/>
                <w:sz w:val="22"/>
                <w:szCs w:val="22"/>
                <w:lang w:val="de-DE"/>
              </w:rPr>
              <w:t>nd 15</w:t>
            </w:r>
          </w:p>
          <w:p w14:paraId="1D7006D1" w14:textId="77777777" w:rsidR="00BB20C9" w:rsidRPr="00B30A12" w:rsidRDefault="00BB20C9" w:rsidP="00537E23">
            <w:pPr>
              <w:pStyle w:val="EndnoteText"/>
              <w:widowControl w:val="0"/>
              <w:rPr>
                <w:color w:val="000000"/>
                <w:sz w:val="22"/>
                <w:szCs w:val="22"/>
                <w:lang w:val="de-CH"/>
              </w:rPr>
            </w:pPr>
            <w:r w:rsidRPr="00B30A12">
              <w:rPr>
                <w:color w:val="000000"/>
                <w:sz w:val="22"/>
                <w:szCs w:val="22"/>
                <w:lang w:val="de-CH"/>
              </w:rPr>
              <w:t>DAUN (45 mg/m</w:t>
            </w:r>
            <w:r w:rsidRPr="00B30A12">
              <w:rPr>
                <w:color w:val="000000"/>
                <w:sz w:val="22"/>
                <w:szCs w:val="22"/>
                <w:vertAlign w:val="superscript"/>
                <w:lang w:val="de-CH"/>
              </w:rPr>
              <w:t>2</w:t>
            </w:r>
            <w:r w:rsidRPr="00B30A12">
              <w:rPr>
                <w:color w:val="000000"/>
                <w:sz w:val="22"/>
                <w:szCs w:val="22"/>
                <w:lang w:val="de-CH"/>
              </w:rPr>
              <w:t>/</w:t>
            </w:r>
            <w:r w:rsidR="00413F72" w:rsidRPr="00B30A12">
              <w:rPr>
                <w:color w:val="000000"/>
                <w:sz w:val="22"/>
                <w:szCs w:val="22"/>
                <w:lang w:val="de-CH"/>
              </w:rPr>
              <w:t>Tag</w:t>
            </w:r>
            <w:r w:rsidRPr="00B30A12">
              <w:rPr>
                <w:color w:val="000000"/>
                <w:sz w:val="22"/>
                <w:szCs w:val="22"/>
                <w:lang w:val="de-CH"/>
              </w:rPr>
              <w:t xml:space="preserve"> </w:t>
            </w:r>
            <w:r w:rsidR="000C0F7F" w:rsidRPr="00B30A12">
              <w:rPr>
                <w:color w:val="000000"/>
                <w:sz w:val="22"/>
                <w:szCs w:val="22"/>
                <w:lang w:val="de-DE"/>
              </w:rPr>
              <w:t>Bolus</w:t>
            </w:r>
            <w:r w:rsidRPr="00B30A12">
              <w:rPr>
                <w:color w:val="000000"/>
                <w:sz w:val="22"/>
                <w:szCs w:val="22"/>
                <w:lang w:val="de-CH"/>
              </w:rPr>
              <w:t xml:space="preserve">, </w:t>
            </w:r>
            <w:r w:rsidR="000C0F7F" w:rsidRPr="00B30A12">
              <w:rPr>
                <w:color w:val="000000"/>
                <w:sz w:val="22"/>
                <w:szCs w:val="22"/>
                <w:lang w:val="de-DE"/>
              </w:rPr>
              <w:t>i.v.</w:t>
            </w:r>
            <w:r w:rsidRPr="00B30A12">
              <w:rPr>
                <w:color w:val="000000"/>
                <w:sz w:val="22"/>
                <w:szCs w:val="22"/>
                <w:lang w:val="de-CH"/>
              </w:rPr>
              <w:t xml:space="preserve">): </w:t>
            </w:r>
            <w:r w:rsidR="00413F72" w:rsidRPr="00B30A12">
              <w:rPr>
                <w:color w:val="000000"/>
                <w:sz w:val="22"/>
                <w:szCs w:val="22"/>
                <w:lang w:val="de-DE"/>
              </w:rPr>
              <w:t>Tage</w:t>
            </w:r>
            <w:r w:rsidR="00127C07" w:rsidRPr="00B30A12">
              <w:rPr>
                <w:color w:val="000000"/>
                <w:sz w:val="22"/>
                <w:szCs w:val="22"/>
                <w:lang w:val="de-DE"/>
              </w:rPr>
              <w:t> 1 u</w:t>
            </w:r>
            <w:r w:rsidRPr="00B30A12">
              <w:rPr>
                <w:color w:val="000000"/>
                <w:sz w:val="22"/>
                <w:szCs w:val="22"/>
                <w:lang w:val="de-CH"/>
              </w:rPr>
              <w:t>nd 2</w:t>
            </w:r>
          </w:p>
          <w:p w14:paraId="6DC24B60" w14:textId="77777777" w:rsidR="00BB20C9" w:rsidRPr="00B30A12" w:rsidRDefault="00BB20C9" w:rsidP="00537E23">
            <w:pPr>
              <w:pStyle w:val="EndnoteText"/>
              <w:widowControl w:val="0"/>
              <w:rPr>
                <w:color w:val="000000"/>
                <w:sz w:val="22"/>
                <w:szCs w:val="22"/>
                <w:lang w:val="de-CH"/>
              </w:rPr>
            </w:pPr>
            <w:r w:rsidRPr="00B30A12">
              <w:rPr>
                <w:color w:val="000000"/>
                <w:sz w:val="22"/>
                <w:szCs w:val="22"/>
                <w:lang w:val="de-CH"/>
              </w:rPr>
              <w:t>CPM (250 mg/m</w:t>
            </w:r>
            <w:r w:rsidRPr="00B30A12">
              <w:rPr>
                <w:color w:val="000000"/>
                <w:sz w:val="22"/>
                <w:szCs w:val="22"/>
                <w:vertAlign w:val="superscript"/>
                <w:lang w:val="de-CH"/>
              </w:rPr>
              <w:t>2</w:t>
            </w:r>
            <w:r w:rsidRPr="00B30A12">
              <w:rPr>
                <w:color w:val="000000"/>
                <w:sz w:val="22"/>
                <w:szCs w:val="22"/>
                <w:lang w:val="de-CH"/>
              </w:rPr>
              <w:t>/</w:t>
            </w:r>
            <w:r w:rsidR="00456D6F" w:rsidRPr="00B30A12">
              <w:rPr>
                <w:color w:val="000000"/>
                <w:sz w:val="22"/>
                <w:szCs w:val="22"/>
                <w:lang w:val="de-CH"/>
              </w:rPr>
              <w:t>Dosis q12h x 4 Dosen</w:t>
            </w:r>
            <w:r w:rsidRPr="00B30A12">
              <w:rPr>
                <w:color w:val="000000"/>
                <w:sz w:val="22"/>
                <w:szCs w:val="22"/>
                <w:lang w:val="de-CH"/>
              </w:rPr>
              <w:t xml:space="preserve">, </w:t>
            </w:r>
            <w:r w:rsidR="000C0F7F" w:rsidRPr="00B30A12">
              <w:rPr>
                <w:color w:val="000000"/>
                <w:sz w:val="22"/>
                <w:szCs w:val="22"/>
                <w:lang w:val="de-CH"/>
              </w:rPr>
              <w:t>i.v.</w:t>
            </w:r>
            <w:r w:rsidRPr="00B30A12">
              <w:rPr>
                <w:color w:val="000000"/>
                <w:sz w:val="22"/>
                <w:szCs w:val="22"/>
                <w:lang w:val="de-CH"/>
              </w:rPr>
              <w:t xml:space="preserve">): </w:t>
            </w:r>
            <w:r w:rsidR="00413F72" w:rsidRPr="00B30A12">
              <w:rPr>
                <w:color w:val="000000"/>
                <w:sz w:val="22"/>
                <w:szCs w:val="22"/>
                <w:lang w:val="de-DE"/>
              </w:rPr>
              <w:t>Tage</w:t>
            </w:r>
            <w:r w:rsidR="00456D6F" w:rsidRPr="00B30A12">
              <w:rPr>
                <w:color w:val="000000"/>
                <w:sz w:val="22"/>
                <w:szCs w:val="22"/>
                <w:lang w:val="de-CH"/>
              </w:rPr>
              <w:t> 3 u</w:t>
            </w:r>
            <w:r w:rsidRPr="00B30A12">
              <w:rPr>
                <w:color w:val="000000"/>
                <w:sz w:val="22"/>
                <w:szCs w:val="22"/>
                <w:lang w:val="de-CH"/>
              </w:rPr>
              <w:t>nd 4</w:t>
            </w:r>
          </w:p>
          <w:p w14:paraId="51D29EB4" w14:textId="77777777" w:rsidR="00BB20C9" w:rsidRPr="00B30A12" w:rsidRDefault="00BB20C9" w:rsidP="00537E23">
            <w:pPr>
              <w:pStyle w:val="EndnoteText"/>
              <w:widowControl w:val="0"/>
              <w:rPr>
                <w:color w:val="000000"/>
                <w:sz w:val="22"/>
                <w:szCs w:val="22"/>
                <w:lang w:val="de-CH"/>
              </w:rPr>
            </w:pPr>
            <w:r w:rsidRPr="00B30A12">
              <w:rPr>
                <w:color w:val="000000"/>
                <w:sz w:val="22"/>
                <w:szCs w:val="22"/>
                <w:lang w:val="de-CH"/>
              </w:rPr>
              <w:t>PEG-ASP (2500 </w:t>
            </w:r>
            <w:r w:rsidR="00B354E2" w:rsidRPr="00B30A12">
              <w:rPr>
                <w:color w:val="000000"/>
                <w:sz w:val="22"/>
                <w:szCs w:val="22"/>
                <w:lang w:val="de-DE"/>
              </w:rPr>
              <w:t>IE/</w:t>
            </w:r>
            <w:r w:rsidRPr="00B30A12">
              <w:rPr>
                <w:color w:val="000000"/>
                <w:sz w:val="22"/>
                <w:szCs w:val="22"/>
                <w:lang w:val="de-CH"/>
              </w:rPr>
              <w:t>m</w:t>
            </w:r>
            <w:r w:rsidRPr="00B30A12">
              <w:rPr>
                <w:color w:val="000000"/>
                <w:sz w:val="22"/>
                <w:szCs w:val="22"/>
                <w:vertAlign w:val="superscript"/>
                <w:lang w:val="de-CH"/>
              </w:rPr>
              <w:t>2</w:t>
            </w:r>
            <w:r w:rsidRPr="00B30A12">
              <w:rPr>
                <w:color w:val="000000"/>
                <w:sz w:val="22"/>
                <w:szCs w:val="22"/>
                <w:lang w:val="de-CH"/>
              </w:rPr>
              <w:t xml:space="preserve">, </w:t>
            </w:r>
            <w:r w:rsidR="000C0F7F" w:rsidRPr="00B30A12">
              <w:rPr>
                <w:color w:val="000000"/>
                <w:sz w:val="22"/>
                <w:szCs w:val="22"/>
                <w:lang w:val="de-DE"/>
              </w:rPr>
              <w:t>i.m.</w:t>
            </w:r>
            <w:r w:rsidRPr="00B30A12">
              <w:rPr>
                <w:color w:val="000000"/>
                <w:sz w:val="22"/>
                <w:szCs w:val="22"/>
                <w:lang w:val="de-CH"/>
              </w:rPr>
              <w:t xml:space="preserve">): </w:t>
            </w:r>
            <w:r w:rsidR="00413F72" w:rsidRPr="00B30A12">
              <w:rPr>
                <w:color w:val="000000"/>
                <w:sz w:val="22"/>
                <w:szCs w:val="22"/>
                <w:lang w:val="de-CH"/>
              </w:rPr>
              <w:t>Tag</w:t>
            </w:r>
            <w:r w:rsidRPr="00B30A12">
              <w:rPr>
                <w:color w:val="000000"/>
                <w:sz w:val="22"/>
                <w:szCs w:val="22"/>
                <w:lang w:val="de-CH"/>
              </w:rPr>
              <w:t> 4</w:t>
            </w:r>
          </w:p>
          <w:p w14:paraId="181F50E9" w14:textId="77777777" w:rsidR="00BB20C9" w:rsidRPr="00B30A12" w:rsidRDefault="00BB20C9" w:rsidP="00537E23">
            <w:pPr>
              <w:pStyle w:val="EndnoteText"/>
              <w:widowControl w:val="0"/>
              <w:rPr>
                <w:color w:val="000000"/>
                <w:sz w:val="22"/>
                <w:szCs w:val="22"/>
                <w:lang w:val="de-CH"/>
              </w:rPr>
            </w:pPr>
            <w:r w:rsidRPr="00B30A12">
              <w:rPr>
                <w:color w:val="000000"/>
                <w:sz w:val="22"/>
                <w:szCs w:val="22"/>
                <w:lang w:val="de-CH"/>
              </w:rPr>
              <w:t>G-CSF (5 </w:t>
            </w:r>
            <w:r w:rsidRPr="00B30A12">
              <w:rPr>
                <w:color w:val="000000"/>
                <w:sz w:val="22"/>
                <w:szCs w:val="22"/>
              </w:rPr>
              <w:t>μ</w:t>
            </w:r>
            <w:r w:rsidR="000C0F7F" w:rsidRPr="00B30A12">
              <w:rPr>
                <w:color w:val="000000"/>
                <w:sz w:val="22"/>
                <w:szCs w:val="22"/>
                <w:lang w:val="de-CH"/>
              </w:rPr>
              <w:t>g/kg, s.c.</w:t>
            </w:r>
            <w:r w:rsidRPr="00B30A12">
              <w:rPr>
                <w:color w:val="000000"/>
                <w:sz w:val="22"/>
                <w:szCs w:val="22"/>
                <w:lang w:val="de-CH"/>
              </w:rPr>
              <w:t xml:space="preserve">): </w:t>
            </w:r>
            <w:r w:rsidR="00413F72" w:rsidRPr="00B30A12">
              <w:rPr>
                <w:color w:val="000000"/>
                <w:sz w:val="22"/>
                <w:szCs w:val="22"/>
                <w:lang w:val="de-CH"/>
              </w:rPr>
              <w:t>Tage</w:t>
            </w:r>
            <w:r w:rsidRPr="00B30A12">
              <w:rPr>
                <w:color w:val="000000"/>
                <w:sz w:val="22"/>
                <w:szCs w:val="22"/>
                <w:lang w:val="de-CH"/>
              </w:rPr>
              <w:t> 5</w:t>
            </w:r>
            <w:r w:rsidRPr="00B30A12">
              <w:rPr>
                <w:color w:val="000000"/>
                <w:sz w:val="22"/>
                <w:szCs w:val="22"/>
                <w:lang w:val="de-CH"/>
              </w:rPr>
              <w:noBreakHyphen/>
              <w:t xml:space="preserve">14 </w:t>
            </w:r>
            <w:r w:rsidR="00456D6F" w:rsidRPr="00B30A12">
              <w:rPr>
                <w:color w:val="000000"/>
                <w:sz w:val="22"/>
                <w:szCs w:val="22"/>
                <w:lang w:val="de-CH"/>
              </w:rPr>
              <w:t>oder bis</w:t>
            </w:r>
            <w:r w:rsidRPr="00B30A12">
              <w:rPr>
                <w:color w:val="000000"/>
                <w:sz w:val="22"/>
                <w:szCs w:val="22"/>
                <w:lang w:val="de-CH"/>
              </w:rPr>
              <w:t xml:space="preserve"> ANC &gt; 1500 post nadir</w:t>
            </w:r>
          </w:p>
          <w:p w14:paraId="046FB53E"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CH"/>
              </w:rPr>
              <w:t>(</w:t>
            </w:r>
            <w:r w:rsidR="00413F72" w:rsidRPr="00B30A12">
              <w:rPr>
                <w:color w:val="000000"/>
                <w:sz w:val="22"/>
                <w:szCs w:val="22"/>
                <w:lang w:val="de-DE"/>
              </w:rPr>
              <w:t>alters-angepasst</w:t>
            </w:r>
            <w:r w:rsidR="00BB20C9" w:rsidRPr="00B30A12">
              <w:rPr>
                <w:color w:val="000000"/>
                <w:sz w:val="22"/>
                <w:szCs w:val="22"/>
                <w:lang w:val="de-CH"/>
              </w:rPr>
              <w:t xml:space="preserve">): </w:t>
            </w:r>
            <w:r w:rsidR="00413F72" w:rsidRPr="00B30A12">
              <w:rPr>
                <w:color w:val="000000"/>
                <w:sz w:val="22"/>
                <w:szCs w:val="22"/>
                <w:lang w:val="de-CH"/>
              </w:rPr>
              <w:t>Tage</w:t>
            </w:r>
            <w:r w:rsidR="00127C07" w:rsidRPr="00B30A12">
              <w:rPr>
                <w:color w:val="000000"/>
                <w:sz w:val="22"/>
                <w:szCs w:val="22"/>
                <w:lang w:val="de-DE"/>
              </w:rPr>
              <w:t> 1 u</w:t>
            </w:r>
            <w:r w:rsidR="00BB20C9" w:rsidRPr="00B30A12">
              <w:rPr>
                <w:color w:val="000000"/>
                <w:sz w:val="22"/>
                <w:szCs w:val="22"/>
                <w:lang w:val="de-DE"/>
              </w:rPr>
              <w:t>nd 15</w:t>
            </w:r>
          </w:p>
          <w:p w14:paraId="4C88C0A6"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0C0F7F"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1</w:t>
            </w:r>
            <w:r w:rsidR="00456D6F" w:rsidRPr="00B30A12">
              <w:rPr>
                <w:color w:val="000000"/>
                <w:sz w:val="22"/>
                <w:szCs w:val="22"/>
                <w:lang w:val="de-DE"/>
              </w:rPr>
              <w:noBreakHyphen/>
              <w:t>7 u</w:t>
            </w:r>
            <w:r w:rsidRPr="00B30A12">
              <w:rPr>
                <w:color w:val="000000"/>
                <w:sz w:val="22"/>
                <w:szCs w:val="22"/>
                <w:lang w:val="de-DE"/>
              </w:rPr>
              <w:t>nd 15</w:t>
            </w:r>
            <w:r w:rsidRPr="00B30A12">
              <w:rPr>
                <w:color w:val="000000"/>
                <w:sz w:val="22"/>
                <w:szCs w:val="22"/>
                <w:lang w:val="de-DE"/>
              </w:rPr>
              <w:noBreakHyphen/>
              <w:t>21</w:t>
            </w:r>
          </w:p>
        </w:tc>
      </w:tr>
      <w:tr w:rsidR="00BB20C9" w:rsidRPr="00B30A12" w14:paraId="5C3A3E29" w14:textId="77777777" w:rsidTr="00AD54DF">
        <w:trPr>
          <w:cantSplit/>
        </w:trPr>
        <w:tc>
          <w:tcPr>
            <w:tcW w:w="2358" w:type="dxa"/>
            <w:shd w:val="clear" w:color="auto" w:fill="auto"/>
          </w:tcPr>
          <w:p w14:paraId="5D429D78" w14:textId="77777777" w:rsidR="00BB20C9" w:rsidRPr="00B30A12" w:rsidRDefault="00BB20C9" w:rsidP="00537E23">
            <w:pPr>
              <w:pStyle w:val="EndnoteText"/>
              <w:widowControl w:val="0"/>
              <w:rPr>
                <w:color w:val="000000"/>
                <w:sz w:val="22"/>
                <w:szCs w:val="22"/>
              </w:rPr>
            </w:pPr>
            <w:r w:rsidRPr="00B30A12">
              <w:rPr>
                <w:color w:val="000000"/>
                <w:sz w:val="22"/>
                <w:szCs w:val="22"/>
              </w:rPr>
              <w:lastRenderedPageBreak/>
              <w:t>Intensi</w:t>
            </w:r>
            <w:r w:rsidR="000B5E3D" w:rsidRPr="00B30A12">
              <w:rPr>
                <w:color w:val="000000"/>
                <w:sz w:val="22"/>
                <w:szCs w:val="22"/>
              </w:rPr>
              <w:t>vierungs</w:t>
            </w:r>
            <w:r w:rsidRPr="00B30A12">
              <w:rPr>
                <w:color w:val="000000"/>
                <w:sz w:val="22"/>
                <w:szCs w:val="22"/>
              </w:rPr>
              <w:t>block 1</w:t>
            </w:r>
          </w:p>
          <w:p w14:paraId="5F9FDB0F" w14:textId="77777777" w:rsidR="00BB20C9" w:rsidRPr="00B30A12" w:rsidRDefault="00BB20C9" w:rsidP="00537E23">
            <w:pPr>
              <w:pStyle w:val="EndnoteText"/>
              <w:widowControl w:val="0"/>
              <w:rPr>
                <w:color w:val="000000"/>
                <w:sz w:val="22"/>
                <w:szCs w:val="22"/>
              </w:rPr>
            </w:pPr>
            <w:r w:rsidRPr="00B30A12">
              <w:rPr>
                <w:color w:val="000000"/>
                <w:sz w:val="22"/>
                <w:szCs w:val="22"/>
              </w:rPr>
              <w:t>(9 </w:t>
            </w:r>
            <w:r w:rsidR="000B5E3D" w:rsidRPr="00B30A12">
              <w:rPr>
                <w:color w:val="000000"/>
                <w:sz w:val="22"/>
                <w:szCs w:val="22"/>
              </w:rPr>
              <w:t>Wochen</w:t>
            </w:r>
            <w:r w:rsidRPr="00B30A12">
              <w:rPr>
                <w:color w:val="000000"/>
                <w:sz w:val="22"/>
                <w:szCs w:val="22"/>
              </w:rPr>
              <w:t>)</w:t>
            </w:r>
          </w:p>
        </w:tc>
        <w:tc>
          <w:tcPr>
            <w:tcW w:w="6923" w:type="dxa"/>
            <w:shd w:val="clear" w:color="auto" w:fill="auto"/>
          </w:tcPr>
          <w:p w14:paraId="12A3BFD2"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Methotrexat</w:t>
            </w:r>
            <w:r w:rsidR="00BB20C9" w:rsidRPr="00B30A12">
              <w:rPr>
                <w:color w:val="000000"/>
                <w:sz w:val="22"/>
                <w:szCs w:val="22"/>
                <w:lang w:val="de-DE"/>
              </w:rPr>
              <w:t xml:space="preserve"> (5 g/m</w:t>
            </w:r>
            <w:r w:rsidR="00BB20C9" w:rsidRPr="00B30A12">
              <w:rPr>
                <w:color w:val="000000"/>
                <w:sz w:val="22"/>
                <w:szCs w:val="22"/>
                <w:vertAlign w:val="superscript"/>
                <w:lang w:val="de-DE"/>
              </w:rPr>
              <w:t>2</w:t>
            </w:r>
            <w:r w:rsidR="00127C07" w:rsidRPr="00B30A12">
              <w:rPr>
                <w:color w:val="000000"/>
                <w:sz w:val="22"/>
                <w:szCs w:val="22"/>
                <w:lang w:val="de-DE"/>
              </w:rPr>
              <w:t xml:space="preserve"> über</w:t>
            </w:r>
            <w:r w:rsidR="00BB20C9" w:rsidRPr="00B30A12">
              <w:rPr>
                <w:color w:val="000000"/>
                <w:sz w:val="22"/>
                <w:szCs w:val="22"/>
                <w:lang w:val="de-DE"/>
              </w:rPr>
              <w:t xml:space="preserve"> 24 </w:t>
            </w:r>
            <w:r w:rsidR="00127C07" w:rsidRPr="00B30A12">
              <w:rPr>
                <w:color w:val="000000"/>
                <w:sz w:val="22"/>
                <w:szCs w:val="22"/>
                <w:lang w:val="de-DE"/>
              </w:rPr>
              <w:t>Stunden</w:t>
            </w:r>
            <w:r w:rsidR="00BB20C9" w:rsidRPr="00B30A12">
              <w:rPr>
                <w:color w:val="000000"/>
                <w:sz w:val="22"/>
                <w:szCs w:val="22"/>
                <w:lang w:val="de-DE"/>
              </w:rPr>
              <w:t xml:space="preserve">, </w:t>
            </w:r>
            <w:r w:rsidR="000C0F7F"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 u</w:t>
            </w:r>
            <w:r w:rsidR="00BB20C9" w:rsidRPr="00B30A12">
              <w:rPr>
                <w:color w:val="000000"/>
                <w:sz w:val="22"/>
                <w:szCs w:val="22"/>
                <w:lang w:val="de-DE"/>
              </w:rPr>
              <w:t>nd 15</w:t>
            </w:r>
          </w:p>
          <w:p w14:paraId="2F0287F3"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w:t>
            </w:r>
            <w:r w:rsidR="00456D6F" w:rsidRPr="00B30A12">
              <w:rPr>
                <w:color w:val="000000"/>
                <w:sz w:val="22"/>
                <w:szCs w:val="22"/>
                <w:lang w:val="de-DE"/>
              </w:rPr>
              <w:t>bei Stunde</w:t>
            </w:r>
            <w:r w:rsidRPr="00B30A12">
              <w:rPr>
                <w:color w:val="000000"/>
                <w:sz w:val="22"/>
                <w:szCs w:val="22"/>
                <w:lang w:val="de-DE"/>
              </w:rPr>
              <w:t xml:space="preserve"> 36, </w:t>
            </w:r>
            <w:r w:rsidR="000C0F7F" w:rsidRPr="00B30A12">
              <w:rPr>
                <w:color w:val="000000"/>
                <w:sz w:val="22"/>
                <w:szCs w:val="22"/>
                <w:lang w:val="de-DE"/>
              </w:rPr>
              <w:t>i.v.</w:t>
            </w:r>
            <w:r w:rsidRPr="00B30A12">
              <w:rPr>
                <w:color w:val="000000"/>
                <w:sz w:val="22"/>
                <w:szCs w:val="22"/>
                <w:lang w:val="de-DE"/>
              </w:rPr>
              <w:t>; 15 mg/m</w:t>
            </w:r>
            <w:r w:rsidRPr="00B30A12">
              <w:rPr>
                <w:color w:val="000000"/>
                <w:sz w:val="22"/>
                <w:szCs w:val="22"/>
                <w:vertAlign w:val="superscript"/>
                <w:lang w:val="de-DE"/>
              </w:rPr>
              <w:t>2</w:t>
            </w:r>
            <w:r w:rsidRPr="00B30A12">
              <w:rPr>
                <w:color w:val="000000"/>
                <w:sz w:val="22"/>
                <w:szCs w:val="22"/>
                <w:lang w:val="de-DE"/>
              </w:rPr>
              <w:t xml:space="preserve"> </w:t>
            </w:r>
            <w:r w:rsidR="000C0F7F" w:rsidRPr="00B30A12">
              <w:rPr>
                <w:color w:val="000000"/>
                <w:sz w:val="22"/>
                <w:szCs w:val="22"/>
                <w:lang w:val="de-DE"/>
              </w:rPr>
              <w:t>i.v.</w:t>
            </w:r>
            <w:r w:rsidRPr="00B30A12">
              <w:rPr>
                <w:color w:val="000000"/>
                <w:sz w:val="22"/>
                <w:szCs w:val="22"/>
                <w:lang w:val="de-DE"/>
              </w:rPr>
              <w:t xml:space="preserve"> </w:t>
            </w:r>
            <w:r w:rsidR="00456D6F" w:rsidRPr="00B30A12">
              <w:rPr>
                <w:color w:val="000000"/>
                <w:sz w:val="22"/>
                <w:szCs w:val="22"/>
                <w:lang w:val="de-DE"/>
              </w:rPr>
              <w:t xml:space="preserve">oder </w:t>
            </w:r>
            <w:r w:rsidR="000C0F7F" w:rsidRPr="00B30A12">
              <w:rPr>
                <w:color w:val="000000"/>
                <w:sz w:val="22"/>
                <w:szCs w:val="22"/>
                <w:lang w:val="de-DE"/>
              </w:rPr>
              <w:t>p.o.</w:t>
            </w:r>
            <w:r w:rsidR="00456D6F" w:rsidRPr="00B30A12">
              <w:rPr>
                <w:color w:val="000000"/>
                <w:sz w:val="22"/>
                <w:szCs w:val="22"/>
                <w:lang w:val="de-DE"/>
              </w:rPr>
              <w:t xml:space="preserve"> q6h x 6 Dosen</w:t>
            </w:r>
            <w:r w:rsidRPr="00B30A12">
              <w:rPr>
                <w:color w:val="000000"/>
                <w:sz w:val="22"/>
                <w:szCs w:val="22"/>
                <w:lang w:val="de-DE"/>
              </w:rPr>
              <w:t xml:space="preserve">)iii: </w:t>
            </w:r>
            <w:r w:rsidR="00413F72" w:rsidRPr="00B30A12">
              <w:rPr>
                <w:color w:val="000000"/>
                <w:sz w:val="22"/>
                <w:szCs w:val="22"/>
                <w:lang w:val="de-DE"/>
              </w:rPr>
              <w:t>Tage</w:t>
            </w:r>
            <w:r w:rsidRPr="00B30A12">
              <w:rPr>
                <w:color w:val="000000"/>
                <w:sz w:val="22"/>
                <w:szCs w:val="22"/>
                <w:lang w:val="de-DE"/>
              </w:rPr>
              <w:t> 2, 3, 16 and 17</w:t>
            </w:r>
          </w:p>
          <w:p w14:paraId="0F2632A6"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00413F72" w:rsidRPr="00B30A12">
              <w:rPr>
                <w:color w:val="000000"/>
                <w:sz w:val="22"/>
                <w:szCs w:val="22"/>
                <w:lang w:val="de-DE"/>
              </w:rPr>
              <w:t>alters-angepasst</w:t>
            </w:r>
            <w:r w:rsidR="00BB20C9"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 u</w:t>
            </w:r>
            <w:r w:rsidR="00BB20C9" w:rsidRPr="00B30A12">
              <w:rPr>
                <w:color w:val="000000"/>
                <w:sz w:val="22"/>
                <w:szCs w:val="22"/>
                <w:lang w:val="de-DE"/>
              </w:rPr>
              <w:t>nd 22</w:t>
            </w:r>
          </w:p>
          <w:p w14:paraId="4771B4B7"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702EA2F9"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482F2A22"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MESNA (150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547047F9"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00CC3A71" w:rsidRPr="00B30A12">
              <w:rPr>
                <w:color w:val="000000"/>
                <w:sz w:val="22"/>
                <w:szCs w:val="22"/>
                <w:lang w:val="de-DE"/>
              </w:rPr>
              <w:t>g/kg, 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27</w:t>
            </w:r>
            <w:r w:rsidR="00CC3A71" w:rsidRPr="00B30A12">
              <w:rPr>
                <w:color w:val="000000"/>
                <w:sz w:val="22"/>
                <w:szCs w:val="22"/>
                <w:lang w:val="de-DE"/>
              </w:rPr>
              <w:noBreakHyphen/>
            </w:r>
            <w:r w:rsidRPr="00B30A12">
              <w:rPr>
                <w:color w:val="000000"/>
                <w:sz w:val="22"/>
                <w:szCs w:val="22"/>
                <w:lang w:val="de-DE"/>
              </w:rPr>
              <w:t>36</w:t>
            </w:r>
            <w:r w:rsidR="00456D6F" w:rsidRPr="00B30A12">
              <w:rPr>
                <w:color w:val="000000"/>
                <w:sz w:val="22"/>
                <w:szCs w:val="22"/>
                <w:lang w:val="de-DE"/>
              </w:rPr>
              <w:t xml:space="preserve"> oder bis</w:t>
            </w:r>
            <w:r w:rsidRPr="00B30A12">
              <w:rPr>
                <w:color w:val="000000"/>
                <w:sz w:val="22"/>
                <w:szCs w:val="22"/>
                <w:lang w:val="de-DE"/>
              </w:rPr>
              <w:t xml:space="preserve"> ANC &gt; 1500 post nadir</w:t>
            </w:r>
          </w:p>
          <w:p w14:paraId="7285EB54"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ARA-C (3 g/m</w:t>
            </w:r>
            <w:r w:rsidRPr="00B30A12">
              <w:rPr>
                <w:color w:val="000000"/>
                <w:sz w:val="22"/>
                <w:szCs w:val="22"/>
                <w:vertAlign w:val="superscript"/>
                <w:lang w:val="de-DE"/>
              </w:rPr>
              <w:t>2</w:t>
            </w:r>
            <w:r w:rsidRPr="00B30A12">
              <w:rPr>
                <w:color w:val="000000"/>
                <w:sz w:val="22"/>
                <w:szCs w:val="22"/>
                <w:lang w:val="de-DE"/>
              </w:rPr>
              <w:t xml:space="preserve">, q12h,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43, 44</w:t>
            </w:r>
          </w:p>
          <w:p w14:paraId="16A1E77C"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L-ASP (6000 </w:t>
            </w:r>
            <w:r w:rsidR="00B354E2" w:rsidRPr="00B30A12">
              <w:rPr>
                <w:color w:val="000000"/>
                <w:sz w:val="22"/>
                <w:szCs w:val="22"/>
                <w:lang w:val="de-DE"/>
              </w:rPr>
              <w:t>IE</w:t>
            </w:r>
            <w:r w:rsidRPr="00B30A12">
              <w:rPr>
                <w:color w:val="000000"/>
                <w:sz w:val="22"/>
                <w:szCs w:val="22"/>
                <w:lang w:val="de-DE"/>
              </w:rPr>
              <w:t>/m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i.m.</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44</w:t>
            </w:r>
          </w:p>
        </w:tc>
      </w:tr>
      <w:tr w:rsidR="00BB20C9" w:rsidRPr="00B30A12" w14:paraId="059F7DFB" w14:textId="77777777" w:rsidTr="00AD54DF">
        <w:trPr>
          <w:cantSplit/>
        </w:trPr>
        <w:tc>
          <w:tcPr>
            <w:tcW w:w="2358" w:type="dxa"/>
            <w:shd w:val="clear" w:color="auto" w:fill="auto"/>
          </w:tcPr>
          <w:p w14:paraId="416F9AFD" w14:textId="77777777" w:rsidR="00BB20C9" w:rsidRPr="00B30A12" w:rsidRDefault="000B5E3D" w:rsidP="00537E23">
            <w:pPr>
              <w:pStyle w:val="EndnoteText"/>
              <w:widowControl w:val="0"/>
              <w:rPr>
                <w:color w:val="000000"/>
                <w:sz w:val="22"/>
                <w:szCs w:val="22"/>
              </w:rPr>
            </w:pPr>
            <w:r w:rsidRPr="00B30A12">
              <w:rPr>
                <w:color w:val="000000"/>
                <w:sz w:val="22"/>
                <w:szCs w:val="22"/>
              </w:rPr>
              <w:t>Reinduktionsblock </w:t>
            </w:r>
            <w:r w:rsidR="00BB20C9" w:rsidRPr="00B30A12">
              <w:rPr>
                <w:color w:val="000000"/>
                <w:sz w:val="22"/>
                <w:szCs w:val="22"/>
              </w:rPr>
              <w:t>2</w:t>
            </w:r>
          </w:p>
          <w:p w14:paraId="7199AB8E" w14:textId="77777777" w:rsidR="00BB20C9" w:rsidRPr="00B30A12" w:rsidRDefault="00BB20C9" w:rsidP="00537E23">
            <w:pPr>
              <w:pStyle w:val="EndnoteText"/>
              <w:widowControl w:val="0"/>
              <w:rPr>
                <w:color w:val="000000"/>
                <w:sz w:val="22"/>
                <w:szCs w:val="22"/>
              </w:rPr>
            </w:pPr>
            <w:r w:rsidRPr="00B30A12">
              <w:rPr>
                <w:color w:val="000000"/>
                <w:sz w:val="22"/>
                <w:szCs w:val="22"/>
              </w:rPr>
              <w:t>(3 </w:t>
            </w:r>
            <w:r w:rsidR="000B5E3D" w:rsidRPr="00B30A12">
              <w:rPr>
                <w:color w:val="000000"/>
                <w:sz w:val="22"/>
                <w:szCs w:val="22"/>
              </w:rPr>
              <w:t>Wochen</w:t>
            </w:r>
            <w:r w:rsidRPr="00B30A12">
              <w:rPr>
                <w:color w:val="000000"/>
                <w:sz w:val="22"/>
                <w:szCs w:val="22"/>
              </w:rPr>
              <w:t>)</w:t>
            </w:r>
          </w:p>
        </w:tc>
        <w:tc>
          <w:tcPr>
            <w:tcW w:w="6923" w:type="dxa"/>
            <w:shd w:val="clear" w:color="auto" w:fill="auto"/>
          </w:tcPr>
          <w:p w14:paraId="2F576A03" w14:textId="77777777" w:rsidR="00BB20C9" w:rsidRPr="00B30A12" w:rsidRDefault="00CC3A71" w:rsidP="00537E23">
            <w:pPr>
              <w:pStyle w:val="EndnoteText"/>
              <w:widowControl w:val="0"/>
              <w:rPr>
                <w:color w:val="000000"/>
                <w:sz w:val="22"/>
                <w:szCs w:val="22"/>
                <w:lang w:val="de-DE"/>
              </w:rPr>
            </w:pPr>
            <w:r w:rsidRPr="00B30A12">
              <w:rPr>
                <w:color w:val="000000"/>
                <w:sz w:val="22"/>
                <w:szCs w:val="22"/>
                <w:lang w:val="de-DE"/>
              </w:rPr>
              <w:t>VCR (1,</w:t>
            </w:r>
            <w:r w:rsidR="00BB20C9" w:rsidRPr="00B30A12">
              <w:rPr>
                <w:color w:val="000000"/>
                <w:sz w:val="22"/>
                <w:szCs w:val="22"/>
                <w:lang w:val="de-DE"/>
              </w:rPr>
              <w:t>5 mg/m</w:t>
            </w:r>
            <w:r w:rsidR="00BB20C9" w:rsidRPr="00B30A12">
              <w:rPr>
                <w:color w:val="000000"/>
                <w:sz w:val="22"/>
                <w:szCs w:val="22"/>
                <w:vertAlign w:val="superscript"/>
                <w:lang w:val="de-DE"/>
              </w:rPr>
              <w:t>2</w:t>
            </w:r>
            <w:r w:rsidR="00BB20C9" w:rsidRPr="00B30A12">
              <w:rPr>
                <w:color w:val="000000"/>
                <w:sz w:val="22"/>
                <w:szCs w:val="22"/>
                <w:lang w:val="de-DE"/>
              </w:rPr>
              <w:t>/</w:t>
            </w:r>
            <w:r w:rsidR="00413F72" w:rsidRPr="00B30A12">
              <w:rPr>
                <w:color w:val="000000"/>
                <w:sz w:val="22"/>
                <w:szCs w:val="22"/>
                <w:lang w:val="de-DE"/>
              </w:rPr>
              <w:t>Tag</w:t>
            </w:r>
            <w:r w:rsidR="00BB20C9" w:rsidRPr="00B30A12">
              <w:rPr>
                <w:color w:val="000000"/>
                <w:sz w:val="22"/>
                <w:szCs w:val="22"/>
                <w:lang w:val="de-DE"/>
              </w:rPr>
              <w:t xml:space="preserve">, </w:t>
            </w:r>
            <w:r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1, 8 u</w:t>
            </w:r>
            <w:r w:rsidR="00BB20C9" w:rsidRPr="00B30A12">
              <w:rPr>
                <w:color w:val="000000"/>
                <w:sz w:val="22"/>
                <w:szCs w:val="22"/>
                <w:lang w:val="de-DE"/>
              </w:rPr>
              <w:t>nd 15</w:t>
            </w:r>
          </w:p>
          <w:p w14:paraId="478ABFA5"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DAUN (45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Bolus</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1 u</w:t>
            </w:r>
            <w:r w:rsidRPr="00B30A12">
              <w:rPr>
                <w:color w:val="000000"/>
                <w:sz w:val="22"/>
                <w:szCs w:val="22"/>
                <w:lang w:val="de-DE"/>
              </w:rPr>
              <w:t>nd 2</w:t>
            </w:r>
          </w:p>
          <w:p w14:paraId="30E6EC84"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CPM (250 mg/m</w:t>
            </w:r>
            <w:r w:rsidRPr="00B30A12">
              <w:rPr>
                <w:color w:val="000000"/>
                <w:sz w:val="22"/>
                <w:szCs w:val="22"/>
                <w:vertAlign w:val="superscript"/>
                <w:lang w:val="de-DE"/>
              </w:rPr>
              <w:t>2</w:t>
            </w:r>
            <w:r w:rsidRPr="00B30A12">
              <w:rPr>
                <w:color w:val="000000"/>
                <w:sz w:val="22"/>
                <w:szCs w:val="22"/>
                <w:lang w:val="de-DE"/>
              </w:rPr>
              <w:t>/</w:t>
            </w:r>
            <w:r w:rsidR="00456D6F" w:rsidRPr="00B30A12">
              <w:rPr>
                <w:color w:val="000000"/>
                <w:sz w:val="22"/>
                <w:szCs w:val="22"/>
                <w:lang w:val="de-DE"/>
              </w:rPr>
              <w:t>Dosis</w:t>
            </w:r>
            <w:r w:rsidRPr="00B30A12">
              <w:rPr>
                <w:color w:val="000000"/>
                <w:sz w:val="22"/>
                <w:szCs w:val="22"/>
                <w:lang w:val="de-DE"/>
              </w:rPr>
              <w:t xml:space="preserve"> q12h x 4 </w:t>
            </w:r>
            <w:r w:rsidR="00456D6F" w:rsidRPr="00B30A12">
              <w:rPr>
                <w:color w:val="000000"/>
                <w:sz w:val="22"/>
                <w:szCs w:val="22"/>
                <w:lang w:val="de-DE"/>
              </w:rPr>
              <w:t>Dosen</w:t>
            </w:r>
            <w:r w:rsidRPr="00B30A12">
              <w:rPr>
                <w:color w:val="000000"/>
                <w:sz w:val="22"/>
                <w:szCs w:val="22"/>
                <w:lang w:val="de-DE"/>
              </w:rPr>
              <w:t>, i</w:t>
            </w:r>
            <w:r w:rsidR="00CC3A71" w:rsidRPr="00B30A12">
              <w:rPr>
                <w:color w:val="000000"/>
                <w:sz w:val="22"/>
                <w:szCs w:val="22"/>
                <w:lang w:val="de-DE"/>
              </w:rPr>
              <w:t>.</w:t>
            </w:r>
            <w:r w:rsidRPr="00B30A12">
              <w:rPr>
                <w:color w:val="000000"/>
                <w:sz w:val="22"/>
                <w:szCs w:val="22"/>
                <w:lang w:val="de-DE"/>
              </w:rPr>
              <w:t>v</w:t>
            </w:r>
            <w:r w:rsidR="00CC3A71" w:rsidRPr="00B30A12">
              <w:rPr>
                <w:color w:val="000000"/>
                <w:sz w:val="22"/>
                <w:szCs w:val="22"/>
                <w:lang w:val="de-DE"/>
              </w:rPr>
              <w:t>.</w:t>
            </w:r>
            <w:r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3 u</w:t>
            </w:r>
            <w:r w:rsidRPr="00B30A12">
              <w:rPr>
                <w:color w:val="000000"/>
                <w:sz w:val="22"/>
                <w:szCs w:val="22"/>
                <w:lang w:val="de-DE"/>
              </w:rPr>
              <w:t>nd 4</w:t>
            </w:r>
          </w:p>
          <w:p w14:paraId="260C5A0C"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PEG-ASP (2500 </w:t>
            </w:r>
            <w:r w:rsidR="00B354E2" w:rsidRPr="00B30A12">
              <w:rPr>
                <w:color w:val="000000"/>
                <w:sz w:val="22"/>
                <w:szCs w:val="22"/>
                <w:lang w:val="de-DE"/>
              </w:rPr>
              <w:t>IE</w:t>
            </w:r>
            <w:r w:rsidRPr="00B30A12">
              <w:rPr>
                <w:color w:val="000000"/>
                <w:sz w:val="22"/>
                <w:szCs w:val="22"/>
                <w:lang w:val="de-DE"/>
              </w:rPr>
              <w:t>/m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i.m.</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4</w:t>
            </w:r>
          </w:p>
          <w:p w14:paraId="42E74CE2"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 xml:space="preserve">g/kg, </w:t>
            </w:r>
            <w:r w:rsidR="00CC3A71" w:rsidRPr="00B30A12">
              <w:rPr>
                <w:color w:val="000000"/>
                <w:sz w:val="22"/>
                <w:szCs w:val="22"/>
                <w:lang w:val="de-DE"/>
              </w:rPr>
              <w:t>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5</w:t>
            </w:r>
            <w:r w:rsidR="00CC3A71" w:rsidRPr="00B30A12">
              <w:rPr>
                <w:color w:val="000000"/>
                <w:sz w:val="22"/>
                <w:szCs w:val="22"/>
                <w:lang w:val="de-DE"/>
              </w:rPr>
              <w:noBreakHyphen/>
            </w:r>
            <w:r w:rsidRPr="00B30A12">
              <w:rPr>
                <w:color w:val="000000"/>
                <w:sz w:val="22"/>
                <w:szCs w:val="22"/>
                <w:lang w:val="de-DE"/>
              </w:rPr>
              <w:t xml:space="preserve">14 </w:t>
            </w:r>
            <w:r w:rsidR="00456D6F" w:rsidRPr="00B30A12">
              <w:rPr>
                <w:color w:val="000000"/>
                <w:sz w:val="22"/>
                <w:szCs w:val="22"/>
                <w:lang w:val="de-DE"/>
              </w:rPr>
              <w:t>oder bis</w:t>
            </w:r>
            <w:r w:rsidRPr="00B30A12">
              <w:rPr>
                <w:color w:val="000000"/>
                <w:sz w:val="22"/>
                <w:szCs w:val="22"/>
                <w:lang w:val="de-DE"/>
              </w:rPr>
              <w:t xml:space="preserve"> ANC &gt; 1500 post nadir</w:t>
            </w:r>
          </w:p>
          <w:p w14:paraId="3E7D61BA"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00413F72" w:rsidRPr="00B30A12">
              <w:rPr>
                <w:color w:val="000000"/>
                <w:sz w:val="22"/>
                <w:szCs w:val="22"/>
                <w:lang w:val="de-DE"/>
              </w:rPr>
              <w:t>alters-angepasst</w:t>
            </w:r>
            <w:r w:rsidR="00BB20C9"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 u</w:t>
            </w:r>
            <w:r w:rsidR="00BB20C9" w:rsidRPr="00B30A12">
              <w:rPr>
                <w:color w:val="000000"/>
                <w:sz w:val="22"/>
                <w:szCs w:val="22"/>
                <w:lang w:val="de-DE"/>
              </w:rPr>
              <w:t>nd 15</w:t>
            </w:r>
          </w:p>
          <w:p w14:paraId="6B1AFE6D"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1</w:t>
            </w:r>
            <w:r w:rsidR="00456D6F" w:rsidRPr="00B30A12">
              <w:rPr>
                <w:color w:val="000000"/>
                <w:sz w:val="22"/>
                <w:szCs w:val="22"/>
                <w:lang w:val="de-DE"/>
              </w:rPr>
              <w:noBreakHyphen/>
              <w:t>7 u</w:t>
            </w:r>
            <w:r w:rsidRPr="00B30A12">
              <w:rPr>
                <w:color w:val="000000"/>
                <w:sz w:val="22"/>
                <w:szCs w:val="22"/>
                <w:lang w:val="de-DE"/>
              </w:rPr>
              <w:t>nd 15</w:t>
            </w:r>
            <w:r w:rsidRPr="00B30A12">
              <w:rPr>
                <w:color w:val="000000"/>
                <w:sz w:val="22"/>
                <w:szCs w:val="22"/>
                <w:lang w:val="de-DE"/>
              </w:rPr>
              <w:noBreakHyphen/>
              <w:t>21</w:t>
            </w:r>
          </w:p>
        </w:tc>
      </w:tr>
      <w:tr w:rsidR="00BB20C9" w:rsidRPr="00B30A12" w14:paraId="2CAA2C49" w14:textId="77777777" w:rsidTr="00AD54DF">
        <w:trPr>
          <w:cantSplit/>
        </w:trPr>
        <w:tc>
          <w:tcPr>
            <w:tcW w:w="2358" w:type="dxa"/>
            <w:shd w:val="clear" w:color="auto" w:fill="auto"/>
          </w:tcPr>
          <w:p w14:paraId="52B0CCB1" w14:textId="77777777" w:rsidR="00BB20C9" w:rsidRPr="00B30A12" w:rsidRDefault="00BB20C9" w:rsidP="00537E23">
            <w:pPr>
              <w:pStyle w:val="EndnoteText"/>
              <w:widowControl w:val="0"/>
              <w:rPr>
                <w:color w:val="000000"/>
                <w:sz w:val="22"/>
                <w:szCs w:val="22"/>
              </w:rPr>
            </w:pPr>
            <w:r w:rsidRPr="00B30A12">
              <w:rPr>
                <w:color w:val="000000"/>
                <w:sz w:val="22"/>
                <w:szCs w:val="22"/>
              </w:rPr>
              <w:t>Intensi</w:t>
            </w:r>
            <w:r w:rsidR="000B5E3D" w:rsidRPr="00B30A12">
              <w:rPr>
                <w:color w:val="000000"/>
                <w:sz w:val="22"/>
                <w:szCs w:val="22"/>
              </w:rPr>
              <w:t>vierungs</w:t>
            </w:r>
            <w:r w:rsidRPr="00B30A12">
              <w:rPr>
                <w:color w:val="000000"/>
                <w:sz w:val="22"/>
                <w:szCs w:val="22"/>
              </w:rPr>
              <w:t>block 2</w:t>
            </w:r>
          </w:p>
          <w:p w14:paraId="63A97937" w14:textId="77777777" w:rsidR="00BB20C9" w:rsidRPr="00B30A12" w:rsidRDefault="00BB20C9" w:rsidP="00537E23">
            <w:pPr>
              <w:pStyle w:val="EndnoteText"/>
              <w:widowControl w:val="0"/>
              <w:rPr>
                <w:color w:val="000000"/>
                <w:sz w:val="22"/>
                <w:szCs w:val="22"/>
              </w:rPr>
            </w:pPr>
            <w:r w:rsidRPr="00B30A12">
              <w:rPr>
                <w:color w:val="000000"/>
                <w:sz w:val="22"/>
                <w:szCs w:val="22"/>
              </w:rPr>
              <w:t>(9 </w:t>
            </w:r>
            <w:r w:rsidR="000B5E3D" w:rsidRPr="00B30A12">
              <w:rPr>
                <w:color w:val="000000"/>
                <w:sz w:val="22"/>
                <w:szCs w:val="22"/>
              </w:rPr>
              <w:t>Wochen</w:t>
            </w:r>
            <w:r w:rsidRPr="00B30A12">
              <w:rPr>
                <w:color w:val="000000"/>
                <w:sz w:val="22"/>
                <w:szCs w:val="22"/>
              </w:rPr>
              <w:t>)</w:t>
            </w:r>
          </w:p>
        </w:tc>
        <w:tc>
          <w:tcPr>
            <w:tcW w:w="6923" w:type="dxa"/>
            <w:shd w:val="clear" w:color="auto" w:fill="auto"/>
          </w:tcPr>
          <w:p w14:paraId="779C27CA"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Methotrexat (5 g/m</w:t>
            </w:r>
            <w:r w:rsidRPr="00B30A12">
              <w:rPr>
                <w:color w:val="000000"/>
                <w:sz w:val="22"/>
                <w:szCs w:val="22"/>
                <w:vertAlign w:val="superscript"/>
                <w:lang w:val="de-DE"/>
              </w:rPr>
              <w:t>2</w:t>
            </w:r>
            <w:r w:rsidRPr="00B30A12">
              <w:rPr>
                <w:color w:val="000000"/>
                <w:sz w:val="22"/>
                <w:szCs w:val="22"/>
                <w:lang w:val="de-DE"/>
              </w:rPr>
              <w:t xml:space="preserve"> </w:t>
            </w:r>
            <w:r w:rsidR="00127C07" w:rsidRPr="00B30A12">
              <w:rPr>
                <w:color w:val="000000"/>
                <w:sz w:val="22"/>
                <w:szCs w:val="22"/>
                <w:lang w:val="de-DE"/>
              </w:rPr>
              <w:t xml:space="preserve">über </w:t>
            </w:r>
            <w:r w:rsidRPr="00B30A12">
              <w:rPr>
                <w:color w:val="000000"/>
                <w:sz w:val="22"/>
                <w:szCs w:val="22"/>
                <w:lang w:val="de-DE"/>
              </w:rPr>
              <w:t>24 </w:t>
            </w:r>
            <w:r w:rsidR="00127C07" w:rsidRPr="00B30A12">
              <w:rPr>
                <w:color w:val="000000"/>
                <w:sz w:val="22"/>
                <w:szCs w:val="22"/>
                <w:lang w:val="de-DE"/>
              </w:rPr>
              <w:t>Stunden</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00456D6F" w:rsidRPr="00B30A12">
              <w:rPr>
                <w:color w:val="000000"/>
                <w:sz w:val="22"/>
                <w:szCs w:val="22"/>
                <w:lang w:val="de-DE"/>
              </w:rPr>
              <w:t> 1 u</w:t>
            </w:r>
            <w:r w:rsidRPr="00B30A12">
              <w:rPr>
                <w:color w:val="000000"/>
                <w:sz w:val="22"/>
                <w:szCs w:val="22"/>
                <w:lang w:val="de-DE"/>
              </w:rPr>
              <w:t>nd 15</w:t>
            </w:r>
          </w:p>
          <w:p w14:paraId="3CAF7767"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w:t>
            </w:r>
            <w:r w:rsidR="00456D6F" w:rsidRPr="00B30A12">
              <w:rPr>
                <w:color w:val="000000"/>
                <w:sz w:val="22"/>
                <w:szCs w:val="22"/>
                <w:lang w:val="de-DE"/>
              </w:rPr>
              <w:t>bei Stunde</w:t>
            </w:r>
            <w:r w:rsidRPr="00B30A12">
              <w:rPr>
                <w:color w:val="000000"/>
                <w:sz w:val="22"/>
                <w:szCs w:val="22"/>
                <w:lang w:val="de-DE"/>
              </w:rPr>
              <w:t xml:space="preserve"> 36, </w:t>
            </w:r>
            <w:r w:rsidR="00CC3A71" w:rsidRPr="00B30A12">
              <w:rPr>
                <w:color w:val="000000"/>
                <w:sz w:val="22"/>
                <w:szCs w:val="22"/>
                <w:lang w:val="de-DE"/>
              </w:rPr>
              <w:t>i.v.</w:t>
            </w:r>
            <w:r w:rsidRPr="00B30A12">
              <w:rPr>
                <w:color w:val="000000"/>
                <w:sz w:val="22"/>
                <w:szCs w:val="22"/>
                <w:lang w:val="de-DE"/>
              </w:rPr>
              <w:t>; 15 mg/m</w:t>
            </w:r>
            <w:r w:rsidRPr="00B30A12">
              <w:rPr>
                <w:color w:val="000000"/>
                <w:sz w:val="22"/>
                <w:szCs w:val="22"/>
                <w:vertAlign w:val="superscript"/>
                <w:lang w:val="de-DE"/>
              </w:rPr>
              <w:t>2</w:t>
            </w:r>
            <w:r w:rsidRPr="00B30A12">
              <w:rPr>
                <w:color w:val="000000"/>
                <w:sz w:val="22"/>
                <w:szCs w:val="22"/>
                <w:lang w:val="de-DE"/>
              </w:rPr>
              <w:t xml:space="preserve"> </w:t>
            </w:r>
            <w:r w:rsidR="009C6632" w:rsidRPr="00B30A12">
              <w:rPr>
                <w:color w:val="000000"/>
                <w:sz w:val="22"/>
                <w:szCs w:val="22"/>
                <w:lang w:val="de-DE"/>
              </w:rPr>
              <w:t>i.v.</w:t>
            </w:r>
            <w:r w:rsidRPr="00B30A12">
              <w:rPr>
                <w:color w:val="000000"/>
                <w:sz w:val="22"/>
                <w:szCs w:val="22"/>
                <w:lang w:val="de-DE"/>
              </w:rPr>
              <w:t xml:space="preserve"> o</w:t>
            </w:r>
            <w:r w:rsidR="00456D6F" w:rsidRPr="00B30A12">
              <w:rPr>
                <w:color w:val="000000"/>
                <w:sz w:val="22"/>
                <w:szCs w:val="22"/>
                <w:lang w:val="de-DE"/>
              </w:rPr>
              <w:t>de</w:t>
            </w:r>
            <w:r w:rsidRPr="00B30A12">
              <w:rPr>
                <w:color w:val="000000"/>
                <w:sz w:val="22"/>
                <w:szCs w:val="22"/>
                <w:lang w:val="de-DE"/>
              </w:rPr>
              <w:t xml:space="preserve">r </w:t>
            </w:r>
            <w:r w:rsidR="00CC3A71" w:rsidRPr="00B30A12">
              <w:rPr>
                <w:color w:val="000000"/>
                <w:sz w:val="22"/>
                <w:szCs w:val="22"/>
                <w:lang w:val="de-DE"/>
              </w:rPr>
              <w:t>p.o.</w:t>
            </w:r>
            <w:r w:rsidRPr="00B30A12">
              <w:rPr>
                <w:color w:val="000000"/>
                <w:sz w:val="22"/>
                <w:szCs w:val="22"/>
                <w:lang w:val="de-DE"/>
              </w:rPr>
              <w:t xml:space="preserve"> q6h x 6 </w:t>
            </w:r>
            <w:r w:rsidR="00456D6F" w:rsidRPr="00B30A12">
              <w:rPr>
                <w:color w:val="000000"/>
                <w:sz w:val="22"/>
                <w:szCs w:val="22"/>
                <w:lang w:val="de-DE"/>
              </w:rPr>
              <w:t>Dosen</w:t>
            </w:r>
            <w:r w:rsidRPr="00B30A12">
              <w:rPr>
                <w:color w:val="000000"/>
                <w:sz w:val="22"/>
                <w:szCs w:val="22"/>
                <w:lang w:val="de-DE"/>
              </w:rPr>
              <w:t xml:space="preserve">)iii: </w:t>
            </w:r>
            <w:r w:rsidR="00413F72" w:rsidRPr="00B30A12">
              <w:rPr>
                <w:color w:val="000000"/>
                <w:sz w:val="22"/>
                <w:szCs w:val="22"/>
                <w:lang w:val="de-DE"/>
              </w:rPr>
              <w:t>Tage</w:t>
            </w:r>
            <w:r w:rsidR="00CC3A71" w:rsidRPr="00B30A12">
              <w:rPr>
                <w:color w:val="000000"/>
                <w:sz w:val="22"/>
                <w:szCs w:val="22"/>
                <w:lang w:val="de-DE"/>
              </w:rPr>
              <w:t> 2, 3, 16</w:t>
            </w:r>
            <w:r w:rsidR="00456D6F" w:rsidRPr="00B30A12">
              <w:rPr>
                <w:color w:val="000000"/>
                <w:sz w:val="22"/>
                <w:szCs w:val="22"/>
                <w:lang w:val="de-DE"/>
              </w:rPr>
              <w:t xml:space="preserve"> u</w:t>
            </w:r>
            <w:r w:rsidRPr="00B30A12">
              <w:rPr>
                <w:color w:val="000000"/>
                <w:sz w:val="22"/>
                <w:szCs w:val="22"/>
                <w:lang w:val="de-DE"/>
              </w:rPr>
              <w:t>nd 17</w:t>
            </w:r>
          </w:p>
          <w:p w14:paraId="3284908C"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00413F72" w:rsidRPr="00B30A12">
              <w:rPr>
                <w:color w:val="000000"/>
                <w:sz w:val="22"/>
                <w:szCs w:val="22"/>
                <w:lang w:val="de-DE"/>
              </w:rPr>
              <w:t>alters-angepasst</w:t>
            </w:r>
            <w:r w:rsidR="00BB20C9"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 u</w:t>
            </w:r>
            <w:r w:rsidR="00BB20C9" w:rsidRPr="00B30A12">
              <w:rPr>
                <w:color w:val="000000"/>
                <w:sz w:val="22"/>
                <w:szCs w:val="22"/>
                <w:lang w:val="de-DE"/>
              </w:rPr>
              <w:t>nd 22</w:t>
            </w:r>
          </w:p>
          <w:p w14:paraId="22AA1471"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71DEF4C3"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1160C225"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MESNA (150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22</w:t>
            </w:r>
            <w:r w:rsidRPr="00B30A12">
              <w:rPr>
                <w:color w:val="000000"/>
                <w:sz w:val="22"/>
                <w:szCs w:val="22"/>
                <w:lang w:val="de-DE"/>
              </w:rPr>
              <w:noBreakHyphen/>
              <w:t>26</w:t>
            </w:r>
          </w:p>
          <w:p w14:paraId="4804CF19"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 xml:space="preserve">g/kg, </w:t>
            </w:r>
            <w:r w:rsidR="00CC3A71" w:rsidRPr="00B30A12">
              <w:rPr>
                <w:color w:val="000000"/>
                <w:sz w:val="22"/>
                <w:szCs w:val="22"/>
                <w:lang w:val="de-DE"/>
              </w:rPr>
              <w:t>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27</w:t>
            </w:r>
            <w:r w:rsidRPr="00B30A12">
              <w:rPr>
                <w:color w:val="000000"/>
                <w:sz w:val="22"/>
                <w:szCs w:val="22"/>
                <w:lang w:val="de-DE"/>
              </w:rPr>
              <w:noBreakHyphen/>
              <w:t xml:space="preserve">36 </w:t>
            </w:r>
            <w:r w:rsidR="00456D6F" w:rsidRPr="00B30A12">
              <w:rPr>
                <w:color w:val="000000"/>
                <w:sz w:val="22"/>
                <w:szCs w:val="22"/>
                <w:lang w:val="de-DE"/>
              </w:rPr>
              <w:t>oder bis</w:t>
            </w:r>
            <w:r w:rsidRPr="00B30A12">
              <w:rPr>
                <w:color w:val="000000"/>
                <w:sz w:val="22"/>
                <w:szCs w:val="22"/>
                <w:lang w:val="de-DE"/>
              </w:rPr>
              <w:t xml:space="preserve"> ANC &gt; 1500 post nadir</w:t>
            </w:r>
          </w:p>
          <w:p w14:paraId="7B89BAC2"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ARA-C (3</w:t>
            </w:r>
            <w:r w:rsidR="001657DF" w:rsidRPr="00B30A12">
              <w:rPr>
                <w:color w:val="000000"/>
                <w:sz w:val="22"/>
                <w:szCs w:val="22"/>
                <w:lang w:val="de-DE"/>
              </w:rPr>
              <w:t> </w:t>
            </w:r>
            <w:r w:rsidRPr="00B30A12">
              <w:rPr>
                <w:color w:val="000000"/>
                <w:sz w:val="22"/>
                <w:szCs w:val="22"/>
                <w:lang w:val="de-DE"/>
              </w:rPr>
              <w:t>g/m</w:t>
            </w:r>
            <w:r w:rsidRPr="00B30A12">
              <w:rPr>
                <w:color w:val="000000"/>
                <w:sz w:val="22"/>
                <w:szCs w:val="22"/>
                <w:vertAlign w:val="superscript"/>
                <w:lang w:val="de-DE"/>
              </w:rPr>
              <w:t>2</w:t>
            </w:r>
            <w:r w:rsidRPr="00B30A12">
              <w:rPr>
                <w:color w:val="000000"/>
                <w:sz w:val="22"/>
                <w:szCs w:val="22"/>
                <w:lang w:val="de-DE"/>
              </w:rPr>
              <w:t xml:space="preserve">, q12h,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43, 44</w:t>
            </w:r>
          </w:p>
          <w:p w14:paraId="6DCEAC05"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L-ASP (6000 I</w:t>
            </w:r>
            <w:r w:rsidR="00B354E2" w:rsidRPr="00B30A12">
              <w:rPr>
                <w:color w:val="000000"/>
                <w:sz w:val="22"/>
                <w:szCs w:val="22"/>
                <w:lang w:val="de-DE"/>
              </w:rPr>
              <w:t>E</w:t>
            </w:r>
            <w:r w:rsidRPr="00B30A12">
              <w:rPr>
                <w:color w:val="000000"/>
                <w:sz w:val="22"/>
                <w:szCs w:val="22"/>
                <w:lang w:val="de-DE"/>
              </w:rPr>
              <w:t>/m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i.m.</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44</w:t>
            </w:r>
          </w:p>
        </w:tc>
      </w:tr>
      <w:tr w:rsidR="00BB20C9" w:rsidRPr="00B30A12" w14:paraId="7F09A3A3" w14:textId="77777777" w:rsidTr="00AD54DF">
        <w:trPr>
          <w:cantSplit/>
        </w:trPr>
        <w:tc>
          <w:tcPr>
            <w:tcW w:w="2358" w:type="dxa"/>
            <w:shd w:val="clear" w:color="auto" w:fill="auto"/>
          </w:tcPr>
          <w:p w14:paraId="1771B8B9" w14:textId="77777777" w:rsidR="00BB20C9" w:rsidRPr="00B30A12" w:rsidRDefault="000B5E3D" w:rsidP="00537E23">
            <w:pPr>
              <w:pStyle w:val="EndnoteText"/>
              <w:widowControl w:val="0"/>
              <w:rPr>
                <w:color w:val="000000"/>
                <w:sz w:val="22"/>
                <w:szCs w:val="22"/>
              </w:rPr>
            </w:pPr>
            <w:r w:rsidRPr="00B30A12">
              <w:rPr>
                <w:color w:val="000000"/>
                <w:sz w:val="22"/>
                <w:szCs w:val="22"/>
              </w:rPr>
              <w:t>Erhaltung</w:t>
            </w:r>
          </w:p>
          <w:p w14:paraId="00C860A3" w14:textId="77777777" w:rsidR="00BB20C9" w:rsidRPr="00B30A12" w:rsidRDefault="00BB20C9" w:rsidP="00537E23">
            <w:pPr>
              <w:pStyle w:val="EndnoteText"/>
              <w:widowControl w:val="0"/>
              <w:rPr>
                <w:color w:val="000000"/>
                <w:sz w:val="22"/>
                <w:szCs w:val="22"/>
              </w:rPr>
            </w:pPr>
            <w:r w:rsidRPr="00B30A12">
              <w:rPr>
                <w:color w:val="000000"/>
                <w:sz w:val="22"/>
                <w:szCs w:val="22"/>
              </w:rPr>
              <w:t>(8-</w:t>
            </w:r>
            <w:r w:rsidR="000B5E3D" w:rsidRPr="00B30A12">
              <w:rPr>
                <w:color w:val="000000"/>
                <w:sz w:val="22"/>
                <w:szCs w:val="22"/>
              </w:rPr>
              <w:t>Wochenzyklen</w:t>
            </w:r>
            <w:r w:rsidRPr="00B30A12">
              <w:rPr>
                <w:color w:val="000000"/>
                <w:sz w:val="22"/>
                <w:szCs w:val="22"/>
              </w:rPr>
              <w:t>)</w:t>
            </w:r>
          </w:p>
          <w:p w14:paraId="222FEF02" w14:textId="77777777" w:rsidR="00BB20C9" w:rsidRPr="00B30A12" w:rsidRDefault="000B7C6E" w:rsidP="00537E23">
            <w:pPr>
              <w:pStyle w:val="EndnoteText"/>
              <w:widowControl w:val="0"/>
              <w:rPr>
                <w:color w:val="000000"/>
                <w:sz w:val="22"/>
                <w:szCs w:val="22"/>
              </w:rPr>
            </w:pPr>
            <w:r w:rsidRPr="00B30A12">
              <w:rPr>
                <w:color w:val="000000"/>
                <w:sz w:val="22"/>
                <w:szCs w:val="22"/>
              </w:rPr>
              <w:t>Zyklen</w:t>
            </w:r>
            <w:r w:rsidR="00BB20C9" w:rsidRPr="00B30A12">
              <w:rPr>
                <w:color w:val="000000"/>
                <w:sz w:val="22"/>
                <w:szCs w:val="22"/>
              </w:rPr>
              <w:t> 1–4</w:t>
            </w:r>
          </w:p>
        </w:tc>
        <w:tc>
          <w:tcPr>
            <w:tcW w:w="6923" w:type="dxa"/>
            <w:shd w:val="clear" w:color="auto" w:fill="auto"/>
          </w:tcPr>
          <w:p w14:paraId="23F0F67F"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MTX (5 g/m</w:t>
            </w:r>
            <w:r w:rsidRPr="00B30A12">
              <w:rPr>
                <w:color w:val="000000"/>
                <w:sz w:val="22"/>
                <w:szCs w:val="22"/>
                <w:vertAlign w:val="superscript"/>
                <w:lang w:val="de-DE"/>
              </w:rPr>
              <w:t>2</w:t>
            </w:r>
            <w:r w:rsidRPr="00B30A12">
              <w:rPr>
                <w:color w:val="000000"/>
                <w:sz w:val="22"/>
                <w:szCs w:val="22"/>
                <w:lang w:val="de-DE"/>
              </w:rPr>
              <w:t xml:space="preserve"> </w:t>
            </w:r>
            <w:r w:rsidR="00AD7BCE" w:rsidRPr="00B30A12">
              <w:rPr>
                <w:color w:val="000000"/>
                <w:sz w:val="22"/>
                <w:szCs w:val="22"/>
                <w:lang w:val="de-DE"/>
              </w:rPr>
              <w:t xml:space="preserve">über </w:t>
            </w:r>
            <w:r w:rsidRPr="00B30A12">
              <w:rPr>
                <w:color w:val="000000"/>
                <w:sz w:val="22"/>
                <w:szCs w:val="22"/>
                <w:lang w:val="de-DE"/>
              </w:rPr>
              <w:t>24 </w:t>
            </w:r>
            <w:r w:rsidR="00127C07" w:rsidRPr="00B30A12">
              <w:rPr>
                <w:color w:val="000000"/>
                <w:sz w:val="22"/>
                <w:szCs w:val="22"/>
                <w:lang w:val="de-DE"/>
              </w:rPr>
              <w:t>Stunden</w:t>
            </w:r>
            <w:r w:rsidRPr="00B30A12">
              <w:rPr>
                <w:color w:val="000000"/>
                <w:sz w:val="22"/>
                <w:szCs w:val="22"/>
                <w:lang w:val="de-DE"/>
              </w:rPr>
              <w:t xml:space="preserve">, </w:t>
            </w:r>
            <w:r w:rsidR="009C6632"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1</w:t>
            </w:r>
          </w:p>
          <w:p w14:paraId="6E2D3226"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w:t>
            </w:r>
            <w:r w:rsidR="00AD7BCE" w:rsidRPr="00B30A12">
              <w:rPr>
                <w:color w:val="000000"/>
                <w:sz w:val="22"/>
                <w:szCs w:val="22"/>
                <w:lang w:val="de-DE"/>
              </w:rPr>
              <w:t>bei Stunde</w:t>
            </w:r>
            <w:r w:rsidRPr="00B30A12">
              <w:rPr>
                <w:color w:val="000000"/>
                <w:sz w:val="22"/>
                <w:szCs w:val="22"/>
                <w:lang w:val="de-DE"/>
              </w:rPr>
              <w:t xml:space="preserve"> 36, </w:t>
            </w:r>
            <w:r w:rsidR="00CC3A71" w:rsidRPr="00B30A12">
              <w:rPr>
                <w:color w:val="000000"/>
                <w:sz w:val="22"/>
                <w:szCs w:val="22"/>
                <w:lang w:val="de-DE"/>
              </w:rPr>
              <w:t>i.v.</w:t>
            </w:r>
            <w:r w:rsidRPr="00B30A12">
              <w:rPr>
                <w:color w:val="000000"/>
                <w:sz w:val="22"/>
                <w:szCs w:val="22"/>
                <w:lang w:val="de-DE"/>
              </w:rPr>
              <w:t>; 15 mg/m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or </w:t>
            </w:r>
            <w:r w:rsidR="00CC3A71" w:rsidRPr="00B30A12">
              <w:rPr>
                <w:color w:val="000000"/>
                <w:sz w:val="22"/>
                <w:szCs w:val="22"/>
                <w:lang w:val="de-DE"/>
              </w:rPr>
              <w:t>p.o.</w:t>
            </w:r>
            <w:r w:rsidRPr="00B30A12">
              <w:rPr>
                <w:color w:val="000000"/>
                <w:sz w:val="22"/>
                <w:szCs w:val="22"/>
                <w:lang w:val="de-DE"/>
              </w:rPr>
              <w:t xml:space="preserve"> q6h x 6 </w:t>
            </w:r>
            <w:r w:rsidR="008338D9" w:rsidRPr="00B30A12">
              <w:rPr>
                <w:color w:val="000000"/>
                <w:sz w:val="22"/>
                <w:szCs w:val="22"/>
                <w:lang w:val="de-DE"/>
              </w:rPr>
              <w:t>Dosen</w:t>
            </w:r>
            <w:r w:rsidRPr="00B30A12">
              <w:rPr>
                <w:color w:val="000000"/>
                <w:sz w:val="22"/>
                <w:szCs w:val="22"/>
                <w:lang w:val="de-DE"/>
              </w:rPr>
              <w:t xml:space="preserve">)iii: </w:t>
            </w:r>
            <w:r w:rsidR="00413F72" w:rsidRPr="00B30A12">
              <w:rPr>
                <w:color w:val="000000"/>
                <w:sz w:val="22"/>
                <w:szCs w:val="22"/>
                <w:lang w:val="de-DE"/>
              </w:rPr>
              <w:t>Tage</w:t>
            </w:r>
            <w:r w:rsidRPr="00B30A12">
              <w:rPr>
                <w:color w:val="000000"/>
                <w:sz w:val="22"/>
                <w:szCs w:val="22"/>
                <w:lang w:val="de-DE"/>
              </w:rPr>
              <w:t xml:space="preserve"> 2 </w:t>
            </w:r>
            <w:r w:rsidR="00AD7BCE" w:rsidRPr="00B30A12">
              <w:rPr>
                <w:color w:val="000000"/>
                <w:sz w:val="22"/>
                <w:szCs w:val="22"/>
                <w:lang w:val="de-DE"/>
              </w:rPr>
              <w:t>u</w:t>
            </w:r>
            <w:r w:rsidRPr="00B30A12">
              <w:rPr>
                <w:color w:val="000000"/>
                <w:sz w:val="22"/>
                <w:szCs w:val="22"/>
                <w:lang w:val="de-DE"/>
              </w:rPr>
              <w:t>nd 3</w:t>
            </w:r>
          </w:p>
          <w:p w14:paraId="56E9D35A" w14:textId="77777777" w:rsidR="00BB20C9" w:rsidRPr="00B30A12" w:rsidRDefault="00456D6F" w:rsidP="00537E23">
            <w:pPr>
              <w:pStyle w:val="EndnoteText"/>
              <w:widowControl w:val="0"/>
              <w:rPr>
                <w:color w:val="000000"/>
                <w:sz w:val="22"/>
                <w:szCs w:val="22"/>
                <w:lang w:val="de-DE"/>
              </w:rPr>
            </w:pPr>
            <w:r w:rsidRPr="00B30A12">
              <w:rPr>
                <w:color w:val="000000"/>
                <w:sz w:val="22"/>
                <w:szCs w:val="22"/>
                <w:lang w:val="de-DE"/>
              </w:rPr>
              <w:t>Dreifach</w:t>
            </w:r>
            <w:r w:rsidR="009D28F7" w:rsidRPr="00B30A12">
              <w:rPr>
                <w:color w:val="000000"/>
                <w:sz w:val="22"/>
                <w:szCs w:val="22"/>
                <w:lang w:val="de-DE"/>
              </w:rPr>
              <w:t>-</w:t>
            </w:r>
            <w:r w:rsidR="00367F75" w:rsidRPr="00B30A12">
              <w:rPr>
                <w:color w:val="000000"/>
                <w:sz w:val="22"/>
                <w:szCs w:val="22"/>
                <w:lang w:val="de-DE"/>
              </w:rPr>
              <w:t>i.th.</w:t>
            </w:r>
            <w:r w:rsidRPr="00B30A12">
              <w:rPr>
                <w:color w:val="000000"/>
                <w:sz w:val="22"/>
                <w:szCs w:val="22"/>
                <w:lang w:val="de-DE"/>
              </w:rPr>
              <w:t xml:space="preserve">-Therapie </w:t>
            </w:r>
            <w:r w:rsidR="00BB20C9" w:rsidRPr="00B30A12">
              <w:rPr>
                <w:color w:val="000000"/>
                <w:sz w:val="22"/>
                <w:szCs w:val="22"/>
                <w:lang w:val="de-DE"/>
              </w:rPr>
              <w:t>(</w:t>
            </w:r>
            <w:r w:rsidR="00413F72" w:rsidRPr="00B30A12">
              <w:rPr>
                <w:color w:val="000000"/>
                <w:sz w:val="22"/>
                <w:szCs w:val="22"/>
                <w:lang w:val="de-DE"/>
              </w:rPr>
              <w:t>alters-angepasst</w:t>
            </w:r>
            <w:r w:rsidR="00BB20C9" w:rsidRPr="00B30A12">
              <w:rPr>
                <w:color w:val="000000"/>
                <w:sz w:val="22"/>
                <w:szCs w:val="22"/>
                <w:lang w:val="de-DE"/>
              </w:rPr>
              <w:t xml:space="preserve">): </w:t>
            </w:r>
            <w:r w:rsidR="00413F72" w:rsidRPr="00B30A12">
              <w:rPr>
                <w:color w:val="000000"/>
                <w:sz w:val="22"/>
                <w:szCs w:val="22"/>
                <w:lang w:val="de-DE"/>
              </w:rPr>
              <w:t>Tage</w:t>
            </w:r>
            <w:r w:rsidR="00BB20C9" w:rsidRPr="00B30A12">
              <w:rPr>
                <w:color w:val="000000"/>
                <w:sz w:val="22"/>
                <w:szCs w:val="22"/>
                <w:lang w:val="de-DE"/>
              </w:rPr>
              <w:t> 1, 29</w:t>
            </w:r>
          </w:p>
          <w:p w14:paraId="635E095F" w14:textId="77777777" w:rsidR="00BB20C9" w:rsidRPr="00B30A12" w:rsidRDefault="008338D9" w:rsidP="00537E23">
            <w:pPr>
              <w:pStyle w:val="EndnoteText"/>
              <w:widowControl w:val="0"/>
              <w:rPr>
                <w:color w:val="000000"/>
                <w:sz w:val="22"/>
                <w:szCs w:val="22"/>
                <w:lang w:val="de-DE"/>
              </w:rPr>
            </w:pPr>
            <w:r w:rsidRPr="00B30A12">
              <w:rPr>
                <w:color w:val="000000"/>
                <w:sz w:val="22"/>
                <w:szCs w:val="22"/>
                <w:lang w:val="de-DE"/>
              </w:rPr>
              <w:t>VCR (1,</w:t>
            </w:r>
            <w:r w:rsidR="00BB20C9" w:rsidRPr="00B30A12">
              <w:rPr>
                <w:color w:val="000000"/>
                <w:sz w:val="22"/>
                <w:szCs w:val="22"/>
                <w:lang w:val="de-DE"/>
              </w:rPr>
              <w:t>5 mg/m</w:t>
            </w:r>
            <w:r w:rsidR="00BB20C9" w:rsidRPr="00B30A12">
              <w:rPr>
                <w:color w:val="000000"/>
                <w:sz w:val="22"/>
                <w:szCs w:val="22"/>
                <w:vertAlign w:val="superscript"/>
                <w:lang w:val="de-DE"/>
              </w:rPr>
              <w:t>2</w:t>
            </w:r>
            <w:r w:rsidR="00BB20C9" w:rsidRPr="00B30A12">
              <w:rPr>
                <w:color w:val="000000"/>
                <w:sz w:val="22"/>
                <w:szCs w:val="22"/>
                <w:lang w:val="de-DE"/>
              </w:rPr>
              <w:t xml:space="preserve">, </w:t>
            </w:r>
            <w:r w:rsidR="00CC3A71"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BB20C9" w:rsidRPr="00B30A12">
              <w:rPr>
                <w:color w:val="000000"/>
                <w:sz w:val="22"/>
                <w:szCs w:val="22"/>
                <w:lang w:val="de-DE"/>
              </w:rPr>
              <w:t> 1, 29</w:t>
            </w:r>
          </w:p>
          <w:p w14:paraId="299A6E02"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001657DF" w:rsidRPr="00B30A12">
              <w:rPr>
                <w:color w:val="000000"/>
                <w:sz w:val="22"/>
                <w:szCs w:val="22"/>
                <w:lang w:val="de-DE"/>
              </w:rPr>
              <w:t>,</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 29</w:t>
            </w:r>
            <w:r w:rsidRPr="00B30A12">
              <w:rPr>
                <w:color w:val="000000"/>
                <w:sz w:val="22"/>
                <w:szCs w:val="22"/>
                <w:lang w:val="de-DE"/>
              </w:rPr>
              <w:noBreakHyphen/>
              <w:t>33</w:t>
            </w:r>
          </w:p>
          <w:p w14:paraId="247B1D2B"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8-28</w:t>
            </w:r>
          </w:p>
          <w:p w14:paraId="221AB751"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t>
            </w:r>
            <w:r w:rsidR="00AD7BCE" w:rsidRPr="00B30A12">
              <w:rPr>
                <w:color w:val="000000"/>
                <w:sz w:val="22"/>
                <w:szCs w:val="22"/>
                <w:lang w:val="de-DE"/>
              </w:rPr>
              <w:t>Woche</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8, 15, 22</w:t>
            </w:r>
          </w:p>
          <w:p w14:paraId="75F756D8"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29</w:t>
            </w:r>
            <w:r w:rsidRPr="00B30A12">
              <w:rPr>
                <w:color w:val="000000"/>
                <w:sz w:val="22"/>
                <w:szCs w:val="22"/>
                <w:lang w:val="de-DE"/>
              </w:rPr>
              <w:noBreakHyphen/>
              <w:t>33</w:t>
            </w:r>
          </w:p>
          <w:p w14:paraId="2CCB940E"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29</w:t>
            </w:r>
            <w:r w:rsidRPr="00B30A12">
              <w:rPr>
                <w:color w:val="000000"/>
                <w:sz w:val="22"/>
                <w:szCs w:val="22"/>
                <w:lang w:val="de-DE"/>
              </w:rPr>
              <w:noBreakHyphen/>
              <w:t>33</w:t>
            </w:r>
          </w:p>
          <w:p w14:paraId="18FBB308"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w:t>
            </w:r>
            <w:r w:rsidR="00321D56" w:rsidRPr="00B30A12">
              <w:rPr>
                <w:color w:val="000000"/>
                <w:sz w:val="22"/>
                <w:szCs w:val="22"/>
                <w:lang w:val="de-DE"/>
              </w:rPr>
              <w:t>ESNA</w:t>
            </w:r>
            <w:r w:rsidRPr="00B30A12">
              <w:rPr>
                <w:color w:val="000000"/>
                <w:sz w:val="22"/>
                <w:szCs w:val="22"/>
                <w:lang w:val="de-DE"/>
              </w:rPr>
              <w:t xml:space="preserve"> </w:t>
            </w:r>
            <w:r w:rsidR="00CC3A71" w:rsidRPr="00B30A12">
              <w:rPr>
                <w:color w:val="000000"/>
                <w:sz w:val="22"/>
                <w:szCs w:val="22"/>
                <w:lang w:val="de-DE"/>
              </w:rPr>
              <w:t>i.v.</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29</w:t>
            </w:r>
            <w:r w:rsidRPr="00B30A12">
              <w:rPr>
                <w:color w:val="000000"/>
                <w:sz w:val="22"/>
                <w:szCs w:val="22"/>
                <w:lang w:val="de-DE"/>
              </w:rPr>
              <w:noBreakHyphen/>
              <w:t>33</w:t>
            </w:r>
          </w:p>
          <w:p w14:paraId="0B0FFA7F"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 xml:space="preserve">g/kg, </w:t>
            </w:r>
            <w:r w:rsidR="00CC3A71" w:rsidRPr="00B30A12">
              <w:rPr>
                <w:color w:val="000000"/>
                <w:sz w:val="22"/>
                <w:szCs w:val="22"/>
                <w:lang w:val="de-DE"/>
              </w:rPr>
              <w:t>s.c.</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34</w:t>
            </w:r>
            <w:r w:rsidRPr="00B30A12">
              <w:rPr>
                <w:color w:val="000000"/>
                <w:sz w:val="22"/>
                <w:szCs w:val="22"/>
                <w:lang w:val="de-DE"/>
              </w:rPr>
              <w:noBreakHyphen/>
              <w:t>43</w:t>
            </w:r>
          </w:p>
        </w:tc>
      </w:tr>
      <w:tr w:rsidR="00BB20C9" w:rsidRPr="00B30A12" w14:paraId="3A435F2A" w14:textId="77777777" w:rsidTr="00AD54DF">
        <w:trPr>
          <w:cantSplit/>
        </w:trPr>
        <w:tc>
          <w:tcPr>
            <w:tcW w:w="2358" w:type="dxa"/>
            <w:shd w:val="clear" w:color="auto" w:fill="auto"/>
          </w:tcPr>
          <w:p w14:paraId="2FD7ABB0" w14:textId="77777777" w:rsidR="00BB20C9" w:rsidRPr="00B30A12" w:rsidRDefault="00AD7BCE" w:rsidP="00537E23">
            <w:pPr>
              <w:pStyle w:val="EndnoteText"/>
              <w:widowControl w:val="0"/>
              <w:rPr>
                <w:color w:val="000000"/>
                <w:sz w:val="22"/>
                <w:szCs w:val="22"/>
                <w:lang w:val="de-DE"/>
              </w:rPr>
            </w:pPr>
            <w:r w:rsidRPr="00B30A12">
              <w:rPr>
                <w:color w:val="000000"/>
                <w:sz w:val="22"/>
                <w:szCs w:val="22"/>
                <w:lang w:val="de-DE"/>
              </w:rPr>
              <w:t>Erhaltung</w:t>
            </w:r>
          </w:p>
          <w:p w14:paraId="7FE241FF"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(8-</w:t>
            </w:r>
            <w:r w:rsidR="000B5E3D" w:rsidRPr="00B30A12">
              <w:rPr>
                <w:color w:val="000000"/>
                <w:sz w:val="22"/>
                <w:szCs w:val="22"/>
                <w:lang w:val="de-DE"/>
              </w:rPr>
              <w:t>Wochen</w:t>
            </w:r>
            <w:r w:rsidR="000B7C6E" w:rsidRPr="00B30A12">
              <w:rPr>
                <w:color w:val="000000"/>
                <w:sz w:val="22"/>
                <w:szCs w:val="22"/>
                <w:lang w:val="de-DE"/>
              </w:rPr>
              <w:t>zyklen</w:t>
            </w:r>
            <w:r w:rsidRPr="00B30A12">
              <w:rPr>
                <w:color w:val="000000"/>
                <w:sz w:val="22"/>
                <w:szCs w:val="22"/>
                <w:lang w:val="de-DE"/>
              </w:rPr>
              <w:t>)</w:t>
            </w:r>
          </w:p>
          <w:p w14:paraId="260AC348" w14:textId="77777777" w:rsidR="00BB20C9" w:rsidRPr="00B30A12" w:rsidRDefault="000B7C6E" w:rsidP="00537E23">
            <w:pPr>
              <w:pStyle w:val="EndnoteText"/>
              <w:widowControl w:val="0"/>
              <w:rPr>
                <w:color w:val="000000"/>
                <w:sz w:val="22"/>
                <w:szCs w:val="22"/>
                <w:lang w:val="de-DE"/>
              </w:rPr>
            </w:pPr>
            <w:r w:rsidRPr="00B30A12">
              <w:rPr>
                <w:color w:val="000000"/>
                <w:sz w:val="22"/>
                <w:szCs w:val="22"/>
                <w:lang w:val="de-DE"/>
              </w:rPr>
              <w:t>Zyklus</w:t>
            </w:r>
            <w:r w:rsidR="00BB20C9" w:rsidRPr="00B30A12">
              <w:rPr>
                <w:color w:val="000000"/>
                <w:sz w:val="22"/>
                <w:szCs w:val="22"/>
                <w:lang w:val="de-DE"/>
              </w:rPr>
              <w:t> 5</w:t>
            </w:r>
          </w:p>
        </w:tc>
        <w:tc>
          <w:tcPr>
            <w:tcW w:w="6923" w:type="dxa"/>
            <w:shd w:val="clear" w:color="auto" w:fill="auto"/>
          </w:tcPr>
          <w:p w14:paraId="05F26D83" w14:textId="77777777" w:rsidR="00BB20C9" w:rsidRPr="00B30A12" w:rsidRDefault="002A6E20" w:rsidP="00537E23">
            <w:pPr>
              <w:pStyle w:val="EndnoteText"/>
              <w:widowControl w:val="0"/>
              <w:rPr>
                <w:color w:val="000000"/>
                <w:sz w:val="22"/>
                <w:szCs w:val="22"/>
                <w:lang w:val="de-DE"/>
              </w:rPr>
            </w:pPr>
            <w:r w:rsidRPr="00B30A12">
              <w:rPr>
                <w:color w:val="000000"/>
                <w:sz w:val="22"/>
                <w:szCs w:val="22"/>
                <w:lang w:val="de-DE"/>
              </w:rPr>
              <w:t>K</w:t>
            </w:r>
            <w:r w:rsidR="00A534C3" w:rsidRPr="00B30A12">
              <w:rPr>
                <w:color w:val="000000"/>
                <w:sz w:val="22"/>
                <w:szCs w:val="22"/>
                <w:lang w:val="de-DE"/>
              </w:rPr>
              <w:t>raniale B</w:t>
            </w:r>
            <w:r w:rsidR="00B354E2" w:rsidRPr="00B30A12">
              <w:rPr>
                <w:color w:val="000000"/>
                <w:sz w:val="22"/>
                <w:szCs w:val="22"/>
                <w:lang w:val="de-DE"/>
              </w:rPr>
              <w:t>estrahlung</w:t>
            </w:r>
            <w:r w:rsidR="00AD7BCE" w:rsidRPr="00B30A12">
              <w:rPr>
                <w:color w:val="000000"/>
                <w:sz w:val="22"/>
                <w:szCs w:val="22"/>
                <w:lang w:val="de-DE"/>
              </w:rPr>
              <w:t xml:space="preserve"> (nur Block 5</w:t>
            </w:r>
            <w:r w:rsidR="00BB20C9" w:rsidRPr="00B30A12">
              <w:rPr>
                <w:color w:val="000000"/>
                <w:sz w:val="22"/>
                <w:szCs w:val="22"/>
                <w:lang w:val="de-DE"/>
              </w:rPr>
              <w:t>)</w:t>
            </w:r>
          </w:p>
          <w:p w14:paraId="405FF196"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12 Gy in 8 </w:t>
            </w:r>
            <w:r w:rsidR="00C31BF3" w:rsidRPr="00B30A12">
              <w:rPr>
                <w:color w:val="000000"/>
                <w:sz w:val="22"/>
                <w:szCs w:val="22"/>
                <w:lang w:val="de-DE"/>
              </w:rPr>
              <w:t>Fraktionen für alle Patienten mit</w:t>
            </w:r>
            <w:r w:rsidRPr="00B30A12">
              <w:rPr>
                <w:color w:val="000000"/>
                <w:sz w:val="22"/>
                <w:szCs w:val="22"/>
                <w:lang w:val="de-DE"/>
              </w:rPr>
              <w:t xml:space="preserve"> CNS1 </w:t>
            </w:r>
            <w:r w:rsidR="00C31BF3" w:rsidRPr="00B30A12">
              <w:rPr>
                <w:color w:val="000000"/>
                <w:sz w:val="22"/>
                <w:szCs w:val="22"/>
                <w:lang w:val="de-DE"/>
              </w:rPr>
              <w:t>u</w:t>
            </w:r>
            <w:r w:rsidRPr="00B30A12">
              <w:rPr>
                <w:color w:val="000000"/>
                <w:sz w:val="22"/>
                <w:szCs w:val="22"/>
                <w:lang w:val="de-DE"/>
              </w:rPr>
              <w:t xml:space="preserve">nd CNS2 </w:t>
            </w:r>
            <w:r w:rsidR="00C31BF3" w:rsidRPr="00B30A12">
              <w:rPr>
                <w:color w:val="000000"/>
                <w:sz w:val="22"/>
                <w:szCs w:val="22"/>
                <w:lang w:val="de-DE"/>
              </w:rPr>
              <w:t>be</w:t>
            </w:r>
            <w:r w:rsidR="00127C07" w:rsidRPr="00B30A12">
              <w:rPr>
                <w:color w:val="000000"/>
                <w:sz w:val="22"/>
                <w:szCs w:val="22"/>
                <w:lang w:val="de-DE"/>
              </w:rPr>
              <w:t>i</w:t>
            </w:r>
            <w:r w:rsidR="00C31BF3" w:rsidRPr="00B30A12">
              <w:rPr>
                <w:color w:val="000000"/>
                <w:sz w:val="22"/>
                <w:szCs w:val="22"/>
                <w:lang w:val="de-DE"/>
              </w:rPr>
              <w:t xml:space="preserve"> der Diagnose</w:t>
            </w:r>
          </w:p>
          <w:p w14:paraId="3BC3EDC5"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18 Gy in 10 </w:t>
            </w:r>
            <w:r w:rsidR="00C31BF3" w:rsidRPr="00B30A12">
              <w:rPr>
                <w:color w:val="000000"/>
                <w:sz w:val="22"/>
                <w:szCs w:val="22"/>
                <w:lang w:val="de-DE"/>
              </w:rPr>
              <w:t xml:space="preserve">Fraktionen für Patienten mit </w:t>
            </w:r>
            <w:r w:rsidRPr="00B30A12">
              <w:rPr>
                <w:color w:val="000000"/>
                <w:sz w:val="22"/>
                <w:szCs w:val="22"/>
                <w:lang w:val="de-DE"/>
              </w:rPr>
              <w:t xml:space="preserve">CNS3 </w:t>
            </w:r>
            <w:r w:rsidR="00C31BF3" w:rsidRPr="00B30A12">
              <w:rPr>
                <w:color w:val="000000"/>
                <w:sz w:val="22"/>
                <w:szCs w:val="22"/>
                <w:lang w:val="de-DE"/>
              </w:rPr>
              <w:t>bei der Diagnose</w:t>
            </w:r>
          </w:p>
          <w:p w14:paraId="66857615" w14:textId="77777777" w:rsidR="00BB20C9" w:rsidRPr="00B30A12" w:rsidRDefault="00CC3A71" w:rsidP="00537E23">
            <w:pPr>
              <w:pStyle w:val="EndnoteText"/>
              <w:widowControl w:val="0"/>
              <w:rPr>
                <w:color w:val="000000"/>
                <w:sz w:val="22"/>
                <w:szCs w:val="22"/>
                <w:lang w:val="de-DE"/>
              </w:rPr>
            </w:pPr>
            <w:r w:rsidRPr="00B30A12">
              <w:rPr>
                <w:color w:val="000000"/>
                <w:sz w:val="22"/>
                <w:szCs w:val="22"/>
                <w:lang w:val="de-DE"/>
              </w:rPr>
              <w:t>VCR (1</w:t>
            </w:r>
            <w:r w:rsidR="008338D9" w:rsidRPr="00B30A12">
              <w:rPr>
                <w:color w:val="000000"/>
                <w:sz w:val="22"/>
                <w:szCs w:val="22"/>
                <w:lang w:val="de-DE"/>
              </w:rPr>
              <w:t>,</w:t>
            </w:r>
            <w:r w:rsidR="00BB20C9" w:rsidRPr="00B30A12">
              <w:rPr>
                <w:color w:val="000000"/>
                <w:sz w:val="22"/>
                <w:szCs w:val="22"/>
                <w:lang w:val="de-DE"/>
              </w:rPr>
              <w:t>5 mg/m</w:t>
            </w:r>
            <w:r w:rsidR="00BB20C9" w:rsidRPr="00B30A12">
              <w:rPr>
                <w:color w:val="000000"/>
                <w:sz w:val="22"/>
                <w:szCs w:val="22"/>
                <w:vertAlign w:val="superscript"/>
                <w:lang w:val="de-DE"/>
              </w:rPr>
              <w:t>2</w:t>
            </w:r>
            <w:r w:rsidR="00BB20C9" w:rsidRPr="00B30A12">
              <w:rPr>
                <w:color w:val="000000"/>
                <w:sz w:val="22"/>
                <w:szCs w:val="22"/>
                <w:lang w:val="de-DE"/>
              </w:rPr>
              <w:t>/</w:t>
            </w:r>
            <w:r w:rsidR="00413F72" w:rsidRPr="00B30A12">
              <w:rPr>
                <w:color w:val="000000"/>
                <w:sz w:val="22"/>
                <w:szCs w:val="22"/>
                <w:lang w:val="de-DE"/>
              </w:rPr>
              <w:t>Tag</w:t>
            </w:r>
            <w:r w:rsidR="00BB20C9" w:rsidRPr="00B30A12">
              <w:rPr>
                <w:color w:val="000000"/>
                <w:sz w:val="22"/>
                <w:szCs w:val="22"/>
                <w:lang w:val="de-DE"/>
              </w:rPr>
              <w:t xml:space="preserve">, </w:t>
            </w:r>
            <w:r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BB20C9" w:rsidRPr="00B30A12">
              <w:rPr>
                <w:color w:val="000000"/>
                <w:sz w:val="22"/>
                <w:szCs w:val="22"/>
                <w:lang w:val="de-DE"/>
              </w:rPr>
              <w:t> 1, 29</w:t>
            </w:r>
          </w:p>
          <w:p w14:paraId="290FE377"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DEX (6</w:t>
            </w:r>
            <w:r w:rsidR="001657DF" w:rsidRPr="00B30A12">
              <w:rPr>
                <w:color w:val="000000"/>
                <w:sz w:val="22"/>
                <w:szCs w:val="22"/>
                <w:lang w:val="de-DE"/>
              </w:rPr>
              <w:t> </w:t>
            </w:r>
            <w:r w:rsidRPr="00B30A12">
              <w:rPr>
                <w:color w:val="000000"/>
                <w:sz w:val="22"/>
                <w:szCs w:val="22"/>
                <w:lang w:val="de-DE"/>
              </w:rPr>
              <w:t>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 29</w:t>
            </w:r>
            <w:r w:rsidRPr="00B30A12">
              <w:rPr>
                <w:color w:val="000000"/>
                <w:sz w:val="22"/>
                <w:szCs w:val="22"/>
                <w:lang w:val="de-DE"/>
              </w:rPr>
              <w:noBreakHyphen/>
              <w:t>33</w:t>
            </w:r>
          </w:p>
          <w:p w14:paraId="61960BEB"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11</w:t>
            </w:r>
            <w:r w:rsidRPr="00B30A12">
              <w:rPr>
                <w:color w:val="000000"/>
                <w:sz w:val="22"/>
                <w:szCs w:val="22"/>
                <w:lang w:val="de-DE"/>
              </w:rPr>
              <w:noBreakHyphen/>
              <w:t>56 (</w:t>
            </w:r>
            <w:r w:rsidR="00C31BF3" w:rsidRPr="00B30A12">
              <w:rPr>
                <w:color w:val="000000"/>
                <w:sz w:val="22"/>
                <w:szCs w:val="22"/>
                <w:lang w:val="de-DE"/>
              </w:rPr>
              <w:t>Zurückhalten von</w:t>
            </w:r>
            <w:r w:rsidRPr="00B30A12">
              <w:rPr>
                <w:color w:val="000000"/>
                <w:sz w:val="22"/>
                <w:szCs w:val="22"/>
                <w:lang w:val="de-DE"/>
              </w:rPr>
              <w:t xml:space="preserve"> 6-MP </w:t>
            </w:r>
            <w:r w:rsidR="00C31BF3" w:rsidRPr="00B30A12">
              <w:rPr>
                <w:color w:val="000000"/>
                <w:sz w:val="22"/>
                <w:szCs w:val="22"/>
                <w:lang w:val="de-DE"/>
              </w:rPr>
              <w:t>während der</w:t>
            </w:r>
            <w:r w:rsidRPr="00B30A12">
              <w:rPr>
                <w:color w:val="000000"/>
                <w:sz w:val="22"/>
                <w:szCs w:val="22"/>
                <w:lang w:val="de-DE"/>
              </w:rPr>
              <w:t xml:space="preserve"> </w:t>
            </w:r>
            <w:r w:rsidR="00413F72" w:rsidRPr="00B30A12">
              <w:rPr>
                <w:color w:val="000000"/>
                <w:sz w:val="22"/>
                <w:szCs w:val="22"/>
                <w:lang w:val="de-DE"/>
              </w:rPr>
              <w:t>Tage</w:t>
            </w:r>
            <w:r w:rsidR="00CC3A71" w:rsidRPr="00B30A12">
              <w:rPr>
                <w:color w:val="000000"/>
                <w:sz w:val="22"/>
                <w:szCs w:val="22"/>
                <w:lang w:val="de-DE"/>
              </w:rPr>
              <w:t> 6</w:t>
            </w:r>
            <w:r w:rsidR="00CC3A71" w:rsidRPr="00B30A12">
              <w:rPr>
                <w:color w:val="000000"/>
                <w:sz w:val="22"/>
                <w:szCs w:val="22"/>
                <w:lang w:val="de-DE"/>
              </w:rPr>
              <w:noBreakHyphen/>
              <w:t>10</w:t>
            </w:r>
            <w:r w:rsidRPr="00B30A12">
              <w:rPr>
                <w:color w:val="000000"/>
                <w:sz w:val="22"/>
                <w:szCs w:val="22"/>
                <w:lang w:val="de-DE"/>
              </w:rPr>
              <w:t xml:space="preserve"> </w:t>
            </w:r>
            <w:r w:rsidR="00127C07" w:rsidRPr="00B30A12">
              <w:rPr>
                <w:color w:val="000000"/>
                <w:sz w:val="22"/>
                <w:szCs w:val="22"/>
                <w:lang w:val="de-DE"/>
              </w:rPr>
              <w:t xml:space="preserve">mit </w:t>
            </w:r>
            <w:r w:rsidR="002A6E20" w:rsidRPr="00B30A12">
              <w:rPr>
                <w:color w:val="000000"/>
                <w:sz w:val="22"/>
                <w:szCs w:val="22"/>
                <w:lang w:val="de-DE"/>
              </w:rPr>
              <w:t>k</w:t>
            </w:r>
            <w:r w:rsidR="00A534C3" w:rsidRPr="00B30A12">
              <w:rPr>
                <w:color w:val="000000"/>
                <w:sz w:val="22"/>
                <w:szCs w:val="22"/>
                <w:lang w:val="de-DE"/>
              </w:rPr>
              <w:t>ranialer B</w:t>
            </w:r>
            <w:r w:rsidR="00127C07" w:rsidRPr="00B30A12">
              <w:rPr>
                <w:color w:val="000000"/>
                <w:sz w:val="22"/>
                <w:szCs w:val="22"/>
                <w:lang w:val="de-DE"/>
              </w:rPr>
              <w:t>estrahlung</w:t>
            </w:r>
            <w:r w:rsidRPr="00B30A12">
              <w:rPr>
                <w:color w:val="000000"/>
                <w:sz w:val="22"/>
                <w:szCs w:val="22"/>
                <w:lang w:val="de-DE"/>
              </w:rPr>
              <w:t xml:space="preserve"> beginn</w:t>
            </w:r>
            <w:r w:rsidR="00C31BF3" w:rsidRPr="00B30A12">
              <w:rPr>
                <w:color w:val="000000"/>
                <w:sz w:val="22"/>
                <w:szCs w:val="22"/>
                <w:lang w:val="de-DE"/>
              </w:rPr>
              <w:t>end an</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xml:space="preserve"> 1 </w:t>
            </w:r>
            <w:r w:rsidR="00C31BF3" w:rsidRPr="00B30A12">
              <w:rPr>
                <w:color w:val="000000"/>
                <w:sz w:val="22"/>
                <w:szCs w:val="22"/>
                <w:lang w:val="de-DE"/>
              </w:rPr>
              <w:t>von Zyklus</w:t>
            </w:r>
            <w:r w:rsidRPr="00B30A12">
              <w:rPr>
                <w:color w:val="000000"/>
                <w:sz w:val="22"/>
                <w:szCs w:val="22"/>
                <w:lang w:val="de-DE"/>
              </w:rPr>
              <w:t xml:space="preserve"> 5. </w:t>
            </w:r>
            <w:r w:rsidR="00CC3A71" w:rsidRPr="00B30A12">
              <w:rPr>
                <w:color w:val="000000"/>
                <w:sz w:val="22"/>
                <w:szCs w:val="22"/>
                <w:lang w:val="de-DE"/>
              </w:rPr>
              <w:t>Beginn mit</w:t>
            </w:r>
            <w:r w:rsidRPr="00B30A12">
              <w:rPr>
                <w:color w:val="000000"/>
                <w:sz w:val="22"/>
                <w:szCs w:val="22"/>
                <w:lang w:val="de-DE"/>
              </w:rPr>
              <w:t xml:space="preserve"> 6-MP </w:t>
            </w:r>
            <w:r w:rsidR="00CC3A71" w:rsidRPr="00B30A12">
              <w:rPr>
                <w:color w:val="000000"/>
                <w:sz w:val="22"/>
                <w:szCs w:val="22"/>
                <w:lang w:val="de-DE"/>
              </w:rPr>
              <w:t>am</w:t>
            </w:r>
            <w:r w:rsidR="00C31BF3" w:rsidRPr="00B30A12">
              <w:rPr>
                <w:color w:val="000000"/>
                <w:sz w:val="22"/>
                <w:szCs w:val="22"/>
                <w:lang w:val="de-DE"/>
              </w:rPr>
              <w:t xml:space="preserve"> ersten</w:t>
            </w:r>
            <w:r w:rsidRPr="00B30A12">
              <w:rPr>
                <w:color w:val="000000"/>
                <w:sz w:val="22"/>
                <w:szCs w:val="22"/>
                <w:lang w:val="de-DE"/>
              </w:rPr>
              <w:t xml:space="preserve"> </w:t>
            </w:r>
            <w:r w:rsidR="00413F72" w:rsidRPr="00B30A12">
              <w:rPr>
                <w:color w:val="000000"/>
                <w:sz w:val="22"/>
                <w:szCs w:val="22"/>
                <w:lang w:val="de-DE"/>
              </w:rPr>
              <w:t>Tag</w:t>
            </w:r>
            <w:r w:rsidRPr="00B30A12">
              <w:rPr>
                <w:color w:val="000000"/>
                <w:sz w:val="22"/>
                <w:szCs w:val="22"/>
                <w:lang w:val="de-DE"/>
              </w:rPr>
              <w:t xml:space="preserve"> </w:t>
            </w:r>
            <w:r w:rsidR="00B354E2" w:rsidRPr="00B30A12">
              <w:rPr>
                <w:color w:val="000000"/>
                <w:sz w:val="22"/>
                <w:szCs w:val="22"/>
                <w:lang w:val="de-DE"/>
              </w:rPr>
              <w:t xml:space="preserve">nach </w:t>
            </w:r>
            <w:r w:rsidR="00CC3A71" w:rsidRPr="00B30A12">
              <w:rPr>
                <w:color w:val="000000"/>
                <w:sz w:val="22"/>
                <w:szCs w:val="22"/>
                <w:lang w:val="de-DE"/>
              </w:rPr>
              <w:t>Beendigung der</w:t>
            </w:r>
            <w:r w:rsidR="00B354E2" w:rsidRPr="00B30A12">
              <w:rPr>
                <w:color w:val="000000"/>
                <w:sz w:val="22"/>
                <w:szCs w:val="22"/>
                <w:lang w:val="de-DE"/>
              </w:rPr>
              <w:t xml:space="preserve"> </w:t>
            </w:r>
            <w:r w:rsidR="002A6E20" w:rsidRPr="00B30A12">
              <w:rPr>
                <w:color w:val="000000"/>
                <w:sz w:val="22"/>
                <w:szCs w:val="22"/>
                <w:lang w:val="de-DE"/>
              </w:rPr>
              <w:t>k</w:t>
            </w:r>
            <w:r w:rsidR="00A534C3" w:rsidRPr="00B30A12">
              <w:rPr>
                <w:color w:val="000000"/>
                <w:sz w:val="22"/>
                <w:szCs w:val="22"/>
                <w:lang w:val="de-DE"/>
              </w:rPr>
              <w:t>ranialen B</w:t>
            </w:r>
            <w:r w:rsidR="00B354E2" w:rsidRPr="00B30A12">
              <w:rPr>
                <w:color w:val="000000"/>
                <w:sz w:val="22"/>
                <w:szCs w:val="22"/>
                <w:lang w:val="de-DE"/>
              </w:rPr>
              <w:t>estrahlung</w:t>
            </w:r>
            <w:r w:rsidRPr="00B30A12">
              <w:rPr>
                <w:color w:val="000000"/>
                <w:sz w:val="22"/>
                <w:szCs w:val="22"/>
                <w:lang w:val="de-DE"/>
              </w:rPr>
              <w:t>.)</w:t>
            </w:r>
          </w:p>
          <w:p w14:paraId="54541F58" w14:textId="77777777" w:rsidR="00BB20C9" w:rsidRPr="00B30A12" w:rsidRDefault="00BB20C9" w:rsidP="00537E23">
            <w:pPr>
              <w:pStyle w:val="EndnoteText"/>
              <w:widowControl w:val="0"/>
              <w:rPr>
                <w:color w:val="000000"/>
                <w:sz w:val="22"/>
                <w:szCs w:val="22"/>
                <w:lang w:val="de-DE"/>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t>
            </w:r>
            <w:r w:rsidR="00C31BF3" w:rsidRPr="00B30A12">
              <w:rPr>
                <w:color w:val="000000"/>
                <w:sz w:val="22"/>
                <w:szCs w:val="22"/>
                <w:lang w:val="de-DE"/>
              </w:rPr>
              <w:t>Woche</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8, 15, 22, 29, 36, 43, 50</w:t>
            </w:r>
          </w:p>
        </w:tc>
      </w:tr>
      <w:tr w:rsidR="00BB20C9" w:rsidRPr="00B30A12" w14:paraId="710BA713" w14:textId="77777777" w:rsidTr="00AD54DF">
        <w:trPr>
          <w:cantSplit/>
        </w:trPr>
        <w:tc>
          <w:tcPr>
            <w:tcW w:w="2358" w:type="dxa"/>
            <w:shd w:val="clear" w:color="auto" w:fill="auto"/>
          </w:tcPr>
          <w:p w14:paraId="45A6B330" w14:textId="77777777" w:rsidR="000B7C6E" w:rsidRPr="00B30A12" w:rsidRDefault="000B7C6E" w:rsidP="00AD54DF">
            <w:pPr>
              <w:pStyle w:val="EndnoteText"/>
              <w:keepNext/>
              <w:widowControl w:val="0"/>
              <w:rPr>
                <w:color w:val="000000"/>
                <w:sz w:val="22"/>
                <w:szCs w:val="22"/>
              </w:rPr>
            </w:pPr>
            <w:r w:rsidRPr="00B30A12">
              <w:rPr>
                <w:color w:val="000000"/>
                <w:sz w:val="22"/>
                <w:szCs w:val="22"/>
              </w:rPr>
              <w:lastRenderedPageBreak/>
              <w:t>Erhaltung</w:t>
            </w:r>
          </w:p>
          <w:p w14:paraId="2735059E" w14:textId="77777777" w:rsidR="000B7C6E" w:rsidRPr="00B30A12" w:rsidRDefault="000B7C6E" w:rsidP="00AD54DF">
            <w:pPr>
              <w:pStyle w:val="EndnoteText"/>
              <w:keepNext/>
              <w:widowControl w:val="0"/>
              <w:rPr>
                <w:color w:val="000000"/>
                <w:sz w:val="22"/>
                <w:szCs w:val="22"/>
              </w:rPr>
            </w:pPr>
            <w:r w:rsidRPr="00B30A12">
              <w:rPr>
                <w:color w:val="000000"/>
                <w:sz w:val="22"/>
                <w:szCs w:val="22"/>
              </w:rPr>
              <w:t>(8-Wochenzyklen)</w:t>
            </w:r>
          </w:p>
          <w:p w14:paraId="38253552" w14:textId="77777777" w:rsidR="00BB20C9" w:rsidRPr="00B30A12" w:rsidRDefault="000B7C6E" w:rsidP="00AD54DF">
            <w:pPr>
              <w:pStyle w:val="EndnoteText"/>
              <w:keepNext/>
              <w:widowControl w:val="0"/>
              <w:rPr>
                <w:color w:val="000000"/>
                <w:sz w:val="22"/>
                <w:szCs w:val="22"/>
              </w:rPr>
            </w:pPr>
            <w:r w:rsidRPr="00B30A12">
              <w:rPr>
                <w:color w:val="000000"/>
                <w:sz w:val="22"/>
                <w:szCs w:val="22"/>
              </w:rPr>
              <w:t>Zyklen</w:t>
            </w:r>
            <w:r w:rsidR="00BB20C9" w:rsidRPr="00B30A12">
              <w:rPr>
                <w:color w:val="000000"/>
                <w:sz w:val="22"/>
                <w:szCs w:val="22"/>
              </w:rPr>
              <w:t> 6</w:t>
            </w:r>
            <w:r w:rsidR="00BB20C9" w:rsidRPr="00B30A12">
              <w:rPr>
                <w:color w:val="000000"/>
                <w:sz w:val="22"/>
                <w:szCs w:val="22"/>
              </w:rPr>
              <w:noBreakHyphen/>
              <w:t>12</w:t>
            </w:r>
          </w:p>
        </w:tc>
        <w:tc>
          <w:tcPr>
            <w:tcW w:w="6923" w:type="dxa"/>
            <w:shd w:val="clear" w:color="auto" w:fill="auto"/>
          </w:tcPr>
          <w:p w14:paraId="067B6A1A" w14:textId="77777777" w:rsidR="00BB20C9" w:rsidRPr="00B30A12" w:rsidRDefault="00CC3A71" w:rsidP="00AD54DF">
            <w:pPr>
              <w:pStyle w:val="EndnoteText"/>
              <w:keepNext/>
              <w:widowControl w:val="0"/>
              <w:rPr>
                <w:color w:val="000000"/>
                <w:sz w:val="22"/>
                <w:szCs w:val="22"/>
                <w:lang w:val="de-DE"/>
              </w:rPr>
            </w:pPr>
            <w:r w:rsidRPr="00B30A12">
              <w:rPr>
                <w:color w:val="000000"/>
                <w:sz w:val="22"/>
                <w:szCs w:val="22"/>
                <w:lang w:val="de-DE"/>
              </w:rPr>
              <w:t>VCR (1</w:t>
            </w:r>
            <w:r w:rsidR="008338D9" w:rsidRPr="00B30A12">
              <w:rPr>
                <w:color w:val="000000"/>
                <w:sz w:val="22"/>
                <w:szCs w:val="22"/>
                <w:lang w:val="de-DE"/>
              </w:rPr>
              <w:t>,</w:t>
            </w:r>
            <w:r w:rsidR="00BB20C9" w:rsidRPr="00B30A12">
              <w:rPr>
                <w:color w:val="000000"/>
                <w:sz w:val="22"/>
                <w:szCs w:val="22"/>
                <w:lang w:val="de-DE"/>
              </w:rPr>
              <w:t>5 mg/m</w:t>
            </w:r>
            <w:r w:rsidR="00BB20C9" w:rsidRPr="00B30A12">
              <w:rPr>
                <w:color w:val="000000"/>
                <w:sz w:val="22"/>
                <w:szCs w:val="22"/>
                <w:vertAlign w:val="superscript"/>
                <w:lang w:val="de-DE"/>
              </w:rPr>
              <w:t>2</w:t>
            </w:r>
            <w:r w:rsidR="00BB20C9" w:rsidRPr="00B30A12">
              <w:rPr>
                <w:color w:val="000000"/>
                <w:sz w:val="22"/>
                <w:szCs w:val="22"/>
                <w:lang w:val="de-DE"/>
              </w:rPr>
              <w:t>/</w:t>
            </w:r>
            <w:r w:rsidR="00413F72" w:rsidRPr="00B30A12">
              <w:rPr>
                <w:color w:val="000000"/>
                <w:sz w:val="22"/>
                <w:szCs w:val="22"/>
                <w:lang w:val="de-DE"/>
              </w:rPr>
              <w:t>Tag</w:t>
            </w:r>
            <w:r w:rsidR="00BB20C9" w:rsidRPr="00B30A12">
              <w:rPr>
                <w:color w:val="000000"/>
                <w:sz w:val="22"/>
                <w:szCs w:val="22"/>
                <w:lang w:val="de-DE"/>
              </w:rPr>
              <w:t xml:space="preserve">, </w:t>
            </w:r>
            <w:r w:rsidRPr="00B30A12">
              <w:rPr>
                <w:color w:val="000000"/>
                <w:sz w:val="22"/>
                <w:szCs w:val="22"/>
                <w:lang w:val="de-DE"/>
              </w:rPr>
              <w:t>i.v.</w:t>
            </w:r>
            <w:r w:rsidR="00BB20C9" w:rsidRPr="00B30A12">
              <w:rPr>
                <w:color w:val="000000"/>
                <w:sz w:val="22"/>
                <w:szCs w:val="22"/>
                <w:lang w:val="de-DE"/>
              </w:rPr>
              <w:t xml:space="preserve">): </w:t>
            </w:r>
            <w:r w:rsidR="00413F72" w:rsidRPr="00B30A12">
              <w:rPr>
                <w:color w:val="000000"/>
                <w:sz w:val="22"/>
                <w:szCs w:val="22"/>
                <w:lang w:val="de-DE"/>
              </w:rPr>
              <w:t>Tage</w:t>
            </w:r>
            <w:r w:rsidR="00BB20C9" w:rsidRPr="00B30A12">
              <w:rPr>
                <w:color w:val="000000"/>
                <w:sz w:val="22"/>
                <w:szCs w:val="22"/>
                <w:lang w:val="de-DE"/>
              </w:rPr>
              <w:t> 1, 29</w:t>
            </w:r>
          </w:p>
          <w:p w14:paraId="47A21CB8" w14:textId="77777777" w:rsidR="00BB20C9" w:rsidRPr="00B30A12" w:rsidRDefault="00BB20C9" w:rsidP="00AD54DF">
            <w:pPr>
              <w:pStyle w:val="EndnoteText"/>
              <w:keepN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 29</w:t>
            </w:r>
            <w:r w:rsidRPr="00B30A12">
              <w:rPr>
                <w:color w:val="000000"/>
                <w:sz w:val="22"/>
                <w:szCs w:val="22"/>
                <w:lang w:val="de-DE"/>
              </w:rPr>
              <w:noBreakHyphen/>
              <w:t>33</w:t>
            </w:r>
          </w:p>
          <w:p w14:paraId="31349E4E" w14:textId="77777777" w:rsidR="00BB20C9" w:rsidRPr="00B30A12" w:rsidRDefault="00BB20C9" w:rsidP="00AD54DF">
            <w:pPr>
              <w:pStyle w:val="EndnoteText"/>
              <w:keepN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w:t>
            </w:r>
            <w:r w:rsidR="00413F72" w:rsidRPr="00B30A12">
              <w:rPr>
                <w:color w:val="000000"/>
                <w:sz w:val="22"/>
                <w:szCs w:val="22"/>
                <w:lang w:val="de-DE"/>
              </w:rPr>
              <w:t>Tag</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w:t>
            </w:r>
            <w:r w:rsidRPr="00B30A12">
              <w:rPr>
                <w:color w:val="000000"/>
                <w:sz w:val="22"/>
                <w:szCs w:val="22"/>
                <w:lang w:val="de-DE"/>
              </w:rPr>
              <w:noBreakHyphen/>
              <w:t>56</w:t>
            </w:r>
          </w:p>
          <w:p w14:paraId="4AA9D98C" w14:textId="77777777" w:rsidR="00BB20C9" w:rsidRPr="00B30A12" w:rsidRDefault="00BB20C9" w:rsidP="00AD54DF">
            <w:pPr>
              <w:pStyle w:val="EndnoteText"/>
              <w:keepNext/>
              <w:widowControl w:val="0"/>
              <w:rPr>
                <w:color w:val="000000"/>
                <w:sz w:val="22"/>
                <w:szCs w:val="22"/>
                <w:lang w:val="de-CH"/>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t>
            </w:r>
            <w:r w:rsidR="00C31BF3" w:rsidRPr="00B30A12">
              <w:rPr>
                <w:color w:val="000000"/>
                <w:sz w:val="22"/>
                <w:szCs w:val="22"/>
                <w:lang w:val="de-DE"/>
              </w:rPr>
              <w:t>Woche</w:t>
            </w:r>
            <w:r w:rsidRPr="00B30A12">
              <w:rPr>
                <w:color w:val="000000"/>
                <w:sz w:val="22"/>
                <w:szCs w:val="22"/>
                <w:lang w:val="de-DE"/>
              </w:rPr>
              <w:t xml:space="preserve">, </w:t>
            </w:r>
            <w:r w:rsidR="00CC3A71" w:rsidRPr="00B30A12">
              <w:rPr>
                <w:color w:val="000000"/>
                <w:sz w:val="22"/>
                <w:szCs w:val="22"/>
                <w:lang w:val="de-DE"/>
              </w:rPr>
              <w:t>p.o.</w:t>
            </w:r>
            <w:r w:rsidRPr="00B30A12">
              <w:rPr>
                <w:color w:val="000000"/>
                <w:sz w:val="22"/>
                <w:szCs w:val="22"/>
                <w:lang w:val="de-DE"/>
              </w:rPr>
              <w:t xml:space="preserve">): </w:t>
            </w:r>
            <w:r w:rsidR="00413F72" w:rsidRPr="00B30A12">
              <w:rPr>
                <w:color w:val="000000"/>
                <w:sz w:val="22"/>
                <w:szCs w:val="22"/>
                <w:lang w:val="de-DE"/>
              </w:rPr>
              <w:t>Tage</w:t>
            </w:r>
            <w:r w:rsidRPr="00B30A12">
              <w:rPr>
                <w:color w:val="000000"/>
                <w:sz w:val="22"/>
                <w:szCs w:val="22"/>
                <w:lang w:val="de-DE"/>
              </w:rPr>
              <w:t> 1, 8, 15, 22, 29, 36, 43, 50</w:t>
            </w:r>
          </w:p>
        </w:tc>
      </w:tr>
    </w:tbl>
    <w:p w14:paraId="67156E39" w14:textId="77777777" w:rsidR="003002D8" w:rsidRPr="00B30A12" w:rsidRDefault="003002D8" w:rsidP="00AD54DF">
      <w:pPr>
        <w:pStyle w:val="EndnoteText"/>
        <w:keepLines/>
        <w:widowControl w:val="0"/>
        <w:rPr>
          <w:color w:val="000000"/>
          <w:sz w:val="22"/>
          <w:szCs w:val="22"/>
          <w:lang w:val="de-DE"/>
        </w:rPr>
      </w:pPr>
      <w:r w:rsidRPr="00B30A12">
        <w:rPr>
          <w:color w:val="000000"/>
          <w:sz w:val="22"/>
          <w:szCs w:val="22"/>
          <w:lang w:val="de-DE"/>
        </w:rPr>
        <w:t xml:space="preserve">G-CSF = </w:t>
      </w:r>
      <w:r w:rsidR="00B354E2" w:rsidRPr="00B30A12">
        <w:rPr>
          <w:color w:val="000000"/>
          <w:sz w:val="22"/>
          <w:szCs w:val="22"/>
          <w:lang w:val="de-DE"/>
        </w:rPr>
        <w:t>Granulozyten-Kolonie stimulierende</w:t>
      </w:r>
      <w:r w:rsidR="006D3F94" w:rsidRPr="00B30A12">
        <w:rPr>
          <w:color w:val="000000"/>
          <w:sz w:val="22"/>
          <w:szCs w:val="22"/>
          <w:lang w:val="de-DE"/>
        </w:rPr>
        <w:t>r</w:t>
      </w:r>
      <w:r w:rsidR="00B354E2" w:rsidRPr="00B30A12">
        <w:rPr>
          <w:color w:val="000000"/>
          <w:sz w:val="22"/>
          <w:szCs w:val="22"/>
          <w:lang w:val="de-DE"/>
        </w:rPr>
        <w:t xml:space="preserve"> Faktor, VP-16 = E</w:t>
      </w:r>
      <w:r w:rsidRPr="00B30A12">
        <w:rPr>
          <w:color w:val="000000"/>
          <w:sz w:val="22"/>
          <w:szCs w:val="22"/>
          <w:lang w:val="de-DE"/>
        </w:rPr>
        <w:t xml:space="preserve">toposid, MTX = Methotrexat, </w:t>
      </w:r>
      <w:r w:rsidR="00CC3A71" w:rsidRPr="00B30A12">
        <w:rPr>
          <w:color w:val="000000"/>
          <w:sz w:val="22"/>
          <w:szCs w:val="22"/>
          <w:lang w:val="de-DE"/>
        </w:rPr>
        <w:t>i.v.</w:t>
      </w:r>
      <w:r w:rsidRPr="00B30A12">
        <w:rPr>
          <w:color w:val="000000"/>
          <w:sz w:val="22"/>
          <w:szCs w:val="22"/>
          <w:lang w:val="de-DE"/>
        </w:rPr>
        <w:t xml:space="preserve"> = intravenö</w:t>
      </w:r>
      <w:r w:rsidR="006D3F94" w:rsidRPr="00B30A12">
        <w:rPr>
          <w:color w:val="000000"/>
          <w:sz w:val="22"/>
          <w:szCs w:val="22"/>
          <w:lang w:val="de-DE"/>
        </w:rPr>
        <w:t xml:space="preserve">s, </w:t>
      </w:r>
      <w:r w:rsidR="00CC3A71" w:rsidRPr="00B30A12">
        <w:rPr>
          <w:color w:val="000000"/>
          <w:sz w:val="22"/>
          <w:szCs w:val="22"/>
          <w:lang w:val="de-DE"/>
        </w:rPr>
        <w:t>s.c.</w:t>
      </w:r>
      <w:r w:rsidR="006D3F94" w:rsidRPr="00B30A12">
        <w:rPr>
          <w:color w:val="000000"/>
          <w:sz w:val="22"/>
          <w:szCs w:val="22"/>
          <w:lang w:val="de-DE"/>
        </w:rPr>
        <w:t xml:space="preserve"> = subk</w:t>
      </w:r>
      <w:r w:rsidRPr="00B30A12">
        <w:rPr>
          <w:color w:val="000000"/>
          <w:sz w:val="22"/>
          <w:szCs w:val="22"/>
          <w:lang w:val="de-DE"/>
        </w:rPr>
        <w:t xml:space="preserve">utan, </w:t>
      </w:r>
      <w:r w:rsidR="00CC3A71" w:rsidRPr="00B30A12">
        <w:rPr>
          <w:color w:val="000000"/>
          <w:sz w:val="22"/>
          <w:szCs w:val="22"/>
          <w:lang w:val="de-DE"/>
        </w:rPr>
        <w:t>i.th.</w:t>
      </w:r>
      <w:r w:rsidRPr="00B30A12">
        <w:rPr>
          <w:color w:val="000000"/>
          <w:sz w:val="22"/>
          <w:szCs w:val="22"/>
          <w:lang w:val="de-DE"/>
        </w:rPr>
        <w:t xml:space="preserve"> = intrathe</w:t>
      </w:r>
      <w:r w:rsidR="00B354E2" w:rsidRPr="00B30A12">
        <w:rPr>
          <w:color w:val="000000"/>
          <w:sz w:val="22"/>
          <w:szCs w:val="22"/>
          <w:lang w:val="de-DE"/>
        </w:rPr>
        <w:t>k</w:t>
      </w:r>
      <w:r w:rsidR="006D3F94" w:rsidRPr="00B30A12">
        <w:rPr>
          <w:color w:val="000000"/>
          <w:sz w:val="22"/>
          <w:szCs w:val="22"/>
          <w:lang w:val="de-DE"/>
        </w:rPr>
        <w:t xml:space="preserve">al, </w:t>
      </w:r>
      <w:r w:rsidR="00CC3A71" w:rsidRPr="00B30A12">
        <w:rPr>
          <w:color w:val="000000"/>
          <w:sz w:val="22"/>
          <w:szCs w:val="22"/>
          <w:lang w:val="de-DE"/>
        </w:rPr>
        <w:t>p.o.</w:t>
      </w:r>
      <w:r w:rsidR="006D3F94" w:rsidRPr="00B30A12">
        <w:rPr>
          <w:color w:val="000000"/>
          <w:sz w:val="22"/>
          <w:szCs w:val="22"/>
          <w:lang w:val="de-DE"/>
        </w:rPr>
        <w:t xml:space="preserve"> = oral, </w:t>
      </w:r>
      <w:r w:rsidR="00CC3A71" w:rsidRPr="00B30A12">
        <w:rPr>
          <w:color w:val="000000"/>
          <w:sz w:val="22"/>
          <w:szCs w:val="22"/>
          <w:lang w:val="de-DE"/>
        </w:rPr>
        <w:t>i.m.</w:t>
      </w:r>
      <w:r w:rsidR="006D3F94" w:rsidRPr="00B30A12">
        <w:rPr>
          <w:color w:val="000000"/>
          <w:sz w:val="22"/>
          <w:szCs w:val="22"/>
          <w:lang w:val="de-DE"/>
        </w:rPr>
        <w:t xml:space="preserve"> = intramusk</w:t>
      </w:r>
      <w:r w:rsidRPr="00B30A12">
        <w:rPr>
          <w:color w:val="000000"/>
          <w:sz w:val="22"/>
          <w:szCs w:val="22"/>
          <w:lang w:val="de-DE"/>
        </w:rPr>
        <w:t>ulä</w:t>
      </w:r>
      <w:r w:rsidR="00B354E2" w:rsidRPr="00B30A12">
        <w:rPr>
          <w:color w:val="000000"/>
          <w:sz w:val="22"/>
          <w:szCs w:val="22"/>
          <w:lang w:val="de-DE"/>
        </w:rPr>
        <w:t>r, ARA-C = C</w:t>
      </w:r>
      <w:r w:rsidRPr="00B30A12">
        <w:rPr>
          <w:color w:val="000000"/>
          <w:sz w:val="22"/>
          <w:szCs w:val="22"/>
          <w:lang w:val="de-DE"/>
        </w:rPr>
        <w:t>ytarabin</w:t>
      </w:r>
      <w:r w:rsidR="00B354E2" w:rsidRPr="00B30A12">
        <w:rPr>
          <w:color w:val="000000"/>
          <w:sz w:val="22"/>
          <w:szCs w:val="22"/>
          <w:lang w:val="de-DE"/>
        </w:rPr>
        <w:t>, CPM = C</w:t>
      </w:r>
      <w:r w:rsidRPr="00B30A12">
        <w:rPr>
          <w:color w:val="000000"/>
          <w:sz w:val="22"/>
          <w:szCs w:val="22"/>
          <w:lang w:val="de-DE"/>
        </w:rPr>
        <w:t>yclophosphamid</w:t>
      </w:r>
      <w:r w:rsidR="00B354E2" w:rsidRPr="00B30A12">
        <w:rPr>
          <w:color w:val="000000"/>
          <w:sz w:val="22"/>
          <w:szCs w:val="22"/>
          <w:lang w:val="de-DE"/>
        </w:rPr>
        <w:t>, VCR = V</w:t>
      </w:r>
      <w:r w:rsidRPr="00B30A12">
        <w:rPr>
          <w:color w:val="000000"/>
          <w:sz w:val="22"/>
          <w:szCs w:val="22"/>
          <w:lang w:val="de-DE"/>
        </w:rPr>
        <w:t xml:space="preserve">incristin, DEX = Dexamethason, DAUN = Daunorubicin, 6-MP = 6-Mercaptopurin, E.Coli L-ASP = L-Asparaginase, PEG-ASP = PEG Asparaginase, MESNA= </w:t>
      </w:r>
      <w:r w:rsidR="00CC3A71" w:rsidRPr="00B30A12">
        <w:rPr>
          <w:color w:val="000000"/>
          <w:sz w:val="22"/>
          <w:szCs w:val="22"/>
          <w:lang w:val="de-DE"/>
        </w:rPr>
        <w:t>Natrium-</w:t>
      </w:r>
      <w:r w:rsidRPr="00B30A12">
        <w:rPr>
          <w:color w:val="000000"/>
          <w:sz w:val="22"/>
          <w:szCs w:val="22"/>
          <w:lang w:val="de-DE"/>
        </w:rPr>
        <w:t>2-</w:t>
      </w:r>
      <w:r w:rsidR="00CC3A71" w:rsidRPr="00B30A12">
        <w:rPr>
          <w:color w:val="000000"/>
          <w:sz w:val="22"/>
          <w:szCs w:val="22"/>
          <w:lang w:val="de-DE"/>
        </w:rPr>
        <w:t>m</w:t>
      </w:r>
      <w:r w:rsidR="00B354E2" w:rsidRPr="00B30A12">
        <w:rPr>
          <w:color w:val="000000"/>
          <w:sz w:val="22"/>
          <w:szCs w:val="22"/>
          <w:lang w:val="de-DE"/>
        </w:rPr>
        <w:t>ercapto-ethansulfonat</w:t>
      </w:r>
      <w:r w:rsidRPr="00B30A12">
        <w:rPr>
          <w:color w:val="000000"/>
          <w:sz w:val="22"/>
          <w:szCs w:val="22"/>
          <w:lang w:val="de-DE"/>
        </w:rPr>
        <w:t>, iii= oder bis MTX</w:t>
      </w:r>
      <w:r w:rsidR="00CC3A71" w:rsidRPr="00B30A12">
        <w:rPr>
          <w:color w:val="000000"/>
          <w:sz w:val="22"/>
          <w:szCs w:val="22"/>
          <w:lang w:val="de-DE"/>
        </w:rPr>
        <w:t>-Spiegel &lt; 0</w:t>
      </w:r>
      <w:r w:rsidR="008338D9" w:rsidRPr="00B30A12">
        <w:rPr>
          <w:color w:val="000000"/>
          <w:sz w:val="22"/>
          <w:szCs w:val="22"/>
          <w:lang w:val="de-DE"/>
        </w:rPr>
        <w:t>,</w:t>
      </w:r>
      <w:r w:rsidRPr="00B30A12">
        <w:rPr>
          <w:color w:val="000000"/>
          <w:sz w:val="22"/>
          <w:szCs w:val="22"/>
          <w:lang w:val="de-DE"/>
        </w:rPr>
        <w:t>1 µM ist, q6h = alle 6 Stunden, Gy= Gray</w:t>
      </w:r>
    </w:p>
    <w:p w14:paraId="3C327752" w14:textId="77777777" w:rsidR="00250949" w:rsidRPr="00B30A12" w:rsidRDefault="00250949" w:rsidP="00537E23">
      <w:pPr>
        <w:pStyle w:val="EndnoteText"/>
        <w:widowControl w:val="0"/>
        <w:rPr>
          <w:color w:val="000000"/>
          <w:sz w:val="22"/>
          <w:szCs w:val="22"/>
          <w:lang w:val="de-DE"/>
        </w:rPr>
      </w:pPr>
    </w:p>
    <w:p w14:paraId="77184CDE" w14:textId="77777777" w:rsidR="003002D8" w:rsidRPr="00B30A12" w:rsidRDefault="00CC3A71" w:rsidP="00537E23">
      <w:pPr>
        <w:pStyle w:val="EndnoteText"/>
        <w:widowControl w:val="0"/>
        <w:rPr>
          <w:color w:val="000000"/>
          <w:sz w:val="22"/>
          <w:szCs w:val="22"/>
          <w:lang w:val="de-DE"/>
        </w:rPr>
      </w:pPr>
      <w:r w:rsidRPr="00B30A12">
        <w:rPr>
          <w:color w:val="000000"/>
          <w:sz w:val="22"/>
          <w:szCs w:val="22"/>
          <w:lang w:val="de-DE"/>
        </w:rPr>
        <w:t xml:space="preserve">Die </w:t>
      </w:r>
      <w:r w:rsidR="003002D8" w:rsidRPr="00B30A12">
        <w:rPr>
          <w:color w:val="000000"/>
          <w:sz w:val="22"/>
          <w:szCs w:val="22"/>
          <w:lang w:val="de-DE"/>
        </w:rPr>
        <w:t>S</w:t>
      </w:r>
      <w:r w:rsidR="008067E5" w:rsidRPr="00B30A12">
        <w:rPr>
          <w:color w:val="000000"/>
          <w:sz w:val="22"/>
          <w:szCs w:val="22"/>
          <w:lang w:val="de-DE"/>
        </w:rPr>
        <w:t>t</w:t>
      </w:r>
      <w:r w:rsidR="003002D8" w:rsidRPr="00B30A12">
        <w:rPr>
          <w:color w:val="000000"/>
          <w:sz w:val="22"/>
          <w:szCs w:val="22"/>
          <w:lang w:val="de-DE"/>
        </w:rPr>
        <w:t>udie AIT07 war eine multizentrische, offene, randomisierte Phase</w:t>
      </w:r>
      <w:r w:rsidR="00367F75" w:rsidRPr="00B30A12">
        <w:rPr>
          <w:color w:val="000000"/>
          <w:sz w:val="22"/>
          <w:szCs w:val="22"/>
          <w:lang w:val="de-DE"/>
        </w:rPr>
        <w:t>-</w:t>
      </w:r>
      <w:r w:rsidR="003002D8" w:rsidRPr="00B30A12">
        <w:rPr>
          <w:color w:val="000000"/>
          <w:sz w:val="22"/>
          <w:szCs w:val="22"/>
          <w:lang w:val="de-DE"/>
        </w:rPr>
        <w:t>II/III</w:t>
      </w:r>
      <w:r w:rsidR="00367F75" w:rsidRPr="00B30A12">
        <w:rPr>
          <w:color w:val="000000"/>
          <w:sz w:val="22"/>
          <w:szCs w:val="22"/>
          <w:lang w:val="de-DE"/>
        </w:rPr>
        <w:t>-</w:t>
      </w:r>
      <w:r w:rsidR="003002D8" w:rsidRPr="00B30A12">
        <w:rPr>
          <w:color w:val="000000"/>
          <w:sz w:val="22"/>
          <w:szCs w:val="22"/>
          <w:lang w:val="de-DE"/>
        </w:rPr>
        <w:t>Studie, die 128 Patienten (1 bis</w:t>
      </w:r>
      <w:r w:rsidR="008338D9" w:rsidRPr="00B30A12">
        <w:rPr>
          <w:color w:val="000000"/>
          <w:sz w:val="22"/>
          <w:szCs w:val="22"/>
          <w:lang w:val="de-DE"/>
        </w:rPr>
        <w:t xml:space="preserve"> </w:t>
      </w:r>
      <w:r w:rsidR="003002D8" w:rsidRPr="00B30A12">
        <w:rPr>
          <w:color w:val="000000"/>
          <w:sz w:val="22"/>
          <w:szCs w:val="22"/>
          <w:lang w:val="de-DE"/>
        </w:rPr>
        <w:t>&lt;</w:t>
      </w:r>
      <w:r w:rsidR="00684319" w:rsidRPr="00B30A12">
        <w:rPr>
          <w:color w:val="000000"/>
          <w:sz w:val="22"/>
          <w:szCs w:val="22"/>
          <w:lang w:val="de-DE"/>
        </w:rPr>
        <w:t> </w:t>
      </w:r>
      <w:r w:rsidR="003002D8" w:rsidRPr="00B30A12">
        <w:rPr>
          <w:color w:val="000000"/>
          <w:sz w:val="22"/>
          <w:szCs w:val="22"/>
          <w:lang w:val="de-DE"/>
        </w:rPr>
        <w:t>18 Jahren)</w:t>
      </w:r>
      <w:r w:rsidR="00684319" w:rsidRPr="00B30A12">
        <w:rPr>
          <w:color w:val="000000"/>
          <w:sz w:val="22"/>
          <w:szCs w:val="22"/>
          <w:lang w:val="de-DE"/>
        </w:rPr>
        <w:t xml:space="preserve"> einschloss</w:t>
      </w:r>
      <w:r w:rsidR="003002D8" w:rsidRPr="00B30A12">
        <w:rPr>
          <w:color w:val="000000"/>
          <w:sz w:val="22"/>
          <w:szCs w:val="22"/>
          <w:lang w:val="de-DE"/>
        </w:rPr>
        <w:t>, die</w:t>
      </w:r>
      <w:r w:rsidR="00684319" w:rsidRPr="00B30A12">
        <w:rPr>
          <w:color w:val="000000"/>
          <w:sz w:val="22"/>
          <w:szCs w:val="22"/>
          <w:lang w:val="de-DE"/>
        </w:rPr>
        <w:t xml:space="preserve"> </w:t>
      </w:r>
      <w:r w:rsidR="003002D8" w:rsidRPr="00B30A12">
        <w:rPr>
          <w:color w:val="000000"/>
          <w:sz w:val="22"/>
          <w:szCs w:val="22"/>
          <w:lang w:val="de-DE"/>
        </w:rPr>
        <w:t xml:space="preserve">mit Imatinib in Kombination mit </w:t>
      </w:r>
      <w:r w:rsidR="00367F75" w:rsidRPr="00B30A12">
        <w:rPr>
          <w:color w:val="000000"/>
          <w:sz w:val="22"/>
          <w:szCs w:val="22"/>
          <w:lang w:val="de-DE"/>
        </w:rPr>
        <w:t xml:space="preserve">einer </w:t>
      </w:r>
      <w:r w:rsidR="003002D8" w:rsidRPr="00B30A12">
        <w:rPr>
          <w:color w:val="000000"/>
          <w:sz w:val="22"/>
          <w:szCs w:val="22"/>
          <w:lang w:val="de-DE"/>
        </w:rPr>
        <w:t>Chemotherapie</w:t>
      </w:r>
      <w:r w:rsidR="00684319" w:rsidRPr="00B30A12">
        <w:rPr>
          <w:color w:val="000000"/>
          <w:sz w:val="22"/>
          <w:szCs w:val="22"/>
          <w:lang w:val="de-DE"/>
        </w:rPr>
        <w:t xml:space="preserve"> </w:t>
      </w:r>
      <w:r w:rsidR="003002D8" w:rsidRPr="00B30A12">
        <w:rPr>
          <w:color w:val="000000"/>
          <w:sz w:val="22"/>
          <w:szCs w:val="22"/>
          <w:lang w:val="de-DE"/>
        </w:rPr>
        <w:t>behandelt wu</w:t>
      </w:r>
      <w:r w:rsidR="00684319" w:rsidRPr="00B30A12">
        <w:rPr>
          <w:color w:val="000000"/>
          <w:sz w:val="22"/>
          <w:szCs w:val="22"/>
          <w:lang w:val="de-DE"/>
        </w:rPr>
        <w:t>r</w:t>
      </w:r>
      <w:r w:rsidR="003002D8" w:rsidRPr="00B30A12">
        <w:rPr>
          <w:color w:val="000000"/>
          <w:sz w:val="22"/>
          <w:szCs w:val="22"/>
          <w:lang w:val="de-DE"/>
        </w:rPr>
        <w:t>den. Sicherheit</w:t>
      </w:r>
      <w:r w:rsidR="008067E5" w:rsidRPr="00B30A12">
        <w:rPr>
          <w:color w:val="000000"/>
          <w:sz w:val="22"/>
          <w:szCs w:val="22"/>
          <w:lang w:val="de-DE"/>
        </w:rPr>
        <w:t xml:space="preserve">sdaten dieser Studie </w:t>
      </w:r>
      <w:r w:rsidR="00927A25" w:rsidRPr="00B30A12">
        <w:rPr>
          <w:color w:val="000000"/>
          <w:sz w:val="22"/>
          <w:szCs w:val="22"/>
          <w:lang w:val="de-DE"/>
        </w:rPr>
        <w:t>scheinen in Einklang mit dem</w:t>
      </w:r>
      <w:r w:rsidR="003002D8" w:rsidRPr="00B30A12">
        <w:rPr>
          <w:color w:val="000000"/>
          <w:sz w:val="22"/>
          <w:szCs w:val="22"/>
          <w:lang w:val="de-DE"/>
        </w:rPr>
        <w:t xml:space="preserve"> Sicherheitsprofil von Imatinib</w:t>
      </w:r>
      <w:r w:rsidR="00367F75" w:rsidRPr="00B30A12">
        <w:rPr>
          <w:color w:val="000000"/>
          <w:sz w:val="22"/>
          <w:szCs w:val="22"/>
          <w:lang w:val="de-DE"/>
        </w:rPr>
        <w:t xml:space="preserve"> bei Patienten mit Ph+ ALL</w:t>
      </w:r>
      <w:r w:rsidR="00927A25" w:rsidRPr="00B30A12">
        <w:rPr>
          <w:color w:val="000000"/>
          <w:sz w:val="22"/>
          <w:szCs w:val="22"/>
          <w:lang w:val="de-DE"/>
        </w:rPr>
        <w:t xml:space="preserve"> zu sein</w:t>
      </w:r>
      <w:r w:rsidR="003002D8" w:rsidRPr="00B30A12">
        <w:rPr>
          <w:color w:val="000000"/>
          <w:sz w:val="22"/>
          <w:szCs w:val="22"/>
          <w:lang w:val="de-DE"/>
        </w:rPr>
        <w:t>.</w:t>
      </w:r>
    </w:p>
    <w:p w14:paraId="7A49D6CF" w14:textId="77777777" w:rsidR="007D16E4" w:rsidRPr="00B30A12" w:rsidRDefault="007D16E4" w:rsidP="00537E23">
      <w:pPr>
        <w:pStyle w:val="EndnoteText"/>
        <w:widowControl w:val="0"/>
        <w:rPr>
          <w:color w:val="000000"/>
          <w:sz w:val="22"/>
          <w:szCs w:val="22"/>
          <w:lang w:val="de-DE"/>
        </w:rPr>
      </w:pPr>
    </w:p>
    <w:p w14:paraId="7DC2AE45" w14:textId="77777777" w:rsidR="002C0958" w:rsidRPr="00B30A12" w:rsidRDefault="002C0958" w:rsidP="00537E23">
      <w:pPr>
        <w:widowControl w:val="0"/>
        <w:rPr>
          <w:color w:val="000000"/>
          <w:sz w:val="22"/>
          <w:szCs w:val="22"/>
        </w:rPr>
      </w:pPr>
      <w:r w:rsidRPr="00B30A12">
        <w:rPr>
          <w:i/>
          <w:color w:val="000000"/>
          <w:sz w:val="22"/>
          <w:szCs w:val="22"/>
        </w:rPr>
        <w:t>Rezidivierende/refraktäre Ph+ </w:t>
      </w:r>
      <w:smartTag w:uri="urn:schemas-microsoft-com:office:smarttags" w:element="stockticker">
        <w:r w:rsidRPr="00B30A12">
          <w:rPr>
            <w:i/>
            <w:color w:val="000000"/>
            <w:sz w:val="22"/>
            <w:szCs w:val="22"/>
          </w:rPr>
          <w:t>ALL</w:t>
        </w:r>
      </w:smartTag>
      <w:r w:rsidRPr="00B30A12">
        <w:rPr>
          <w:i/>
          <w:color w:val="000000"/>
          <w:sz w:val="22"/>
          <w:szCs w:val="22"/>
        </w:rPr>
        <w:t xml:space="preserve">: </w:t>
      </w:r>
      <w:r w:rsidRPr="00B30A12">
        <w:rPr>
          <w:color w:val="000000"/>
          <w:sz w:val="22"/>
          <w:szCs w:val="22"/>
        </w:rPr>
        <w:t>Die Anwendung von Imatinib als Monotherapie bei Patienten mit rezidivierender/refraktärer Ph+ </w:t>
      </w:r>
      <w:smartTag w:uri="urn:schemas-microsoft-com:office:smarttags" w:element="stockticker">
        <w:r w:rsidRPr="00B30A12">
          <w:rPr>
            <w:color w:val="000000"/>
            <w:sz w:val="22"/>
            <w:szCs w:val="22"/>
          </w:rPr>
          <w:t>ALL</w:t>
        </w:r>
      </w:smartTag>
      <w:r w:rsidRPr="00B30A12">
        <w:rPr>
          <w:color w:val="000000"/>
          <w:sz w:val="22"/>
          <w:szCs w:val="22"/>
        </w:rPr>
        <w:t xml:space="preserve"> ergab bei 53 von 411 Patienten, die hinsichtlich eines Ansprechens auswertbar waren, eine hämatologische Ansprechrate von 30% (9% </w:t>
      </w:r>
      <w:r w:rsidR="00010397" w:rsidRPr="00B30A12">
        <w:rPr>
          <w:color w:val="000000"/>
          <w:sz w:val="22"/>
          <w:szCs w:val="22"/>
        </w:rPr>
        <w:t xml:space="preserve">komplettes </w:t>
      </w:r>
      <w:r w:rsidRPr="00B30A12">
        <w:rPr>
          <w:color w:val="000000"/>
          <w:sz w:val="22"/>
          <w:szCs w:val="22"/>
        </w:rPr>
        <w:t xml:space="preserve">Ansprechen) und eine </w:t>
      </w:r>
      <w:r w:rsidR="00010397" w:rsidRPr="00B30A12">
        <w:rPr>
          <w:color w:val="000000"/>
          <w:sz w:val="22"/>
          <w:szCs w:val="22"/>
        </w:rPr>
        <w:t xml:space="preserve">gute </w:t>
      </w:r>
      <w:r w:rsidRPr="00B30A12">
        <w:rPr>
          <w:color w:val="000000"/>
          <w:sz w:val="22"/>
          <w:szCs w:val="22"/>
        </w:rPr>
        <w:t>zytogenetische Ansprechrate von 23%. (Von den 411 Patienten wurden 353 in einem „expanded access program“ ohne Sammlung der primären Ansprechdaten behandelt.) Die mediane Zeit bis zum Fortschreiten der Erkrankung reichte bei der Gesamtpopulation von 411 Patienten mit rezidivierender/refraktärer Ph+ </w:t>
      </w:r>
      <w:smartTag w:uri="urn:schemas-microsoft-com:office:smarttags" w:element="stockticker">
        <w:r w:rsidRPr="00B30A12">
          <w:rPr>
            <w:color w:val="000000"/>
            <w:sz w:val="22"/>
            <w:szCs w:val="22"/>
          </w:rPr>
          <w:t>ALL</w:t>
        </w:r>
      </w:smartTag>
      <w:r w:rsidRPr="00B30A12">
        <w:rPr>
          <w:color w:val="000000"/>
          <w:sz w:val="22"/>
          <w:szCs w:val="22"/>
        </w:rPr>
        <w:t xml:space="preserve"> von 2,6 bis 3,1 Monaten, und das mediane Gesamtüberleben bei den 401 auswertbaren Patienten reichte von 4,9 bis 9 Monaten. Die Daten waren ähnlich, wenn bei einer Re-Analyse nur Patienten eingeschlossen wurden, die 55 Jahre oder älter waren.</w:t>
      </w:r>
    </w:p>
    <w:p w14:paraId="30A47CA3" w14:textId="77777777" w:rsidR="006A0489" w:rsidRPr="00B30A12" w:rsidRDefault="006A0489" w:rsidP="00537E23">
      <w:pPr>
        <w:widowControl w:val="0"/>
        <w:rPr>
          <w:color w:val="000000"/>
          <w:sz w:val="22"/>
          <w:szCs w:val="22"/>
        </w:rPr>
      </w:pPr>
    </w:p>
    <w:p w14:paraId="314E3E86" w14:textId="77777777" w:rsidR="006A0489" w:rsidRPr="00B30A12" w:rsidRDefault="006A0489" w:rsidP="007A2B84">
      <w:pPr>
        <w:keepNext/>
        <w:widowControl w:val="0"/>
        <w:rPr>
          <w:color w:val="000000"/>
          <w:sz w:val="22"/>
          <w:szCs w:val="22"/>
          <w:u w:val="single"/>
        </w:rPr>
      </w:pPr>
      <w:r w:rsidRPr="00B30A12">
        <w:rPr>
          <w:color w:val="000000"/>
          <w:sz w:val="22"/>
          <w:szCs w:val="22"/>
          <w:u w:val="single"/>
        </w:rPr>
        <w:t xml:space="preserve">Klinische Studien bei </w:t>
      </w:r>
      <w:smartTag w:uri="urn:schemas-microsoft-com:office:smarttags" w:element="stockticker">
        <w:r w:rsidRPr="00B30A12">
          <w:rPr>
            <w:color w:val="000000"/>
            <w:sz w:val="22"/>
            <w:szCs w:val="22"/>
            <w:u w:val="single"/>
          </w:rPr>
          <w:t>MDS</w:t>
        </w:r>
      </w:smartTag>
      <w:r w:rsidRPr="00B30A12">
        <w:rPr>
          <w:color w:val="000000"/>
          <w:sz w:val="22"/>
          <w:szCs w:val="22"/>
          <w:u w:val="single"/>
        </w:rPr>
        <w:t>/MPD</w:t>
      </w:r>
    </w:p>
    <w:p w14:paraId="21C17532" w14:textId="77777777" w:rsidR="00F234FB" w:rsidRPr="00B30A12" w:rsidRDefault="006A0489" w:rsidP="00537E23">
      <w:pPr>
        <w:widowControl w:val="0"/>
        <w:rPr>
          <w:color w:val="000000"/>
          <w:sz w:val="22"/>
          <w:szCs w:val="22"/>
        </w:rPr>
      </w:pPr>
      <w:r w:rsidRPr="00B30A12">
        <w:rPr>
          <w:color w:val="000000"/>
          <w:sz w:val="22"/>
          <w:szCs w:val="22"/>
        </w:rPr>
        <w:t xml:space="preserve">Erfahrungen mit Glivec in dieser Indikation sind sehr begrenzt. Sie beruhen auf den hämatologischen und zytogenetischen Ansprechraten. Es gibt keine kontrollierten Studien, die einen klinischen Nutzen oder ein verlängertes Überleben zeigen. Es wurde eine offene, multizentrische Phase-II-Studie (Studie B2225) durchgeführt, in der Glivec bei Patienten mit verschiedenen lebensbedrohlichen Erkrankungen in Verbindung mit Abl-, Kit- oder PDGFR-Protein-Tyrosinkinasen untersucht wurde. In diese Studie waren 7 Patienten mit </w:t>
      </w:r>
      <w:smartTag w:uri="urn:schemas-microsoft-com:office:smarttags" w:element="stockticker">
        <w:r w:rsidRPr="00B30A12">
          <w:rPr>
            <w:color w:val="000000"/>
            <w:sz w:val="22"/>
            <w:szCs w:val="22"/>
          </w:rPr>
          <w:t>MDS</w:t>
        </w:r>
      </w:smartTag>
      <w:r w:rsidRPr="00B30A12">
        <w:rPr>
          <w:color w:val="000000"/>
          <w:sz w:val="22"/>
          <w:szCs w:val="22"/>
        </w:rPr>
        <w:t>/MPD eingeschlossen, die mit täglich 400 mg Glivec behandelt wurden. Drei Patienten hatten eine komplette hämatologische Remission (</w:t>
      </w:r>
      <w:smartTag w:uri="urn:schemas-microsoft-com:office:smarttags" w:element="stockticker">
        <w:r w:rsidRPr="00B30A12">
          <w:rPr>
            <w:color w:val="000000"/>
            <w:sz w:val="22"/>
            <w:szCs w:val="22"/>
          </w:rPr>
          <w:t>CHR</w:t>
        </w:r>
      </w:smartTag>
      <w:r w:rsidRPr="00B30A12">
        <w:rPr>
          <w:color w:val="000000"/>
          <w:sz w:val="22"/>
          <w:szCs w:val="22"/>
        </w:rPr>
        <w:t xml:space="preserve">) und ein Patient </w:t>
      </w:r>
      <w:r w:rsidR="00683604" w:rsidRPr="00B30A12">
        <w:rPr>
          <w:color w:val="000000"/>
          <w:sz w:val="22"/>
          <w:szCs w:val="22"/>
        </w:rPr>
        <w:t>eine partielle hämatologische Remission (</w:t>
      </w:r>
      <w:smartTag w:uri="urn:schemas-microsoft-com:office:smarttags" w:element="stockticker">
        <w:r w:rsidR="00683604" w:rsidRPr="00B30A12">
          <w:rPr>
            <w:color w:val="000000"/>
            <w:sz w:val="22"/>
            <w:szCs w:val="22"/>
          </w:rPr>
          <w:t>PHR</w:t>
        </w:r>
      </w:smartTag>
      <w:r w:rsidR="00683604" w:rsidRPr="00B30A12">
        <w:rPr>
          <w:color w:val="000000"/>
          <w:sz w:val="22"/>
          <w:szCs w:val="22"/>
        </w:rPr>
        <w:t>). Zum Zeitpunkt der ursprünglichen Analyse entwickelten drei von vier Patienten mit entdeckter PDG</w:t>
      </w:r>
      <w:r w:rsidR="004419FA" w:rsidRPr="00B30A12">
        <w:rPr>
          <w:color w:val="000000"/>
          <w:sz w:val="22"/>
          <w:szCs w:val="22"/>
        </w:rPr>
        <w:t>F</w:t>
      </w:r>
      <w:r w:rsidR="00683604" w:rsidRPr="00B30A12">
        <w:rPr>
          <w:color w:val="000000"/>
          <w:sz w:val="22"/>
          <w:szCs w:val="22"/>
        </w:rPr>
        <w:t>R-Genumlagerung eine hämatologische Remission (2</w:t>
      </w:r>
      <w:r w:rsidR="007D3C54" w:rsidRPr="00B30A12">
        <w:rPr>
          <w:color w:val="000000"/>
          <w:sz w:val="22"/>
          <w:szCs w:val="22"/>
        </w:rPr>
        <w:t> </w:t>
      </w:r>
      <w:smartTag w:uri="urn:schemas-microsoft-com:office:smarttags" w:element="stockticker">
        <w:r w:rsidR="00683604" w:rsidRPr="00B30A12">
          <w:rPr>
            <w:color w:val="000000"/>
            <w:sz w:val="22"/>
            <w:szCs w:val="22"/>
          </w:rPr>
          <w:t>CHR</w:t>
        </w:r>
      </w:smartTag>
      <w:r w:rsidR="00683604" w:rsidRPr="00B30A12">
        <w:rPr>
          <w:color w:val="000000"/>
          <w:sz w:val="22"/>
          <w:szCs w:val="22"/>
        </w:rPr>
        <w:t xml:space="preserve"> und 1</w:t>
      </w:r>
      <w:r w:rsidR="007D3C54" w:rsidRPr="00B30A12">
        <w:rPr>
          <w:color w:val="000000"/>
          <w:sz w:val="22"/>
          <w:szCs w:val="22"/>
        </w:rPr>
        <w:t> </w:t>
      </w:r>
      <w:smartTag w:uri="urn:schemas-microsoft-com:office:smarttags" w:element="stockticker">
        <w:r w:rsidR="00683604" w:rsidRPr="00B30A12">
          <w:rPr>
            <w:color w:val="000000"/>
            <w:sz w:val="22"/>
            <w:szCs w:val="22"/>
          </w:rPr>
          <w:t>PHR</w:t>
        </w:r>
      </w:smartTag>
      <w:r w:rsidR="00683604" w:rsidRPr="00B30A12">
        <w:rPr>
          <w:color w:val="000000"/>
          <w:sz w:val="22"/>
          <w:szCs w:val="22"/>
        </w:rPr>
        <w:t>)</w:t>
      </w:r>
      <w:r w:rsidR="004419FA" w:rsidRPr="00B30A12">
        <w:rPr>
          <w:color w:val="000000"/>
          <w:sz w:val="22"/>
          <w:szCs w:val="22"/>
        </w:rPr>
        <w:t>.</w:t>
      </w:r>
      <w:r w:rsidR="00683604" w:rsidRPr="00B30A12">
        <w:rPr>
          <w:color w:val="000000"/>
          <w:sz w:val="22"/>
          <w:szCs w:val="22"/>
        </w:rPr>
        <w:t xml:space="preserve"> </w:t>
      </w:r>
      <w:r w:rsidRPr="00B30A12">
        <w:rPr>
          <w:color w:val="000000"/>
          <w:sz w:val="22"/>
          <w:szCs w:val="22"/>
        </w:rPr>
        <w:t xml:space="preserve">Das Alter </w:t>
      </w:r>
      <w:r w:rsidR="00683604" w:rsidRPr="00B30A12">
        <w:rPr>
          <w:color w:val="000000"/>
          <w:sz w:val="22"/>
          <w:szCs w:val="22"/>
        </w:rPr>
        <w:t xml:space="preserve">dieser </w:t>
      </w:r>
      <w:r w:rsidRPr="00B30A12">
        <w:rPr>
          <w:color w:val="000000"/>
          <w:sz w:val="22"/>
          <w:szCs w:val="22"/>
        </w:rPr>
        <w:t>Patienten betrug 20</w:t>
      </w:r>
      <w:r w:rsidR="00683604" w:rsidRPr="00B30A12">
        <w:rPr>
          <w:color w:val="000000"/>
          <w:sz w:val="22"/>
          <w:szCs w:val="22"/>
        </w:rPr>
        <w:t xml:space="preserve"> bis 72</w:t>
      </w:r>
      <w:r w:rsidRPr="00B30A12">
        <w:rPr>
          <w:color w:val="000000"/>
          <w:sz w:val="22"/>
          <w:szCs w:val="22"/>
        </w:rPr>
        <w:t> Jahre.</w:t>
      </w:r>
    </w:p>
    <w:p w14:paraId="15B9C2D4" w14:textId="77777777" w:rsidR="00F234FB" w:rsidRPr="00B30A12" w:rsidRDefault="00F234FB" w:rsidP="00537E23">
      <w:pPr>
        <w:widowControl w:val="0"/>
        <w:rPr>
          <w:color w:val="000000"/>
          <w:sz w:val="22"/>
          <w:szCs w:val="22"/>
        </w:rPr>
      </w:pPr>
    </w:p>
    <w:p w14:paraId="1273F352" w14:textId="77777777" w:rsidR="00F234FB" w:rsidRPr="00B30A12" w:rsidRDefault="003657E8" w:rsidP="00537E23">
      <w:pPr>
        <w:widowControl w:val="0"/>
        <w:rPr>
          <w:color w:val="000000"/>
          <w:sz w:val="22"/>
          <w:szCs w:val="22"/>
        </w:rPr>
      </w:pPr>
      <w:r w:rsidRPr="00B30A12">
        <w:rPr>
          <w:color w:val="000000"/>
          <w:sz w:val="22"/>
          <w:szCs w:val="22"/>
        </w:rPr>
        <w:t>Es wurde eine Beobachtung</w:t>
      </w:r>
      <w:r w:rsidR="003A5A2F" w:rsidRPr="00B30A12">
        <w:rPr>
          <w:color w:val="000000"/>
          <w:sz w:val="22"/>
          <w:szCs w:val="22"/>
        </w:rPr>
        <w:t>sstudie</w:t>
      </w:r>
      <w:r w:rsidRPr="00B30A12">
        <w:rPr>
          <w:color w:val="000000"/>
          <w:sz w:val="22"/>
          <w:szCs w:val="22"/>
        </w:rPr>
        <w:t xml:space="preserve"> in Form eines Registers (Studie L2401) durchgeführt</w:t>
      </w:r>
      <w:r w:rsidR="003A5A2F" w:rsidRPr="00B30A12">
        <w:rPr>
          <w:color w:val="000000"/>
          <w:sz w:val="22"/>
          <w:szCs w:val="22"/>
        </w:rPr>
        <w:t xml:space="preserve">, um Langzeitdaten zur Sicherheit und Wirksamkeit bei Patienten, die an </w:t>
      </w:r>
      <w:r w:rsidR="00364E6C" w:rsidRPr="00B30A12">
        <w:rPr>
          <w:color w:val="000000"/>
          <w:sz w:val="22"/>
          <w:szCs w:val="22"/>
        </w:rPr>
        <w:t>myeloproliferativen Neoplasien</w:t>
      </w:r>
      <w:r w:rsidR="003A5A2F" w:rsidRPr="00B30A12">
        <w:rPr>
          <w:color w:val="000000"/>
          <w:sz w:val="22"/>
          <w:szCs w:val="22"/>
        </w:rPr>
        <w:t xml:space="preserve"> mit PDGFR-β-Umlagerung leiden und mit Glivec behandelt wurden, zu sammeln. Die 23 Patienten, die in das Register </w:t>
      </w:r>
      <w:r w:rsidR="00FB66C9" w:rsidRPr="00B30A12">
        <w:rPr>
          <w:color w:val="000000"/>
          <w:sz w:val="22"/>
          <w:szCs w:val="22"/>
        </w:rPr>
        <w:t>aufgenommen</w:t>
      </w:r>
      <w:r w:rsidR="003A5A2F" w:rsidRPr="00B30A12">
        <w:rPr>
          <w:color w:val="000000"/>
          <w:sz w:val="22"/>
          <w:szCs w:val="22"/>
        </w:rPr>
        <w:t xml:space="preserve"> wurden, erhielten im Median eine Tagesdosis von 264 mg (</w:t>
      </w:r>
      <w:r w:rsidR="00CB6C74" w:rsidRPr="00B30A12">
        <w:rPr>
          <w:color w:val="000000"/>
          <w:sz w:val="22"/>
          <w:szCs w:val="22"/>
        </w:rPr>
        <w:t>Spanne: 100 bis 400 </w:t>
      </w:r>
      <w:r w:rsidR="003A5A2F" w:rsidRPr="00B30A12">
        <w:rPr>
          <w:color w:val="000000"/>
          <w:sz w:val="22"/>
          <w:szCs w:val="22"/>
        </w:rPr>
        <w:t>mg)</w:t>
      </w:r>
      <w:r w:rsidR="00CB6C74" w:rsidRPr="00B30A12">
        <w:rPr>
          <w:color w:val="000000"/>
          <w:sz w:val="22"/>
          <w:szCs w:val="22"/>
        </w:rPr>
        <w:t xml:space="preserve"> über eine </w:t>
      </w:r>
      <w:r w:rsidR="003264C9" w:rsidRPr="00B30A12">
        <w:rPr>
          <w:color w:val="000000"/>
          <w:sz w:val="22"/>
          <w:szCs w:val="22"/>
        </w:rPr>
        <w:t>mediane Zeitdauer</w:t>
      </w:r>
      <w:r w:rsidR="00FB66C9" w:rsidRPr="00B30A12">
        <w:rPr>
          <w:color w:val="000000"/>
          <w:sz w:val="22"/>
          <w:szCs w:val="22"/>
        </w:rPr>
        <w:t xml:space="preserve"> </w:t>
      </w:r>
      <w:r w:rsidR="00CB6C74" w:rsidRPr="00B30A12">
        <w:rPr>
          <w:color w:val="000000"/>
          <w:sz w:val="22"/>
          <w:szCs w:val="22"/>
        </w:rPr>
        <w:t>von 7,2 Jahren (Spanne: 0,1 bis 12,7 Jahre</w:t>
      </w:r>
      <w:r w:rsidR="005811E2" w:rsidRPr="00B30A12">
        <w:rPr>
          <w:color w:val="000000"/>
          <w:sz w:val="22"/>
          <w:szCs w:val="22"/>
        </w:rPr>
        <w:t>)</w:t>
      </w:r>
      <w:r w:rsidR="00CB6C74" w:rsidRPr="00B30A12">
        <w:rPr>
          <w:color w:val="000000"/>
          <w:sz w:val="22"/>
          <w:szCs w:val="22"/>
        </w:rPr>
        <w:t>. W</w:t>
      </w:r>
      <w:r w:rsidR="00656C3E" w:rsidRPr="00B30A12">
        <w:rPr>
          <w:color w:val="000000"/>
          <w:sz w:val="22"/>
          <w:szCs w:val="22"/>
        </w:rPr>
        <w:t xml:space="preserve">egen des beobachtenden Charakters dieses Registers waren Daten zu hämatologischen, </w:t>
      </w:r>
      <w:r w:rsidR="00364E6C" w:rsidRPr="00B30A12">
        <w:rPr>
          <w:color w:val="000000"/>
          <w:sz w:val="22"/>
          <w:szCs w:val="22"/>
        </w:rPr>
        <w:t>z</w:t>
      </w:r>
      <w:r w:rsidR="00656C3E" w:rsidRPr="00B30A12">
        <w:rPr>
          <w:color w:val="000000"/>
          <w:sz w:val="22"/>
          <w:szCs w:val="22"/>
        </w:rPr>
        <w:t xml:space="preserve">ytogenetischen und molekularen Bewertungen von 22 bzw. 9 bzw. 17 der 23 eingeschlossenen Patienten verfügbar. Unter der konservativen Annahme, dass Patienten mit fehlenden Daten als </w:t>
      </w:r>
      <w:r w:rsidR="00656C3E" w:rsidRPr="00B30A12">
        <w:rPr>
          <w:i/>
          <w:color w:val="000000"/>
          <w:sz w:val="22"/>
          <w:szCs w:val="22"/>
        </w:rPr>
        <w:t>„Non-Responder“</w:t>
      </w:r>
      <w:r w:rsidR="00656C3E" w:rsidRPr="00B30A12">
        <w:rPr>
          <w:color w:val="000000"/>
          <w:sz w:val="22"/>
          <w:szCs w:val="22"/>
        </w:rPr>
        <w:t xml:space="preserve"> betrachtet werden, wurde ein CHR bei 20/23 (87%), ein CCyR bei 9/23 (39,1%) und ein MR bei 11/23 (47,8%) Patienten beobachtet.</w:t>
      </w:r>
      <w:r w:rsidR="00364E6C" w:rsidRPr="00B30A12">
        <w:rPr>
          <w:color w:val="000000"/>
          <w:sz w:val="22"/>
          <w:szCs w:val="22"/>
        </w:rPr>
        <w:t xml:space="preserve"> </w:t>
      </w:r>
      <w:r w:rsidR="00656C3E" w:rsidRPr="00B30A12">
        <w:rPr>
          <w:color w:val="000000"/>
          <w:sz w:val="22"/>
          <w:szCs w:val="22"/>
        </w:rPr>
        <w:t xml:space="preserve">Wenn die </w:t>
      </w:r>
      <w:r w:rsidR="00656C3E" w:rsidRPr="00B30A12">
        <w:rPr>
          <w:i/>
          <w:color w:val="000000"/>
          <w:sz w:val="22"/>
          <w:szCs w:val="22"/>
        </w:rPr>
        <w:t>„Response Rate</w:t>
      </w:r>
      <w:r w:rsidR="00656C3E" w:rsidRPr="00B30A12">
        <w:rPr>
          <w:color w:val="000000"/>
          <w:sz w:val="22"/>
          <w:szCs w:val="22"/>
        </w:rPr>
        <w:t xml:space="preserve">“ </w:t>
      </w:r>
      <w:r w:rsidR="007061AB" w:rsidRPr="00B30A12">
        <w:rPr>
          <w:color w:val="000000"/>
          <w:sz w:val="22"/>
          <w:szCs w:val="22"/>
        </w:rPr>
        <w:t xml:space="preserve">bei Patienten mit mindestens einer validen Bewertung </w:t>
      </w:r>
      <w:r w:rsidR="00ED7798" w:rsidRPr="00B30A12">
        <w:rPr>
          <w:color w:val="000000"/>
          <w:sz w:val="22"/>
          <w:szCs w:val="22"/>
        </w:rPr>
        <w:t xml:space="preserve">berechnet </w:t>
      </w:r>
      <w:r w:rsidR="00364E6C" w:rsidRPr="00B30A12">
        <w:rPr>
          <w:color w:val="000000"/>
          <w:sz w:val="22"/>
          <w:szCs w:val="22"/>
        </w:rPr>
        <w:t>wurde</w:t>
      </w:r>
      <w:r w:rsidR="00ED7798" w:rsidRPr="00B30A12">
        <w:rPr>
          <w:color w:val="000000"/>
          <w:sz w:val="22"/>
          <w:szCs w:val="22"/>
        </w:rPr>
        <w:t xml:space="preserve">, </w:t>
      </w:r>
      <w:r w:rsidR="009B21F1" w:rsidRPr="00B30A12">
        <w:rPr>
          <w:color w:val="000000"/>
          <w:sz w:val="22"/>
          <w:szCs w:val="22"/>
        </w:rPr>
        <w:t>betrug</w:t>
      </w:r>
      <w:r w:rsidR="00ED7798" w:rsidRPr="00B30A12">
        <w:rPr>
          <w:color w:val="000000"/>
          <w:sz w:val="22"/>
          <w:szCs w:val="22"/>
        </w:rPr>
        <w:t xml:space="preserve"> die</w:t>
      </w:r>
      <w:r w:rsidR="009B21F1" w:rsidRPr="00B30A12">
        <w:rPr>
          <w:color w:val="000000"/>
          <w:sz w:val="22"/>
          <w:szCs w:val="22"/>
        </w:rPr>
        <w:t xml:space="preserve">se </w:t>
      </w:r>
      <w:r w:rsidR="00ED7798" w:rsidRPr="00B30A12">
        <w:rPr>
          <w:color w:val="000000"/>
          <w:sz w:val="22"/>
          <w:szCs w:val="22"/>
        </w:rPr>
        <w:t>für CHR</w:t>
      </w:r>
      <w:r w:rsidR="003816BA" w:rsidRPr="00B30A12">
        <w:rPr>
          <w:color w:val="000000"/>
          <w:sz w:val="22"/>
          <w:szCs w:val="22"/>
        </w:rPr>
        <w:t xml:space="preserve"> 20</w:t>
      </w:r>
      <w:r w:rsidR="009B21F1" w:rsidRPr="00B30A12">
        <w:rPr>
          <w:color w:val="000000"/>
          <w:sz w:val="22"/>
          <w:szCs w:val="22"/>
        </w:rPr>
        <w:t>/22 (90,9%), für</w:t>
      </w:r>
      <w:r w:rsidR="00ED7798" w:rsidRPr="00B30A12">
        <w:rPr>
          <w:color w:val="000000"/>
          <w:sz w:val="22"/>
          <w:szCs w:val="22"/>
        </w:rPr>
        <w:t xml:space="preserve"> CCyR </w:t>
      </w:r>
      <w:r w:rsidR="009B21F1" w:rsidRPr="00B30A12">
        <w:rPr>
          <w:color w:val="000000"/>
          <w:sz w:val="22"/>
          <w:szCs w:val="22"/>
        </w:rPr>
        <w:t xml:space="preserve">9/9 (100%) </w:t>
      </w:r>
      <w:r w:rsidR="00ED7798" w:rsidRPr="00B30A12">
        <w:rPr>
          <w:color w:val="000000"/>
          <w:sz w:val="22"/>
          <w:szCs w:val="22"/>
        </w:rPr>
        <w:t xml:space="preserve">und </w:t>
      </w:r>
      <w:r w:rsidR="009B21F1" w:rsidRPr="00B30A12">
        <w:rPr>
          <w:color w:val="000000"/>
          <w:sz w:val="22"/>
          <w:szCs w:val="22"/>
        </w:rPr>
        <w:t xml:space="preserve">für </w:t>
      </w:r>
      <w:r w:rsidR="00ED7798" w:rsidRPr="00B30A12">
        <w:rPr>
          <w:color w:val="000000"/>
          <w:sz w:val="22"/>
          <w:szCs w:val="22"/>
        </w:rPr>
        <w:t>MR 11/17 (64,7%).</w:t>
      </w:r>
    </w:p>
    <w:p w14:paraId="054A3C07" w14:textId="77777777" w:rsidR="00F234FB" w:rsidRPr="00B30A12" w:rsidRDefault="00F234FB" w:rsidP="00537E23">
      <w:pPr>
        <w:widowControl w:val="0"/>
        <w:rPr>
          <w:color w:val="000000"/>
          <w:sz w:val="22"/>
          <w:szCs w:val="22"/>
        </w:rPr>
      </w:pPr>
    </w:p>
    <w:p w14:paraId="0BED849B" w14:textId="77777777" w:rsidR="006A0489" w:rsidRPr="00B30A12" w:rsidRDefault="006A0489" w:rsidP="00537E23">
      <w:pPr>
        <w:widowControl w:val="0"/>
        <w:rPr>
          <w:color w:val="000000"/>
          <w:sz w:val="22"/>
          <w:szCs w:val="22"/>
        </w:rPr>
      </w:pPr>
      <w:r w:rsidRPr="00B30A12">
        <w:rPr>
          <w:color w:val="000000"/>
          <w:sz w:val="22"/>
          <w:szCs w:val="22"/>
        </w:rPr>
        <w:t xml:space="preserve">Über weitere 24 Patienten mit </w:t>
      </w:r>
      <w:smartTag w:uri="urn:schemas-microsoft-com:office:smarttags" w:element="stockticker">
        <w:r w:rsidRPr="00B30A12">
          <w:rPr>
            <w:color w:val="000000"/>
            <w:sz w:val="22"/>
            <w:szCs w:val="22"/>
          </w:rPr>
          <w:t>MDS</w:t>
        </w:r>
      </w:smartTag>
      <w:r w:rsidRPr="00B30A12">
        <w:rPr>
          <w:color w:val="000000"/>
          <w:sz w:val="22"/>
          <w:szCs w:val="22"/>
        </w:rPr>
        <w:t>/MPD wurde in 1</w:t>
      </w:r>
      <w:r w:rsidR="00683604" w:rsidRPr="00B30A12">
        <w:rPr>
          <w:color w:val="000000"/>
          <w:sz w:val="22"/>
          <w:szCs w:val="22"/>
        </w:rPr>
        <w:t>3</w:t>
      </w:r>
      <w:r w:rsidRPr="00B30A12">
        <w:rPr>
          <w:color w:val="000000"/>
          <w:sz w:val="22"/>
          <w:szCs w:val="22"/>
        </w:rPr>
        <w:t> </w:t>
      </w:r>
      <w:r w:rsidR="00683604" w:rsidRPr="00B30A12">
        <w:rPr>
          <w:color w:val="000000"/>
          <w:sz w:val="22"/>
          <w:szCs w:val="22"/>
        </w:rPr>
        <w:t xml:space="preserve">Publikationen </w:t>
      </w:r>
      <w:r w:rsidRPr="00B30A12">
        <w:rPr>
          <w:color w:val="000000"/>
          <w:sz w:val="22"/>
          <w:szCs w:val="22"/>
        </w:rPr>
        <w:t xml:space="preserve">berichtet. </w:t>
      </w:r>
      <w:r w:rsidR="00683604" w:rsidRPr="00B30A12">
        <w:rPr>
          <w:color w:val="000000"/>
          <w:sz w:val="22"/>
          <w:szCs w:val="22"/>
        </w:rPr>
        <w:t>21</w:t>
      </w:r>
      <w:r w:rsidR="007D3C54" w:rsidRPr="00B30A12">
        <w:rPr>
          <w:color w:val="000000"/>
          <w:sz w:val="22"/>
          <w:szCs w:val="22"/>
        </w:rPr>
        <w:t> </w:t>
      </w:r>
      <w:r w:rsidRPr="00B30A12">
        <w:rPr>
          <w:color w:val="000000"/>
          <w:sz w:val="22"/>
          <w:szCs w:val="22"/>
        </w:rPr>
        <w:t>Patienten erhielten Glivec in einer Dosierung von täglich 400 mg</w:t>
      </w:r>
      <w:r w:rsidR="00683604" w:rsidRPr="00B30A12">
        <w:rPr>
          <w:color w:val="000000"/>
          <w:sz w:val="22"/>
          <w:szCs w:val="22"/>
        </w:rPr>
        <w:t xml:space="preserve">, während die anderen drei </w:t>
      </w:r>
      <w:r w:rsidRPr="00B30A12">
        <w:rPr>
          <w:color w:val="000000"/>
          <w:sz w:val="22"/>
          <w:szCs w:val="22"/>
        </w:rPr>
        <w:t xml:space="preserve">Patienten niedrigere Dosen erhielten. </w:t>
      </w:r>
      <w:r w:rsidR="00683604" w:rsidRPr="00B30A12">
        <w:rPr>
          <w:color w:val="000000"/>
          <w:sz w:val="22"/>
          <w:szCs w:val="22"/>
        </w:rPr>
        <w:t xml:space="preserve">Bei elf Patienten wurde eine PDGFR-Genumlagerung entdeckt. 9 von Ihnen erzielten eine </w:t>
      </w:r>
      <w:smartTag w:uri="urn:schemas-microsoft-com:office:smarttags" w:element="stockticker">
        <w:r w:rsidR="00683604" w:rsidRPr="00B30A12">
          <w:rPr>
            <w:color w:val="000000"/>
            <w:sz w:val="22"/>
            <w:szCs w:val="22"/>
          </w:rPr>
          <w:t>CHR</w:t>
        </w:r>
      </w:smartTag>
      <w:r w:rsidR="00683604" w:rsidRPr="00B30A12">
        <w:rPr>
          <w:color w:val="000000"/>
          <w:sz w:val="22"/>
          <w:szCs w:val="22"/>
        </w:rPr>
        <w:t xml:space="preserve"> und ein Patient eine </w:t>
      </w:r>
      <w:smartTag w:uri="urn:schemas-microsoft-com:office:smarttags" w:element="stockticker">
        <w:r w:rsidR="00683604" w:rsidRPr="00B30A12">
          <w:rPr>
            <w:color w:val="000000"/>
            <w:sz w:val="22"/>
            <w:szCs w:val="22"/>
          </w:rPr>
          <w:t>PHR</w:t>
        </w:r>
      </w:smartTag>
      <w:r w:rsidR="00683604" w:rsidRPr="00B30A12">
        <w:rPr>
          <w:color w:val="000000"/>
          <w:sz w:val="22"/>
          <w:szCs w:val="22"/>
        </w:rPr>
        <w:t>. Das Alter dieser Patienten lag zwischen 2 und 79</w:t>
      </w:r>
      <w:r w:rsidR="007D3C54" w:rsidRPr="00B30A12">
        <w:rPr>
          <w:color w:val="000000"/>
          <w:sz w:val="22"/>
          <w:szCs w:val="22"/>
        </w:rPr>
        <w:t> </w:t>
      </w:r>
      <w:r w:rsidR="00683604" w:rsidRPr="00B30A12">
        <w:rPr>
          <w:color w:val="000000"/>
          <w:sz w:val="22"/>
          <w:szCs w:val="22"/>
        </w:rPr>
        <w:t xml:space="preserve">Jahren. </w:t>
      </w:r>
      <w:r w:rsidR="00A159C8" w:rsidRPr="00B30A12">
        <w:rPr>
          <w:color w:val="000000"/>
          <w:sz w:val="22"/>
          <w:szCs w:val="22"/>
        </w:rPr>
        <w:t>Nach der aktualisierten Information in einer kürzlich erschienen</w:t>
      </w:r>
      <w:r w:rsidR="00C51DDA" w:rsidRPr="00B30A12">
        <w:rPr>
          <w:color w:val="000000"/>
          <w:sz w:val="22"/>
          <w:szCs w:val="22"/>
        </w:rPr>
        <w:t>en</w:t>
      </w:r>
      <w:r w:rsidR="00A159C8" w:rsidRPr="00B30A12">
        <w:rPr>
          <w:color w:val="000000"/>
          <w:sz w:val="22"/>
          <w:szCs w:val="22"/>
        </w:rPr>
        <w:t xml:space="preserve"> Publikation wurde gezeigt, dass all diese </w:t>
      </w:r>
      <w:r w:rsidR="00A159C8" w:rsidRPr="00B30A12">
        <w:rPr>
          <w:color w:val="000000"/>
          <w:sz w:val="22"/>
          <w:szCs w:val="22"/>
        </w:rPr>
        <w:lastRenderedPageBreak/>
        <w:t>Patienten in der zytogen</w:t>
      </w:r>
      <w:r w:rsidR="00E16221" w:rsidRPr="00B30A12">
        <w:rPr>
          <w:color w:val="000000"/>
          <w:sz w:val="22"/>
          <w:szCs w:val="22"/>
        </w:rPr>
        <w:t>e</w:t>
      </w:r>
      <w:r w:rsidR="00A159C8" w:rsidRPr="00B30A12">
        <w:rPr>
          <w:color w:val="000000"/>
          <w:sz w:val="22"/>
          <w:szCs w:val="22"/>
        </w:rPr>
        <w:t>tischen Remission verblieben sind (Dauer 32</w:t>
      </w:r>
      <w:r w:rsidR="007D3C54" w:rsidRPr="00B30A12">
        <w:rPr>
          <w:color w:val="000000"/>
          <w:sz w:val="22"/>
          <w:szCs w:val="22"/>
        </w:rPr>
        <w:noBreakHyphen/>
      </w:r>
      <w:r w:rsidR="00A159C8" w:rsidRPr="00B30A12">
        <w:rPr>
          <w:color w:val="000000"/>
          <w:sz w:val="22"/>
          <w:szCs w:val="22"/>
        </w:rPr>
        <w:t>28</w:t>
      </w:r>
      <w:r w:rsidR="007D3C54" w:rsidRPr="00B30A12">
        <w:rPr>
          <w:color w:val="000000"/>
          <w:sz w:val="22"/>
          <w:szCs w:val="22"/>
        </w:rPr>
        <w:t> </w:t>
      </w:r>
      <w:r w:rsidR="00A159C8" w:rsidRPr="00B30A12">
        <w:rPr>
          <w:color w:val="000000"/>
          <w:sz w:val="22"/>
          <w:szCs w:val="22"/>
        </w:rPr>
        <w:t>Monate). Dieselbe Publikation berichtete über Langzeit-Folgedaten von 12</w:t>
      </w:r>
      <w:r w:rsidR="007D3C54" w:rsidRPr="00B30A12">
        <w:rPr>
          <w:color w:val="000000"/>
          <w:sz w:val="22"/>
          <w:szCs w:val="22"/>
        </w:rPr>
        <w:t> </w:t>
      </w:r>
      <w:smartTag w:uri="urn:schemas-microsoft-com:office:smarttags" w:element="stockticker">
        <w:r w:rsidR="00A159C8" w:rsidRPr="00B30A12">
          <w:rPr>
            <w:color w:val="000000"/>
            <w:sz w:val="22"/>
            <w:szCs w:val="22"/>
          </w:rPr>
          <w:t>MDS</w:t>
        </w:r>
      </w:smartTag>
      <w:r w:rsidR="00A159C8" w:rsidRPr="00B30A12">
        <w:rPr>
          <w:color w:val="000000"/>
          <w:sz w:val="22"/>
          <w:szCs w:val="22"/>
        </w:rPr>
        <w:t>/MPD-Patienten mit PDGFR-Genumlagerung (5</w:t>
      </w:r>
      <w:r w:rsidR="007D3C54" w:rsidRPr="00B30A12">
        <w:rPr>
          <w:color w:val="000000"/>
          <w:sz w:val="22"/>
          <w:szCs w:val="22"/>
        </w:rPr>
        <w:t> </w:t>
      </w:r>
      <w:r w:rsidR="00A159C8" w:rsidRPr="00B30A12">
        <w:rPr>
          <w:color w:val="000000"/>
          <w:sz w:val="22"/>
          <w:szCs w:val="22"/>
        </w:rPr>
        <w:t>Patienten aus der Studie B2225). Diese Patienten erhielten Glivec über median 47</w:t>
      </w:r>
      <w:r w:rsidR="007D3C54" w:rsidRPr="00B30A12">
        <w:rPr>
          <w:color w:val="000000"/>
          <w:sz w:val="22"/>
          <w:szCs w:val="22"/>
        </w:rPr>
        <w:t> </w:t>
      </w:r>
      <w:r w:rsidR="00A159C8" w:rsidRPr="00B30A12">
        <w:rPr>
          <w:color w:val="000000"/>
          <w:sz w:val="22"/>
          <w:szCs w:val="22"/>
        </w:rPr>
        <w:t>Monate (24</w:t>
      </w:r>
      <w:r w:rsidR="007D3C54" w:rsidRPr="00B30A12">
        <w:rPr>
          <w:color w:val="000000"/>
          <w:sz w:val="22"/>
          <w:szCs w:val="22"/>
        </w:rPr>
        <w:t> </w:t>
      </w:r>
      <w:r w:rsidR="00A159C8" w:rsidRPr="00B30A12">
        <w:rPr>
          <w:color w:val="000000"/>
          <w:sz w:val="22"/>
          <w:szCs w:val="22"/>
        </w:rPr>
        <w:t>Tage – 60</w:t>
      </w:r>
      <w:r w:rsidR="007D3C54" w:rsidRPr="00B30A12">
        <w:rPr>
          <w:color w:val="000000"/>
          <w:sz w:val="22"/>
          <w:szCs w:val="22"/>
        </w:rPr>
        <w:t> </w:t>
      </w:r>
      <w:r w:rsidR="00A159C8" w:rsidRPr="00B30A12">
        <w:rPr>
          <w:color w:val="000000"/>
          <w:sz w:val="22"/>
          <w:szCs w:val="22"/>
        </w:rPr>
        <w:t xml:space="preserve">Monate). Bei 6 von diesen Patienten </w:t>
      </w:r>
      <w:r w:rsidR="009B3837" w:rsidRPr="00B30A12">
        <w:rPr>
          <w:color w:val="000000"/>
          <w:sz w:val="22"/>
          <w:szCs w:val="22"/>
        </w:rPr>
        <w:t xml:space="preserve">beträgt </w:t>
      </w:r>
      <w:r w:rsidR="00A159C8" w:rsidRPr="00B30A12">
        <w:rPr>
          <w:color w:val="000000"/>
          <w:sz w:val="22"/>
          <w:szCs w:val="22"/>
        </w:rPr>
        <w:t xml:space="preserve">der Follow-up jetzt </w:t>
      </w:r>
      <w:r w:rsidR="009B3837" w:rsidRPr="00B30A12">
        <w:rPr>
          <w:color w:val="000000"/>
          <w:sz w:val="22"/>
          <w:szCs w:val="22"/>
        </w:rPr>
        <w:t>mehr als 4</w:t>
      </w:r>
      <w:r w:rsidR="007D3C54" w:rsidRPr="00B30A12">
        <w:rPr>
          <w:color w:val="000000"/>
          <w:sz w:val="22"/>
          <w:szCs w:val="22"/>
        </w:rPr>
        <w:t> </w:t>
      </w:r>
      <w:r w:rsidR="009B3837" w:rsidRPr="00B30A12">
        <w:rPr>
          <w:color w:val="000000"/>
          <w:sz w:val="22"/>
          <w:szCs w:val="22"/>
        </w:rPr>
        <w:t xml:space="preserve">Jahre. Elf Patienten erzielten eine schnelle </w:t>
      </w:r>
      <w:smartTag w:uri="urn:schemas-microsoft-com:office:smarttags" w:element="stockticker">
        <w:r w:rsidR="009B3837" w:rsidRPr="00B30A12">
          <w:rPr>
            <w:color w:val="000000"/>
            <w:sz w:val="22"/>
            <w:szCs w:val="22"/>
          </w:rPr>
          <w:t>CHR</w:t>
        </w:r>
      </w:smartTag>
      <w:r w:rsidR="009B3837" w:rsidRPr="00B30A12">
        <w:rPr>
          <w:color w:val="000000"/>
          <w:sz w:val="22"/>
          <w:szCs w:val="22"/>
        </w:rPr>
        <w:t xml:space="preserve">; </w:t>
      </w:r>
      <w:r w:rsidR="004419FA" w:rsidRPr="00B30A12">
        <w:rPr>
          <w:color w:val="000000"/>
          <w:sz w:val="22"/>
          <w:szCs w:val="22"/>
        </w:rPr>
        <w:t xml:space="preserve">bei </w:t>
      </w:r>
      <w:r w:rsidR="009B3837" w:rsidRPr="00B30A12">
        <w:rPr>
          <w:color w:val="000000"/>
          <w:sz w:val="22"/>
          <w:szCs w:val="22"/>
        </w:rPr>
        <w:t xml:space="preserve">zehn </w:t>
      </w:r>
      <w:r w:rsidR="004419FA" w:rsidRPr="00B30A12">
        <w:rPr>
          <w:color w:val="000000"/>
          <w:sz w:val="22"/>
          <w:szCs w:val="22"/>
        </w:rPr>
        <w:t xml:space="preserve">verschwanden </w:t>
      </w:r>
      <w:r w:rsidR="009B3837" w:rsidRPr="00B30A12">
        <w:rPr>
          <w:color w:val="000000"/>
          <w:sz w:val="22"/>
          <w:szCs w:val="22"/>
        </w:rPr>
        <w:t>d</w:t>
      </w:r>
      <w:r w:rsidR="004419FA" w:rsidRPr="00B30A12">
        <w:rPr>
          <w:color w:val="000000"/>
          <w:sz w:val="22"/>
          <w:szCs w:val="22"/>
        </w:rPr>
        <w:t>ie</w:t>
      </w:r>
      <w:r w:rsidR="009B3837" w:rsidRPr="00B30A12">
        <w:rPr>
          <w:color w:val="000000"/>
          <w:sz w:val="22"/>
          <w:szCs w:val="22"/>
        </w:rPr>
        <w:t xml:space="preserve"> zytogenetischen Anomalien </w:t>
      </w:r>
      <w:r w:rsidR="004419FA" w:rsidRPr="00B30A12">
        <w:rPr>
          <w:color w:val="000000"/>
          <w:sz w:val="22"/>
          <w:szCs w:val="22"/>
        </w:rPr>
        <w:t xml:space="preserve">komplett </w:t>
      </w:r>
      <w:r w:rsidR="00ED7339" w:rsidRPr="00B30A12">
        <w:rPr>
          <w:color w:val="000000"/>
          <w:sz w:val="22"/>
          <w:szCs w:val="22"/>
        </w:rPr>
        <w:t>und es trat</w:t>
      </w:r>
      <w:r w:rsidR="009B3837" w:rsidRPr="00B30A12">
        <w:rPr>
          <w:color w:val="000000"/>
          <w:sz w:val="22"/>
          <w:szCs w:val="22"/>
        </w:rPr>
        <w:t xml:space="preserve"> eine Verminderung oder ein Verschwinden der Fusionstranskripte</w:t>
      </w:r>
      <w:r w:rsidR="00ED7339" w:rsidRPr="00B30A12">
        <w:rPr>
          <w:color w:val="000000"/>
          <w:sz w:val="22"/>
          <w:szCs w:val="22"/>
        </w:rPr>
        <w:t xml:space="preserve"> ein</w:t>
      </w:r>
      <w:r w:rsidR="009B3837" w:rsidRPr="00B30A12">
        <w:rPr>
          <w:color w:val="000000"/>
          <w:sz w:val="22"/>
          <w:szCs w:val="22"/>
        </w:rPr>
        <w:t>, gemessen mittels RT-</w:t>
      </w:r>
      <w:smartTag w:uri="urn:schemas-microsoft-com:office:smarttags" w:element="stockticker">
        <w:r w:rsidR="009B3837" w:rsidRPr="00B30A12">
          <w:rPr>
            <w:color w:val="000000"/>
            <w:sz w:val="22"/>
            <w:szCs w:val="22"/>
          </w:rPr>
          <w:t>PCR</w:t>
        </w:r>
      </w:smartTag>
      <w:r w:rsidR="009B3837" w:rsidRPr="00B30A12">
        <w:rPr>
          <w:color w:val="000000"/>
          <w:sz w:val="22"/>
          <w:szCs w:val="22"/>
        </w:rPr>
        <w:t>. Hämatologische und zytogenetische Remissionen wurden über einen medianen Zeitraum von 49 (19</w:t>
      </w:r>
      <w:r w:rsidR="007D3C54" w:rsidRPr="00B30A12">
        <w:rPr>
          <w:color w:val="000000"/>
          <w:sz w:val="22"/>
          <w:szCs w:val="22"/>
        </w:rPr>
        <w:noBreakHyphen/>
      </w:r>
      <w:r w:rsidR="009B3837" w:rsidRPr="00B30A12">
        <w:rPr>
          <w:color w:val="000000"/>
          <w:sz w:val="22"/>
          <w:szCs w:val="22"/>
        </w:rPr>
        <w:t>60) Monaten bzw. 47 (16</w:t>
      </w:r>
      <w:r w:rsidR="007D3C54" w:rsidRPr="00B30A12">
        <w:rPr>
          <w:color w:val="000000"/>
          <w:sz w:val="22"/>
          <w:szCs w:val="22"/>
        </w:rPr>
        <w:noBreakHyphen/>
      </w:r>
      <w:r w:rsidR="009B3837" w:rsidRPr="00B30A12">
        <w:rPr>
          <w:color w:val="000000"/>
          <w:sz w:val="22"/>
          <w:szCs w:val="22"/>
        </w:rPr>
        <w:t>59) Monaten aufrechterhalten. Das Gesamtüberleben liegt bei 65 (25</w:t>
      </w:r>
      <w:r w:rsidR="007D3C54" w:rsidRPr="00B30A12">
        <w:rPr>
          <w:color w:val="000000"/>
          <w:sz w:val="22"/>
          <w:szCs w:val="22"/>
        </w:rPr>
        <w:noBreakHyphen/>
      </w:r>
      <w:r w:rsidR="009B3837" w:rsidRPr="00B30A12">
        <w:rPr>
          <w:color w:val="000000"/>
          <w:sz w:val="22"/>
          <w:szCs w:val="22"/>
        </w:rPr>
        <w:t xml:space="preserve">234) Monaten seit Diagnosestellung. </w:t>
      </w:r>
      <w:r w:rsidR="00ED7339" w:rsidRPr="00B30A12">
        <w:rPr>
          <w:color w:val="000000"/>
          <w:sz w:val="22"/>
          <w:szCs w:val="22"/>
        </w:rPr>
        <w:t>Bei</w:t>
      </w:r>
      <w:r w:rsidR="009B3837" w:rsidRPr="00B30A12">
        <w:rPr>
          <w:color w:val="000000"/>
          <w:sz w:val="22"/>
          <w:szCs w:val="22"/>
        </w:rPr>
        <w:t xml:space="preserve"> Gabe von Glivec an Patienten ohne genetische Translokation </w:t>
      </w:r>
      <w:r w:rsidR="00ED7339" w:rsidRPr="00B30A12">
        <w:rPr>
          <w:color w:val="000000"/>
          <w:sz w:val="22"/>
          <w:szCs w:val="22"/>
        </w:rPr>
        <w:t>wird</w:t>
      </w:r>
      <w:r w:rsidR="009B3837" w:rsidRPr="00B30A12">
        <w:rPr>
          <w:color w:val="000000"/>
          <w:sz w:val="22"/>
          <w:szCs w:val="22"/>
        </w:rPr>
        <w:t xml:space="preserve"> generell keine Verbesserung</w:t>
      </w:r>
      <w:r w:rsidR="00ED7339" w:rsidRPr="00B30A12">
        <w:rPr>
          <w:color w:val="000000"/>
          <w:sz w:val="22"/>
          <w:szCs w:val="22"/>
        </w:rPr>
        <w:t xml:space="preserve"> erzielt</w:t>
      </w:r>
      <w:r w:rsidR="009B3837" w:rsidRPr="00B30A12">
        <w:rPr>
          <w:color w:val="000000"/>
          <w:sz w:val="22"/>
          <w:szCs w:val="22"/>
        </w:rPr>
        <w:t>.</w:t>
      </w:r>
    </w:p>
    <w:p w14:paraId="3204DA4B" w14:textId="77777777" w:rsidR="006830C5" w:rsidRPr="00B30A12" w:rsidRDefault="006830C5" w:rsidP="00537E23">
      <w:pPr>
        <w:widowControl w:val="0"/>
        <w:rPr>
          <w:color w:val="000000"/>
          <w:sz w:val="22"/>
          <w:szCs w:val="22"/>
        </w:rPr>
      </w:pPr>
    </w:p>
    <w:p w14:paraId="7F373A9F" w14:textId="77777777" w:rsidR="0029498D" w:rsidRPr="00B30A12" w:rsidRDefault="0029498D" w:rsidP="00537E23">
      <w:pPr>
        <w:widowControl w:val="0"/>
        <w:rPr>
          <w:color w:val="000000"/>
          <w:sz w:val="22"/>
          <w:szCs w:val="22"/>
        </w:rPr>
      </w:pPr>
      <w:r w:rsidRPr="00B30A12">
        <w:rPr>
          <w:color w:val="000000"/>
          <w:sz w:val="22"/>
          <w:szCs w:val="22"/>
        </w:rPr>
        <w:t xml:space="preserve">Es gibt keine kontrollierten Studien </w:t>
      </w:r>
      <w:r w:rsidR="006854CC" w:rsidRPr="00B30A12">
        <w:rPr>
          <w:color w:val="000000"/>
          <w:sz w:val="22"/>
          <w:szCs w:val="22"/>
        </w:rPr>
        <w:t>bei</w:t>
      </w:r>
      <w:r w:rsidRPr="00B30A12">
        <w:rPr>
          <w:color w:val="000000"/>
          <w:sz w:val="22"/>
          <w:szCs w:val="22"/>
        </w:rPr>
        <w:t xml:space="preserve"> Kindern und Jugendlichen mit MDS/MPD. In 4</w:t>
      </w:r>
      <w:r w:rsidR="006854CC" w:rsidRPr="00B30A12">
        <w:rPr>
          <w:color w:val="000000"/>
          <w:sz w:val="22"/>
          <w:szCs w:val="22"/>
        </w:rPr>
        <w:t> </w:t>
      </w:r>
      <w:r w:rsidR="003809D6" w:rsidRPr="00B30A12">
        <w:rPr>
          <w:color w:val="000000"/>
          <w:sz w:val="22"/>
          <w:szCs w:val="22"/>
        </w:rPr>
        <w:t>Publikationen</w:t>
      </w:r>
      <w:r w:rsidRPr="00B30A12">
        <w:rPr>
          <w:color w:val="000000"/>
          <w:sz w:val="22"/>
          <w:szCs w:val="22"/>
        </w:rPr>
        <w:t xml:space="preserve"> w</w:t>
      </w:r>
      <w:r w:rsidR="006D3C61" w:rsidRPr="00B30A12">
        <w:rPr>
          <w:color w:val="000000"/>
          <w:sz w:val="22"/>
          <w:szCs w:val="22"/>
        </w:rPr>
        <w:t>urde</w:t>
      </w:r>
      <w:r w:rsidRPr="00B30A12">
        <w:rPr>
          <w:color w:val="000000"/>
          <w:sz w:val="22"/>
          <w:szCs w:val="22"/>
        </w:rPr>
        <w:t xml:space="preserve"> über 5</w:t>
      </w:r>
      <w:r w:rsidR="006854CC" w:rsidRPr="00B30A12">
        <w:rPr>
          <w:color w:val="000000"/>
          <w:sz w:val="22"/>
          <w:szCs w:val="22"/>
        </w:rPr>
        <w:t> </w:t>
      </w:r>
      <w:r w:rsidRPr="00B30A12">
        <w:rPr>
          <w:color w:val="000000"/>
          <w:sz w:val="22"/>
          <w:szCs w:val="22"/>
        </w:rPr>
        <w:t>Patienten mit MDS/MPD in Zusammenhang mit PDGFR</w:t>
      </w:r>
      <w:r w:rsidR="006854CC" w:rsidRPr="00B30A12">
        <w:rPr>
          <w:color w:val="000000"/>
          <w:sz w:val="22"/>
          <w:szCs w:val="22"/>
        </w:rPr>
        <w:t>-</w:t>
      </w:r>
      <w:r w:rsidR="006E01E8" w:rsidRPr="00B30A12">
        <w:rPr>
          <w:color w:val="000000"/>
          <w:sz w:val="22"/>
          <w:szCs w:val="22"/>
        </w:rPr>
        <w:t>Genumlagerungen</w:t>
      </w:r>
      <w:r w:rsidRPr="00B30A12">
        <w:rPr>
          <w:color w:val="000000"/>
          <w:sz w:val="22"/>
          <w:szCs w:val="22"/>
        </w:rPr>
        <w:t xml:space="preserve"> berichtet. Das Alter dieser Patienten reichte von 3 Monaten bis 4 Jahren</w:t>
      </w:r>
      <w:r w:rsidR="00F86A8E" w:rsidRPr="00B30A12">
        <w:rPr>
          <w:color w:val="000000"/>
          <w:sz w:val="22"/>
          <w:szCs w:val="22"/>
        </w:rPr>
        <w:t xml:space="preserve"> und</w:t>
      </w:r>
      <w:r w:rsidRPr="00B30A12">
        <w:rPr>
          <w:color w:val="000000"/>
          <w:sz w:val="22"/>
          <w:szCs w:val="22"/>
        </w:rPr>
        <w:t xml:space="preserve"> Imatinib</w:t>
      </w:r>
      <w:r w:rsidR="00F86A8E" w:rsidRPr="00B30A12">
        <w:rPr>
          <w:color w:val="000000"/>
          <w:sz w:val="22"/>
          <w:szCs w:val="22"/>
        </w:rPr>
        <w:t xml:space="preserve"> wurde</w:t>
      </w:r>
      <w:r w:rsidRPr="00B30A12">
        <w:rPr>
          <w:color w:val="000000"/>
          <w:sz w:val="22"/>
          <w:szCs w:val="22"/>
        </w:rPr>
        <w:t xml:space="preserve"> in </w:t>
      </w:r>
      <w:r w:rsidR="00BE5742" w:rsidRPr="00B30A12">
        <w:rPr>
          <w:color w:val="000000"/>
          <w:sz w:val="22"/>
          <w:szCs w:val="22"/>
        </w:rPr>
        <w:t>einer Dosierung</w:t>
      </w:r>
      <w:r w:rsidRPr="00B30A12">
        <w:rPr>
          <w:color w:val="000000"/>
          <w:sz w:val="22"/>
          <w:szCs w:val="22"/>
        </w:rPr>
        <w:t xml:space="preserve"> von </w:t>
      </w:r>
      <w:r w:rsidR="00BE5742" w:rsidRPr="00B30A12">
        <w:rPr>
          <w:color w:val="000000"/>
          <w:sz w:val="22"/>
          <w:szCs w:val="22"/>
        </w:rPr>
        <w:t xml:space="preserve">50 mg täglich oder in Dosen von </w:t>
      </w:r>
      <w:r w:rsidRPr="00B30A12">
        <w:rPr>
          <w:color w:val="000000"/>
          <w:sz w:val="22"/>
          <w:szCs w:val="22"/>
        </w:rPr>
        <w:t>92</w:t>
      </w:r>
      <w:r w:rsidR="006854CC" w:rsidRPr="00B30A12">
        <w:rPr>
          <w:color w:val="000000"/>
          <w:sz w:val="22"/>
          <w:szCs w:val="22"/>
        </w:rPr>
        <w:t>,</w:t>
      </w:r>
      <w:r w:rsidRPr="00B30A12">
        <w:rPr>
          <w:color w:val="000000"/>
          <w:sz w:val="22"/>
          <w:szCs w:val="22"/>
        </w:rPr>
        <w:t xml:space="preserve">5 bis 340 mg/m² </w:t>
      </w:r>
      <w:r w:rsidR="00F86A8E" w:rsidRPr="00B30A12">
        <w:rPr>
          <w:color w:val="000000"/>
          <w:sz w:val="22"/>
          <w:szCs w:val="22"/>
        </w:rPr>
        <w:t xml:space="preserve">täglich </w:t>
      </w:r>
      <w:r w:rsidRPr="00B30A12">
        <w:rPr>
          <w:color w:val="000000"/>
          <w:sz w:val="22"/>
          <w:szCs w:val="22"/>
        </w:rPr>
        <w:t>gegeben. Alle Patienten zeigten komplettes hämatologische</w:t>
      </w:r>
      <w:r w:rsidR="00DD7C24" w:rsidRPr="00B30A12">
        <w:rPr>
          <w:color w:val="000000"/>
          <w:sz w:val="22"/>
          <w:szCs w:val="22"/>
        </w:rPr>
        <w:t>s</w:t>
      </w:r>
      <w:r w:rsidRPr="00B30A12">
        <w:rPr>
          <w:color w:val="000000"/>
          <w:sz w:val="22"/>
          <w:szCs w:val="22"/>
        </w:rPr>
        <w:t>, zytogen</w:t>
      </w:r>
      <w:r w:rsidR="006D3C61" w:rsidRPr="00B30A12">
        <w:rPr>
          <w:color w:val="000000"/>
          <w:sz w:val="22"/>
          <w:szCs w:val="22"/>
        </w:rPr>
        <w:t>etisches</w:t>
      </w:r>
      <w:r w:rsidRPr="00B30A12">
        <w:rPr>
          <w:color w:val="000000"/>
          <w:sz w:val="22"/>
          <w:szCs w:val="22"/>
        </w:rPr>
        <w:t xml:space="preserve"> und/oder klinisches Ansprech</w:t>
      </w:r>
      <w:r w:rsidR="006854CC" w:rsidRPr="00B30A12">
        <w:rPr>
          <w:color w:val="000000"/>
          <w:sz w:val="22"/>
          <w:szCs w:val="22"/>
        </w:rPr>
        <w:t>en</w:t>
      </w:r>
      <w:r w:rsidRPr="00B30A12">
        <w:rPr>
          <w:color w:val="000000"/>
          <w:sz w:val="22"/>
          <w:szCs w:val="22"/>
        </w:rPr>
        <w:t>.</w:t>
      </w:r>
    </w:p>
    <w:p w14:paraId="04D0DBA1" w14:textId="77777777" w:rsidR="0029498D" w:rsidRPr="00B30A12" w:rsidRDefault="0029498D" w:rsidP="00537E23">
      <w:pPr>
        <w:widowControl w:val="0"/>
        <w:rPr>
          <w:color w:val="000000"/>
          <w:sz w:val="22"/>
          <w:szCs w:val="22"/>
        </w:rPr>
      </w:pPr>
    </w:p>
    <w:p w14:paraId="5B865853" w14:textId="77777777" w:rsidR="006830C5" w:rsidRPr="00B30A12" w:rsidRDefault="006830C5" w:rsidP="007A2B84">
      <w:pPr>
        <w:keepNext/>
        <w:widowControl w:val="0"/>
        <w:rPr>
          <w:color w:val="000000"/>
          <w:sz w:val="22"/>
          <w:szCs w:val="22"/>
          <w:u w:val="single"/>
        </w:rPr>
      </w:pPr>
      <w:r w:rsidRPr="00B30A12">
        <w:rPr>
          <w:color w:val="000000"/>
          <w:sz w:val="22"/>
          <w:szCs w:val="22"/>
          <w:u w:val="single"/>
        </w:rPr>
        <w:t>Klinische Studien bei HES/</w:t>
      </w:r>
      <w:smartTag w:uri="urn:schemas-microsoft-com:office:smarttags" w:element="stockticker">
        <w:r w:rsidRPr="00B30A12">
          <w:rPr>
            <w:color w:val="000000"/>
            <w:sz w:val="22"/>
            <w:szCs w:val="22"/>
            <w:u w:val="single"/>
          </w:rPr>
          <w:t>CEL</w:t>
        </w:r>
      </w:smartTag>
    </w:p>
    <w:p w14:paraId="4BF741C4" w14:textId="77777777" w:rsidR="00514DA3" w:rsidRPr="00B30A12" w:rsidRDefault="006830C5" w:rsidP="00537E23">
      <w:pPr>
        <w:widowControl w:val="0"/>
        <w:rPr>
          <w:color w:val="000000"/>
          <w:sz w:val="22"/>
          <w:szCs w:val="22"/>
        </w:rPr>
      </w:pPr>
      <w:r w:rsidRPr="00B30A12">
        <w:rPr>
          <w:color w:val="000000"/>
          <w:sz w:val="22"/>
          <w:szCs w:val="22"/>
        </w:rPr>
        <w:t>Es wurde eine offene, multizentrische Phase-II-Studie (Studie B2225) durchgeführt, in der Glivec bei verschiedenen Patientenpopulationen mit lebensbedrohenden Erkrankungen in Verbindung mit Abl-, Kit- oder PDGFR-Protein-Tyrosinkinasen untersucht wurde. In dieser Studie wurden 14 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w:t>
      </w:r>
      <w:r w:rsidR="00040615" w:rsidRPr="00B30A12">
        <w:rPr>
          <w:color w:val="000000"/>
          <w:sz w:val="22"/>
          <w:szCs w:val="22"/>
        </w:rPr>
        <w:t>mit täglich 100 mg bis 1.000 mg Glivec behandelt. Weitere 162</w:t>
      </w:r>
      <w:r w:rsidR="007D3C54" w:rsidRPr="00B30A12">
        <w:rPr>
          <w:color w:val="000000"/>
          <w:sz w:val="22"/>
          <w:szCs w:val="22"/>
        </w:rPr>
        <w:t> </w:t>
      </w:r>
      <w:r w:rsidR="00040615" w:rsidRPr="00B30A12">
        <w:rPr>
          <w:color w:val="000000"/>
          <w:sz w:val="22"/>
          <w:szCs w:val="22"/>
        </w:rPr>
        <w:t>Patienten mit HES/</w:t>
      </w:r>
      <w:smartTag w:uri="urn:schemas-microsoft-com:office:smarttags" w:element="stockticker">
        <w:r w:rsidR="00040615" w:rsidRPr="00B30A12">
          <w:rPr>
            <w:color w:val="000000"/>
            <w:sz w:val="22"/>
            <w:szCs w:val="22"/>
          </w:rPr>
          <w:t>CEL</w:t>
        </w:r>
      </w:smartTag>
      <w:r w:rsidR="00040615" w:rsidRPr="00B30A12">
        <w:rPr>
          <w:color w:val="000000"/>
          <w:sz w:val="22"/>
          <w:szCs w:val="22"/>
        </w:rPr>
        <w:t>, über die in 35</w:t>
      </w:r>
      <w:r w:rsidR="007D3C54" w:rsidRPr="00B30A12">
        <w:rPr>
          <w:color w:val="000000"/>
          <w:sz w:val="22"/>
          <w:szCs w:val="22"/>
        </w:rPr>
        <w:t> </w:t>
      </w:r>
      <w:r w:rsidR="00040615" w:rsidRPr="00B30A12">
        <w:rPr>
          <w:color w:val="000000"/>
          <w:sz w:val="22"/>
          <w:szCs w:val="22"/>
        </w:rPr>
        <w:t>Fallberichten und Fallreihen berichtet wurde, erhielten Glivec in Dosen von täglich 75 mg bis 800 mg. Zytogenetische Anomalien wurden bei 117 aus der Gesamtpopulation von 176 Patienten festgestellt. Bei 61 von diesen 117</w:t>
      </w:r>
      <w:r w:rsidR="007D3C54" w:rsidRPr="00B30A12">
        <w:rPr>
          <w:color w:val="000000"/>
          <w:sz w:val="22"/>
          <w:szCs w:val="22"/>
        </w:rPr>
        <w:t> </w:t>
      </w:r>
      <w:r w:rsidR="00040615" w:rsidRPr="00B30A12">
        <w:rPr>
          <w:color w:val="000000"/>
          <w:sz w:val="22"/>
          <w:szCs w:val="22"/>
        </w:rPr>
        <w:t>Patienten wurde eine FIP1L1-PDGFR</w:t>
      </w:r>
      <w:r w:rsidR="00040615" w:rsidRPr="00B30A12">
        <w:rPr>
          <w:color w:val="000000"/>
          <w:sz w:val="22"/>
          <w:szCs w:val="22"/>
        </w:rPr>
        <w:sym w:font="Symbol" w:char="F061"/>
      </w:r>
      <w:r w:rsidR="00040615" w:rsidRPr="00B30A12">
        <w:rPr>
          <w:color w:val="000000"/>
          <w:sz w:val="22"/>
          <w:szCs w:val="22"/>
        </w:rPr>
        <w:t>-Fusionskinase identifiziert. In 3</w:t>
      </w:r>
      <w:r w:rsidR="007D3C54" w:rsidRPr="00B30A12">
        <w:rPr>
          <w:color w:val="000000"/>
          <w:sz w:val="22"/>
          <w:szCs w:val="22"/>
        </w:rPr>
        <w:t> </w:t>
      </w:r>
      <w:r w:rsidR="00040615" w:rsidRPr="00B30A12">
        <w:rPr>
          <w:color w:val="000000"/>
          <w:sz w:val="22"/>
          <w:szCs w:val="22"/>
        </w:rPr>
        <w:t xml:space="preserve">weiteren Publikationen wurden vier Patienten gefunden, die </w:t>
      </w:r>
      <w:r w:rsidR="00ED7339" w:rsidRPr="00B30A12">
        <w:rPr>
          <w:color w:val="000000"/>
          <w:sz w:val="22"/>
          <w:szCs w:val="22"/>
        </w:rPr>
        <w:t xml:space="preserve">ebenfalls </w:t>
      </w:r>
      <w:r w:rsidR="00040615" w:rsidRPr="00B30A12">
        <w:rPr>
          <w:color w:val="000000"/>
          <w:sz w:val="22"/>
          <w:szCs w:val="22"/>
        </w:rPr>
        <w:t>FIP1L1-PDGFR</w:t>
      </w:r>
      <w:r w:rsidR="00040615" w:rsidRPr="00B30A12">
        <w:rPr>
          <w:color w:val="000000"/>
          <w:sz w:val="22"/>
          <w:szCs w:val="22"/>
        </w:rPr>
        <w:sym w:font="Symbol" w:char="F061"/>
      </w:r>
      <w:r w:rsidR="00040615" w:rsidRPr="00B30A12">
        <w:rPr>
          <w:color w:val="000000"/>
          <w:sz w:val="22"/>
          <w:szCs w:val="22"/>
        </w:rPr>
        <w:t>-positiv waren. Alle 65</w:t>
      </w:r>
      <w:r w:rsidR="007D3C54" w:rsidRPr="00B30A12">
        <w:rPr>
          <w:color w:val="000000"/>
          <w:sz w:val="22"/>
          <w:szCs w:val="22"/>
        </w:rPr>
        <w:t> </w:t>
      </w:r>
      <w:r w:rsidR="00040615" w:rsidRPr="00B30A12">
        <w:rPr>
          <w:color w:val="000000"/>
          <w:sz w:val="22"/>
          <w:szCs w:val="22"/>
        </w:rPr>
        <w:t>FIP1L1-PDGFR</w:t>
      </w:r>
      <w:r w:rsidR="00040615" w:rsidRPr="00B30A12">
        <w:rPr>
          <w:color w:val="000000"/>
          <w:sz w:val="22"/>
          <w:szCs w:val="22"/>
        </w:rPr>
        <w:sym w:font="Symbol" w:char="F061"/>
      </w:r>
      <w:r w:rsidR="00040615" w:rsidRPr="00B30A12">
        <w:rPr>
          <w:color w:val="000000"/>
          <w:sz w:val="22"/>
          <w:szCs w:val="22"/>
        </w:rPr>
        <w:t>-Fusionskinase</w:t>
      </w:r>
      <w:r w:rsidR="00ED7339" w:rsidRPr="00B30A12">
        <w:rPr>
          <w:color w:val="000000"/>
          <w:sz w:val="22"/>
          <w:szCs w:val="22"/>
        </w:rPr>
        <w:t>-</w:t>
      </w:r>
      <w:r w:rsidR="00040615" w:rsidRPr="00B30A12">
        <w:rPr>
          <w:color w:val="000000"/>
          <w:sz w:val="22"/>
          <w:szCs w:val="22"/>
        </w:rPr>
        <w:t>positiven Patienten erzielten eine komplette hämatologische Remission, die über Monate anhielt (</w:t>
      </w:r>
      <w:r w:rsidR="00EA7B20" w:rsidRPr="00B30A12">
        <w:rPr>
          <w:color w:val="000000"/>
          <w:sz w:val="22"/>
          <w:szCs w:val="22"/>
        </w:rPr>
        <w:t>von 1+ bis 44+ Monaten, zensiert zum Berichtszeitpunkt)</w:t>
      </w:r>
      <w:r w:rsidR="00040615" w:rsidRPr="00B30A12">
        <w:rPr>
          <w:color w:val="000000"/>
          <w:sz w:val="22"/>
          <w:szCs w:val="22"/>
        </w:rPr>
        <w:t>.</w:t>
      </w:r>
      <w:r w:rsidR="00EA7B20" w:rsidRPr="00B30A12">
        <w:rPr>
          <w:color w:val="000000"/>
          <w:sz w:val="22"/>
          <w:szCs w:val="22"/>
        </w:rPr>
        <w:t xml:space="preserve"> Wie in einer kürzlich veröffentlichten Publikation berichtet, erzielten 21 dieser 65</w:t>
      </w:r>
      <w:r w:rsidR="007D3C54" w:rsidRPr="00B30A12">
        <w:rPr>
          <w:color w:val="000000"/>
          <w:sz w:val="22"/>
          <w:szCs w:val="22"/>
        </w:rPr>
        <w:t> </w:t>
      </w:r>
      <w:r w:rsidR="00EA7B20" w:rsidRPr="00B30A12">
        <w:rPr>
          <w:color w:val="000000"/>
          <w:sz w:val="22"/>
          <w:szCs w:val="22"/>
        </w:rPr>
        <w:t>Patienten auch eine komplette molekulare Remission mit einem medianen Follow-up von 28</w:t>
      </w:r>
      <w:r w:rsidR="007D3C54" w:rsidRPr="00B30A12">
        <w:rPr>
          <w:color w:val="000000"/>
          <w:sz w:val="22"/>
          <w:szCs w:val="22"/>
        </w:rPr>
        <w:t> </w:t>
      </w:r>
      <w:r w:rsidR="00EA7B20" w:rsidRPr="00B30A12">
        <w:rPr>
          <w:color w:val="000000"/>
          <w:sz w:val="22"/>
          <w:szCs w:val="22"/>
        </w:rPr>
        <w:t>Monaten (13</w:t>
      </w:r>
      <w:r w:rsidR="007D3C54" w:rsidRPr="00B30A12">
        <w:rPr>
          <w:color w:val="000000"/>
          <w:sz w:val="22"/>
          <w:szCs w:val="22"/>
        </w:rPr>
        <w:noBreakHyphen/>
      </w:r>
      <w:r w:rsidR="00EA7B20" w:rsidRPr="00B30A12">
        <w:rPr>
          <w:color w:val="000000"/>
          <w:sz w:val="22"/>
          <w:szCs w:val="22"/>
        </w:rPr>
        <w:t>67</w:t>
      </w:r>
      <w:r w:rsidR="007D3C54" w:rsidRPr="00B30A12">
        <w:rPr>
          <w:color w:val="000000"/>
          <w:sz w:val="22"/>
          <w:szCs w:val="22"/>
        </w:rPr>
        <w:t> </w:t>
      </w:r>
      <w:r w:rsidR="00EA7B20" w:rsidRPr="00B30A12">
        <w:rPr>
          <w:color w:val="000000"/>
          <w:sz w:val="22"/>
          <w:szCs w:val="22"/>
        </w:rPr>
        <w:t>Monate). Das Alter dieser Patienten lag zwischen 25 und 72</w:t>
      </w:r>
      <w:r w:rsidR="007D3C54" w:rsidRPr="00B30A12">
        <w:rPr>
          <w:color w:val="000000"/>
          <w:sz w:val="22"/>
          <w:szCs w:val="22"/>
        </w:rPr>
        <w:t> </w:t>
      </w:r>
      <w:r w:rsidR="00EA7B20" w:rsidRPr="00B30A12">
        <w:rPr>
          <w:color w:val="000000"/>
          <w:sz w:val="22"/>
          <w:szCs w:val="22"/>
        </w:rPr>
        <w:t xml:space="preserve">Jahren. </w:t>
      </w:r>
      <w:r w:rsidR="00EE1929" w:rsidRPr="00B30A12">
        <w:rPr>
          <w:color w:val="000000"/>
          <w:sz w:val="22"/>
          <w:szCs w:val="22"/>
        </w:rPr>
        <w:t>Zusätzlich wurden von den Prüfern in den Fallberichten Verbesserungen in der Symptomatologie und anderen anormalen organischen Dysfunktionen berichtet. Über Verbesserungen wurde berichtet beim Herzen, Nervensystem, Haut-/Unterhautzellgewebe, Atemwege/Brustraum/Mediastinum, Skelettmuskulatur/Bindegewebe/Gefäße und Gastrointestinaltrakt.</w:t>
      </w:r>
    </w:p>
    <w:p w14:paraId="67A2DF55" w14:textId="77777777" w:rsidR="0029498D" w:rsidRPr="00B30A12" w:rsidRDefault="0029498D" w:rsidP="00537E23">
      <w:pPr>
        <w:widowControl w:val="0"/>
        <w:rPr>
          <w:color w:val="000000"/>
          <w:sz w:val="22"/>
          <w:szCs w:val="22"/>
        </w:rPr>
      </w:pPr>
    </w:p>
    <w:p w14:paraId="6E5EA5A1" w14:textId="77777777" w:rsidR="0029498D" w:rsidRPr="00B30A12" w:rsidRDefault="00C9202D" w:rsidP="00537E23">
      <w:pPr>
        <w:widowControl w:val="0"/>
        <w:rPr>
          <w:color w:val="000000"/>
          <w:sz w:val="22"/>
          <w:szCs w:val="22"/>
        </w:rPr>
      </w:pPr>
      <w:r w:rsidRPr="00B30A12">
        <w:rPr>
          <w:color w:val="000000"/>
          <w:sz w:val="22"/>
          <w:szCs w:val="22"/>
        </w:rPr>
        <w:t xml:space="preserve">Es gibt keine kontrollierten Studien </w:t>
      </w:r>
      <w:r w:rsidR="00AE319C" w:rsidRPr="00B30A12">
        <w:rPr>
          <w:color w:val="000000"/>
          <w:sz w:val="22"/>
          <w:szCs w:val="22"/>
        </w:rPr>
        <w:t>bei</w:t>
      </w:r>
      <w:r w:rsidRPr="00B30A12">
        <w:rPr>
          <w:color w:val="000000"/>
          <w:sz w:val="22"/>
          <w:szCs w:val="22"/>
        </w:rPr>
        <w:t xml:space="preserve"> Kindern und Jugendlichen mit HES/CEL. In 3 </w:t>
      </w:r>
      <w:r w:rsidR="00E3615A" w:rsidRPr="00B30A12">
        <w:rPr>
          <w:color w:val="000000"/>
          <w:sz w:val="22"/>
          <w:szCs w:val="22"/>
        </w:rPr>
        <w:t>Publikationen</w:t>
      </w:r>
      <w:r w:rsidRPr="00B30A12">
        <w:rPr>
          <w:color w:val="000000"/>
          <w:sz w:val="22"/>
          <w:szCs w:val="22"/>
        </w:rPr>
        <w:t xml:space="preserve"> w</w:t>
      </w:r>
      <w:r w:rsidR="00B82027" w:rsidRPr="00B30A12">
        <w:rPr>
          <w:color w:val="000000"/>
          <w:sz w:val="22"/>
          <w:szCs w:val="22"/>
        </w:rPr>
        <w:t>urde</w:t>
      </w:r>
      <w:r w:rsidRPr="00B30A12">
        <w:rPr>
          <w:color w:val="000000"/>
          <w:sz w:val="22"/>
          <w:szCs w:val="22"/>
        </w:rPr>
        <w:t xml:space="preserve"> über 3</w:t>
      </w:r>
      <w:r w:rsidR="00AE319C" w:rsidRPr="00B30A12">
        <w:rPr>
          <w:color w:val="000000"/>
          <w:sz w:val="22"/>
          <w:szCs w:val="22"/>
        </w:rPr>
        <w:t> </w:t>
      </w:r>
      <w:r w:rsidRPr="00B30A12">
        <w:rPr>
          <w:color w:val="000000"/>
          <w:sz w:val="22"/>
          <w:szCs w:val="22"/>
        </w:rPr>
        <w:t xml:space="preserve">Patienten mit HES </w:t>
      </w:r>
      <w:r w:rsidR="00B82027" w:rsidRPr="00B30A12">
        <w:rPr>
          <w:color w:val="000000"/>
          <w:sz w:val="22"/>
          <w:szCs w:val="22"/>
        </w:rPr>
        <w:t>u</w:t>
      </w:r>
      <w:r w:rsidRPr="00B30A12">
        <w:rPr>
          <w:color w:val="000000"/>
          <w:sz w:val="22"/>
          <w:szCs w:val="22"/>
        </w:rPr>
        <w:t>nd CEL in Zusammenhang mit PDGFR</w:t>
      </w:r>
      <w:r w:rsidR="00AE319C" w:rsidRPr="00B30A12">
        <w:rPr>
          <w:color w:val="000000"/>
          <w:sz w:val="22"/>
          <w:szCs w:val="22"/>
        </w:rPr>
        <w:t>-</w:t>
      </w:r>
      <w:r w:rsidR="006E01E8" w:rsidRPr="00B30A12">
        <w:rPr>
          <w:color w:val="000000"/>
          <w:sz w:val="22"/>
          <w:szCs w:val="22"/>
        </w:rPr>
        <w:t>Genumlagerungen</w:t>
      </w:r>
      <w:r w:rsidRPr="00B30A12">
        <w:rPr>
          <w:color w:val="000000"/>
          <w:sz w:val="22"/>
          <w:szCs w:val="22"/>
        </w:rPr>
        <w:t xml:space="preserve"> berichtet. Das Alter dieser Patienten reichte von 2 bis </w:t>
      </w:r>
      <w:r w:rsidR="005164A6" w:rsidRPr="00B30A12">
        <w:rPr>
          <w:color w:val="000000"/>
          <w:sz w:val="22"/>
          <w:szCs w:val="22"/>
        </w:rPr>
        <w:t>16</w:t>
      </w:r>
      <w:r w:rsidRPr="00B30A12">
        <w:rPr>
          <w:color w:val="000000"/>
          <w:sz w:val="22"/>
          <w:szCs w:val="22"/>
        </w:rPr>
        <w:t> Jahren</w:t>
      </w:r>
      <w:r w:rsidR="00421511" w:rsidRPr="00B30A12">
        <w:rPr>
          <w:color w:val="000000"/>
          <w:sz w:val="22"/>
          <w:szCs w:val="22"/>
        </w:rPr>
        <w:t xml:space="preserve"> und</w:t>
      </w:r>
      <w:r w:rsidRPr="00B30A12">
        <w:rPr>
          <w:color w:val="000000"/>
          <w:sz w:val="22"/>
          <w:szCs w:val="22"/>
        </w:rPr>
        <w:t xml:space="preserve"> Imatinib</w:t>
      </w:r>
      <w:r w:rsidR="00421511" w:rsidRPr="00B30A12">
        <w:rPr>
          <w:color w:val="000000"/>
          <w:sz w:val="22"/>
          <w:szCs w:val="22"/>
        </w:rPr>
        <w:t xml:space="preserve"> wurde</w:t>
      </w:r>
      <w:r w:rsidRPr="00B30A12">
        <w:rPr>
          <w:color w:val="000000"/>
          <w:sz w:val="22"/>
          <w:szCs w:val="22"/>
        </w:rPr>
        <w:t xml:space="preserve"> </w:t>
      </w:r>
      <w:r w:rsidR="00BE5742" w:rsidRPr="00B30A12">
        <w:rPr>
          <w:color w:val="000000"/>
          <w:sz w:val="22"/>
          <w:szCs w:val="22"/>
        </w:rPr>
        <w:t>in einer Dosierung von 300 mg</w:t>
      </w:r>
      <w:r w:rsidR="008F71F0" w:rsidRPr="00B30A12">
        <w:rPr>
          <w:color w:val="000000"/>
          <w:sz w:val="22"/>
          <w:szCs w:val="22"/>
        </w:rPr>
        <w:t>/m²</w:t>
      </w:r>
      <w:r w:rsidR="00BE5742" w:rsidRPr="00B30A12">
        <w:rPr>
          <w:color w:val="000000"/>
          <w:sz w:val="22"/>
          <w:szCs w:val="22"/>
        </w:rPr>
        <w:t xml:space="preserve"> täglich oder in Dosen von 200 bis 400 mg täglich gegeben. </w:t>
      </w:r>
      <w:r w:rsidRPr="00B30A12">
        <w:rPr>
          <w:color w:val="000000"/>
          <w:sz w:val="22"/>
          <w:szCs w:val="22"/>
        </w:rPr>
        <w:t>Alle Patienten ze</w:t>
      </w:r>
      <w:r w:rsidR="00DD7C24" w:rsidRPr="00B30A12">
        <w:rPr>
          <w:color w:val="000000"/>
          <w:sz w:val="22"/>
          <w:szCs w:val="22"/>
        </w:rPr>
        <w:t>igten komplettes hämatologisches</w:t>
      </w:r>
      <w:r w:rsidRPr="00B30A12">
        <w:rPr>
          <w:color w:val="000000"/>
          <w:sz w:val="22"/>
          <w:szCs w:val="22"/>
        </w:rPr>
        <w:t xml:space="preserve">, </w:t>
      </w:r>
      <w:r w:rsidR="003809D6" w:rsidRPr="00B30A12">
        <w:rPr>
          <w:color w:val="000000"/>
          <w:sz w:val="22"/>
          <w:szCs w:val="22"/>
        </w:rPr>
        <w:t xml:space="preserve">komplettes </w:t>
      </w:r>
      <w:r w:rsidRPr="00B30A12">
        <w:rPr>
          <w:color w:val="000000"/>
          <w:sz w:val="22"/>
          <w:szCs w:val="22"/>
        </w:rPr>
        <w:t>zytogen</w:t>
      </w:r>
      <w:r w:rsidR="000644D7" w:rsidRPr="00B30A12">
        <w:rPr>
          <w:color w:val="000000"/>
          <w:sz w:val="22"/>
          <w:szCs w:val="22"/>
        </w:rPr>
        <w:t>etisches</w:t>
      </w:r>
      <w:r w:rsidRPr="00B30A12">
        <w:rPr>
          <w:color w:val="000000"/>
          <w:sz w:val="22"/>
          <w:szCs w:val="22"/>
        </w:rPr>
        <w:t xml:space="preserve"> und/oder </w:t>
      </w:r>
      <w:r w:rsidR="003809D6" w:rsidRPr="00B30A12">
        <w:rPr>
          <w:color w:val="000000"/>
          <w:sz w:val="22"/>
          <w:szCs w:val="22"/>
        </w:rPr>
        <w:t xml:space="preserve">komplettes </w:t>
      </w:r>
      <w:r w:rsidR="00DD7C24" w:rsidRPr="00B30A12">
        <w:rPr>
          <w:color w:val="000000"/>
          <w:sz w:val="22"/>
          <w:szCs w:val="22"/>
        </w:rPr>
        <w:t>mol</w:t>
      </w:r>
      <w:r w:rsidR="00E41E93" w:rsidRPr="00B30A12">
        <w:rPr>
          <w:color w:val="000000"/>
          <w:sz w:val="22"/>
          <w:szCs w:val="22"/>
        </w:rPr>
        <w:t>e</w:t>
      </w:r>
      <w:r w:rsidR="00DD7C24" w:rsidRPr="00B30A12">
        <w:rPr>
          <w:color w:val="000000"/>
          <w:sz w:val="22"/>
          <w:szCs w:val="22"/>
        </w:rPr>
        <w:t>kulare</w:t>
      </w:r>
      <w:r w:rsidRPr="00B30A12">
        <w:rPr>
          <w:color w:val="000000"/>
          <w:sz w:val="22"/>
          <w:szCs w:val="22"/>
        </w:rPr>
        <w:t>s Ansprech</w:t>
      </w:r>
      <w:r w:rsidR="00AE319C" w:rsidRPr="00B30A12">
        <w:rPr>
          <w:color w:val="000000"/>
          <w:sz w:val="22"/>
          <w:szCs w:val="22"/>
        </w:rPr>
        <w:t>en</w:t>
      </w:r>
      <w:r w:rsidRPr="00B30A12">
        <w:rPr>
          <w:color w:val="000000"/>
          <w:sz w:val="22"/>
          <w:szCs w:val="22"/>
        </w:rPr>
        <w:t>.</w:t>
      </w:r>
    </w:p>
    <w:p w14:paraId="400504F4" w14:textId="77777777" w:rsidR="00EE1929" w:rsidRPr="00B30A12" w:rsidRDefault="00EE1929" w:rsidP="00537E23">
      <w:pPr>
        <w:widowControl w:val="0"/>
        <w:rPr>
          <w:color w:val="000000"/>
          <w:sz w:val="22"/>
          <w:szCs w:val="22"/>
        </w:rPr>
      </w:pPr>
    </w:p>
    <w:p w14:paraId="1B9BDB09" w14:textId="77777777" w:rsidR="007356AA" w:rsidRPr="00B30A12" w:rsidRDefault="007356AA" w:rsidP="00AD54DF">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B30A12">
        <w:rPr>
          <w:i w:val="0"/>
          <w:color w:val="000000"/>
          <w:szCs w:val="22"/>
          <w:u w:val="single"/>
          <w:lang w:val="de-DE"/>
        </w:rPr>
        <w:t>Klinische Studien bei nicht-resezierbaren und/oder metastasierten GIST</w:t>
      </w:r>
    </w:p>
    <w:p w14:paraId="452EAC4E" w14:textId="77777777" w:rsidR="006615F9" w:rsidRPr="00B30A12" w:rsidRDefault="006615F9" w:rsidP="00537E23">
      <w:pPr>
        <w:widowControl w:val="0"/>
        <w:rPr>
          <w:color w:val="000000"/>
          <w:sz w:val="22"/>
          <w:szCs w:val="22"/>
        </w:rPr>
      </w:pPr>
      <w:r w:rsidRPr="00B30A12">
        <w:rPr>
          <w:color w:val="000000"/>
          <w:sz w:val="22"/>
          <w:szCs w:val="22"/>
        </w:rPr>
        <w:t>Eine offene, randomisierte, unkontrollierte, multinationale Phase</w:t>
      </w:r>
      <w:r w:rsidR="007D25C6" w:rsidRPr="00B30A12">
        <w:rPr>
          <w:color w:val="000000"/>
          <w:sz w:val="22"/>
          <w:szCs w:val="22"/>
        </w:rPr>
        <w:t> </w:t>
      </w:r>
      <w:r w:rsidRPr="00B30A12">
        <w:rPr>
          <w:color w:val="000000"/>
          <w:sz w:val="22"/>
          <w:szCs w:val="22"/>
        </w:rPr>
        <w:t>II-Studie wurde bei Patienten mit nicht resezierbaren oder metastasierten malignen gastrointestinalen Stromatumoren (GIST) durchgeführt. In diese Studie wurden 147</w:t>
      </w:r>
      <w:r w:rsidR="00C80819" w:rsidRPr="00B30A12">
        <w:rPr>
          <w:color w:val="000000"/>
          <w:sz w:val="22"/>
          <w:szCs w:val="22"/>
        </w:rPr>
        <w:t> </w:t>
      </w:r>
      <w:r w:rsidRPr="00B30A12">
        <w:rPr>
          <w:color w:val="000000"/>
          <w:sz w:val="22"/>
          <w:szCs w:val="22"/>
        </w:rPr>
        <w:t>Patienten aufgenommen und in 2</w:t>
      </w:r>
      <w:r w:rsidR="00C80819" w:rsidRPr="00B30A12">
        <w:rPr>
          <w:color w:val="000000"/>
          <w:sz w:val="22"/>
          <w:szCs w:val="22"/>
        </w:rPr>
        <w:t> </w:t>
      </w:r>
      <w:r w:rsidRPr="00B30A12">
        <w:rPr>
          <w:color w:val="000000"/>
          <w:sz w:val="22"/>
          <w:szCs w:val="22"/>
        </w:rPr>
        <w:t xml:space="preserve">Gruppen randomisiert, die entweder 400 mg oder 600 mg Imatinib einmal täglich oral bis zu </w:t>
      </w:r>
      <w:r w:rsidR="008F7114" w:rsidRPr="00B30A12">
        <w:rPr>
          <w:color w:val="000000"/>
          <w:sz w:val="22"/>
          <w:szCs w:val="22"/>
        </w:rPr>
        <w:t>36 </w:t>
      </w:r>
      <w:r w:rsidRPr="00B30A12">
        <w:rPr>
          <w:color w:val="000000"/>
          <w:sz w:val="22"/>
          <w:szCs w:val="22"/>
        </w:rPr>
        <w:t>Monate erhielten. Die Patienten hatten ein Alter zwi</w:t>
      </w:r>
      <w:r w:rsidRPr="00B30A12">
        <w:rPr>
          <w:color w:val="000000"/>
          <w:sz w:val="22"/>
          <w:szCs w:val="22"/>
        </w:rPr>
        <w:softHyphen/>
        <w:t>schen 18 und 83</w:t>
      </w:r>
      <w:r w:rsidR="00C80819" w:rsidRPr="00B30A12">
        <w:rPr>
          <w:color w:val="000000"/>
          <w:sz w:val="22"/>
          <w:szCs w:val="22"/>
        </w:rPr>
        <w:t> </w:t>
      </w:r>
      <w:r w:rsidRPr="00B30A12">
        <w:rPr>
          <w:color w:val="000000"/>
          <w:sz w:val="22"/>
          <w:szCs w:val="22"/>
        </w:rPr>
        <w:t>Jahren und die pathologische Diagnose eines Kit-positiven, malignen, nicht resezierba</w:t>
      </w:r>
      <w:r w:rsidRPr="00B30A12">
        <w:rPr>
          <w:color w:val="000000"/>
          <w:sz w:val="22"/>
          <w:szCs w:val="22"/>
        </w:rPr>
        <w:softHyphen/>
        <w:t>ren und/oder metastasierten GIST. Die Immunhistochemie wurde routinemäßig mit einem Kit-Antikör</w:t>
      </w:r>
      <w:r w:rsidRPr="00B30A12">
        <w:rPr>
          <w:color w:val="000000"/>
          <w:sz w:val="22"/>
          <w:szCs w:val="22"/>
        </w:rPr>
        <w:softHyphen/>
        <w:t>per (A-4502, polyklonales Kaninchen-Antiserum, 1:100; DAKO Corporation, Carpinteria, Kali</w:t>
      </w:r>
      <w:r w:rsidRPr="00B30A12">
        <w:rPr>
          <w:color w:val="000000"/>
          <w:sz w:val="22"/>
          <w:szCs w:val="22"/>
        </w:rPr>
        <w:softHyphen/>
        <w:t>fornien) durchgeführt entsprechend einem Analyseprotokoll, das einen Avidin-Biotin-Peroxidase-Kom</w:t>
      </w:r>
      <w:r w:rsidRPr="00B30A12">
        <w:rPr>
          <w:color w:val="000000"/>
          <w:sz w:val="22"/>
          <w:szCs w:val="22"/>
        </w:rPr>
        <w:softHyphen/>
        <w:t>plex nach Antigen-Demaskierung verwendet.</w:t>
      </w:r>
    </w:p>
    <w:p w14:paraId="2A95037B" w14:textId="77777777" w:rsidR="006615F9" w:rsidRPr="00B30A12" w:rsidRDefault="006615F9" w:rsidP="00537E23">
      <w:pPr>
        <w:widowControl w:val="0"/>
        <w:rPr>
          <w:color w:val="000000"/>
          <w:sz w:val="22"/>
          <w:szCs w:val="22"/>
        </w:rPr>
      </w:pPr>
    </w:p>
    <w:p w14:paraId="31B342AD" w14:textId="77777777" w:rsidR="006615F9" w:rsidRPr="00B30A12" w:rsidRDefault="006615F9" w:rsidP="00537E23">
      <w:pPr>
        <w:widowControl w:val="0"/>
        <w:rPr>
          <w:color w:val="000000"/>
          <w:sz w:val="22"/>
          <w:szCs w:val="22"/>
        </w:rPr>
      </w:pPr>
      <w:r w:rsidRPr="00B30A12">
        <w:rPr>
          <w:color w:val="000000"/>
          <w:sz w:val="22"/>
          <w:szCs w:val="22"/>
        </w:rPr>
        <w:t>Der primäre Wirksamkeitsnachweis basierte auf den objektiven Ansprechraten. Die Tumoren mussten an mindestens einer Stelle messbar sein, und die Definition de</w:t>
      </w:r>
      <w:r w:rsidR="00680171" w:rsidRPr="00B30A12">
        <w:rPr>
          <w:color w:val="000000"/>
          <w:sz w:val="22"/>
          <w:szCs w:val="22"/>
        </w:rPr>
        <w:t>r</w:t>
      </w:r>
      <w:r w:rsidRPr="00B30A12">
        <w:rPr>
          <w:color w:val="000000"/>
          <w:sz w:val="22"/>
          <w:szCs w:val="22"/>
        </w:rPr>
        <w:t xml:space="preserve"> </w:t>
      </w:r>
      <w:r w:rsidR="00680171" w:rsidRPr="00B30A12">
        <w:rPr>
          <w:color w:val="000000"/>
          <w:sz w:val="22"/>
          <w:szCs w:val="22"/>
        </w:rPr>
        <w:t>Remission</w:t>
      </w:r>
      <w:r w:rsidRPr="00B30A12">
        <w:rPr>
          <w:color w:val="000000"/>
          <w:sz w:val="22"/>
          <w:szCs w:val="22"/>
        </w:rPr>
        <w:t xml:space="preserve"> beruhte auf den Kriterien </w:t>
      </w:r>
      <w:r w:rsidRPr="00B30A12">
        <w:rPr>
          <w:color w:val="000000"/>
          <w:sz w:val="22"/>
          <w:szCs w:val="22"/>
        </w:rPr>
        <w:lastRenderedPageBreak/>
        <w:t>der Southwestern Oncology Group (SWOG). Die Resultate sind in Tabelle</w:t>
      </w:r>
      <w:r w:rsidR="00C80819" w:rsidRPr="00B30A12">
        <w:rPr>
          <w:color w:val="000000"/>
          <w:sz w:val="22"/>
          <w:szCs w:val="22"/>
        </w:rPr>
        <w:t> </w:t>
      </w:r>
      <w:r w:rsidR="0094523F" w:rsidRPr="00B30A12">
        <w:rPr>
          <w:color w:val="000000"/>
          <w:sz w:val="22"/>
          <w:szCs w:val="22"/>
        </w:rPr>
        <w:t>6</w:t>
      </w:r>
      <w:r w:rsidR="005D6A26" w:rsidRPr="00B30A12">
        <w:rPr>
          <w:color w:val="000000"/>
          <w:sz w:val="22"/>
          <w:szCs w:val="22"/>
        </w:rPr>
        <w:t xml:space="preserve"> </w:t>
      </w:r>
      <w:r w:rsidRPr="00B30A12">
        <w:rPr>
          <w:color w:val="000000"/>
          <w:sz w:val="22"/>
          <w:szCs w:val="22"/>
        </w:rPr>
        <w:t>dargestellt.</w:t>
      </w:r>
    </w:p>
    <w:p w14:paraId="4511BB24" w14:textId="77777777" w:rsidR="006615F9" w:rsidRPr="00B30A12" w:rsidRDefault="006615F9" w:rsidP="00537E23">
      <w:pPr>
        <w:widowControl w:val="0"/>
        <w:rPr>
          <w:color w:val="000000"/>
          <w:sz w:val="22"/>
          <w:szCs w:val="22"/>
        </w:rPr>
      </w:pPr>
    </w:p>
    <w:p w14:paraId="54453B2E" w14:textId="77777777" w:rsidR="006615F9" w:rsidRPr="00B30A12" w:rsidRDefault="006615F9" w:rsidP="007A2B84">
      <w:pPr>
        <w:keepNext/>
        <w:widowControl w:val="0"/>
        <w:tabs>
          <w:tab w:val="left" w:pos="1134"/>
        </w:tabs>
        <w:rPr>
          <w:b/>
          <w:color w:val="000000"/>
          <w:sz w:val="22"/>
          <w:szCs w:val="22"/>
        </w:rPr>
      </w:pPr>
      <w:r w:rsidRPr="00B30A12">
        <w:rPr>
          <w:b/>
          <w:color w:val="000000"/>
          <w:sz w:val="22"/>
          <w:szCs w:val="22"/>
        </w:rPr>
        <w:t>Tabelle</w:t>
      </w:r>
      <w:r w:rsidR="00C80819" w:rsidRPr="00B30A12">
        <w:rPr>
          <w:b/>
          <w:color w:val="000000"/>
          <w:sz w:val="22"/>
          <w:szCs w:val="22"/>
        </w:rPr>
        <w:t> </w:t>
      </w:r>
      <w:r w:rsidR="0094523F" w:rsidRPr="00B30A12">
        <w:rPr>
          <w:b/>
          <w:color w:val="000000"/>
          <w:sz w:val="22"/>
          <w:szCs w:val="22"/>
        </w:rPr>
        <w:t>6</w:t>
      </w:r>
      <w:r w:rsidRPr="00B30A12">
        <w:rPr>
          <w:b/>
          <w:color w:val="000000"/>
          <w:sz w:val="22"/>
          <w:szCs w:val="22"/>
        </w:rPr>
        <w:tab/>
        <w:t>Beste Tumor</w:t>
      </w:r>
      <w:r w:rsidR="00693FDC" w:rsidRPr="00B30A12">
        <w:rPr>
          <w:b/>
          <w:color w:val="000000"/>
          <w:sz w:val="22"/>
          <w:szCs w:val="22"/>
        </w:rPr>
        <w:t>r</w:t>
      </w:r>
      <w:r w:rsidR="00680171" w:rsidRPr="00B30A12">
        <w:rPr>
          <w:b/>
          <w:color w:val="000000"/>
          <w:sz w:val="22"/>
          <w:szCs w:val="22"/>
        </w:rPr>
        <w:t>emission</w:t>
      </w:r>
      <w:r w:rsidRPr="00B30A12">
        <w:rPr>
          <w:b/>
          <w:color w:val="000000"/>
          <w:sz w:val="22"/>
          <w:szCs w:val="22"/>
        </w:rPr>
        <w:t xml:space="preserve"> in der Studie STIB2222 (GIST)</w:t>
      </w:r>
    </w:p>
    <w:p w14:paraId="7EFC2B26"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0"/>
        <w:gridCol w:w="4640"/>
      </w:tblGrid>
      <w:tr w:rsidR="006615F9" w:rsidRPr="00B30A12" w14:paraId="08C11529" w14:textId="77777777" w:rsidTr="00AD54DF">
        <w:trPr>
          <w:cantSplit/>
        </w:trPr>
        <w:tc>
          <w:tcPr>
            <w:tcW w:w="4640" w:type="dxa"/>
            <w:tcBorders>
              <w:left w:val="nil"/>
              <w:bottom w:val="nil"/>
              <w:right w:val="nil"/>
            </w:tcBorders>
          </w:tcPr>
          <w:p w14:paraId="2B105009"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p>
          <w:p w14:paraId="2BDB2D3B"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p>
          <w:p w14:paraId="1263009C"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p>
          <w:p w14:paraId="7B1B21C8"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 xml:space="preserve">Beste </w:t>
            </w:r>
            <w:r w:rsidR="00680171" w:rsidRPr="00B30A12">
              <w:rPr>
                <w:color w:val="000000"/>
                <w:szCs w:val="22"/>
              </w:rPr>
              <w:t>Remission</w:t>
            </w:r>
          </w:p>
        </w:tc>
        <w:tc>
          <w:tcPr>
            <w:tcW w:w="4640" w:type="dxa"/>
            <w:tcBorders>
              <w:left w:val="nil"/>
              <w:bottom w:val="nil"/>
              <w:right w:val="nil"/>
            </w:tcBorders>
          </w:tcPr>
          <w:p w14:paraId="5AEBEFF0"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Beide Dosierungen (n=147)</w:t>
            </w:r>
          </w:p>
          <w:p w14:paraId="2860B4D0"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400</w:t>
            </w:r>
            <w:r w:rsidR="001922B0" w:rsidRPr="00B30A12">
              <w:rPr>
                <w:color w:val="000000"/>
                <w:szCs w:val="22"/>
              </w:rPr>
              <w:t> mg</w:t>
            </w:r>
            <w:r w:rsidRPr="00B30A12">
              <w:rPr>
                <w:color w:val="000000"/>
                <w:szCs w:val="22"/>
              </w:rPr>
              <w:t xml:space="preserve"> (n=73)</w:t>
            </w:r>
          </w:p>
          <w:p w14:paraId="2105553F"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600</w:t>
            </w:r>
            <w:r w:rsidR="001922B0" w:rsidRPr="00B30A12">
              <w:rPr>
                <w:color w:val="000000"/>
                <w:szCs w:val="22"/>
              </w:rPr>
              <w:t> mg</w:t>
            </w:r>
            <w:r w:rsidRPr="00B30A12">
              <w:rPr>
                <w:color w:val="000000"/>
                <w:szCs w:val="22"/>
              </w:rPr>
              <w:t xml:space="preserve"> (n=74)</w:t>
            </w:r>
          </w:p>
          <w:p w14:paraId="64A428E0"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n (%)</w:t>
            </w:r>
          </w:p>
        </w:tc>
      </w:tr>
      <w:tr w:rsidR="006615F9" w:rsidRPr="00B30A12" w14:paraId="2053DFAE" w14:textId="77777777" w:rsidTr="00AD54DF">
        <w:trPr>
          <w:cantSplit/>
        </w:trPr>
        <w:tc>
          <w:tcPr>
            <w:tcW w:w="4640" w:type="dxa"/>
            <w:tcBorders>
              <w:left w:val="nil"/>
              <w:bottom w:val="nil"/>
              <w:right w:val="nil"/>
            </w:tcBorders>
          </w:tcPr>
          <w:p w14:paraId="72557C11" w14:textId="77777777" w:rsidR="006615F9" w:rsidRPr="00B30A12" w:rsidRDefault="00492935"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 xml:space="preserve">Komplette </w:t>
            </w:r>
            <w:r w:rsidR="00680171" w:rsidRPr="00B30A12">
              <w:rPr>
                <w:color w:val="000000"/>
                <w:szCs w:val="22"/>
              </w:rPr>
              <w:t>Remission</w:t>
            </w:r>
          </w:p>
        </w:tc>
        <w:tc>
          <w:tcPr>
            <w:tcW w:w="4640" w:type="dxa"/>
            <w:tcBorders>
              <w:left w:val="nil"/>
              <w:bottom w:val="nil"/>
              <w:right w:val="nil"/>
            </w:tcBorders>
          </w:tcPr>
          <w:p w14:paraId="54857E87" w14:textId="77777777" w:rsidR="006615F9" w:rsidRPr="00B30A12" w:rsidRDefault="008F7114"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1 (0,7)</w:t>
            </w:r>
          </w:p>
        </w:tc>
      </w:tr>
      <w:tr w:rsidR="006615F9" w:rsidRPr="00B30A12" w14:paraId="4E2B1EFE" w14:textId="77777777" w:rsidTr="00AD54DF">
        <w:trPr>
          <w:cantSplit/>
        </w:trPr>
        <w:tc>
          <w:tcPr>
            <w:tcW w:w="4640" w:type="dxa"/>
            <w:tcBorders>
              <w:top w:val="nil"/>
              <w:left w:val="nil"/>
              <w:bottom w:val="nil"/>
              <w:right w:val="nil"/>
            </w:tcBorders>
          </w:tcPr>
          <w:p w14:paraId="4CB8D97F" w14:textId="77777777" w:rsidR="006615F9" w:rsidRPr="00B30A12" w:rsidRDefault="00472959"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Partielle</w:t>
            </w:r>
            <w:r w:rsidR="006615F9" w:rsidRPr="00B30A12">
              <w:rPr>
                <w:color w:val="000000"/>
                <w:szCs w:val="22"/>
              </w:rPr>
              <w:t xml:space="preserve"> </w:t>
            </w:r>
            <w:r w:rsidR="00680171" w:rsidRPr="00B30A12">
              <w:rPr>
                <w:color w:val="000000"/>
                <w:szCs w:val="22"/>
              </w:rPr>
              <w:t>Remission</w:t>
            </w:r>
          </w:p>
        </w:tc>
        <w:tc>
          <w:tcPr>
            <w:tcW w:w="4640" w:type="dxa"/>
            <w:tcBorders>
              <w:top w:val="nil"/>
              <w:left w:val="nil"/>
              <w:bottom w:val="nil"/>
              <w:right w:val="nil"/>
            </w:tcBorders>
          </w:tcPr>
          <w:p w14:paraId="6A7CBB52"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9</w:t>
            </w:r>
            <w:r w:rsidR="008F7114" w:rsidRPr="00B30A12">
              <w:rPr>
                <w:color w:val="000000"/>
                <w:szCs w:val="22"/>
              </w:rPr>
              <w:t>8</w:t>
            </w:r>
            <w:r w:rsidRPr="00B30A12">
              <w:rPr>
                <w:color w:val="000000"/>
                <w:szCs w:val="22"/>
              </w:rPr>
              <w:t xml:space="preserve"> (</w:t>
            </w:r>
            <w:r w:rsidR="008F7114" w:rsidRPr="00B30A12">
              <w:rPr>
                <w:color w:val="000000"/>
                <w:szCs w:val="22"/>
              </w:rPr>
              <w:t>66,7</w:t>
            </w:r>
            <w:r w:rsidRPr="00B30A12">
              <w:rPr>
                <w:color w:val="000000"/>
                <w:szCs w:val="22"/>
              </w:rPr>
              <w:t>)</w:t>
            </w:r>
          </w:p>
        </w:tc>
      </w:tr>
      <w:tr w:rsidR="006615F9" w:rsidRPr="00B30A12" w14:paraId="0A751234" w14:textId="77777777" w:rsidTr="00AD54DF">
        <w:trPr>
          <w:cantSplit/>
        </w:trPr>
        <w:tc>
          <w:tcPr>
            <w:tcW w:w="4640" w:type="dxa"/>
            <w:tcBorders>
              <w:top w:val="nil"/>
              <w:left w:val="nil"/>
              <w:bottom w:val="nil"/>
              <w:right w:val="nil"/>
            </w:tcBorders>
          </w:tcPr>
          <w:p w14:paraId="6750C6D2"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Unveränderter Zustand</w:t>
            </w:r>
          </w:p>
        </w:tc>
        <w:tc>
          <w:tcPr>
            <w:tcW w:w="4640" w:type="dxa"/>
            <w:tcBorders>
              <w:top w:val="nil"/>
              <w:left w:val="nil"/>
              <w:bottom w:val="nil"/>
              <w:right w:val="nil"/>
            </w:tcBorders>
          </w:tcPr>
          <w:p w14:paraId="20E84A3F" w14:textId="77777777" w:rsidR="006615F9" w:rsidRPr="00B30A12" w:rsidRDefault="008F7114"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 xml:space="preserve">23 </w:t>
            </w:r>
            <w:r w:rsidR="006615F9" w:rsidRPr="00B30A12">
              <w:rPr>
                <w:color w:val="000000"/>
                <w:szCs w:val="22"/>
              </w:rPr>
              <w:t>(1</w:t>
            </w:r>
            <w:r w:rsidRPr="00B30A12">
              <w:rPr>
                <w:color w:val="000000"/>
                <w:szCs w:val="22"/>
              </w:rPr>
              <w:t>5</w:t>
            </w:r>
            <w:r w:rsidR="006615F9" w:rsidRPr="00B30A12">
              <w:rPr>
                <w:color w:val="000000"/>
                <w:szCs w:val="22"/>
              </w:rPr>
              <w:t>,</w:t>
            </w:r>
            <w:r w:rsidRPr="00B30A12">
              <w:rPr>
                <w:color w:val="000000"/>
                <w:szCs w:val="22"/>
              </w:rPr>
              <w:t>6</w:t>
            </w:r>
            <w:r w:rsidR="006615F9" w:rsidRPr="00B30A12">
              <w:rPr>
                <w:color w:val="000000"/>
                <w:szCs w:val="22"/>
              </w:rPr>
              <w:t>)</w:t>
            </w:r>
          </w:p>
        </w:tc>
      </w:tr>
      <w:tr w:rsidR="006615F9" w:rsidRPr="00B30A12" w14:paraId="1B2F8375" w14:textId="77777777" w:rsidTr="00AD54DF">
        <w:trPr>
          <w:cantSplit/>
        </w:trPr>
        <w:tc>
          <w:tcPr>
            <w:tcW w:w="4640" w:type="dxa"/>
            <w:tcBorders>
              <w:top w:val="nil"/>
              <w:left w:val="nil"/>
              <w:bottom w:val="nil"/>
              <w:right w:val="nil"/>
            </w:tcBorders>
          </w:tcPr>
          <w:p w14:paraId="48481B06"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Krankheitsprogression</w:t>
            </w:r>
          </w:p>
        </w:tc>
        <w:tc>
          <w:tcPr>
            <w:tcW w:w="4640" w:type="dxa"/>
            <w:tcBorders>
              <w:top w:val="nil"/>
              <w:left w:val="nil"/>
              <w:bottom w:val="nil"/>
              <w:right w:val="nil"/>
            </w:tcBorders>
          </w:tcPr>
          <w:p w14:paraId="11418F9F" w14:textId="77777777" w:rsidR="006615F9" w:rsidRPr="00B30A12" w:rsidRDefault="006615F9"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18 (12,2)</w:t>
            </w:r>
          </w:p>
        </w:tc>
      </w:tr>
      <w:tr w:rsidR="006615F9" w:rsidRPr="00B30A12" w14:paraId="278BCFBC" w14:textId="77777777" w:rsidTr="00AD54DF">
        <w:trPr>
          <w:cantSplit/>
        </w:trPr>
        <w:tc>
          <w:tcPr>
            <w:tcW w:w="4640" w:type="dxa"/>
            <w:tcBorders>
              <w:top w:val="nil"/>
              <w:left w:val="nil"/>
              <w:bottom w:val="nil"/>
              <w:right w:val="nil"/>
            </w:tcBorders>
          </w:tcPr>
          <w:p w14:paraId="08D2D7EE" w14:textId="77777777" w:rsidR="006615F9" w:rsidRPr="00B30A12" w:rsidRDefault="006615F9" w:rsidP="007A2B84">
            <w:pPr>
              <w:pStyle w:val="Header"/>
              <w:keepNext/>
              <w:widowControl w:val="0"/>
              <w:tabs>
                <w:tab w:val="clear" w:pos="4320"/>
                <w:tab w:val="clear" w:pos="8640"/>
                <w:tab w:val="right" w:leader="underscore" w:pos="9072"/>
              </w:tabs>
              <w:rPr>
                <w:color w:val="000000"/>
                <w:szCs w:val="22"/>
              </w:rPr>
            </w:pPr>
            <w:r w:rsidRPr="00B30A12">
              <w:rPr>
                <w:color w:val="000000"/>
                <w:szCs w:val="22"/>
              </w:rPr>
              <w:t>Nicht auswertbar</w:t>
            </w:r>
          </w:p>
        </w:tc>
        <w:tc>
          <w:tcPr>
            <w:tcW w:w="4640" w:type="dxa"/>
            <w:tcBorders>
              <w:top w:val="nil"/>
              <w:left w:val="nil"/>
              <w:bottom w:val="nil"/>
              <w:right w:val="nil"/>
            </w:tcBorders>
          </w:tcPr>
          <w:p w14:paraId="1BB27053" w14:textId="77777777" w:rsidR="006615F9" w:rsidRPr="00B30A12" w:rsidRDefault="00C27FBA" w:rsidP="007A2B84">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 xml:space="preserve">5 </w:t>
            </w:r>
            <w:r w:rsidR="006615F9" w:rsidRPr="00B30A12">
              <w:rPr>
                <w:color w:val="000000"/>
                <w:szCs w:val="22"/>
              </w:rPr>
              <w:t>(</w:t>
            </w:r>
            <w:r w:rsidRPr="00B30A12">
              <w:rPr>
                <w:color w:val="000000"/>
                <w:szCs w:val="22"/>
              </w:rPr>
              <w:t>3,4</w:t>
            </w:r>
            <w:r w:rsidR="006615F9" w:rsidRPr="00B30A12">
              <w:rPr>
                <w:color w:val="000000"/>
                <w:szCs w:val="22"/>
              </w:rPr>
              <w:t>)</w:t>
            </w:r>
          </w:p>
        </w:tc>
      </w:tr>
      <w:tr w:rsidR="006615F9" w:rsidRPr="00B30A12" w14:paraId="2770DB34" w14:textId="77777777" w:rsidTr="00AD54DF">
        <w:trPr>
          <w:cantSplit/>
        </w:trPr>
        <w:tc>
          <w:tcPr>
            <w:tcW w:w="4640" w:type="dxa"/>
            <w:tcBorders>
              <w:top w:val="nil"/>
              <w:left w:val="nil"/>
              <w:right w:val="nil"/>
            </w:tcBorders>
          </w:tcPr>
          <w:p w14:paraId="39AD1FE3" w14:textId="77777777" w:rsidR="006615F9" w:rsidRPr="00B30A12" w:rsidRDefault="006615F9" w:rsidP="00537E23">
            <w:pPr>
              <w:pStyle w:val="Header"/>
              <w:widowControl w:val="0"/>
              <w:tabs>
                <w:tab w:val="clear" w:pos="4320"/>
                <w:tab w:val="clear" w:pos="8640"/>
                <w:tab w:val="right" w:leader="underscore" w:pos="9072"/>
              </w:tabs>
              <w:rPr>
                <w:color w:val="000000"/>
                <w:szCs w:val="22"/>
              </w:rPr>
            </w:pPr>
            <w:r w:rsidRPr="00B30A12">
              <w:rPr>
                <w:color w:val="000000"/>
                <w:szCs w:val="22"/>
              </w:rPr>
              <w:t>Unbekannt</w:t>
            </w:r>
          </w:p>
        </w:tc>
        <w:tc>
          <w:tcPr>
            <w:tcW w:w="4640" w:type="dxa"/>
            <w:tcBorders>
              <w:top w:val="nil"/>
              <w:left w:val="nil"/>
              <w:right w:val="nil"/>
            </w:tcBorders>
          </w:tcPr>
          <w:p w14:paraId="41AD10F8" w14:textId="77777777" w:rsidR="006615F9" w:rsidRPr="00B30A12" w:rsidRDefault="006615F9" w:rsidP="00537E23">
            <w:pPr>
              <w:pStyle w:val="Header"/>
              <w:widowControl w:val="0"/>
              <w:tabs>
                <w:tab w:val="clear" w:pos="4320"/>
                <w:tab w:val="clear" w:pos="8640"/>
                <w:tab w:val="right" w:leader="underscore" w:pos="9072"/>
              </w:tabs>
              <w:jc w:val="center"/>
              <w:rPr>
                <w:color w:val="000000"/>
                <w:szCs w:val="22"/>
              </w:rPr>
            </w:pPr>
            <w:r w:rsidRPr="00B30A12">
              <w:rPr>
                <w:color w:val="000000"/>
                <w:szCs w:val="22"/>
              </w:rPr>
              <w:t>2 (1,4)</w:t>
            </w:r>
          </w:p>
        </w:tc>
      </w:tr>
    </w:tbl>
    <w:p w14:paraId="2F961CF4" w14:textId="77777777" w:rsidR="006615F9" w:rsidRPr="00B30A12" w:rsidRDefault="006615F9" w:rsidP="00537E23">
      <w:pPr>
        <w:pStyle w:val="Header"/>
        <w:widowControl w:val="0"/>
        <w:tabs>
          <w:tab w:val="clear" w:pos="4320"/>
          <w:tab w:val="clear" w:pos="8640"/>
          <w:tab w:val="right" w:leader="underscore" w:pos="9072"/>
        </w:tabs>
        <w:rPr>
          <w:color w:val="000000"/>
          <w:szCs w:val="22"/>
        </w:rPr>
      </w:pPr>
    </w:p>
    <w:p w14:paraId="2CE185EC" w14:textId="77777777" w:rsidR="00BB4295" w:rsidRPr="00B30A12" w:rsidRDefault="006615F9"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gab keinen Unterschied in den Ansprechraten zwischen den 2</w:t>
      </w:r>
      <w:r w:rsidR="00C80819" w:rsidRPr="00B30A12">
        <w:rPr>
          <w:color w:val="000000"/>
          <w:szCs w:val="22"/>
        </w:rPr>
        <w:t> </w:t>
      </w:r>
      <w:r w:rsidRPr="00B30A12">
        <w:rPr>
          <w:color w:val="000000"/>
          <w:szCs w:val="22"/>
        </w:rPr>
        <w:t>Dosierungen. Eine beträchtliche Zahl der Patienten</w:t>
      </w:r>
      <w:r w:rsidR="00BB4295" w:rsidRPr="00B30A12">
        <w:rPr>
          <w:color w:val="000000"/>
          <w:szCs w:val="22"/>
        </w:rPr>
        <w:t>, die</w:t>
      </w:r>
      <w:r w:rsidRPr="00B30A12">
        <w:rPr>
          <w:color w:val="000000"/>
          <w:szCs w:val="22"/>
        </w:rPr>
        <w:t xml:space="preserve"> zum Zeitpunkt der Interimanalyse einen unveränderten Krankheitszustand auf</w:t>
      </w:r>
      <w:r w:rsidR="00BB4295" w:rsidRPr="00B30A12">
        <w:rPr>
          <w:color w:val="000000"/>
          <w:szCs w:val="22"/>
        </w:rPr>
        <w:t>wiesen, erreichte bei längerer Behandlung (medianer Follow-up 31</w:t>
      </w:r>
      <w:r w:rsidR="000B60CB" w:rsidRPr="00B30A12">
        <w:rPr>
          <w:color w:val="000000"/>
          <w:szCs w:val="22"/>
        </w:rPr>
        <w:t> </w:t>
      </w:r>
      <w:r w:rsidR="00BB4295" w:rsidRPr="00B30A12">
        <w:rPr>
          <w:color w:val="000000"/>
          <w:szCs w:val="22"/>
        </w:rPr>
        <w:t>Monate) ein</w:t>
      </w:r>
      <w:r w:rsidR="003D32C4" w:rsidRPr="00B30A12">
        <w:rPr>
          <w:color w:val="000000"/>
          <w:szCs w:val="22"/>
        </w:rPr>
        <w:t>e</w:t>
      </w:r>
      <w:r w:rsidR="00BB4295" w:rsidRPr="00B30A12">
        <w:rPr>
          <w:color w:val="000000"/>
          <w:szCs w:val="22"/>
        </w:rPr>
        <w:t xml:space="preserve"> partielle </w:t>
      </w:r>
      <w:r w:rsidR="003D32C4" w:rsidRPr="00B30A12">
        <w:rPr>
          <w:color w:val="000000"/>
          <w:szCs w:val="22"/>
        </w:rPr>
        <w:t>Remission</w:t>
      </w:r>
      <w:r w:rsidRPr="00B30A12">
        <w:rPr>
          <w:color w:val="000000"/>
          <w:szCs w:val="22"/>
        </w:rPr>
        <w:t xml:space="preserve">. </w:t>
      </w:r>
      <w:r w:rsidR="00BB4295" w:rsidRPr="00B30A12">
        <w:rPr>
          <w:color w:val="000000"/>
          <w:szCs w:val="22"/>
        </w:rPr>
        <w:t>Die mediane Zeit bis zu</w:t>
      </w:r>
      <w:r w:rsidR="003D32C4" w:rsidRPr="00B30A12">
        <w:rPr>
          <w:color w:val="000000"/>
          <w:szCs w:val="22"/>
        </w:rPr>
        <w:t>r</w:t>
      </w:r>
      <w:r w:rsidR="00BB4295" w:rsidRPr="00B30A12">
        <w:rPr>
          <w:color w:val="000000"/>
          <w:szCs w:val="22"/>
        </w:rPr>
        <w:t xml:space="preserve"> </w:t>
      </w:r>
      <w:r w:rsidR="003D32C4" w:rsidRPr="00B30A12">
        <w:rPr>
          <w:color w:val="000000"/>
          <w:szCs w:val="22"/>
        </w:rPr>
        <w:t>Remission</w:t>
      </w:r>
      <w:r w:rsidR="00BB4295" w:rsidRPr="00B30A12">
        <w:rPr>
          <w:color w:val="000000"/>
          <w:szCs w:val="22"/>
        </w:rPr>
        <w:t xml:space="preserve"> betrug 13</w:t>
      </w:r>
      <w:r w:rsidR="000B60CB" w:rsidRPr="00B30A12">
        <w:rPr>
          <w:color w:val="000000"/>
          <w:szCs w:val="22"/>
        </w:rPr>
        <w:t> </w:t>
      </w:r>
      <w:r w:rsidR="00BB4295" w:rsidRPr="00B30A12">
        <w:rPr>
          <w:color w:val="000000"/>
          <w:szCs w:val="22"/>
        </w:rPr>
        <w:t>Wochen (95%</w:t>
      </w:r>
      <w:r w:rsidR="008B0DF4" w:rsidRPr="00B30A12">
        <w:rPr>
          <w:color w:val="000000"/>
          <w:szCs w:val="22"/>
        </w:rPr>
        <w:t>-KI</w:t>
      </w:r>
      <w:r w:rsidR="00BB4295" w:rsidRPr="00B30A12">
        <w:rPr>
          <w:color w:val="000000"/>
          <w:szCs w:val="22"/>
        </w:rPr>
        <w:t xml:space="preserve"> 12</w:t>
      </w:r>
      <w:r w:rsidR="000B60CB" w:rsidRPr="00B30A12">
        <w:rPr>
          <w:color w:val="000000"/>
          <w:szCs w:val="22"/>
        </w:rPr>
        <w:t>–</w:t>
      </w:r>
      <w:r w:rsidR="00BB4295" w:rsidRPr="00B30A12">
        <w:rPr>
          <w:color w:val="000000"/>
          <w:szCs w:val="22"/>
        </w:rPr>
        <w:t>23). Die mediane Zeit bis zum Therapieversagen betrug bei Respondern 122</w:t>
      </w:r>
      <w:r w:rsidR="000B60CB" w:rsidRPr="00B30A12">
        <w:rPr>
          <w:color w:val="000000"/>
          <w:szCs w:val="22"/>
        </w:rPr>
        <w:t> </w:t>
      </w:r>
      <w:r w:rsidR="00BB4295" w:rsidRPr="00B30A12">
        <w:rPr>
          <w:color w:val="000000"/>
          <w:szCs w:val="22"/>
        </w:rPr>
        <w:t>Wochen (95%</w:t>
      </w:r>
      <w:r w:rsidR="008B0DF4" w:rsidRPr="00B30A12">
        <w:rPr>
          <w:color w:val="000000"/>
          <w:szCs w:val="22"/>
        </w:rPr>
        <w:t>-KI</w:t>
      </w:r>
      <w:r w:rsidR="00BB4295" w:rsidRPr="00B30A12">
        <w:rPr>
          <w:color w:val="000000"/>
          <w:szCs w:val="22"/>
        </w:rPr>
        <w:t xml:space="preserve"> 106</w:t>
      </w:r>
      <w:r w:rsidR="000B60CB" w:rsidRPr="00B30A12">
        <w:rPr>
          <w:color w:val="000000"/>
          <w:szCs w:val="22"/>
        </w:rPr>
        <w:t>–</w:t>
      </w:r>
      <w:r w:rsidR="00BB4295" w:rsidRPr="00B30A12">
        <w:rPr>
          <w:color w:val="000000"/>
          <w:szCs w:val="22"/>
        </w:rPr>
        <w:t>147), während sie bei der Gesamtstudienpopulation bei 84</w:t>
      </w:r>
      <w:r w:rsidR="000B60CB" w:rsidRPr="00B30A12">
        <w:rPr>
          <w:color w:val="000000"/>
          <w:szCs w:val="22"/>
        </w:rPr>
        <w:t> </w:t>
      </w:r>
      <w:r w:rsidR="00BB4295" w:rsidRPr="00B30A12">
        <w:rPr>
          <w:color w:val="000000"/>
          <w:szCs w:val="22"/>
        </w:rPr>
        <w:t>Wochen lag (95%</w:t>
      </w:r>
      <w:r w:rsidR="008B0DF4" w:rsidRPr="00B30A12">
        <w:rPr>
          <w:color w:val="000000"/>
          <w:szCs w:val="22"/>
        </w:rPr>
        <w:t>-KI</w:t>
      </w:r>
      <w:r w:rsidR="00BB4295" w:rsidRPr="00B30A12">
        <w:rPr>
          <w:color w:val="000000"/>
          <w:szCs w:val="22"/>
        </w:rPr>
        <w:t xml:space="preserve"> 71</w:t>
      </w:r>
      <w:r w:rsidR="000B60CB" w:rsidRPr="00B30A12">
        <w:rPr>
          <w:color w:val="000000"/>
          <w:szCs w:val="22"/>
        </w:rPr>
        <w:t>–</w:t>
      </w:r>
      <w:r w:rsidR="00BB4295" w:rsidRPr="00B30A12">
        <w:rPr>
          <w:color w:val="000000"/>
          <w:szCs w:val="22"/>
        </w:rPr>
        <w:t>109). Das mediane Gesamtüberleben wurde nicht erreicht. Die Kaplan-Meier-Schätzung für das Überleben nach 36</w:t>
      </w:r>
      <w:r w:rsidR="000B60CB" w:rsidRPr="00B30A12">
        <w:rPr>
          <w:color w:val="000000"/>
          <w:szCs w:val="22"/>
        </w:rPr>
        <w:t> </w:t>
      </w:r>
      <w:r w:rsidR="00BB4295" w:rsidRPr="00B30A12">
        <w:rPr>
          <w:color w:val="000000"/>
          <w:szCs w:val="22"/>
        </w:rPr>
        <w:t>Monaten beträgt 68%.</w:t>
      </w:r>
    </w:p>
    <w:p w14:paraId="62DB7AEF" w14:textId="77777777" w:rsidR="00BB4295" w:rsidRPr="00B30A12" w:rsidRDefault="00BB4295" w:rsidP="00537E23">
      <w:pPr>
        <w:pStyle w:val="Header"/>
        <w:widowControl w:val="0"/>
        <w:tabs>
          <w:tab w:val="clear" w:pos="4320"/>
          <w:tab w:val="clear" w:pos="8640"/>
          <w:tab w:val="center" w:pos="6804"/>
          <w:tab w:val="right" w:leader="underscore" w:pos="9072"/>
        </w:tabs>
        <w:rPr>
          <w:color w:val="000000"/>
          <w:szCs w:val="22"/>
        </w:rPr>
      </w:pPr>
    </w:p>
    <w:p w14:paraId="1908189D" w14:textId="77777777" w:rsidR="006615F9" w:rsidRPr="00B30A12" w:rsidRDefault="00BB4295"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In zwei klinischen Studien (Studie B2222 und Intergroup-Studie S0033) wurde die tägliche Dosis von Glivec auf 800 mg </w:t>
      </w:r>
      <w:r w:rsidR="00AB281D" w:rsidRPr="00B30A12">
        <w:rPr>
          <w:color w:val="000000"/>
          <w:szCs w:val="22"/>
        </w:rPr>
        <w:t xml:space="preserve">bei Patienten </w:t>
      </w:r>
      <w:r w:rsidRPr="00B30A12">
        <w:rPr>
          <w:color w:val="000000"/>
          <w:szCs w:val="22"/>
        </w:rPr>
        <w:t xml:space="preserve">erhöht, die unter den niedrigeren </w:t>
      </w:r>
      <w:r w:rsidR="00AB281D" w:rsidRPr="00B30A12">
        <w:rPr>
          <w:color w:val="000000"/>
          <w:szCs w:val="22"/>
        </w:rPr>
        <w:t>Dosen von 400 mg oder 600 mg täglich progredient waren. Die tägliche Dosis wurde bei insgesamt 103</w:t>
      </w:r>
      <w:r w:rsidR="00491846" w:rsidRPr="00B30A12">
        <w:rPr>
          <w:color w:val="000000"/>
          <w:szCs w:val="22"/>
        </w:rPr>
        <w:t> </w:t>
      </w:r>
      <w:r w:rsidR="00AB281D" w:rsidRPr="00B30A12">
        <w:rPr>
          <w:color w:val="000000"/>
          <w:szCs w:val="22"/>
        </w:rPr>
        <w:t>Patienten auf 800 mg erhöht. Nach der Dosissteigerung erreichten 6</w:t>
      </w:r>
      <w:r w:rsidR="00491846" w:rsidRPr="00B30A12">
        <w:rPr>
          <w:color w:val="000000"/>
          <w:szCs w:val="22"/>
        </w:rPr>
        <w:t> </w:t>
      </w:r>
      <w:r w:rsidR="00AB281D" w:rsidRPr="00B30A12">
        <w:rPr>
          <w:color w:val="000000"/>
          <w:szCs w:val="22"/>
        </w:rPr>
        <w:t>Patienten ein</w:t>
      </w:r>
      <w:r w:rsidR="003D32C4" w:rsidRPr="00B30A12">
        <w:rPr>
          <w:color w:val="000000"/>
          <w:szCs w:val="22"/>
        </w:rPr>
        <w:t>e</w:t>
      </w:r>
      <w:r w:rsidR="00AB281D" w:rsidRPr="00B30A12">
        <w:rPr>
          <w:color w:val="000000"/>
          <w:szCs w:val="22"/>
        </w:rPr>
        <w:t xml:space="preserve"> partielle </w:t>
      </w:r>
      <w:r w:rsidR="003D32C4" w:rsidRPr="00B30A12">
        <w:rPr>
          <w:color w:val="000000"/>
          <w:szCs w:val="22"/>
        </w:rPr>
        <w:t>Remission</w:t>
      </w:r>
      <w:r w:rsidR="00AB281D" w:rsidRPr="00B30A12">
        <w:rPr>
          <w:color w:val="000000"/>
          <w:szCs w:val="22"/>
        </w:rPr>
        <w:t xml:space="preserve"> und 21</w:t>
      </w:r>
      <w:r w:rsidR="00491846" w:rsidRPr="00B30A12">
        <w:rPr>
          <w:color w:val="000000"/>
          <w:szCs w:val="22"/>
        </w:rPr>
        <w:t> </w:t>
      </w:r>
      <w:r w:rsidR="00AB281D" w:rsidRPr="00B30A12">
        <w:rPr>
          <w:color w:val="000000"/>
          <w:szCs w:val="22"/>
        </w:rPr>
        <w:t xml:space="preserve">Patienten eine Stabilisierung ihrer Erkrankung, entsprechend einem klinischen Gesamtnutzen von 26%. Auf der Grundlage der verfügbaren Sicherheitsdaten scheint </w:t>
      </w:r>
      <w:r w:rsidR="00C25710" w:rsidRPr="00B30A12">
        <w:rPr>
          <w:color w:val="000000"/>
          <w:szCs w:val="22"/>
        </w:rPr>
        <w:t xml:space="preserve">bei Patienten, die unter den niedrigeren Dosen von 400 mg oder 600 mg täglich progredient waren, </w:t>
      </w:r>
      <w:r w:rsidR="00AB281D" w:rsidRPr="00B30A12">
        <w:rPr>
          <w:color w:val="000000"/>
          <w:szCs w:val="22"/>
        </w:rPr>
        <w:t>eine Erhöhung der Dosis auf 800 mg täglich das Sicherheitsprofil von Glivec nicht zu beeinflussen.</w:t>
      </w:r>
    </w:p>
    <w:p w14:paraId="66A50730" w14:textId="77777777" w:rsidR="00B30B08" w:rsidRPr="00B30A12" w:rsidRDefault="00B30B08" w:rsidP="00537E23">
      <w:pPr>
        <w:pStyle w:val="Header"/>
        <w:widowControl w:val="0"/>
        <w:tabs>
          <w:tab w:val="clear" w:pos="4320"/>
          <w:tab w:val="clear" w:pos="8640"/>
          <w:tab w:val="center" w:pos="6804"/>
          <w:tab w:val="right" w:leader="underscore" w:pos="9072"/>
        </w:tabs>
        <w:rPr>
          <w:color w:val="000000"/>
          <w:szCs w:val="22"/>
        </w:rPr>
      </w:pPr>
    </w:p>
    <w:p w14:paraId="6411B991" w14:textId="77777777" w:rsidR="007356AA" w:rsidRPr="00B30A12" w:rsidRDefault="007356AA" w:rsidP="007A2B84">
      <w:pPr>
        <w:pStyle w:val="Header"/>
        <w:keepNext/>
        <w:widowControl w:val="0"/>
        <w:tabs>
          <w:tab w:val="clear" w:pos="4320"/>
          <w:tab w:val="clear" w:pos="8640"/>
          <w:tab w:val="center" w:pos="6804"/>
          <w:tab w:val="right" w:leader="underscore" w:pos="9072"/>
        </w:tabs>
        <w:rPr>
          <w:color w:val="000000"/>
          <w:szCs w:val="22"/>
        </w:rPr>
      </w:pPr>
      <w:r w:rsidRPr="00B30A12">
        <w:rPr>
          <w:color w:val="000000"/>
          <w:szCs w:val="22"/>
          <w:u w:val="single"/>
        </w:rPr>
        <w:t>Klinische Studie</w:t>
      </w:r>
      <w:r w:rsidR="00E26D14" w:rsidRPr="00B30A12">
        <w:rPr>
          <w:color w:val="000000"/>
          <w:szCs w:val="22"/>
          <w:u w:val="single"/>
        </w:rPr>
        <w:t>n</w:t>
      </w:r>
      <w:r w:rsidRPr="00B30A12">
        <w:rPr>
          <w:color w:val="000000"/>
          <w:szCs w:val="22"/>
          <w:u w:val="single"/>
        </w:rPr>
        <w:t xml:space="preserve"> bei adjuvanter Behandlung der GIST</w:t>
      </w:r>
    </w:p>
    <w:p w14:paraId="1708D68E"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In der adjuvanten Indikation wurde Glivec in einer multizentrischen, doppelblinden, Placebo-kontrollierten Langzeit-Phase-</w:t>
      </w:r>
      <w:smartTag w:uri="urn:schemas-microsoft-com:office:smarttags" w:element="stockticker">
        <w:r w:rsidRPr="00B30A12">
          <w:rPr>
            <w:color w:val="000000"/>
            <w:szCs w:val="22"/>
          </w:rPr>
          <w:t>III</w:t>
        </w:r>
      </w:smartTag>
      <w:r w:rsidRPr="00B30A12">
        <w:rPr>
          <w:color w:val="000000"/>
          <w:szCs w:val="22"/>
        </w:rPr>
        <w:t>-Studie (Z9001), in die 773 Patienten eingeschlossen waren, untersucht. Das Alter dieser Patienten reichte von 18 bis 91 Jahren. Es wurden Patienten mit histologischer Diagnose von primären, aufgrund immunochemischer Untersuchungen Kit-Protein exprimierenden GIST mit einer Tumorgröße von ≥ 3 cm in der maximalen Ausdehnung und mit vollständiger Resektion der primären GIST innerhalb von 14</w:t>
      </w:r>
      <w:r w:rsidRPr="00B30A12">
        <w:rPr>
          <w:color w:val="000000"/>
          <w:szCs w:val="22"/>
        </w:rPr>
        <w:noBreakHyphen/>
        <w:t>70 Tagen vor dem Einschluss in die Studie aufgenommen. Nach der Resektion der primären GIST wurden die Patienten in einen der beiden Studienarme randomisiert: ein Jahr lang 400 mg Glivec oder Placebo.</w:t>
      </w:r>
    </w:p>
    <w:p w14:paraId="491BC81F"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p>
    <w:p w14:paraId="49D9327D"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Der primäre Endpunkt der Studie war das rezidivfreie Überleben (recurrence-free survival – </w:t>
      </w:r>
      <w:smartTag w:uri="urn:schemas-microsoft-com:office:smarttags" w:element="stockticker">
        <w:r w:rsidRPr="00B30A12">
          <w:rPr>
            <w:color w:val="000000"/>
            <w:szCs w:val="22"/>
          </w:rPr>
          <w:t>RFS</w:t>
        </w:r>
      </w:smartTag>
      <w:r w:rsidRPr="00B30A12">
        <w:rPr>
          <w:color w:val="000000"/>
          <w:szCs w:val="22"/>
        </w:rPr>
        <w:t>), definiert als Zeitspanne vom Zeitpunkt der Randomisierung bis zum Zeitpunkt des Rezidivs oder des Todeszeitpunktes, gleich welcher Ursache.</w:t>
      </w:r>
    </w:p>
    <w:p w14:paraId="2C72CE76"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p>
    <w:p w14:paraId="4B6751AB"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Glivec verlängerte das </w:t>
      </w:r>
      <w:smartTag w:uri="urn:schemas-microsoft-com:office:smarttags" w:element="stockticker">
        <w:r w:rsidRPr="00B30A12">
          <w:rPr>
            <w:color w:val="000000"/>
            <w:szCs w:val="22"/>
          </w:rPr>
          <w:t>RFS</w:t>
        </w:r>
      </w:smartTag>
      <w:r w:rsidRPr="00B30A12">
        <w:rPr>
          <w:color w:val="000000"/>
          <w:szCs w:val="22"/>
        </w:rPr>
        <w:t xml:space="preserve"> signifikant, wobei der 75%-Anteil rezidivfreier Patienten in der Glivec-Gruppe 38</w:t>
      </w:r>
      <w:r w:rsidRPr="00B30A12">
        <w:t> </w:t>
      </w:r>
      <w:r w:rsidRPr="00B30A12">
        <w:rPr>
          <w:color w:val="000000"/>
          <w:szCs w:val="22"/>
        </w:rPr>
        <w:t>Monate betrug gegenüber 20 Monate in der Placebo-Gruppe (95%</w:t>
      </w:r>
      <w:r w:rsidR="008B0DF4" w:rsidRPr="00B30A12">
        <w:rPr>
          <w:color w:val="000000"/>
          <w:szCs w:val="22"/>
        </w:rPr>
        <w:t>-KI</w:t>
      </w:r>
      <w:r w:rsidRPr="00B30A12">
        <w:rPr>
          <w:color w:val="000000"/>
          <w:szCs w:val="22"/>
        </w:rPr>
        <w:t>s 30 bis nicht schätzbar bzw. 14 bis nicht schätzbar; Hazard Ratio = 0,398 [0,259</w:t>
      </w:r>
      <w:r w:rsidRPr="00B30A12">
        <w:rPr>
          <w:color w:val="000000"/>
          <w:szCs w:val="22"/>
        </w:rPr>
        <w:noBreakHyphen/>
        <w:t>0,610], p&lt;0,0001). Nach einem Jahr war das Gesamt-</w:t>
      </w:r>
      <w:smartTag w:uri="urn:schemas-microsoft-com:office:smarttags" w:element="stockticker">
        <w:r w:rsidRPr="00B30A12">
          <w:rPr>
            <w:color w:val="000000"/>
            <w:szCs w:val="22"/>
          </w:rPr>
          <w:t>RFS</w:t>
        </w:r>
      </w:smartTag>
      <w:r w:rsidRPr="00B30A12">
        <w:rPr>
          <w:color w:val="000000"/>
          <w:szCs w:val="22"/>
        </w:rPr>
        <w:t xml:space="preserve"> unter Glivec signifikant besser als unter Placebo ((97,7% vs. 82,3%, p&lt;0,0001). Das Rezidivrisiko war somit im Vergleich zu Placebo um etwa 89% reduziert (Hazard Ratio = 0,113 [0,049</w:t>
      </w:r>
      <w:r w:rsidRPr="00B30A12">
        <w:rPr>
          <w:color w:val="000000"/>
          <w:szCs w:val="22"/>
        </w:rPr>
        <w:noBreakHyphen/>
        <w:t>0,264].</w:t>
      </w:r>
    </w:p>
    <w:p w14:paraId="55B4EDED"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p>
    <w:p w14:paraId="19189104" w14:textId="77777777" w:rsidR="007356AA" w:rsidRPr="00B30A12" w:rsidRDefault="007356AA"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Das Rezidivrisiko bei Patienten nach Operation der primären GIST wurde retrospektiv auf der Basis der folgenden prognostischen Faktoren beurteilt: Tumorgröße, mitotischer Index, Tumorlokalisation. Die Daten zum mitotischen Index waren für 556 der </w:t>
      </w:r>
      <w:r w:rsidR="00EE7F88" w:rsidRPr="00B30A12">
        <w:rPr>
          <w:color w:val="000000"/>
          <w:szCs w:val="22"/>
        </w:rPr>
        <w:t>713</w:t>
      </w:r>
      <w:r w:rsidRPr="00B30A12">
        <w:rPr>
          <w:color w:val="000000"/>
          <w:szCs w:val="22"/>
        </w:rPr>
        <w:t> Patienten der intent-to-treat (</w:t>
      </w:r>
      <w:smartTag w:uri="urn:schemas-microsoft-com:office:smarttags" w:element="stockticker">
        <w:r w:rsidRPr="00B30A12">
          <w:rPr>
            <w:color w:val="000000"/>
            <w:szCs w:val="22"/>
          </w:rPr>
          <w:t>ITT</w:t>
        </w:r>
      </w:smartTag>
      <w:r w:rsidRPr="00B30A12">
        <w:rPr>
          <w:color w:val="000000"/>
          <w:szCs w:val="22"/>
        </w:rPr>
        <w:t xml:space="preserve">)-Population verfügbar. Die Ergebnisse der Subgruppenanalysen nach der Risikoklassifikation des </w:t>
      </w:r>
      <w:r w:rsidR="0089502E" w:rsidRPr="00B30A12">
        <w:rPr>
          <w:color w:val="000000"/>
          <w:szCs w:val="22"/>
        </w:rPr>
        <w:t xml:space="preserve">United States </w:t>
      </w:r>
      <w:r w:rsidR="0089502E" w:rsidRPr="00B30A12">
        <w:rPr>
          <w:color w:val="000000"/>
          <w:szCs w:val="22"/>
        </w:rPr>
        <w:lastRenderedPageBreak/>
        <w:t xml:space="preserve">National Institutes of Health (NIH) und des </w:t>
      </w:r>
      <w:r w:rsidRPr="00B30A12">
        <w:rPr>
          <w:color w:val="000000"/>
          <w:szCs w:val="22"/>
        </w:rPr>
        <w:t>Armed Forces Institute of Pathology (AFIP) werden in Tabelle </w:t>
      </w:r>
      <w:r w:rsidR="0094523F" w:rsidRPr="00B30A12">
        <w:rPr>
          <w:color w:val="000000"/>
          <w:szCs w:val="22"/>
        </w:rPr>
        <w:t>7</w:t>
      </w:r>
      <w:r w:rsidRPr="00B30A12">
        <w:rPr>
          <w:color w:val="000000"/>
          <w:szCs w:val="22"/>
        </w:rPr>
        <w:t xml:space="preserve"> gezeigt.</w:t>
      </w:r>
      <w:r w:rsidR="00306F0E" w:rsidRPr="00B30A12">
        <w:rPr>
          <w:color w:val="000000"/>
          <w:szCs w:val="22"/>
        </w:rPr>
        <w:t xml:space="preserve"> In den Gruppen mit einem</w:t>
      </w:r>
      <w:r w:rsidR="0089502E" w:rsidRPr="00B30A12">
        <w:rPr>
          <w:color w:val="000000"/>
          <w:szCs w:val="22"/>
        </w:rPr>
        <w:t xml:space="preserve"> niedrigen und sehr niedrigen Risiko wurde kein Vorteil festgestellt. Es wurde kein Gesamtüberlebensvorteil festgestellt.</w:t>
      </w:r>
    </w:p>
    <w:p w14:paraId="5E7FF9DA" w14:textId="77777777" w:rsidR="007356AA" w:rsidRPr="00B30A12" w:rsidRDefault="007356AA" w:rsidP="00537E23">
      <w:pPr>
        <w:pStyle w:val="Text"/>
        <w:widowControl w:val="0"/>
        <w:spacing w:before="0"/>
        <w:jc w:val="left"/>
        <w:rPr>
          <w:lang w:val="de-DE"/>
        </w:rPr>
      </w:pPr>
    </w:p>
    <w:p w14:paraId="6EA11142" w14:textId="77777777" w:rsidR="007356AA" w:rsidRPr="00B30A12" w:rsidRDefault="007356AA" w:rsidP="007A2B84">
      <w:pPr>
        <w:pStyle w:val="Heading6"/>
        <w:widowControl w:val="0"/>
        <w:numPr>
          <w:ilvl w:val="0"/>
          <w:numId w:val="0"/>
        </w:numPr>
        <w:tabs>
          <w:tab w:val="clear" w:pos="567"/>
          <w:tab w:val="clear" w:pos="4536"/>
          <w:tab w:val="left" w:pos="1134"/>
        </w:tabs>
        <w:suppressAutoHyphens w:val="0"/>
        <w:spacing w:line="240" w:lineRule="auto"/>
        <w:ind w:left="1134" w:hanging="1134"/>
        <w:rPr>
          <w:rFonts w:eastAsia="MS Mincho"/>
          <w:b/>
          <w:i w:val="0"/>
          <w:color w:val="000000"/>
          <w:szCs w:val="22"/>
          <w:lang w:val="de-DE" w:eastAsia="ja-JP"/>
        </w:rPr>
      </w:pPr>
      <w:r w:rsidRPr="00B30A12">
        <w:rPr>
          <w:rFonts w:eastAsia="MS Mincho"/>
          <w:b/>
          <w:i w:val="0"/>
          <w:color w:val="000000"/>
          <w:szCs w:val="22"/>
          <w:lang w:val="de-DE" w:eastAsia="ja-JP"/>
        </w:rPr>
        <w:t>Tabelle </w:t>
      </w:r>
      <w:r w:rsidR="0094523F" w:rsidRPr="00B30A12">
        <w:rPr>
          <w:rFonts w:eastAsia="MS Mincho"/>
          <w:b/>
          <w:i w:val="0"/>
          <w:color w:val="000000"/>
          <w:szCs w:val="22"/>
          <w:lang w:val="de-DE" w:eastAsia="ja-JP"/>
        </w:rPr>
        <w:t>7</w:t>
      </w:r>
      <w:r w:rsidRPr="00B30A12">
        <w:rPr>
          <w:rFonts w:eastAsia="MS Mincho"/>
          <w:b/>
          <w:i w:val="0"/>
          <w:color w:val="000000"/>
          <w:szCs w:val="22"/>
          <w:lang w:val="de-DE" w:eastAsia="ja-JP"/>
        </w:rPr>
        <w:tab/>
        <w:t xml:space="preserve">Übersicht der </w:t>
      </w:r>
      <w:smartTag w:uri="urn:schemas-microsoft-com:office:smarttags" w:element="stockticker">
        <w:r w:rsidRPr="00B30A12">
          <w:rPr>
            <w:rFonts w:eastAsia="MS Mincho"/>
            <w:b/>
            <w:i w:val="0"/>
            <w:color w:val="000000"/>
            <w:szCs w:val="22"/>
            <w:lang w:val="de-DE" w:eastAsia="ja-JP"/>
          </w:rPr>
          <w:t>RFS</w:t>
        </w:r>
      </w:smartTag>
      <w:r w:rsidRPr="00B30A12">
        <w:rPr>
          <w:rFonts w:eastAsia="MS Mincho"/>
          <w:b/>
          <w:i w:val="0"/>
          <w:color w:val="000000"/>
          <w:szCs w:val="22"/>
          <w:lang w:val="de-DE" w:eastAsia="ja-JP"/>
        </w:rPr>
        <w:t xml:space="preserve">-Analysen der Z9001-Studie nach der </w:t>
      </w:r>
      <w:r w:rsidR="0089502E" w:rsidRPr="00B30A12">
        <w:rPr>
          <w:rFonts w:eastAsia="MS Mincho"/>
          <w:b/>
          <w:i w:val="0"/>
          <w:color w:val="000000"/>
          <w:szCs w:val="22"/>
          <w:lang w:val="de-DE" w:eastAsia="ja-JP"/>
        </w:rPr>
        <w:t xml:space="preserve">NIH und </w:t>
      </w:r>
      <w:r w:rsidRPr="00B30A12">
        <w:rPr>
          <w:rFonts w:eastAsia="MS Mincho"/>
          <w:b/>
          <w:i w:val="0"/>
          <w:color w:val="000000"/>
          <w:szCs w:val="22"/>
          <w:lang w:val="de-DE" w:eastAsia="ja-JP"/>
        </w:rPr>
        <w:t>AFIP-Risikoklassifikation</w:t>
      </w:r>
    </w:p>
    <w:p w14:paraId="342014DA" w14:textId="77777777" w:rsidR="00812331" w:rsidRPr="00B30A12" w:rsidRDefault="00812331" w:rsidP="007A2B84">
      <w:pPr>
        <w:keepNext/>
        <w:widowControl w:val="0"/>
        <w:rPr>
          <w:rFonts w:eastAsia="MS Mincho"/>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812331" w:rsidRPr="00B30A12" w14:paraId="58DEE169" w14:textId="77777777" w:rsidTr="00AD54DF">
        <w:trPr>
          <w:cantSplit/>
        </w:trPr>
        <w:tc>
          <w:tcPr>
            <w:tcW w:w="934" w:type="dxa"/>
            <w:vMerge w:val="restart"/>
          </w:tcPr>
          <w:p w14:paraId="4DCCBD0C" w14:textId="77777777" w:rsidR="00812331" w:rsidRPr="00B30A12" w:rsidRDefault="00812331" w:rsidP="00DA7B0B">
            <w:pPr>
              <w:pStyle w:val="Table"/>
              <w:keepLines w:val="0"/>
              <w:widowControl w:val="0"/>
              <w:tabs>
                <w:tab w:val="left" w:pos="567"/>
              </w:tabs>
              <w:spacing w:before="120" w:line="260" w:lineRule="exact"/>
              <w:jc w:val="center"/>
              <w:rPr>
                <w:rFonts w:ascii="Times New Roman" w:hAnsi="Times New Roman"/>
                <w:b/>
                <w:sz w:val="22"/>
                <w:szCs w:val="22"/>
              </w:rPr>
            </w:pPr>
            <w:r w:rsidRPr="00B30A12">
              <w:rPr>
                <w:rFonts w:ascii="Times New Roman" w:hAnsi="Times New Roman"/>
                <w:b/>
                <w:sz w:val="22"/>
                <w:szCs w:val="22"/>
              </w:rPr>
              <w:t>Risiko-faktor</w:t>
            </w:r>
          </w:p>
        </w:tc>
        <w:tc>
          <w:tcPr>
            <w:tcW w:w="1417" w:type="dxa"/>
            <w:vMerge w:val="restart"/>
            <w:tcBorders>
              <w:right w:val="single" w:sz="4" w:space="0" w:color="auto"/>
            </w:tcBorders>
          </w:tcPr>
          <w:p w14:paraId="427D44A2" w14:textId="77777777" w:rsidR="00812331" w:rsidRPr="00B30A12" w:rsidRDefault="00812331" w:rsidP="00DA7B0B">
            <w:pPr>
              <w:pStyle w:val="Table"/>
              <w:keepLines w:val="0"/>
              <w:widowControl w:val="0"/>
              <w:tabs>
                <w:tab w:val="left" w:pos="567"/>
              </w:tabs>
              <w:spacing w:before="120" w:line="260" w:lineRule="exact"/>
              <w:rPr>
                <w:rFonts w:ascii="Times New Roman" w:hAnsi="Times New Roman"/>
                <w:b/>
                <w:sz w:val="22"/>
                <w:szCs w:val="22"/>
              </w:rPr>
            </w:pPr>
            <w:r w:rsidRPr="00B30A12">
              <w:rPr>
                <w:rFonts w:ascii="Times New Roman" w:hAnsi="Times New Roman"/>
                <w:b/>
                <w:sz w:val="22"/>
                <w:szCs w:val="22"/>
              </w:rPr>
              <w:t>Risikostufe</w:t>
            </w:r>
          </w:p>
        </w:tc>
        <w:tc>
          <w:tcPr>
            <w:tcW w:w="986" w:type="dxa"/>
            <w:vMerge w:val="restart"/>
            <w:tcBorders>
              <w:left w:val="single" w:sz="4" w:space="0" w:color="auto"/>
              <w:right w:val="single" w:sz="4" w:space="0" w:color="auto"/>
            </w:tcBorders>
          </w:tcPr>
          <w:p w14:paraId="5ABEDB6F" w14:textId="77777777" w:rsidR="00812331" w:rsidRPr="00B30A12" w:rsidRDefault="00812331" w:rsidP="00DA7B0B">
            <w:pPr>
              <w:pStyle w:val="Table"/>
              <w:keepLines w:val="0"/>
              <w:widowControl w:val="0"/>
              <w:tabs>
                <w:tab w:val="left" w:pos="567"/>
              </w:tabs>
              <w:spacing w:before="120" w:line="260" w:lineRule="exact"/>
              <w:jc w:val="center"/>
              <w:rPr>
                <w:rFonts w:ascii="Times New Roman" w:hAnsi="Times New Roman"/>
                <w:b/>
                <w:sz w:val="22"/>
                <w:szCs w:val="22"/>
              </w:rPr>
            </w:pPr>
            <w:r w:rsidRPr="00B30A12">
              <w:rPr>
                <w:rFonts w:ascii="Times New Roman" w:hAnsi="Times New Roman"/>
                <w:b/>
                <w:sz w:val="22"/>
                <w:szCs w:val="22"/>
              </w:rPr>
              <w:t>% Patien-ten</w:t>
            </w:r>
          </w:p>
        </w:tc>
        <w:tc>
          <w:tcPr>
            <w:tcW w:w="2083" w:type="dxa"/>
            <w:vMerge w:val="restart"/>
            <w:tcBorders>
              <w:left w:val="single" w:sz="4" w:space="0" w:color="auto"/>
              <w:right w:val="single" w:sz="4" w:space="0" w:color="auto"/>
            </w:tcBorders>
          </w:tcPr>
          <w:p w14:paraId="66F51055" w14:textId="77777777" w:rsidR="00812331" w:rsidRPr="00B30A12" w:rsidRDefault="00812331" w:rsidP="00DA7B0B">
            <w:pPr>
              <w:pStyle w:val="Table"/>
              <w:keepLines w:val="0"/>
              <w:widowControl w:val="0"/>
              <w:tabs>
                <w:tab w:val="left" w:pos="567"/>
              </w:tabs>
              <w:spacing w:before="120" w:line="260" w:lineRule="exact"/>
              <w:jc w:val="center"/>
              <w:rPr>
                <w:rFonts w:ascii="Times New Roman" w:hAnsi="Times New Roman"/>
                <w:b/>
                <w:sz w:val="22"/>
                <w:szCs w:val="22"/>
                <w:lang w:val="de-AT"/>
              </w:rPr>
            </w:pPr>
            <w:r w:rsidRPr="00B30A12">
              <w:rPr>
                <w:rFonts w:ascii="Times New Roman" w:hAnsi="Times New Roman"/>
                <w:b/>
                <w:sz w:val="22"/>
                <w:szCs w:val="22"/>
                <w:lang w:val="de-AT"/>
              </w:rPr>
              <w:t>Zahl der Ereignisse/</w:t>
            </w:r>
            <w:r w:rsidRPr="00B30A12">
              <w:rPr>
                <w:rFonts w:ascii="Times New Roman" w:hAnsi="Times New Roman"/>
                <w:b/>
                <w:sz w:val="22"/>
                <w:szCs w:val="22"/>
                <w:lang w:val="de-AT"/>
              </w:rPr>
              <w:br/>
              <w:t>Zahl der Patienten</w:t>
            </w:r>
          </w:p>
        </w:tc>
        <w:tc>
          <w:tcPr>
            <w:tcW w:w="1800" w:type="dxa"/>
            <w:vMerge w:val="restart"/>
            <w:tcBorders>
              <w:left w:val="single" w:sz="4" w:space="0" w:color="auto"/>
              <w:right w:val="single" w:sz="4" w:space="0" w:color="auto"/>
            </w:tcBorders>
          </w:tcPr>
          <w:p w14:paraId="62807301"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Gesamt-Hazard Ratio (95%</w:t>
            </w:r>
            <w:r w:rsidR="008B0DF4" w:rsidRPr="00B30A12">
              <w:rPr>
                <w:rFonts w:ascii="Times New Roman" w:hAnsi="Times New Roman"/>
                <w:b/>
                <w:sz w:val="22"/>
                <w:szCs w:val="22"/>
              </w:rPr>
              <w:t>-KI</w:t>
            </w:r>
            <w:r w:rsidRPr="00B30A12">
              <w:rPr>
                <w:rFonts w:ascii="Times New Roman" w:hAnsi="Times New Roman"/>
                <w:b/>
                <w:sz w:val="22"/>
                <w:szCs w:val="22"/>
              </w:rPr>
              <w:t>)*</w:t>
            </w:r>
          </w:p>
        </w:tc>
        <w:tc>
          <w:tcPr>
            <w:tcW w:w="2800" w:type="dxa"/>
            <w:gridSpan w:val="2"/>
            <w:tcBorders>
              <w:left w:val="single" w:sz="4" w:space="0" w:color="auto"/>
            </w:tcBorders>
          </w:tcPr>
          <w:p w14:paraId="74C8DD4E"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smartTag w:uri="urn:schemas-microsoft-com:office:smarttags" w:element="stockticker">
              <w:r w:rsidRPr="00B30A12">
                <w:rPr>
                  <w:rFonts w:ascii="Times New Roman" w:hAnsi="Times New Roman"/>
                  <w:b/>
                  <w:sz w:val="22"/>
                  <w:szCs w:val="22"/>
                </w:rPr>
                <w:t>RFS</w:t>
              </w:r>
            </w:smartTag>
            <w:r w:rsidRPr="00B30A12">
              <w:rPr>
                <w:rFonts w:ascii="Times New Roman" w:hAnsi="Times New Roman"/>
                <w:b/>
                <w:sz w:val="22"/>
                <w:szCs w:val="22"/>
              </w:rPr>
              <w:t xml:space="preserve"> Anteil (%)</w:t>
            </w:r>
          </w:p>
        </w:tc>
      </w:tr>
      <w:tr w:rsidR="00812331" w:rsidRPr="00B30A12" w14:paraId="004C1000" w14:textId="77777777" w:rsidTr="00AD54DF">
        <w:trPr>
          <w:cantSplit/>
        </w:trPr>
        <w:tc>
          <w:tcPr>
            <w:tcW w:w="934" w:type="dxa"/>
            <w:vMerge/>
          </w:tcPr>
          <w:p w14:paraId="797A5E85"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66890B4D"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328373E5"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7801F9BF"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7ED70141"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195817F9"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12 Monate</w:t>
            </w:r>
          </w:p>
        </w:tc>
        <w:tc>
          <w:tcPr>
            <w:tcW w:w="1360" w:type="dxa"/>
            <w:tcBorders>
              <w:left w:val="single" w:sz="4" w:space="0" w:color="auto"/>
            </w:tcBorders>
          </w:tcPr>
          <w:p w14:paraId="639C5A96"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24 Monate</w:t>
            </w:r>
          </w:p>
        </w:tc>
      </w:tr>
      <w:tr w:rsidR="00812331" w:rsidRPr="00B30A12" w14:paraId="20BB1AB7" w14:textId="77777777" w:rsidTr="00AD54DF">
        <w:trPr>
          <w:cantSplit/>
        </w:trPr>
        <w:tc>
          <w:tcPr>
            <w:tcW w:w="934" w:type="dxa"/>
            <w:vMerge/>
          </w:tcPr>
          <w:p w14:paraId="010E8BDF"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2618A283"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1A1F3BCB"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3B459C62"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788D39EF"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CF479F6"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c>
          <w:tcPr>
            <w:tcW w:w="1360" w:type="dxa"/>
            <w:tcBorders>
              <w:left w:val="single" w:sz="4" w:space="0" w:color="auto"/>
            </w:tcBorders>
          </w:tcPr>
          <w:p w14:paraId="29F7C130"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r>
      <w:tr w:rsidR="00812331" w:rsidRPr="00B30A12" w14:paraId="4DBB87AB" w14:textId="77777777" w:rsidTr="00AD54DF">
        <w:trPr>
          <w:cantSplit/>
        </w:trPr>
        <w:tc>
          <w:tcPr>
            <w:tcW w:w="934" w:type="dxa"/>
            <w:vMerge w:val="restart"/>
            <w:shd w:val="clear" w:color="auto" w:fill="auto"/>
          </w:tcPr>
          <w:p w14:paraId="44FCB4DF" w14:textId="77777777" w:rsidR="00812331" w:rsidRPr="00B30A12" w:rsidRDefault="00812331" w:rsidP="00DA7B0B">
            <w:pPr>
              <w:pStyle w:val="Nottoc-headings"/>
              <w:keepLines w:val="0"/>
              <w:widowControl w:val="0"/>
              <w:tabs>
                <w:tab w:val="left" w:pos="567"/>
              </w:tabs>
              <w:spacing w:before="360" w:line="260" w:lineRule="exact"/>
              <w:ind w:left="0" w:firstLine="0"/>
              <w:rPr>
                <w:sz w:val="22"/>
                <w:szCs w:val="22"/>
              </w:rPr>
            </w:pPr>
            <w:r w:rsidRPr="00B30A12">
              <w:rPr>
                <w:rFonts w:ascii="Times New Roman" w:hAnsi="Times New Roman"/>
                <w:b w:val="0"/>
                <w:sz w:val="22"/>
                <w:szCs w:val="22"/>
              </w:rPr>
              <w:t>NIH</w:t>
            </w:r>
          </w:p>
        </w:tc>
        <w:tc>
          <w:tcPr>
            <w:tcW w:w="1417" w:type="dxa"/>
            <w:tcBorders>
              <w:bottom w:val="nil"/>
              <w:right w:val="single" w:sz="4" w:space="0" w:color="auto"/>
            </w:tcBorders>
            <w:vAlign w:val="bottom"/>
          </w:tcPr>
          <w:p w14:paraId="2DB3B969" w14:textId="77777777" w:rsidR="00812331" w:rsidRPr="00B30A12" w:rsidRDefault="00812331"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Gering</w:t>
            </w:r>
          </w:p>
        </w:tc>
        <w:tc>
          <w:tcPr>
            <w:tcW w:w="986" w:type="dxa"/>
            <w:tcBorders>
              <w:left w:val="single" w:sz="4" w:space="0" w:color="auto"/>
              <w:bottom w:val="nil"/>
              <w:right w:val="single" w:sz="4" w:space="0" w:color="auto"/>
            </w:tcBorders>
            <w:vAlign w:val="bottom"/>
          </w:tcPr>
          <w:p w14:paraId="62DCC849" w14:textId="77777777" w:rsidR="00812331" w:rsidRPr="00B30A12" w:rsidRDefault="00812331" w:rsidP="00DA7B0B">
            <w:pPr>
              <w:pStyle w:val="Nottoc-headings"/>
              <w:keepLines w:val="0"/>
              <w:widowControl w:val="0"/>
              <w:tabs>
                <w:tab w:val="left" w:pos="567"/>
              </w:tabs>
              <w:spacing w:before="40" w:after="20" w:line="260" w:lineRule="exact"/>
              <w:ind w:left="57" w:hanging="57"/>
              <w:jc w:val="center"/>
              <w:rPr>
                <w:rFonts w:ascii="Times New Roman" w:hAnsi="Times New Roman"/>
                <w:b w:val="0"/>
                <w:sz w:val="22"/>
                <w:szCs w:val="22"/>
              </w:rPr>
            </w:pPr>
            <w:r w:rsidRPr="00B30A12">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4AFC7BE0" w14:textId="77777777" w:rsidR="00812331" w:rsidRPr="00B30A12" w:rsidRDefault="00812331"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532914AB" w14:textId="77777777" w:rsidR="00812331" w:rsidRPr="00B30A12" w:rsidRDefault="00812331"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6A0ACB38" w14:textId="77777777" w:rsidR="00812331" w:rsidRPr="00B30A12" w:rsidRDefault="00812331"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lang w:val="de-CH"/>
              </w:rPr>
            </w:pPr>
            <w:r w:rsidRPr="00B30A12">
              <w:rPr>
                <w:rFonts w:ascii="Times New Roman" w:hAnsi="Times New Roman"/>
                <w:b w:val="0"/>
                <w:sz w:val="22"/>
                <w:szCs w:val="22"/>
                <w:lang w:val="de-CH"/>
              </w:rPr>
              <w:t>100 vs. 98,7</w:t>
            </w:r>
          </w:p>
        </w:tc>
        <w:tc>
          <w:tcPr>
            <w:tcW w:w="1360" w:type="dxa"/>
            <w:tcBorders>
              <w:left w:val="single" w:sz="4" w:space="0" w:color="auto"/>
              <w:bottom w:val="nil"/>
            </w:tcBorders>
            <w:vAlign w:val="bottom"/>
          </w:tcPr>
          <w:p w14:paraId="3B232126" w14:textId="77777777" w:rsidR="00812331" w:rsidRPr="00B30A12" w:rsidRDefault="00812331"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lang w:val="de-CH"/>
              </w:rPr>
            </w:pPr>
            <w:r w:rsidRPr="00B30A12">
              <w:rPr>
                <w:rFonts w:ascii="Times New Roman" w:hAnsi="Times New Roman"/>
                <w:b w:val="0"/>
                <w:sz w:val="22"/>
                <w:szCs w:val="22"/>
                <w:lang w:val="de-CH"/>
              </w:rPr>
              <w:t>100 vs.</w:t>
            </w:r>
            <w:r w:rsidR="00736D3E" w:rsidRPr="00B30A12">
              <w:rPr>
                <w:rFonts w:ascii="Times New Roman" w:hAnsi="Times New Roman"/>
                <w:b w:val="0"/>
                <w:sz w:val="22"/>
                <w:szCs w:val="22"/>
                <w:lang w:val="de-CH"/>
              </w:rPr>
              <w:t xml:space="preserve"> </w:t>
            </w:r>
            <w:r w:rsidRPr="00B30A12">
              <w:rPr>
                <w:rFonts w:ascii="Times New Roman" w:hAnsi="Times New Roman"/>
                <w:b w:val="0"/>
                <w:sz w:val="22"/>
                <w:szCs w:val="22"/>
                <w:lang w:val="de-CH"/>
              </w:rPr>
              <w:t>95,5</w:t>
            </w:r>
          </w:p>
        </w:tc>
      </w:tr>
      <w:tr w:rsidR="00812331" w:rsidRPr="00B30A12" w14:paraId="4BEC40D2" w14:textId="77777777" w:rsidTr="00AD54DF">
        <w:trPr>
          <w:cantSplit/>
        </w:trPr>
        <w:tc>
          <w:tcPr>
            <w:tcW w:w="934" w:type="dxa"/>
            <w:vMerge/>
            <w:shd w:val="clear" w:color="auto" w:fill="auto"/>
          </w:tcPr>
          <w:p w14:paraId="2E50954C" w14:textId="77777777" w:rsidR="00812331" w:rsidRPr="00B30A12" w:rsidRDefault="00812331" w:rsidP="00DA7B0B">
            <w:pPr>
              <w:pStyle w:val="Nottoc-headings"/>
              <w:keepLines w:val="0"/>
              <w:widowControl w:val="0"/>
              <w:tabs>
                <w:tab w:val="left" w:pos="567"/>
              </w:tabs>
              <w:spacing w:line="260" w:lineRule="exact"/>
              <w:rPr>
                <w:rFonts w:ascii="Times New Roman" w:hAnsi="Times New Roman"/>
                <w:b w:val="0"/>
                <w:sz w:val="22"/>
                <w:szCs w:val="22"/>
                <w:lang w:val="de-CH"/>
              </w:rPr>
            </w:pPr>
          </w:p>
        </w:tc>
        <w:tc>
          <w:tcPr>
            <w:tcW w:w="1417" w:type="dxa"/>
            <w:tcBorders>
              <w:top w:val="nil"/>
              <w:bottom w:val="nil"/>
              <w:right w:val="single" w:sz="4" w:space="0" w:color="auto"/>
            </w:tcBorders>
            <w:vAlign w:val="bottom"/>
          </w:tcPr>
          <w:p w14:paraId="647C46D8"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Intermediär</w:t>
            </w:r>
          </w:p>
        </w:tc>
        <w:tc>
          <w:tcPr>
            <w:tcW w:w="986" w:type="dxa"/>
            <w:tcBorders>
              <w:top w:val="nil"/>
              <w:left w:val="single" w:sz="4" w:space="0" w:color="auto"/>
              <w:bottom w:val="nil"/>
              <w:right w:val="single" w:sz="4" w:space="0" w:color="auto"/>
            </w:tcBorders>
            <w:vAlign w:val="bottom"/>
          </w:tcPr>
          <w:p w14:paraId="0EB6BC31"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sz w:val="22"/>
                <w:szCs w:val="22"/>
                <w:lang w:val="de-CH"/>
              </w:rPr>
            </w:pPr>
            <w:r w:rsidRPr="00B30A12">
              <w:rPr>
                <w:rFonts w:ascii="Times New Roman" w:hAnsi="Times New Roman"/>
                <w:sz w:val="22"/>
                <w:szCs w:val="22"/>
                <w:lang w:val="de-CH"/>
              </w:rPr>
              <w:t>25,7</w:t>
            </w:r>
          </w:p>
        </w:tc>
        <w:tc>
          <w:tcPr>
            <w:tcW w:w="2083" w:type="dxa"/>
            <w:tcBorders>
              <w:top w:val="nil"/>
              <w:left w:val="single" w:sz="4" w:space="0" w:color="auto"/>
              <w:bottom w:val="nil"/>
              <w:right w:val="single" w:sz="4" w:space="0" w:color="auto"/>
            </w:tcBorders>
            <w:vAlign w:val="bottom"/>
          </w:tcPr>
          <w:p w14:paraId="135E509C"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4/75 vs. 6/78</w:t>
            </w:r>
          </w:p>
        </w:tc>
        <w:tc>
          <w:tcPr>
            <w:tcW w:w="1800" w:type="dxa"/>
            <w:tcBorders>
              <w:top w:val="nil"/>
              <w:left w:val="single" w:sz="4" w:space="0" w:color="auto"/>
              <w:bottom w:val="nil"/>
              <w:right w:val="single" w:sz="4" w:space="0" w:color="auto"/>
            </w:tcBorders>
            <w:vAlign w:val="bottom"/>
          </w:tcPr>
          <w:p w14:paraId="24473BFA"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0,59 (0,17; 2,10)</w:t>
            </w:r>
          </w:p>
        </w:tc>
        <w:tc>
          <w:tcPr>
            <w:tcW w:w="1440" w:type="dxa"/>
            <w:tcBorders>
              <w:top w:val="nil"/>
              <w:left w:val="single" w:sz="4" w:space="0" w:color="auto"/>
              <w:bottom w:val="nil"/>
              <w:right w:val="single" w:sz="4" w:space="0" w:color="auto"/>
            </w:tcBorders>
            <w:vAlign w:val="bottom"/>
          </w:tcPr>
          <w:p w14:paraId="5BD4AE59"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100 vs. 94,8</w:t>
            </w:r>
          </w:p>
        </w:tc>
        <w:tc>
          <w:tcPr>
            <w:tcW w:w="1360" w:type="dxa"/>
            <w:tcBorders>
              <w:top w:val="nil"/>
              <w:left w:val="single" w:sz="4" w:space="0" w:color="auto"/>
              <w:bottom w:val="nil"/>
            </w:tcBorders>
            <w:vAlign w:val="bottom"/>
          </w:tcPr>
          <w:p w14:paraId="093185F2"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97,8 vs. 89,5</w:t>
            </w:r>
          </w:p>
        </w:tc>
      </w:tr>
      <w:tr w:rsidR="00812331" w:rsidRPr="00B30A12" w14:paraId="3B6EA224" w14:textId="77777777" w:rsidTr="00AD54DF">
        <w:trPr>
          <w:cantSplit/>
        </w:trPr>
        <w:tc>
          <w:tcPr>
            <w:tcW w:w="934" w:type="dxa"/>
            <w:vMerge/>
            <w:shd w:val="clear" w:color="auto" w:fill="auto"/>
          </w:tcPr>
          <w:p w14:paraId="417FA310"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p>
        </w:tc>
        <w:tc>
          <w:tcPr>
            <w:tcW w:w="1417" w:type="dxa"/>
            <w:tcBorders>
              <w:top w:val="nil"/>
              <w:right w:val="single" w:sz="4" w:space="0" w:color="auto"/>
            </w:tcBorders>
            <w:vAlign w:val="bottom"/>
          </w:tcPr>
          <w:p w14:paraId="589F706E"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Hoch</w:t>
            </w:r>
          </w:p>
        </w:tc>
        <w:tc>
          <w:tcPr>
            <w:tcW w:w="986" w:type="dxa"/>
            <w:tcBorders>
              <w:top w:val="nil"/>
              <w:left w:val="single" w:sz="4" w:space="0" w:color="auto"/>
              <w:right w:val="single" w:sz="4" w:space="0" w:color="auto"/>
            </w:tcBorders>
            <w:vAlign w:val="bottom"/>
          </w:tcPr>
          <w:p w14:paraId="77A92112"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sz w:val="22"/>
                <w:szCs w:val="22"/>
                <w:lang w:val="de-CH"/>
              </w:rPr>
            </w:pPr>
            <w:r w:rsidRPr="00B30A12">
              <w:rPr>
                <w:rFonts w:ascii="Times New Roman" w:hAnsi="Times New Roman"/>
                <w:sz w:val="22"/>
                <w:szCs w:val="22"/>
                <w:lang w:val="de-CH"/>
              </w:rPr>
              <w:t>44,8</w:t>
            </w:r>
          </w:p>
        </w:tc>
        <w:tc>
          <w:tcPr>
            <w:tcW w:w="2083" w:type="dxa"/>
            <w:tcBorders>
              <w:top w:val="nil"/>
              <w:left w:val="single" w:sz="4" w:space="0" w:color="auto"/>
              <w:right w:val="single" w:sz="4" w:space="0" w:color="auto"/>
            </w:tcBorders>
            <w:vAlign w:val="bottom"/>
          </w:tcPr>
          <w:p w14:paraId="2E66AC12"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21/140 vs. 51/127</w:t>
            </w:r>
          </w:p>
        </w:tc>
        <w:tc>
          <w:tcPr>
            <w:tcW w:w="1800" w:type="dxa"/>
            <w:tcBorders>
              <w:top w:val="nil"/>
              <w:left w:val="single" w:sz="4" w:space="0" w:color="auto"/>
              <w:right w:val="single" w:sz="4" w:space="0" w:color="auto"/>
            </w:tcBorders>
            <w:vAlign w:val="bottom"/>
          </w:tcPr>
          <w:p w14:paraId="33E4042F"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lang w:val="de-CH"/>
              </w:rPr>
              <w:t>0,29 (0</w:t>
            </w:r>
            <w:r w:rsidRPr="00B30A12">
              <w:rPr>
                <w:rFonts w:ascii="Times New Roman" w:hAnsi="Times New Roman"/>
                <w:sz w:val="22"/>
                <w:szCs w:val="22"/>
              </w:rPr>
              <w:t>,18; 0,49)</w:t>
            </w:r>
          </w:p>
        </w:tc>
        <w:tc>
          <w:tcPr>
            <w:tcW w:w="1440" w:type="dxa"/>
            <w:tcBorders>
              <w:top w:val="nil"/>
              <w:left w:val="single" w:sz="4" w:space="0" w:color="auto"/>
              <w:right w:val="single" w:sz="4" w:space="0" w:color="auto"/>
            </w:tcBorders>
            <w:vAlign w:val="bottom"/>
          </w:tcPr>
          <w:p w14:paraId="4D814A27"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94,8 vs. 64,0</w:t>
            </w:r>
          </w:p>
        </w:tc>
        <w:tc>
          <w:tcPr>
            <w:tcW w:w="1360" w:type="dxa"/>
            <w:tcBorders>
              <w:top w:val="nil"/>
              <w:left w:val="single" w:sz="4" w:space="0" w:color="auto"/>
            </w:tcBorders>
            <w:vAlign w:val="bottom"/>
          </w:tcPr>
          <w:p w14:paraId="74069427"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80,7 vs. 46,6</w:t>
            </w:r>
          </w:p>
        </w:tc>
      </w:tr>
      <w:tr w:rsidR="00812331" w:rsidRPr="00B30A12" w14:paraId="5483629A" w14:textId="77777777" w:rsidTr="00AD54DF">
        <w:trPr>
          <w:cantSplit/>
        </w:trPr>
        <w:tc>
          <w:tcPr>
            <w:tcW w:w="934" w:type="dxa"/>
            <w:vMerge w:val="restart"/>
            <w:shd w:val="clear" w:color="auto" w:fill="auto"/>
          </w:tcPr>
          <w:p w14:paraId="1E4F103A" w14:textId="77777777" w:rsidR="00812331" w:rsidRPr="00B30A12" w:rsidRDefault="00812331" w:rsidP="00DA7B0B">
            <w:pPr>
              <w:pStyle w:val="Table"/>
              <w:keepLines w:val="0"/>
              <w:widowControl w:val="0"/>
              <w:tabs>
                <w:tab w:val="left" w:pos="567"/>
              </w:tabs>
              <w:spacing w:before="480" w:line="260" w:lineRule="exact"/>
              <w:rPr>
                <w:rFonts w:ascii="Times New Roman" w:hAnsi="Times New Roman"/>
                <w:sz w:val="22"/>
                <w:szCs w:val="22"/>
              </w:rPr>
            </w:pPr>
            <w:r w:rsidRPr="00B30A12">
              <w:rPr>
                <w:rFonts w:ascii="Times New Roman" w:hAnsi="Times New Roman"/>
                <w:sz w:val="22"/>
                <w:szCs w:val="22"/>
              </w:rPr>
              <w:t>AFIP</w:t>
            </w:r>
          </w:p>
        </w:tc>
        <w:tc>
          <w:tcPr>
            <w:tcW w:w="1417" w:type="dxa"/>
            <w:tcBorders>
              <w:bottom w:val="nil"/>
              <w:right w:val="single" w:sz="4" w:space="0" w:color="auto"/>
            </w:tcBorders>
            <w:vAlign w:val="bottom"/>
          </w:tcPr>
          <w:p w14:paraId="5A2E500B"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Sehr gering</w:t>
            </w:r>
          </w:p>
        </w:tc>
        <w:tc>
          <w:tcPr>
            <w:tcW w:w="986" w:type="dxa"/>
            <w:tcBorders>
              <w:left w:val="single" w:sz="4" w:space="0" w:color="auto"/>
              <w:bottom w:val="nil"/>
              <w:right w:val="single" w:sz="4" w:space="0" w:color="auto"/>
            </w:tcBorders>
            <w:vAlign w:val="bottom"/>
          </w:tcPr>
          <w:p w14:paraId="3DC1A112"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484CF8AB"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4BEC9CC0"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4F46496A"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98,1</w:t>
            </w:r>
          </w:p>
        </w:tc>
        <w:tc>
          <w:tcPr>
            <w:tcW w:w="1360" w:type="dxa"/>
            <w:tcBorders>
              <w:left w:val="single" w:sz="4" w:space="0" w:color="auto"/>
              <w:bottom w:val="nil"/>
            </w:tcBorders>
            <w:vAlign w:val="bottom"/>
          </w:tcPr>
          <w:p w14:paraId="567B5547"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93,0</w:t>
            </w:r>
          </w:p>
        </w:tc>
      </w:tr>
      <w:tr w:rsidR="00812331" w:rsidRPr="00B30A12" w14:paraId="7C0F8B97" w14:textId="77777777" w:rsidTr="00AD54DF">
        <w:trPr>
          <w:cantSplit/>
        </w:trPr>
        <w:tc>
          <w:tcPr>
            <w:tcW w:w="934" w:type="dxa"/>
            <w:vMerge/>
            <w:shd w:val="clear" w:color="auto" w:fill="auto"/>
          </w:tcPr>
          <w:p w14:paraId="4F6A97AB"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47496046"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Gering</w:t>
            </w:r>
          </w:p>
        </w:tc>
        <w:tc>
          <w:tcPr>
            <w:tcW w:w="986" w:type="dxa"/>
            <w:tcBorders>
              <w:top w:val="nil"/>
              <w:left w:val="single" w:sz="4" w:space="0" w:color="auto"/>
              <w:bottom w:val="nil"/>
              <w:right w:val="single" w:sz="4" w:space="0" w:color="auto"/>
            </w:tcBorders>
            <w:vAlign w:val="bottom"/>
          </w:tcPr>
          <w:p w14:paraId="64FF3F82"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2F345584"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05C16307"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6700AE40"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100</w:t>
            </w:r>
          </w:p>
        </w:tc>
        <w:tc>
          <w:tcPr>
            <w:tcW w:w="1360" w:type="dxa"/>
            <w:tcBorders>
              <w:top w:val="nil"/>
              <w:left w:val="single" w:sz="4" w:space="0" w:color="auto"/>
              <w:bottom w:val="nil"/>
            </w:tcBorders>
            <w:vAlign w:val="bottom"/>
          </w:tcPr>
          <w:p w14:paraId="2029BB9F"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97,8 vs. 100</w:t>
            </w:r>
          </w:p>
        </w:tc>
      </w:tr>
      <w:tr w:rsidR="00812331" w:rsidRPr="00B30A12" w14:paraId="60A3704E" w14:textId="77777777" w:rsidTr="00AD54DF">
        <w:trPr>
          <w:cantSplit/>
        </w:trPr>
        <w:tc>
          <w:tcPr>
            <w:tcW w:w="934" w:type="dxa"/>
            <w:vMerge/>
            <w:shd w:val="clear" w:color="auto" w:fill="auto"/>
          </w:tcPr>
          <w:p w14:paraId="7B6B0EF9" w14:textId="77777777" w:rsidR="00812331" w:rsidRPr="00B30A12" w:rsidRDefault="00812331" w:rsidP="00DA7B0B">
            <w:pPr>
              <w:pStyle w:val="Table"/>
              <w:keepLines w:val="0"/>
              <w:widowControl w:val="0"/>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552A4EAE"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Moderat</w:t>
            </w:r>
          </w:p>
        </w:tc>
        <w:tc>
          <w:tcPr>
            <w:tcW w:w="986" w:type="dxa"/>
            <w:tcBorders>
              <w:top w:val="nil"/>
              <w:left w:val="single" w:sz="4" w:space="0" w:color="auto"/>
              <w:bottom w:val="nil"/>
              <w:right w:val="single" w:sz="4" w:space="0" w:color="auto"/>
            </w:tcBorders>
            <w:vAlign w:val="bottom"/>
          </w:tcPr>
          <w:p w14:paraId="53195C86" w14:textId="77777777" w:rsidR="00812331" w:rsidRPr="00B30A12" w:rsidRDefault="00812331"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0EFF6F6D"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78626DE7"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731F37CB"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97,9 vs. 90,8</w:t>
            </w:r>
          </w:p>
        </w:tc>
        <w:tc>
          <w:tcPr>
            <w:tcW w:w="1360" w:type="dxa"/>
            <w:tcBorders>
              <w:top w:val="nil"/>
              <w:left w:val="single" w:sz="4" w:space="0" w:color="auto"/>
              <w:bottom w:val="nil"/>
            </w:tcBorders>
            <w:vAlign w:val="bottom"/>
          </w:tcPr>
          <w:p w14:paraId="0FAC50C6"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97,9 vs. 73,3</w:t>
            </w:r>
          </w:p>
        </w:tc>
      </w:tr>
      <w:tr w:rsidR="00812331" w:rsidRPr="00B30A12" w14:paraId="4903075A" w14:textId="77777777" w:rsidTr="00AD54DF">
        <w:trPr>
          <w:cantSplit/>
        </w:trPr>
        <w:tc>
          <w:tcPr>
            <w:tcW w:w="934" w:type="dxa"/>
            <w:vMerge/>
            <w:tcBorders>
              <w:bottom w:val="single" w:sz="4" w:space="0" w:color="auto"/>
            </w:tcBorders>
            <w:shd w:val="clear" w:color="auto" w:fill="auto"/>
          </w:tcPr>
          <w:p w14:paraId="791838E6"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314BC438"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Hoch</w:t>
            </w:r>
          </w:p>
        </w:tc>
        <w:tc>
          <w:tcPr>
            <w:tcW w:w="986" w:type="dxa"/>
            <w:tcBorders>
              <w:top w:val="nil"/>
              <w:left w:val="single" w:sz="4" w:space="0" w:color="auto"/>
              <w:bottom w:val="single" w:sz="4" w:space="0" w:color="auto"/>
              <w:right w:val="single" w:sz="4" w:space="0" w:color="auto"/>
            </w:tcBorders>
            <w:vAlign w:val="bottom"/>
          </w:tcPr>
          <w:p w14:paraId="42B36B24" w14:textId="77777777" w:rsidR="00812331" w:rsidRPr="00B30A12" w:rsidRDefault="00812331" w:rsidP="00DA7B0B">
            <w:pPr>
              <w:pStyle w:val="Table"/>
              <w:keepLines w:val="0"/>
              <w:widowControl w:val="0"/>
              <w:tabs>
                <w:tab w:val="left" w:pos="567"/>
              </w:tabs>
              <w:spacing w:line="260" w:lineRule="exact"/>
              <w:ind w:right="-3"/>
              <w:jc w:val="center"/>
              <w:rPr>
                <w:rFonts w:ascii="Times New Roman" w:hAnsi="Times New Roman"/>
                <w:sz w:val="22"/>
                <w:szCs w:val="22"/>
              </w:rPr>
            </w:pPr>
            <w:r w:rsidRPr="00B30A12">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782212E6"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4E3C050E"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6F9ABB88"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1E193B42" w14:textId="77777777" w:rsidR="00812331" w:rsidRPr="00B30A12" w:rsidRDefault="00812331"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79,9 vs. 41,5</w:t>
            </w:r>
          </w:p>
        </w:tc>
      </w:tr>
    </w:tbl>
    <w:p w14:paraId="143DE043" w14:textId="77777777" w:rsidR="00812331" w:rsidRPr="00B30A12" w:rsidRDefault="00812331" w:rsidP="00DA7B0B">
      <w:pPr>
        <w:pStyle w:val="Text"/>
        <w:widowControl w:val="0"/>
        <w:spacing w:before="0"/>
        <w:rPr>
          <w:sz w:val="22"/>
          <w:szCs w:val="22"/>
          <w:lang w:val="de-DE"/>
        </w:rPr>
      </w:pPr>
      <w:r w:rsidRPr="00B30A12">
        <w:rPr>
          <w:sz w:val="22"/>
          <w:szCs w:val="22"/>
          <w:lang w:val="de-DE"/>
        </w:rPr>
        <w:t>* Gesamte Follow-up-Periode; NE – Nicht bestimmbar</w:t>
      </w:r>
    </w:p>
    <w:p w14:paraId="24D138A4"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p>
    <w:p w14:paraId="0976BE4D"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Eine zweite multizentrische, offene Phase-III-Studie (SSG XVIII/AIO) verglich eine Behandlung mit täglich 400 mg Glivec über 12 Monate mit einer Behandlung über 36 Monate bei GIST-Patienten nach chirurgischer Resektion und einem der folgenden Merkmale: Tumordurchmesser &gt; 5 cm und Mitoserate &gt; 5/50 High Power Fields (HPF); oder Tumordurchmesser &gt; 10 cm mit jeglichem Mitoserate oder Tumor jeglicher Größe mit Mitoserate &gt; 10/50 HPF oder Tumorruptur in die peritoneale Kavität. Insgesamt 397 Patienten stimmten der Studienteilnahme zu und wurden randomisiert (199 Patienten im 12-Monatsarm und 198 Patienten im 36-Monatsarm), das mediane Alter betrug 61 Jahre (Bereich von 22 bis 84 Jahre). Die mediane Beobachtungszeit betrug 54 Monate (vom Tag der Randomisierung bis zum Tag der letzten Datenerhebung). Die Zeitspanne zwischen der Randomisierung des ersten Patienten und dem Tag der letzten Datenerhebung betrug 83 Monate.</w:t>
      </w:r>
    </w:p>
    <w:p w14:paraId="2B6F57D5"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p>
    <w:p w14:paraId="69894145"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Der primäre Endpunkt der Studie war das Rezidiv-freie Überleben (RFS) und wurde definiert als die Zeit vom Tag der Randomisierung bis zum Tag des Auftreten des Rezidivs oder des Todes aufgrund jeglicher Ursache.</w:t>
      </w:r>
    </w:p>
    <w:p w14:paraId="5199EB6D"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p>
    <w:p w14:paraId="18E99C00"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Die Behandlung mit Glivec über einen Zeitraum von 36 Monaten verlängerte signifikant das RFS im Vergleich mit 12 Monaten Behandlung (mit einer Gesamt-Hazard Ratio (HR) = 0,46 [0,32, 0,65], p&lt;0,0001) (Tabelle </w:t>
      </w:r>
      <w:r w:rsidR="0094523F" w:rsidRPr="00B30A12">
        <w:rPr>
          <w:color w:val="000000"/>
          <w:szCs w:val="22"/>
        </w:rPr>
        <w:t>8</w:t>
      </w:r>
      <w:r w:rsidRPr="00B30A12">
        <w:rPr>
          <w:color w:val="000000"/>
          <w:szCs w:val="22"/>
        </w:rPr>
        <w:t>, Abbildung 1).</w:t>
      </w:r>
    </w:p>
    <w:p w14:paraId="551278F3"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p>
    <w:p w14:paraId="40B6F106" w14:textId="77777777" w:rsidR="00790308" w:rsidRPr="00B30A12" w:rsidRDefault="00D53262"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Zusätzlich verlängerte die 36-monatige Behandlung mit Glivec signifikant das Gesamtüberleben im Vergleich mit der 12-monatigen Behandlung (HR = 0,45 [0,22, 0,89], </w:t>
      </w:r>
      <w:r w:rsidRPr="00B30A12">
        <w:t>p = </w:t>
      </w:r>
      <w:r w:rsidRPr="00B30A12">
        <w:rPr>
          <w:color w:val="000000"/>
          <w:szCs w:val="22"/>
        </w:rPr>
        <w:t>0,0187) (Tabelle </w:t>
      </w:r>
      <w:r w:rsidR="0094523F" w:rsidRPr="00B30A12">
        <w:rPr>
          <w:color w:val="000000"/>
          <w:szCs w:val="22"/>
        </w:rPr>
        <w:t>8</w:t>
      </w:r>
      <w:r w:rsidRPr="00B30A12">
        <w:rPr>
          <w:color w:val="000000"/>
          <w:szCs w:val="22"/>
        </w:rPr>
        <w:t>, Abbildung 2).</w:t>
      </w:r>
    </w:p>
    <w:p w14:paraId="4549387D" w14:textId="77777777" w:rsidR="00790308" w:rsidRPr="00B30A12" w:rsidRDefault="00790308" w:rsidP="00537E23">
      <w:pPr>
        <w:pStyle w:val="Header"/>
        <w:widowControl w:val="0"/>
        <w:tabs>
          <w:tab w:val="clear" w:pos="4320"/>
          <w:tab w:val="clear" w:pos="8640"/>
          <w:tab w:val="center" w:pos="6804"/>
          <w:tab w:val="right" w:leader="underscore" w:pos="9072"/>
        </w:tabs>
        <w:rPr>
          <w:color w:val="000000"/>
          <w:szCs w:val="22"/>
        </w:rPr>
      </w:pPr>
    </w:p>
    <w:p w14:paraId="2508EDED" w14:textId="77777777" w:rsidR="00790308" w:rsidRPr="00B30A12" w:rsidRDefault="00D60617"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Eine längere Behandlungsdauer (&gt;</w:t>
      </w:r>
      <w:r w:rsidR="00902CDD" w:rsidRPr="00B30A12">
        <w:rPr>
          <w:color w:val="000000"/>
          <w:szCs w:val="22"/>
        </w:rPr>
        <w:t> 36 Monate) könnte die Entstehung eines weiteren Rezidivs hinaus</w:t>
      </w:r>
      <w:r w:rsidRPr="00B30A12">
        <w:rPr>
          <w:color w:val="000000"/>
          <w:szCs w:val="22"/>
        </w:rPr>
        <w:t>zögern. Der Einfluss dieser Erkenntnis auf das Gesamtüberleben bleibt jedoch unbekannt.</w:t>
      </w:r>
    </w:p>
    <w:p w14:paraId="629C60C2" w14:textId="77777777" w:rsidR="00790308" w:rsidRPr="00B30A12" w:rsidRDefault="00790308" w:rsidP="00537E23">
      <w:pPr>
        <w:pStyle w:val="Header"/>
        <w:widowControl w:val="0"/>
        <w:tabs>
          <w:tab w:val="clear" w:pos="4320"/>
          <w:tab w:val="clear" w:pos="8640"/>
          <w:tab w:val="center" w:pos="6804"/>
          <w:tab w:val="right" w:leader="underscore" w:pos="9072"/>
        </w:tabs>
        <w:rPr>
          <w:color w:val="000000"/>
          <w:szCs w:val="22"/>
        </w:rPr>
      </w:pPr>
    </w:p>
    <w:p w14:paraId="2438CD24"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Die Gesamtzahl an Todesfällen betrug 25 für den 12-Monatsarm und 12 für den 36-Monatsarm.</w:t>
      </w:r>
    </w:p>
    <w:p w14:paraId="3222AFAD" w14:textId="77777777" w:rsidR="00790308" w:rsidRPr="00B30A12" w:rsidRDefault="00790308" w:rsidP="00537E23">
      <w:pPr>
        <w:pStyle w:val="Header"/>
        <w:widowControl w:val="0"/>
        <w:tabs>
          <w:tab w:val="clear" w:pos="4320"/>
          <w:tab w:val="clear" w:pos="8640"/>
          <w:tab w:val="center" w:pos="6804"/>
          <w:tab w:val="right" w:leader="underscore" w:pos="9072"/>
        </w:tabs>
        <w:rPr>
          <w:color w:val="000000"/>
          <w:szCs w:val="22"/>
        </w:rPr>
      </w:pPr>
    </w:p>
    <w:p w14:paraId="77BA5244" w14:textId="77777777" w:rsidR="00790308" w:rsidRPr="00B30A12" w:rsidRDefault="00FE0F99"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Die Behandlung </w:t>
      </w:r>
      <w:r w:rsidR="00772E57" w:rsidRPr="00B30A12">
        <w:rPr>
          <w:color w:val="000000"/>
          <w:szCs w:val="22"/>
        </w:rPr>
        <w:t>mit Imatinib</w:t>
      </w:r>
      <w:r w:rsidR="00DD04B6" w:rsidRPr="00B30A12">
        <w:rPr>
          <w:color w:val="000000"/>
          <w:szCs w:val="22"/>
        </w:rPr>
        <w:t xml:space="preserve"> über einen Zeitraum von 36 </w:t>
      </w:r>
      <w:r w:rsidRPr="00B30A12">
        <w:rPr>
          <w:color w:val="000000"/>
          <w:szCs w:val="22"/>
        </w:rPr>
        <w:t xml:space="preserve">Monaten war in der ITT-Analyse, das heißt </w:t>
      </w:r>
      <w:r w:rsidR="00D44FAB" w:rsidRPr="00B30A12">
        <w:rPr>
          <w:color w:val="000000"/>
          <w:szCs w:val="22"/>
        </w:rPr>
        <w:t xml:space="preserve">unter Auswertung </w:t>
      </w:r>
      <w:r w:rsidRPr="00B30A12">
        <w:rPr>
          <w:color w:val="000000"/>
          <w:szCs w:val="22"/>
        </w:rPr>
        <w:t>der gesamten Studienpopulation, der Behandlung über einen Zeitraum von 12 Monaten überlegen. In einer geplanten Subgruppenanalyse nach Mutationstyp</w:t>
      </w:r>
      <w:r w:rsidR="00DD04B6" w:rsidRPr="00B30A12">
        <w:rPr>
          <w:color w:val="000000"/>
          <w:szCs w:val="22"/>
        </w:rPr>
        <w:t xml:space="preserve"> </w:t>
      </w:r>
      <w:r w:rsidR="00D44FAB" w:rsidRPr="00B30A12">
        <w:rPr>
          <w:color w:val="000000"/>
          <w:szCs w:val="22"/>
        </w:rPr>
        <w:t xml:space="preserve">lag </w:t>
      </w:r>
      <w:r w:rsidR="00DD04B6" w:rsidRPr="00B30A12">
        <w:rPr>
          <w:color w:val="000000"/>
          <w:szCs w:val="22"/>
        </w:rPr>
        <w:t>die HR für RFS</w:t>
      </w:r>
      <w:r w:rsidR="00D44FAB" w:rsidRPr="00B30A12">
        <w:rPr>
          <w:color w:val="000000"/>
          <w:szCs w:val="22"/>
        </w:rPr>
        <w:t xml:space="preserve"> bei</w:t>
      </w:r>
      <w:r w:rsidR="00DD04B6" w:rsidRPr="00B30A12">
        <w:rPr>
          <w:color w:val="000000"/>
          <w:szCs w:val="22"/>
        </w:rPr>
        <w:t xml:space="preserve"> 0,35 [95%</w:t>
      </w:r>
      <w:r w:rsidR="008B0DF4" w:rsidRPr="00B30A12">
        <w:rPr>
          <w:color w:val="000000"/>
          <w:szCs w:val="22"/>
        </w:rPr>
        <w:t>-KI</w:t>
      </w:r>
      <w:r w:rsidRPr="00B30A12">
        <w:rPr>
          <w:color w:val="000000"/>
          <w:szCs w:val="22"/>
        </w:rPr>
        <w:t>: 0,22, 0,56]</w:t>
      </w:r>
      <w:r w:rsidR="004A03C2" w:rsidRPr="00B30A12">
        <w:rPr>
          <w:color w:val="000000"/>
          <w:szCs w:val="22"/>
        </w:rPr>
        <w:t xml:space="preserve"> für eine 36-monatige Behandlung</w:t>
      </w:r>
      <w:r w:rsidR="00DD04B6" w:rsidRPr="00B30A12">
        <w:rPr>
          <w:color w:val="000000"/>
          <w:szCs w:val="22"/>
        </w:rPr>
        <w:t xml:space="preserve"> </w:t>
      </w:r>
      <w:r w:rsidR="004A03C2" w:rsidRPr="00B30A12">
        <w:rPr>
          <w:color w:val="000000"/>
          <w:szCs w:val="22"/>
        </w:rPr>
        <w:t>für</w:t>
      </w:r>
      <w:r w:rsidR="0049323E" w:rsidRPr="00B30A12">
        <w:rPr>
          <w:color w:val="000000"/>
          <w:szCs w:val="22"/>
        </w:rPr>
        <w:t xml:space="preserve"> Patienten</w:t>
      </w:r>
      <w:r w:rsidR="00DD04B6" w:rsidRPr="00B30A12">
        <w:rPr>
          <w:color w:val="000000"/>
          <w:szCs w:val="22"/>
        </w:rPr>
        <w:t xml:space="preserve"> mit Exon-</w:t>
      </w:r>
      <w:r w:rsidR="00774430" w:rsidRPr="00B30A12">
        <w:rPr>
          <w:color w:val="000000"/>
          <w:szCs w:val="22"/>
        </w:rPr>
        <w:t>11-Mutation. W</w:t>
      </w:r>
      <w:r w:rsidR="0049323E" w:rsidRPr="00B30A12">
        <w:rPr>
          <w:color w:val="000000"/>
          <w:szCs w:val="22"/>
        </w:rPr>
        <w:t>egen der gering</w:t>
      </w:r>
      <w:r w:rsidR="00F97C62" w:rsidRPr="00B30A12">
        <w:rPr>
          <w:color w:val="000000"/>
          <w:szCs w:val="22"/>
        </w:rPr>
        <w:t>en Anzahl an beobachteten Ereignissen</w:t>
      </w:r>
      <w:r w:rsidR="00774430" w:rsidRPr="00B30A12">
        <w:rPr>
          <w:color w:val="000000"/>
          <w:szCs w:val="22"/>
        </w:rPr>
        <w:t xml:space="preserve"> </w:t>
      </w:r>
      <w:r w:rsidR="00D44FAB" w:rsidRPr="00B30A12">
        <w:rPr>
          <w:color w:val="000000"/>
          <w:szCs w:val="22"/>
        </w:rPr>
        <w:t xml:space="preserve">können </w:t>
      </w:r>
      <w:r w:rsidR="0049323E" w:rsidRPr="00B30A12">
        <w:rPr>
          <w:color w:val="000000"/>
          <w:szCs w:val="22"/>
        </w:rPr>
        <w:t>kein</w:t>
      </w:r>
      <w:r w:rsidR="00D44FAB" w:rsidRPr="00B30A12">
        <w:rPr>
          <w:color w:val="000000"/>
          <w:szCs w:val="22"/>
        </w:rPr>
        <w:t>e</w:t>
      </w:r>
      <w:r w:rsidR="0049323E" w:rsidRPr="00B30A12">
        <w:rPr>
          <w:color w:val="000000"/>
          <w:szCs w:val="22"/>
        </w:rPr>
        <w:t xml:space="preserve"> Rückschluss</w:t>
      </w:r>
      <w:r w:rsidR="00D44FAB" w:rsidRPr="00B30A12">
        <w:rPr>
          <w:color w:val="000000"/>
          <w:szCs w:val="22"/>
        </w:rPr>
        <w:t>e</w:t>
      </w:r>
      <w:r w:rsidR="00BF673D" w:rsidRPr="00B30A12">
        <w:rPr>
          <w:color w:val="000000"/>
          <w:szCs w:val="22"/>
        </w:rPr>
        <w:t xml:space="preserve"> auf</w:t>
      </w:r>
      <w:r w:rsidR="0049323E" w:rsidRPr="00B30A12">
        <w:rPr>
          <w:color w:val="000000"/>
          <w:szCs w:val="22"/>
        </w:rPr>
        <w:t xml:space="preserve"> andere</w:t>
      </w:r>
      <w:r w:rsidR="00BF673D" w:rsidRPr="00B30A12">
        <w:rPr>
          <w:color w:val="000000"/>
          <w:szCs w:val="22"/>
        </w:rPr>
        <w:t>,</w:t>
      </w:r>
      <w:r w:rsidR="004A03C2" w:rsidRPr="00B30A12">
        <w:rPr>
          <w:color w:val="000000"/>
          <w:szCs w:val="22"/>
        </w:rPr>
        <w:t xml:space="preserve"> </w:t>
      </w:r>
      <w:r w:rsidR="004A03C2" w:rsidRPr="00B30A12">
        <w:rPr>
          <w:color w:val="000000"/>
          <w:szCs w:val="22"/>
        </w:rPr>
        <w:lastRenderedPageBreak/>
        <w:t>weniger</w:t>
      </w:r>
      <w:r w:rsidR="0049323E" w:rsidRPr="00B30A12">
        <w:rPr>
          <w:color w:val="000000"/>
          <w:szCs w:val="22"/>
        </w:rPr>
        <w:t xml:space="preserve"> häufig auftretende Mutationssubgruppen gezogen werden.</w:t>
      </w:r>
    </w:p>
    <w:p w14:paraId="41F2F36A"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u w:val="single"/>
        </w:rPr>
      </w:pPr>
    </w:p>
    <w:p w14:paraId="2070F4F6" w14:textId="77777777" w:rsidR="00D53262" w:rsidRPr="00B30A12" w:rsidRDefault="00D53262" w:rsidP="00DA7B0B">
      <w:pPr>
        <w:keepNext/>
        <w:widowControl w:val="0"/>
        <w:ind w:left="1134" w:hanging="1134"/>
        <w:rPr>
          <w:rFonts w:eastAsia="MS Mincho"/>
          <w:b/>
          <w:sz w:val="22"/>
          <w:szCs w:val="22"/>
          <w:lang w:eastAsia="ja-JP"/>
        </w:rPr>
      </w:pPr>
      <w:r w:rsidRPr="00B30A12">
        <w:rPr>
          <w:rFonts w:eastAsia="MS Mincho"/>
          <w:b/>
          <w:sz w:val="22"/>
          <w:szCs w:val="22"/>
        </w:rPr>
        <w:t>Tabelle </w:t>
      </w:r>
      <w:r w:rsidR="0094523F" w:rsidRPr="00B30A12">
        <w:rPr>
          <w:rFonts w:eastAsia="MS Mincho"/>
          <w:b/>
          <w:sz w:val="22"/>
          <w:szCs w:val="22"/>
        </w:rPr>
        <w:t>8</w:t>
      </w:r>
      <w:r w:rsidRPr="00B30A12">
        <w:rPr>
          <w:rFonts w:eastAsia="MS Mincho"/>
          <w:sz w:val="22"/>
          <w:szCs w:val="22"/>
        </w:rPr>
        <w:tab/>
      </w:r>
      <w:r w:rsidRPr="00B30A12">
        <w:rPr>
          <w:rFonts w:eastAsia="MS Mincho"/>
          <w:b/>
          <w:sz w:val="22"/>
          <w:szCs w:val="22"/>
          <w:lang w:eastAsia="ja-JP"/>
        </w:rPr>
        <w:t>12-monatige und 36-monatige Behandlung mit Glivec (SSGXVIII/AIO-Studie)</w:t>
      </w:r>
    </w:p>
    <w:p w14:paraId="287257D6" w14:textId="77777777" w:rsidR="00D53262" w:rsidRPr="00B30A12" w:rsidRDefault="00D53262" w:rsidP="00DA7B0B">
      <w:pPr>
        <w:keepNext/>
        <w:widowControl w:val="0"/>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D53262" w:rsidRPr="00B30A12" w14:paraId="773D3C5C" w14:textId="77777777" w:rsidTr="00DA7B0B">
        <w:trPr>
          <w:cantSplit/>
        </w:trPr>
        <w:tc>
          <w:tcPr>
            <w:tcW w:w="3099" w:type="dxa"/>
            <w:tcBorders>
              <w:top w:val="single" w:sz="4" w:space="0" w:color="auto"/>
              <w:bottom w:val="nil"/>
            </w:tcBorders>
            <w:shd w:val="clear" w:color="auto" w:fill="auto"/>
          </w:tcPr>
          <w:p w14:paraId="45A077BF" w14:textId="77777777" w:rsidR="00D53262" w:rsidRPr="00B30A12" w:rsidRDefault="00D53262" w:rsidP="00DA7B0B">
            <w:pPr>
              <w:keepNext/>
              <w:widowControl w:val="0"/>
              <w:tabs>
                <w:tab w:val="left" w:pos="284"/>
              </w:tabs>
              <w:rPr>
                <w:rFonts w:eastAsia="MS Mincho"/>
                <w:sz w:val="22"/>
                <w:szCs w:val="22"/>
              </w:rPr>
            </w:pPr>
          </w:p>
        </w:tc>
        <w:tc>
          <w:tcPr>
            <w:tcW w:w="3100" w:type="dxa"/>
            <w:tcBorders>
              <w:top w:val="single" w:sz="4" w:space="0" w:color="auto"/>
              <w:bottom w:val="nil"/>
            </w:tcBorders>
            <w:shd w:val="clear" w:color="auto" w:fill="auto"/>
          </w:tcPr>
          <w:p w14:paraId="381EAD68"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12-monatige Behandlung</w:t>
            </w:r>
          </w:p>
        </w:tc>
        <w:tc>
          <w:tcPr>
            <w:tcW w:w="3100" w:type="dxa"/>
            <w:tcBorders>
              <w:top w:val="single" w:sz="4" w:space="0" w:color="auto"/>
              <w:bottom w:val="nil"/>
            </w:tcBorders>
            <w:shd w:val="clear" w:color="auto" w:fill="auto"/>
          </w:tcPr>
          <w:p w14:paraId="0BEF5284"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36-monatige Behandlung</w:t>
            </w:r>
          </w:p>
        </w:tc>
      </w:tr>
      <w:tr w:rsidR="00D53262" w:rsidRPr="00B30A12" w14:paraId="2149F4BE" w14:textId="77777777" w:rsidTr="00DA7B0B">
        <w:trPr>
          <w:cantSplit/>
        </w:trPr>
        <w:tc>
          <w:tcPr>
            <w:tcW w:w="3099" w:type="dxa"/>
            <w:tcBorders>
              <w:top w:val="nil"/>
            </w:tcBorders>
            <w:shd w:val="clear" w:color="auto" w:fill="auto"/>
          </w:tcPr>
          <w:p w14:paraId="03418E49"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RFS</w:t>
            </w:r>
          </w:p>
        </w:tc>
        <w:tc>
          <w:tcPr>
            <w:tcW w:w="3100" w:type="dxa"/>
            <w:tcBorders>
              <w:top w:val="nil"/>
            </w:tcBorders>
            <w:shd w:val="clear" w:color="auto" w:fill="auto"/>
          </w:tcPr>
          <w:p w14:paraId="04FC398D"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w:t>
            </w:r>
            <w:r w:rsidR="008B0DF4" w:rsidRPr="00B30A12">
              <w:rPr>
                <w:rFonts w:eastAsia="MS Mincho"/>
                <w:b/>
                <w:sz w:val="22"/>
                <w:szCs w:val="22"/>
              </w:rPr>
              <w:t>KI</w:t>
            </w:r>
            <w:r w:rsidRPr="00B30A12">
              <w:rPr>
                <w:rFonts w:eastAsia="MS Mincho"/>
                <w:b/>
                <w:sz w:val="22"/>
                <w:szCs w:val="22"/>
              </w:rPr>
              <w:t>)</w:t>
            </w:r>
          </w:p>
        </w:tc>
        <w:tc>
          <w:tcPr>
            <w:tcW w:w="3100" w:type="dxa"/>
            <w:tcBorders>
              <w:top w:val="nil"/>
            </w:tcBorders>
            <w:shd w:val="clear" w:color="auto" w:fill="auto"/>
          </w:tcPr>
          <w:p w14:paraId="5B387E16"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w:t>
            </w:r>
            <w:r w:rsidR="008B0DF4" w:rsidRPr="00B30A12">
              <w:rPr>
                <w:rFonts w:eastAsia="MS Mincho"/>
                <w:b/>
                <w:sz w:val="22"/>
                <w:szCs w:val="22"/>
              </w:rPr>
              <w:t>KI</w:t>
            </w:r>
            <w:r w:rsidRPr="00B30A12">
              <w:rPr>
                <w:rFonts w:eastAsia="MS Mincho"/>
                <w:b/>
                <w:sz w:val="22"/>
                <w:szCs w:val="22"/>
              </w:rPr>
              <w:t>)</w:t>
            </w:r>
          </w:p>
        </w:tc>
      </w:tr>
      <w:tr w:rsidR="00D53262" w:rsidRPr="00B30A12" w14:paraId="2B63EE82" w14:textId="77777777" w:rsidTr="00DA7B0B">
        <w:trPr>
          <w:cantSplit/>
        </w:trPr>
        <w:tc>
          <w:tcPr>
            <w:tcW w:w="3099" w:type="dxa"/>
            <w:shd w:val="clear" w:color="auto" w:fill="auto"/>
          </w:tcPr>
          <w:p w14:paraId="2D3ED0A7"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12</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DD74FE9"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93,7 (89,2</w:t>
            </w:r>
            <w:r w:rsidRPr="00B30A12">
              <w:rPr>
                <w:rFonts w:eastAsia="MS Mincho"/>
                <w:sz w:val="22"/>
                <w:szCs w:val="22"/>
              </w:rPr>
              <w:noBreakHyphen/>
              <w:t>96,4)</w:t>
            </w:r>
          </w:p>
        </w:tc>
        <w:tc>
          <w:tcPr>
            <w:tcW w:w="3100" w:type="dxa"/>
            <w:shd w:val="clear" w:color="auto" w:fill="auto"/>
          </w:tcPr>
          <w:p w14:paraId="28219528"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95,9 (91,9</w:t>
            </w:r>
            <w:r w:rsidRPr="00B30A12">
              <w:rPr>
                <w:rFonts w:eastAsia="MS Mincho"/>
                <w:sz w:val="22"/>
                <w:szCs w:val="22"/>
              </w:rPr>
              <w:noBreakHyphen/>
              <w:t>97,9)</w:t>
            </w:r>
          </w:p>
        </w:tc>
      </w:tr>
      <w:tr w:rsidR="00D53262" w:rsidRPr="00B30A12" w14:paraId="488E21C0" w14:textId="77777777" w:rsidTr="00DA7B0B">
        <w:trPr>
          <w:cantSplit/>
        </w:trPr>
        <w:tc>
          <w:tcPr>
            <w:tcW w:w="3099" w:type="dxa"/>
            <w:shd w:val="clear" w:color="auto" w:fill="auto"/>
          </w:tcPr>
          <w:p w14:paraId="33C1B5F0"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24</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296D8152"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75,4 (68,6</w:t>
            </w:r>
            <w:r w:rsidRPr="00B30A12">
              <w:rPr>
                <w:rFonts w:eastAsia="MS Mincho"/>
                <w:sz w:val="22"/>
                <w:szCs w:val="22"/>
              </w:rPr>
              <w:noBreakHyphen/>
              <w:t>81,0)</w:t>
            </w:r>
          </w:p>
        </w:tc>
        <w:tc>
          <w:tcPr>
            <w:tcW w:w="3100" w:type="dxa"/>
            <w:shd w:val="clear" w:color="auto" w:fill="auto"/>
          </w:tcPr>
          <w:p w14:paraId="6906E50D"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90,7 (85,6</w:t>
            </w:r>
            <w:r w:rsidRPr="00B30A12">
              <w:rPr>
                <w:rFonts w:eastAsia="MS Mincho"/>
                <w:sz w:val="22"/>
                <w:szCs w:val="22"/>
              </w:rPr>
              <w:noBreakHyphen/>
              <w:t>94</w:t>
            </w:r>
            <w:r w:rsidR="00DD04B6" w:rsidRPr="00B30A12">
              <w:rPr>
                <w:rFonts w:eastAsia="MS Mincho"/>
                <w:sz w:val="22"/>
                <w:szCs w:val="22"/>
              </w:rPr>
              <w:t>,0</w:t>
            </w:r>
            <w:r w:rsidRPr="00B30A12">
              <w:rPr>
                <w:rFonts w:eastAsia="MS Mincho"/>
                <w:sz w:val="22"/>
                <w:szCs w:val="22"/>
              </w:rPr>
              <w:t>)</w:t>
            </w:r>
          </w:p>
        </w:tc>
      </w:tr>
      <w:tr w:rsidR="00D53262" w:rsidRPr="00B30A12" w14:paraId="78BB987B" w14:textId="77777777" w:rsidTr="00DA7B0B">
        <w:trPr>
          <w:cantSplit/>
        </w:trPr>
        <w:tc>
          <w:tcPr>
            <w:tcW w:w="3099" w:type="dxa"/>
            <w:shd w:val="clear" w:color="auto" w:fill="auto"/>
          </w:tcPr>
          <w:p w14:paraId="0FB1B086"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36</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2ECDBC21"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60,1 (52,5</w:t>
            </w:r>
            <w:r w:rsidRPr="00B30A12">
              <w:rPr>
                <w:rFonts w:eastAsia="MS Mincho"/>
                <w:sz w:val="22"/>
                <w:szCs w:val="22"/>
              </w:rPr>
              <w:noBreakHyphen/>
              <w:t>66,9)</w:t>
            </w:r>
          </w:p>
        </w:tc>
        <w:tc>
          <w:tcPr>
            <w:tcW w:w="3100" w:type="dxa"/>
            <w:shd w:val="clear" w:color="auto" w:fill="auto"/>
          </w:tcPr>
          <w:p w14:paraId="25B7015A"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86,6 (80,8</w:t>
            </w:r>
            <w:r w:rsidRPr="00B30A12">
              <w:rPr>
                <w:rFonts w:eastAsia="MS Mincho"/>
                <w:sz w:val="22"/>
                <w:szCs w:val="22"/>
              </w:rPr>
              <w:noBreakHyphen/>
              <w:t>90,8)</w:t>
            </w:r>
          </w:p>
        </w:tc>
      </w:tr>
      <w:tr w:rsidR="00D53262" w:rsidRPr="00B30A12" w14:paraId="59E4B63A" w14:textId="77777777" w:rsidTr="00DA7B0B">
        <w:trPr>
          <w:cantSplit/>
        </w:trPr>
        <w:tc>
          <w:tcPr>
            <w:tcW w:w="3099" w:type="dxa"/>
            <w:shd w:val="clear" w:color="auto" w:fill="auto"/>
          </w:tcPr>
          <w:p w14:paraId="4FD5AF21"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48</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3AC55FC"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52,3 (44,0</w:t>
            </w:r>
            <w:r w:rsidRPr="00B30A12">
              <w:rPr>
                <w:rFonts w:eastAsia="MS Mincho"/>
                <w:sz w:val="22"/>
                <w:szCs w:val="22"/>
              </w:rPr>
              <w:noBreakHyphen/>
              <w:t>59,8)</w:t>
            </w:r>
          </w:p>
        </w:tc>
        <w:tc>
          <w:tcPr>
            <w:tcW w:w="3100" w:type="dxa"/>
            <w:shd w:val="clear" w:color="auto" w:fill="auto"/>
          </w:tcPr>
          <w:p w14:paraId="156B8BF3"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78,3 (70,8</w:t>
            </w:r>
            <w:r w:rsidRPr="00B30A12">
              <w:rPr>
                <w:rFonts w:eastAsia="MS Mincho"/>
                <w:sz w:val="22"/>
                <w:szCs w:val="22"/>
              </w:rPr>
              <w:noBreakHyphen/>
              <w:t>84,1)</w:t>
            </w:r>
          </w:p>
        </w:tc>
      </w:tr>
      <w:tr w:rsidR="00D53262" w:rsidRPr="00B30A12" w14:paraId="5D47F8B9" w14:textId="77777777" w:rsidTr="00DA7B0B">
        <w:trPr>
          <w:cantSplit/>
        </w:trPr>
        <w:tc>
          <w:tcPr>
            <w:tcW w:w="3099" w:type="dxa"/>
            <w:shd w:val="clear" w:color="auto" w:fill="auto"/>
          </w:tcPr>
          <w:p w14:paraId="362FBDD1"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60</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6091C03C"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47,9 (39,0</w:t>
            </w:r>
            <w:r w:rsidRPr="00B30A12">
              <w:rPr>
                <w:rFonts w:eastAsia="MS Mincho"/>
                <w:sz w:val="22"/>
                <w:szCs w:val="22"/>
              </w:rPr>
              <w:noBreakHyphen/>
              <w:t>56,3)</w:t>
            </w:r>
          </w:p>
        </w:tc>
        <w:tc>
          <w:tcPr>
            <w:tcW w:w="3100" w:type="dxa"/>
            <w:shd w:val="clear" w:color="auto" w:fill="auto"/>
          </w:tcPr>
          <w:p w14:paraId="5288984F"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65,6 (56,1</w:t>
            </w:r>
            <w:r w:rsidRPr="00B30A12">
              <w:rPr>
                <w:rFonts w:eastAsia="MS Mincho"/>
                <w:sz w:val="22"/>
                <w:szCs w:val="22"/>
              </w:rPr>
              <w:noBreakHyphen/>
              <w:t>73,4)</w:t>
            </w:r>
          </w:p>
        </w:tc>
      </w:tr>
      <w:tr w:rsidR="00D53262" w:rsidRPr="00B30A12" w14:paraId="148E6511" w14:textId="77777777" w:rsidTr="00DA7B0B">
        <w:trPr>
          <w:cantSplit/>
        </w:trPr>
        <w:tc>
          <w:tcPr>
            <w:tcW w:w="3099" w:type="dxa"/>
            <w:shd w:val="clear" w:color="auto" w:fill="auto"/>
          </w:tcPr>
          <w:p w14:paraId="2D1DABDF" w14:textId="77777777" w:rsidR="00D53262" w:rsidRPr="00B30A12" w:rsidRDefault="00D53262" w:rsidP="00DA7B0B">
            <w:pPr>
              <w:keepNext/>
              <w:widowControl w:val="0"/>
              <w:tabs>
                <w:tab w:val="left" w:pos="284"/>
              </w:tabs>
              <w:rPr>
                <w:rFonts w:eastAsia="MS Mincho"/>
                <w:b/>
                <w:sz w:val="22"/>
                <w:szCs w:val="22"/>
              </w:rPr>
            </w:pPr>
            <w:r w:rsidRPr="00B30A12">
              <w:rPr>
                <w:rFonts w:eastAsia="MS Mincho"/>
                <w:b/>
                <w:sz w:val="22"/>
                <w:szCs w:val="22"/>
              </w:rPr>
              <w:t>Überleben</w:t>
            </w:r>
          </w:p>
        </w:tc>
        <w:tc>
          <w:tcPr>
            <w:tcW w:w="3100" w:type="dxa"/>
            <w:shd w:val="clear" w:color="auto" w:fill="auto"/>
          </w:tcPr>
          <w:p w14:paraId="66575B9B" w14:textId="77777777" w:rsidR="00D53262" w:rsidRPr="00B30A12" w:rsidRDefault="00D53262" w:rsidP="00DA7B0B">
            <w:pPr>
              <w:keepNext/>
              <w:widowControl w:val="0"/>
              <w:tabs>
                <w:tab w:val="left" w:pos="284"/>
              </w:tabs>
              <w:rPr>
                <w:rFonts w:eastAsia="MS Mincho"/>
                <w:sz w:val="22"/>
                <w:szCs w:val="22"/>
              </w:rPr>
            </w:pPr>
          </w:p>
        </w:tc>
        <w:tc>
          <w:tcPr>
            <w:tcW w:w="3100" w:type="dxa"/>
            <w:shd w:val="clear" w:color="auto" w:fill="auto"/>
          </w:tcPr>
          <w:p w14:paraId="40624218" w14:textId="77777777" w:rsidR="00D53262" w:rsidRPr="00B30A12" w:rsidRDefault="00D53262" w:rsidP="00DA7B0B">
            <w:pPr>
              <w:keepNext/>
              <w:widowControl w:val="0"/>
              <w:tabs>
                <w:tab w:val="left" w:pos="284"/>
              </w:tabs>
              <w:rPr>
                <w:rFonts w:eastAsia="MS Mincho"/>
                <w:sz w:val="22"/>
                <w:szCs w:val="22"/>
              </w:rPr>
            </w:pPr>
          </w:p>
        </w:tc>
      </w:tr>
      <w:tr w:rsidR="00D53262" w:rsidRPr="00B30A12" w14:paraId="60D4578B" w14:textId="77777777" w:rsidTr="00DA7B0B">
        <w:trPr>
          <w:cantSplit/>
        </w:trPr>
        <w:tc>
          <w:tcPr>
            <w:tcW w:w="3099" w:type="dxa"/>
            <w:shd w:val="clear" w:color="auto" w:fill="auto"/>
          </w:tcPr>
          <w:p w14:paraId="35C8088E"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36</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5FCFF15"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94,0 (89,5</w:t>
            </w:r>
            <w:r w:rsidRPr="00B30A12">
              <w:rPr>
                <w:rFonts w:eastAsia="MS Mincho"/>
                <w:sz w:val="22"/>
                <w:szCs w:val="22"/>
              </w:rPr>
              <w:noBreakHyphen/>
              <w:t>96,7)</w:t>
            </w:r>
          </w:p>
        </w:tc>
        <w:tc>
          <w:tcPr>
            <w:tcW w:w="3100" w:type="dxa"/>
            <w:shd w:val="clear" w:color="auto" w:fill="auto"/>
          </w:tcPr>
          <w:p w14:paraId="65D2BE1D"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96,3 (92,4</w:t>
            </w:r>
            <w:r w:rsidRPr="00B30A12">
              <w:rPr>
                <w:rFonts w:eastAsia="MS Mincho"/>
                <w:sz w:val="22"/>
                <w:szCs w:val="22"/>
              </w:rPr>
              <w:noBreakHyphen/>
              <w:t>98,2)</w:t>
            </w:r>
          </w:p>
        </w:tc>
      </w:tr>
      <w:tr w:rsidR="00D53262" w:rsidRPr="00B30A12" w14:paraId="11A2EE94" w14:textId="77777777" w:rsidTr="00DA7B0B">
        <w:trPr>
          <w:cantSplit/>
        </w:trPr>
        <w:tc>
          <w:tcPr>
            <w:tcW w:w="3099" w:type="dxa"/>
            <w:shd w:val="clear" w:color="auto" w:fill="auto"/>
          </w:tcPr>
          <w:p w14:paraId="4D2F56BF" w14:textId="77777777" w:rsidR="00D53262" w:rsidRPr="00B30A12" w:rsidRDefault="00D53262" w:rsidP="00DA7B0B">
            <w:pPr>
              <w:keepNext/>
              <w:widowControl w:val="0"/>
              <w:ind w:left="284"/>
              <w:rPr>
                <w:rFonts w:eastAsia="MS Mincho"/>
                <w:sz w:val="22"/>
                <w:szCs w:val="22"/>
              </w:rPr>
            </w:pPr>
            <w:r w:rsidRPr="00B30A12">
              <w:rPr>
                <w:rFonts w:eastAsia="MS Mincho"/>
                <w:sz w:val="22"/>
                <w:szCs w:val="22"/>
              </w:rPr>
              <w:t>48</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2C1FC2C4"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87,9 (81,1</w:t>
            </w:r>
            <w:r w:rsidRPr="00B30A12">
              <w:rPr>
                <w:rFonts w:eastAsia="MS Mincho"/>
                <w:sz w:val="22"/>
                <w:szCs w:val="22"/>
              </w:rPr>
              <w:noBreakHyphen/>
              <w:t>92,3)</w:t>
            </w:r>
          </w:p>
        </w:tc>
        <w:tc>
          <w:tcPr>
            <w:tcW w:w="3100" w:type="dxa"/>
            <w:shd w:val="clear" w:color="auto" w:fill="auto"/>
          </w:tcPr>
          <w:p w14:paraId="597FA9D3" w14:textId="77777777" w:rsidR="00D53262" w:rsidRPr="00B30A12" w:rsidRDefault="00D53262" w:rsidP="00DA7B0B">
            <w:pPr>
              <w:keepNext/>
              <w:widowControl w:val="0"/>
              <w:tabs>
                <w:tab w:val="left" w:pos="284"/>
              </w:tabs>
              <w:rPr>
                <w:rFonts w:eastAsia="MS Mincho"/>
                <w:sz w:val="22"/>
                <w:szCs w:val="22"/>
              </w:rPr>
            </w:pPr>
            <w:r w:rsidRPr="00B30A12">
              <w:rPr>
                <w:rFonts w:eastAsia="MS Mincho"/>
                <w:sz w:val="22"/>
                <w:szCs w:val="22"/>
              </w:rPr>
              <w:t>95,6 (91,2</w:t>
            </w:r>
            <w:r w:rsidRPr="00B30A12">
              <w:rPr>
                <w:rFonts w:eastAsia="MS Mincho"/>
                <w:sz w:val="22"/>
                <w:szCs w:val="22"/>
              </w:rPr>
              <w:noBreakHyphen/>
              <w:t>97,8)</w:t>
            </w:r>
          </w:p>
        </w:tc>
      </w:tr>
      <w:tr w:rsidR="00D53262" w:rsidRPr="00B30A12" w14:paraId="3368A4B2" w14:textId="77777777" w:rsidTr="00DA7B0B">
        <w:trPr>
          <w:cantSplit/>
        </w:trPr>
        <w:tc>
          <w:tcPr>
            <w:tcW w:w="3099" w:type="dxa"/>
            <w:shd w:val="clear" w:color="auto" w:fill="auto"/>
          </w:tcPr>
          <w:p w14:paraId="32A75EF6" w14:textId="77777777" w:rsidR="00D53262" w:rsidRPr="00B30A12" w:rsidRDefault="00D53262" w:rsidP="00DA7B0B">
            <w:pPr>
              <w:widowControl w:val="0"/>
              <w:ind w:left="284"/>
              <w:rPr>
                <w:rFonts w:eastAsia="MS Mincho"/>
                <w:sz w:val="22"/>
                <w:szCs w:val="22"/>
              </w:rPr>
            </w:pPr>
            <w:r w:rsidRPr="00B30A12">
              <w:rPr>
                <w:rFonts w:eastAsia="MS Mincho"/>
                <w:sz w:val="22"/>
                <w:szCs w:val="22"/>
              </w:rPr>
              <w:t>60</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9F2C9E0" w14:textId="77777777" w:rsidR="00D53262" w:rsidRPr="00B30A12" w:rsidRDefault="00D53262" w:rsidP="00DA7B0B">
            <w:pPr>
              <w:widowControl w:val="0"/>
              <w:tabs>
                <w:tab w:val="left" w:pos="284"/>
              </w:tabs>
              <w:rPr>
                <w:rFonts w:eastAsia="MS Mincho"/>
                <w:sz w:val="22"/>
                <w:szCs w:val="22"/>
              </w:rPr>
            </w:pPr>
            <w:r w:rsidRPr="00B30A12">
              <w:rPr>
                <w:rFonts w:eastAsia="MS Mincho"/>
                <w:sz w:val="22"/>
                <w:szCs w:val="22"/>
              </w:rPr>
              <w:t>81,7 (73,0</w:t>
            </w:r>
            <w:r w:rsidRPr="00B30A12">
              <w:rPr>
                <w:rFonts w:eastAsia="MS Mincho"/>
                <w:sz w:val="22"/>
                <w:szCs w:val="22"/>
              </w:rPr>
              <w:noBreakHyphen/>
              <w:t>87,8)</w:t>
            </w:r>
          </w:p>
        </w:tc>
        <w:tc>
          <w:tcPr>
            <w:tcW w:w="3100" w:type="dxa"/>
            <w:shd w:val="clear" w:color="auto" w:fill="auto"/>
          </w:tcPr>
          <w:p w14:paraId="52376D4B" w14:textId="77777777" w:rsidR="00D53262" w:rsidRPr="00B30A12" w:rsidRDefault="00D53262" w:rsidP="00DA7B0B">
            <w:pPr>
              <w:widowControl w:val="0"/>
              <w:tabs>
                <w:tab w:val="left" w:pos="284"/>
              </w:tabs>
              <w:rPr>
                <w:rFonts w:eastAsia="MS Mincho"/>
                <w:sz w:val="22"/>
                <w:szCs w:val="22"/>
              </w:rPr>
            </w:pPr>
            <w:r w:rsidRPr="00B30A12">
              <w:rPr>
                <w:rFonts w:eastAsia="MS Mincho"/>
                <w:sz w:val="22"/>
                <w:szCs w:val="22"/>
              </w:rPr>
              <w:t>92,0 (85,3</w:t>
            </w:r>
            <w:r w:rsidRPr="00B30A12">
              <w:rPr>
                <w:rFonts w:eastAsia="MS Mincho"/>
                <w:sz w:val="22"/>
                <w:szCs w:val="22"/>
              </w:rPr>
              <w:noBreakHyphen/>
              <w:t>95,7)</w:t>
            </w:r>
          </w:p>
        </w:tc>
      </w:tr>
    </w:tbl>
    <w:p w14:paraId="50832152" w14:textId="77777777" w:rsidR="00D53262" w:rsidRPr="00B30A12" w:rsidRDefault="00D53262" w:rsidP="00537E23">
      <w:pPr>
        <w:pStyle w:val="Header"/>
        <w:widowControl w:val="0"/>
        <w:tabs>
          <w:tab w:val="clear" w:pos="4320"/>
          <w:tab w:val="clear" w:pos="8640"/>
          <w:tab w:val="center" w:pos="6804"/>
          <w:tab w:val="right" w:leader="underscore" w:pos="9072"/>
        </w:tabs>
        <w:rPr>
          <w:color w:val="000000"/>
          <w:szCs w:val="22"/>
          <w:u w:val="single"/>
        </w:rPr>
      </w:pPr>
    </w:p>
    <w:p w14:paraId="51A22CC4" w14:textId="77777777" w:rsidR="00D53262" w:rsidRPr="00B30A12" w:rsidRDefault="00367B53" w:rsidP="007A2B84">
      <w:pPr>
        <w:keepNext/>
        <w:widowControl w:val="0"/>
        <w:ind w:left="1418" w:hanging="1418"/>
        <w:rPr>
          <w:rFonts w:eastAsia="MS Mincho"/>
          <w:sz w:val="22"/>
          <w:szCs w:val="22"/>
        </w:rPr>
      </w:pPr>
      <w:r w:rsidRPr="00B30A12">
        <w:rPr>
          <w:noProof/>
          <w:lang w:val="en-GB" w:eastAsia="en-GB"/>
        </w:rPr>
        <mc:AlternateContent>
          <mc:Choice Requires="wps">
            <w:drawing>
              <wp:anchor distT="0" distB="0" distL="114300" distR="114300" simplePos="0" relativeHeight="251652096" behindDoc="0" locked="0" layoutInCell="1" allowOverlap="1" wp14:anchorId="37B638DB" wp14:editId="64AFF635">
                <wp:simplePos x="0" y="0"/>
                <wp:positionH relativeFrom="column">
                  <wp:posOffset>-266700</wp:posOffset>
                </wp:positionH>
                <wp:positionV relativeFrom="paragraph">
                  <wp:posOffset>237490</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A8F47" w14:textId="77777777" w:rsidR="00055A65" w:rsidRPr="00BD7EE3" w:rsidRDefault="00055A65" w:rsidP="00200154">
                            <w:pPr>
                              <w:rPr>
                                <w:rFonts w:ascii="Arial" w:hAnsi="Arial" w:cs="Arial"/>
                              </w:rPr>
                            </w:pPr>
                            <w:r>
                              <w:rPr>
                                <w:rFonts w:ascii="Arial" w:hAnsi="Arial" w:cs="Arial"/>
                              </w:rPr>
                              <w:t>Wahrscheinlichkeit für Rezidiv-freies Überleben</w:t>
                            </w:r>
                          </w:p>
                          <w:p w14:paraId="35375A87" w14:textId="77777777" w:rsidR="00055A65" w:rsidRPr="00A33DBA" w:rsidRDefault="00055A65" w:rsidP="00D53262">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B638DB" id="_x0000_t202" coordsize="21600,21600" o:spt="202" path="m,l,21600r21600,l21600,xe">
                <v:stroke joinstyle="miter"/>
                <v:path gradientshapeok="t" o:connecttype="rect"/>
              </v:shapetype>
              <v:shape id="Text Box 2" o:spid="_x0000_s1026" type="#_x0000_t202" style="position:absolute;left:0;text-align:left;margin-left:-21pt;margin-top:18.7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J3vtuvhAAAACQEAAA8AAABkcnMvZG93bnJldi54bWxMj0FLw0AUhO+C/2F5grd2t220&#10;MealiFAQBKG1LXp7zb4mwexuyG7b6K93e9LjMMPMN/liMK04ce8bZxEmYwWCbel0YyuEzftylILw&#10;gaym1llG+GYPi+L6KqdMu7Nd8WkdKhFLrM8IoQ6hy6T0Zc2G/Nh1bKN3cL2hEGVfSd3TOZabVk6V&#10;upeGGhsXaur4uebya300CJ+7n5S3Qb7RS5jNl7zxr4ePFPH2Znh6BBF4CH9huOBHdCgi094drfai&#10;RRgl0/glIMzmCYhLQD2A2CPcqUkCssjl/wfFLwAAAP//AwBQSwECLQAUAAYACAAAACEAtoM4kv4A&#10;AADhAQAAEwAAAAAAAAAAAAAAAAAAAAAAW0NvbnRlbnRfVHlwZXNdLnhtbFBLAQItABQABgAIAAAA&#10;IQA4/SH/1gAAAJQBAAALAAAAAAAAAAAAAAAAAC8BAABfcmVscy8ucmVsc1BLAQItABQABgAIAAAA&#10;IQC94NfcEwIAABAEAAAOAAAAAAAAAAAAAAAAAC4CAABkcnMvZTJvRG9jLnhtbFBLAQItABQABgAI&#10;AAAAIQCd77br4QAAAAkBAAAPAAAAAAAAAAAAAAAAAG0EAABkcnMvZG93bnJldi54bWxQSwUGAAAA&#10;AAQABADzAAAAewUAAAAA&#10;" stroked="f">
                <v:fill opacity="0"/>
                <v:textbox style="layout-flow:vertical;mso-layout-flow-alt:bottom-to-top">
                  <w:txbxContent>
                    <w:p w14:paraId="285A8F47" w14:textId="77777777" w:rsidR="00055A65" w:rsidRPr="00BD7EE3" w:rsidRDefault="00055A65" w:rsidP="00200154">
                      <w:pPr>
                        <w:rPr>
                          <w:rFonts w:ascii="Arial" w:hAnsi="Arial" w:cs="Arial"/>
                        </w:rPr>
                      </w:pPr>
                      <w:r>
                        <w:rPr>
                          <w:rFonts w:ascii="Arial" w:hAnsi="Arial" w:cs="Arial"/>
                        </w:rPr>
                        <w:t>Wahrscheinlichkeit für Rezidiv-freies Überleben</w:t>
                      </w:r>
                    </w:p>
                    <w:p w14:paraId="35375A87" w14:textId="77777777" w:rsidR="00055A65" w:rsidRPr="00A33DBA" w:rsidRDefault="00055A65" w:rsidP="00D53262">
                      <w:pPr>
                        <w:rPr>
                          <w:rFonts w:ascii="Arial" w:hAnsi="Arial" w:cs="Arial"/>
                        </w:rPr>
                      </w:pPr>
                    </w:p>
                  </w:txbxContent>
                </v:textbox>
              </v:shape>
            </w:pict>
          </mc:Fallback>
        </mc:AlternateContent>
      </w:r>
      <w:r w:rsidR="00D53262" w:rsidRPr="00B30A12">
        <w:rPr>
          <w:rFonts w:eastAsia="MS Mincho"/>
          <w:sz w:val="22"/>
          <w:szCs w:val="22"/>
        </w:rPr>
        <w:t>Abbildung 1</w:t>
      </w:r>
      <w:r w:rsidR="00D53262" w:rsidRPr="00B30A12">
        <w:rPr>
          <w:rFonts w:eastAsia="MS Mincho"/>
          <w:sz w:val="22"/>
          <w:szCs w:val="22"/>
        </w:rPr>
        <w:tab/>
        <w:t>Kaplan-Meier-Schätzung für den primären Endpunkt Rezidiv-freies Überleben (ITT-Population)</w:t>
      </w:r>
    </w:p>
    <w:p w14:paraId="559C3D35" w14:textId="77777777" w:rsidR="00D53262" w:rsidRPr="00B30A12" w:rsidRDefault="00D53262" w:rsidP="007A2B84">
      <w:pPr>
        <w:keepNext/>
        <w:widowControl w:val="0"/>
        <w:rPr>
          <w:rFonts w:eastAsia="MS Mincho"/>
          <w:sz w:val="22"/>
          <w:szCs w:val="22"/>
        </w:rPr>
      </w:pPr>
    </w:p>
    <w:p w14:paraId="65E50A92" w14:textId="77777777" w:rsidR="00D53262" w:rsidRPr="00B30A12" w:rsidRDefault="00367B53" w:rsidP="00537E23">
      <w:pPr>
        <w:widowControl w:val="0"/>
        <w:ind w:left="1418" w:hanging="1418"/>
        <w:rPr>
          <w:rFonts w:eastAsia="MS Mincho"/>
          <w:sz w:val="22"/>
          <w:szCs w:val="22"/>
        </w:rPr>
      </w:pPr>
      <w:r w:rsidRPr="00B30A12">
        <w:rPr>
          <w:noProof/>
          <w:lang w:val="en-GB" w:eastAsia="en-GB"/>
        </w:rPr>
        <mc:AlternateContent>
          <mc:Choice Requires="wps">
            <w:drawing>
              <wp:anchor distT="0" distB="0" distL="114300" distR="114300" simplePos="0" relativeHeight="251653120" behindDoc="0" locked="0" layoutInCell="1" allowOverlap="1" wp14:anchorId="4D85487D" wp14:editId="0D3AB935">
                <wp:simplePos x="0" y="0"/>
                <wp:positionH relativeFrom="column">
                  <wp:posOffset>350520</wp:posOffset>
                </wp:positionH>
                <wp:positionV relativeFrom="paragraph">
                  <wp:posOffset>1156970</wp:posOffset>
                </wp:positionV>
                <wp:extent cx="4585335" cy="12763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552"/>
                              <w:gridCol w:w="763"/>
                              <w:gridCol w:w="739"/>
                              <w:gridCol w:w="850"/>
                            </w:tblGrid>
                            <w:tr w:rsidR="00055A65" w:rsidRPr="0055776F" w14:paraId="1AAB1995" w14:textId="77777777" w:rsidTr="003048B7">
                              <w:trPr>
                                <w:gridAfter w:val="3"/>
                                <w:wAfter w:w="2352" w:type="dxa"/>
                              </w:trPr>
                              <w:tc>
                                <w:tcPr>
                                  <w:tcW w:w="3369" w:type="dxa"/>
                                  <w:gridSpan w:val="2"/>
                                  <w:shd w:val="clear" w:color="auto" w:fill="auto"/>
                                </w:tcPr>
                                <w:p w14:paraId="2C3D9053" w14:textId="77777777" w:rsidR="00055A65" w:rsidRPr="0055776F" w:rsidRDefault="00055A65" w:rsidP="00117023">
                                  <w:pPr>
                                    <w:rPr>
                                      <w:rFonts w:ascii="Arial" w:hAnsi="Arial" w:cs="Arial"/>
                                    </w:rPr>
                                  </w:pPr>
                                  <w:r>
                                    <w:rPr>
                                      <w:rFonts w:ascii="Arial" w:hAnsi="Arial" w:cs="Arial"/>
                                    </w:rPr>
                                    <w:t>P &lt; 0,0001</w:t>
                                  </w:r>
                                </w:p>
                                <w:p w14:paraId="50D692F3" w14:textId="77777777" w:rsidR="00055A65" w:rsidRPr="0055776F" w:rsidRDefault="00055A65" w:rsidP="00117023">
                                  <w:pPr>
                                    <w:rPr>
                                      <w:rFonts w:ascii="Arial" w:hAnsi="Arial" w:cs="Arial"/>
                                    </w:rPr>
                                  </w:pPr>
                                  <w:r>
                                    <w:rPr>
                                      <w:rFonts w:ascii="Arial" w:hAnsi="Arial" w:cs="Arial"/>
                                    </w:rPr>
                                    <w:t>Hazard ratio 0,</w:t>
                                  </w:r>
                                  <w:r w:rsidRPr="0055776F">
                                    <w:rPr>
                                      <w:rFonts w:ascii="Arial" w:hAnsi="Arial" w:cs="Arial"/>
                                    </w:rPr>
                                    <w:t>4</w:t>
                                  </w:r>
                                  <w:r>
                                    <w:rPr>
                                      <w:rFonts w:ascii="Arial" w:hAnsi="Arial" w:cs="Arial"/>
                                    </w:rPr>
                                    <w:t>6</w:t>
                                  </w:r>
                                </w:p>
                                <w:p w14:paraId="52D0431A" w14:textId="77777777" w:rsidR="00055A65" w:rsidRPr="0055776F" w:rsidRDefault="00055A65" w:rsidP="00117023">
                                  <w:pPr>
                                    <w:rPr>
                                      <w:rFonts w:ascii="Arial" w:hAnsi="Arial" w:cs="Arial"/>
                                    </w:rPr>
                                  </w:pPr>
                                  <w:r>
                                    <w:rPr>
                                      <w:rFonts w:ascii="Arial" w:hAnsi="Arial" w:cs="Arial"/>
                                    </w:rPr>
                                    <w:t>(95%-KI, 0,3</w:t>
                                  </w:r>
                                  <w:r w:rsidRPr="0055776F">
                                    <w:rPr>
                                      <w:rFonts w:ascii="Arial" w:hAnsi="Arial" w:cs="Arial"/>
                                    </w:rPr>
                                    <w:t>2</w:t>
                                  </w:r>
                                  <w:r>
                                    <w:rPr>
                                      <w:rFonts w:ascii="Arial" w:hAnsi="Arial" w:cs="Arial"/>
                                    </w:rPr>
                                    <w:noBreakHyphen/>
                                    <w:t>0,65</w:t>
                                  </w:r>
                                  <w:r w:rsidRPr="0055776F">
                                    <w:rPr>
                                      <w:rFonts w:ascii="Arial" w:hAnsi="Arial" w:cs="Arial"/>
                                    </w:rPr>
                                    <w:t>)</w:t>
                                  </w:r>
                                </w:p>
                              </w:tc>
                            </w:tr>
                            <w:tr w:rsidR="00055A65" w:rsidRPr="0055776F" w14:paraId="30218C2C" w14:textId="77777777" w:rsidTr="003048B7">
                              <w:tc>
                                <w:tcPr>
                                  <w:tcW w:w="817" w:type="dxa"/>
                                  <w:shd w:val="clear" w:color="auto" w:fill="auto"/>
                                </w:tcPr>
                                <w:p w14:paraId="31013A81" w14:textId="77777777" w:rsidR="00055A65" w:rsidRPr="0055776F" w:rsidRDefault="00055A65" w:rsidP="00FE0401">
                                  <w:pPr>
                                    <w:rPr>
                                      <w:rFonts w:ascii="Arial" w:hAnsi="Arial" w:cs="Arial"/>
                                    </w:rPr>
                                  </w:pPr>
                                </w:p>
                              </w:tc>
                              <w:tc>
                                <w:tcPr>
                                  <w:tcW w:w="2552" w:type="dxa"/>
                                  <w:shd w:val="clear" w:color="auto" w:fill="auto"/>
                                </w:tcPr>
                                <w:p w14:paraId="172E2462" w14:textId="77777777" w:rsidR="00055A65" w:rsidRPr="0055776F" w:rsidRDefault="00055A65" w:rsidP="00FE0401">
                                  <w:pPr>
                                    <w:rPr>
                                      <w:rFonts w:ascii="Arial" w:hAnsi="Arial" w:cs="Arial"/>
                                    </w:rPr>
                                  </w:pPr>
                                </w:p>
                              </w:tc>
                              <w:tc>
                                <w:tcPr>
                                  <w:tcW w:w="763" w:type="dxa"/>
                                  <w:tcBorders>
                                    <w:bottom w:val="single" w:sz="4" w:space="0" w:color="auto"/>
                                  </w:tcBorders>
                                  <w:shd w:val="clear" w:color="auto" w:fill="auto"/>
                                </w:tcPr>
                                <w:p w14:paraId="60367BF2" w14:textId="77777777" w:rsidR="00055A65" w:rsidRPr="00200154" w:rsidRDefault="00055A65" w:rsidP="00FE0401">
                                  <w:pPr>
                                    <w:rPr>
                                      <w:rFonts w:ascii="Arial" w:hAnsi="Arial" w:cs="Arial"/>
                                    </w:rPr>
                                  </w:pPr>
                                  <w:r w:rsidRPr="00200154">
                                    <w:rPr>
                                      <w:rFonts w:ascii="Arial" w:hAnsi="Arial" w:cs="Arial"/>
                                    </w:rPr>
                                    <w:t>N</w:t>
                                  </w:r>
                                </w:p>
                              </w:tc>
                              <w:tc>
                                <w:tcPr>
                                  <w:tcW w:w="739" w:type="dxa"/>
                                  <w:tcBorders>
                                    <w:bottom w:val="single" w:sz="4" w:space="0" w:color="auto"/>
                                  </w:tcBorders>
                                  <w:shd w:val="clear" w:color="auto" w:fill="auto"/>
                                </w:tcPr>
                                <w:p w14:paraId="253DE389" w14:textId="77777777" w:rsidR="00055A65" w:rsidRPr="00200154"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524EB278" w14:textId="77777777" w:rsidR="00055A65" w:rsidRPr="00200154" w:rsidRDefault="00055A65" w:rsidP="00FE0401">
                                  <w:pPr>
                                    <w:rPr>
                                      <w:rFonts w:ascii="Arial" w:hAnsi="Arial" w:cs="Arial"/>
                                    </w:rPr>
                                  </w:pPr>
                                  <w:r w:rsidRPr="00200154">
                                    <w:rPr>
                                      <w:rFonts w:ascii="Arial" w:hAnsi="Arial" w:cs="Arial"/>
                                    </w:rPr>
                                    <w:t>Zens.</w:t>
                                  </w:r>
                                </w:p>
                              </w:tc>
                            </w:tr>
                            <w:tr w:rsidR="00055A65" w:rsidRPr="0055776F" w14:paraId="7B154457" w14:textId="77777777" w:rsidTr="003048B7">
                              <w:tc>
                                <w:tcPr>
                                  <w:tcW w:w="817" w:type="dxa"/>
                                  <w:shd w:val="clear" w:color="auto" w:fill="auto"/>
                                </w:tcPr>
                                <w:p w14:paraId="120B4104" w14:textId="77777777" w:rsidR="00055A65" w:rsidRPr="0055776F" w:rsidRDefault="00055A65" w:rsidP="00FE0401">
                                  <w:pPr>
                                    <w:rPr>
                                      <w:rFonts w:ascii="Arial" w:hAnsi="Arial" w:cs="Arial"/>
                                    </w:rPr>
                                  </w:pPr>
                                  <w:r w:rsidRPr="0055776F">
                                    <w:rPr>
                                      <w:rFonts w:ascii="Arial" w:hAnsi="Arial" w:cs="Arial"/>
                                      <w:b/>
                                    </w:rPr>
                                    <w:t>——</w:t>
                                  </w:r>
                                </w:p>
                              </w:tc>
                              <w:tc>
                                <w:tcPr>
                                  <w:tcW w:w="2552" w:type="dxa"/>
                                  <w:shd w:val="clear" w:color="auto" w:fill="auto"/>
                                </w:tcPr>
                                <w:p w14:paraId="54C9DF70"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763" w:type="dxa"/>
                                  <w:tcBorders>
                                    <w:top w:val="single" w:sz="4" w:space="0" w:color="auto"/>
                                  </w:tcBorders>
                                  <w:shd w:val="clear" w:color="auto" w:fill="auto"/>
                                </w:tcPr>
                                <w:p w14:paraId="5F8DB33D" w14:textId="77777777" w:rsidR="00055A65" w:rsidRPr="0055776F" w:rsidRDefault="00055A65" w:rsidP="00FE0401">
                                  <w:pPr>
                                    <w:rPr>
                                      <w:rFonts w:ascii="Arial" w:hAnsi="Arial" w:cs="Arial"/>
                                    </w:rPr>
                                  </w:pPr>
                                  <w:r w:rsidRPr="0055776F">
                                    <w:rPr>
                                      <w:rFonts w:ascii="Arial" w:hAnsi="Arial" w:cs="Arial"/>
                                    </w:rPr>
                                    <w:t>199</w:t>
                                  </w:r>
                                </w:p>
                              </w:tc>
                              <w:tc>
                                <w:tcPr>
                                  <w:tcW w:w="739" w:type="dxa"/>
                                  <w:tcBorders>
                                    <w:top w:val="single" w:sz="4" w:space="0" w:color="auto"/>
                                  </w:tcBorders>
                                  <w:shd w:val="clear" w:color="auto" w:fill="auto"/>
                                </w:tcPr>
                                <w:p w14:paraId="5A22060C" w14:textId="77777777" w:rsidR="00055A65" w:rsidRPr="0055776F" w:rsidRDefault="00055A65" w:rsidP="00FE0401">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664EE0DC" w14:textId="77777777" w:rsidR="00055A65" w:rsidRPr="0055776F" w:rsidRDefault="00055A65" w:rsidP="00FE0401">
                                  <w:pPr>
                                    <w:rPr>
                                      <w:rFonts w:ascii="Arial" w:hAnsi="Arial" w:cs="Arial"/>
                                    </w:rPr>
                                  </w:pPr>
                                  <w:r w:rsidRPr="0055776F">
                                    <w:rPr>
                                      <w:rFonts w:ascii="Arial" w:hAnsi="Arial" w:cs="Arial"/>
                                    </w:rPr>
                                    <w:t>115</w:t>
                                  </w:r>
                                </w:p>
                              </w:tc>
                            </w:tr>
                            <w:tr w:rsidR="00055A65" w:rsidRPr="0055776F" w14:paraId="744A7988" w14:textId="77777777" w:rsidTr="003048B7">
                              <w:tc>
                                <w:tcPr>
                                  <w:tcW w:w="817" w:type="dxa"/>
                                  <w:shd w:val="clear" w:color="auto" w:fill="auto"/>
                                </w:tcPr>
                                <w:p w14:paraId="79EBB770"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62E92B03"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763" w:type="dxa"/>
                                  <w:tcBorders>
                                    <w:bottom w:val="single" w:sz="4" w:space="0" w:color="auto"/>
                                  </w:tcBorders>
                                  <w:shd w:val="clear" w:color="auto" w:fill="auto"/>
                                </w:tcPr>
                                <w:p w14:paraId="2623FE83" w14:textId="77777777" w:rsidR="00055A65" w:rsidRPr="0055776F" w:rsidRDefault="00055A65" w:rsidP="00FE0401">
                                  <w:pPr>
                                    <w:rPr>
                                      <w:rFonts w:ascii="Arial" w:hAnsi="Arial" w:cs="Arial"/>
                                    </w:rPr>
                                  </w:pPr>
                                  <w:r w:rsidRPr="0055776F">
                                    <w:rPr>
                                      <w:rFonts w:ascii="Arial" w:hAnsi="Arial" w:cs="Arial"/>
                                    </w:rPr>
                                    <w:t>198</w:t>
                                  </w:r>
                                </w:p>
                              </w:tc>
                              <w:tc>
                                <w:tcPr>
                                  <w:tcW w:w="739" w:type="dxa"/>
                                  <w:tcBorders>
                                    <w:bottom w:val="single" w:sz="4" w:space="0" w:color="auto"/>
                                  </w:tcBorders>
                                  <w:shd w:val="clear" w:color="auto" w:fill="auto"/>
                                </w:tcPr>
                                <w:p w14:paraId="4DE7BB0F" w14:textId="77777777" w:rsidR="00055A65" w:rsidRPr="0055776F" w:rsidRDefault="00055A65" w:rsidP="00FE0401">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4E0015A0" w14:textId="77777777" w:rsidR="00055A65" w:rsidRPr="0055776F" w:rsidRDefault="00055A65" w:rsidP="00FE0401">
                                  <w:pPr>
                                    <w:rPr>
                                      <w:rFonts w:ascii="Arial" w:hAnsi="Arial" w:cs="Arial"/>
                                    </w:rPr>
                                  </w:pPr>
                                  <w:r w:rsidRPr="0055776F">
                                    <w:rPr>
                                      <w:rFonts w:ascii="Arial" w:hAnsi="Arial" w:cs="Arial"/>
                                    </w:rPr>
                                    <w:t>148</w:t>
                                  </w:r>
                                </w:p>
                              </w:tc>
                            </w:tr>
                            <w:tr w:rsidR="00055A65" w:rsidRPr="0055776F" w14:paraId="559398F0" w14:textId="77777777" w:rsidTr="003048B7">
                              <w:tc>
                                <w:tcPr>
                                  <w:tcW w:w="817" w:type="dxa"/>
                                  <w:shd w:val="clear" w:color="auto" w:fill="auto"/>
                                </w:tcPr>
                                <w:p w14:paraId="68255183"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7AB4F936" w14:textId="77777777" w:rsidR="00055A65" w:rsidRPr="0055776F" w:rsidRDefault="00055A65" w:rsidP="00FE0401">
                                  <w:pPr>
                                    <w:rPr>
                                      <w:rFonts w:ascii="Arial" w:hAnsi="Arial" w:cs="Arial"/>
                                    </w:rPr>
                                  </w:pPr>
                                  <w:r w:rsidRPr="008558E7">
                                    <w:rPr>
                                      <w:rFonts w:ascii="Arial" w:hAnsi="Arial" w:cs="Arial"/>
                                    </w:rPr>
                                    <w:t>zensierte Beobachtungen</w:t>
                                  </w:r>
                                </w:p>
                              </w:tc>
                              <w:tc>
                                <w:tcPr>
                                  <w:tcW w:w="763" w:type="dxa"/>
                                  <w:tcBorders>
                                    <w:top w:val="single" w:sz="4" w:space="0" w:color="auto"/>
                                  </w:tcBorders>
                                  <w:shd w:val="clear" w:color="auto" w:fill="auto"/>
                                </w:tcPr>
                                <w:p w14:paraId="0BC978AB" w14:textId="77777777" w:rsidR="00055A65" w:rsidRPr="0055776F" w:rsidRDefault="00055A65" w:rsidP="00FE0401">
                                  <w:pPr>
                                    <w:rPr>
                                      <w:rFonts w:ascii="Arial" w:hAnsi="Arial" w:cs="Arial"/>
                                    </w:rPr>
                                  </w:pPr>
                                </w:p>
                              </w:tc>
                              <w:tc>
                                <w:tcPr>
                                  <w:tcW w:w="739" w:type="dxa"/>
                                  <w:tcBorders>
                                    <w:top w:val="single" w:sz="4" w:space="0" w:color="auto"/>
                                  </w:tcBorders>
                                  <w:shd w:val="clear" w:color="auto" w:fill="auto"/>
                                </w:tcPr>
                                <w:p w14:paraId="4B26E8E6"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2EC1A2E9" w14:textId="77777777" w:rsidR="00055A65" w:rsidRPr="0055776F" w:rsidRDefault="00055A65" w:rsidP="00FE0401">
                                  <w:pPr>
                                    <w:rPr>
                                      <w:rFonts w:ascii="Arial" w:hAnsi="Arial" w:cs="Arial"/>
                                    </w:rPr>
                                  </w:pPr>
                                </w:p>
                              </w:tc>
                            </w:tr>
                          </w:tbl>
                          <w:p w14:paraId="1A5F164B" w14:textId="77777777" w:rsidR="00055A65" w:rsidRPr="00A33DBA" w:rsidRDefault="00055A65" w:rsidP="00D53262">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85487D" id="_x0000_s1027" type="#_x0000_t202" style="position:absolute;left:0;text-align:left;margin-left:27.6pt;margin-top:91.1pt;width:361.05pt;height:10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6Z9wEAAM8DAAAOAAAAZHJzL2Uyb0RvYy54bWysU21v0zAQ/o7Ef7D8naZJm21ETaexaQhp&#10;DKSNH+A4TmKR+MzZbVJ+PWen6wp8Q3yxfC9+7nnuzpvraejZXqHTYEqeLpacKSOh1qYt+bfn+3dX&#10;nDkvTC16MKrkB+X49fbtm81oC5VBB32tkBGIccVoS955b4skcbJTg3ALsMpQsAEchCcT26RGMRL6&#10;0CfZcnmRjIC1RZDKOfLezUG+jfhNo6T/0jROedaXnLj5eGI8q3Am240oWhS20/JIQ/wDi0FoQ0VP&#10;UHfCC7ZD/RfUoCWCg8YvJAwJNI2WKmogNenyDzVPnbAqaqHmOHtqk/t/sPJx/xWZrkuepZwZMdCM&#10;ntXk2QeYWBbaM1pXUNaTpTw/kZvGHKU6+wDyu2MGbjthWnWDCGOnRE300vAyOXs647gAUo2foaYy&#10;YuchAk0NDqF31A1G6DSmw2k0gYok5zq/ylernDNJsTS7vFjlcXiJKF6eW3T+o4KBhUvJkWYf4cX+&#10;wflARxQvKaGagXvd93H+vfnNQYnBE+kHxjN3P1VTbFTUFqRVUB9ID8K8VfQL6NIB/uRspI0qufux&#10;E6g46z8Z6sn7dL0OKxiNdX6ZkYHnkeo8IowkqJJ7zubrrZ/XdmdRtx1Vmqdg4Ib62Oio8JXVkT5t&#10;TRR+3PCwlud2zHr9h9tfAAAA//8DAFBLAwQUAAYACAAAACEAx4n1Yd0AAAAKAQAADwAAAGRycy9k&#10;b3ducmV2LnhtbEyPTU+EMBCG7yb+h2ZMvLmtIIJI2RiNV42rbrK3Lp0FIp0S2l3w3zue9DYfT955&#10;plovbhAnnELvScP1SoFAarztqdXw8f58VYAI0ZA1gyfU8I0B1vX5WWVK62d6w9MmtoJDKJRGQxfj&#10;WEoZmg6dCSs/IvHu4CdnIrdTK+1kZg53g0yUupXO9MQXOjPiY4fN1+boNHy+HHbbG/XaPrlsnP2i&#10;JLk7qfXlxfJwDyLiEv9g+NVndajZae+PZIMYNGRZwiTPi4QLBvI8T0HsNaRFmoCsK/n/hfoHAAD/&#10;/wMAUEsBAi0AFAAGAAgAAAAhALaDOJL+AAAA4QEAABMAAAAAAAAAAAAAAAAAAAAAAFtDb250ZW50&#10;X1R5cGVzXS54bWxQSwECLQAUAAYACAAAACEAOP0h/9YAAACUAQAACwAAAAAAAAAAAAAAAAAvAQAA&#10;X3JlbHMvLnJlbHNQSwECLQAUAAYACAAAACEAFfK+mfcBAADPAwAADgAAAAAAAAAAAAAAAAAuAgAA&#10;ZHJzL2Uyb0RvYy54bWxQSwECLQAUAAYACAAAACEAx4n1Yd0AAAAKAQAADwAAAAAAAAAAAAAAAABR&#10;BAAAZHJzL2Rvd25yZXYueG1sUEsFBgAAAAAEAAQA8wAAAFsFAAAAAA==&#10;" filled="f" stroked="f">
                <v:textbox>
                  <w:txbxContent>
                    <w:tbl>
                      <w:tblPr>
                        <w:tblW w:w="0" w:type="auto"/>
                        <w:tblLook w:val="04A0" w:firstRow="1" w:lastRow="0" w:firstColumn="1" w:lastColumn="0" w:noHBand="0" w:noVBand="1"/>
                      </w:tblPr>
                      <w:tblGrid>
                        <w:gridCol w:w="817"/>
                        <w:gridCol w:w="2552"/>
                        <w:gridCol w:w="763"/>
                        <w:gridCol w:w="739"/>
                        <w:gridCol w:w="850"/>
                      </w:tblGrid>
                      <w:tr w:rsidR="00055A65" w:rsidRPr="0055776F" w14:paraId="1AAB1995" w14:textId="77777777" w:rsidTr="003048B7">
                        <w:trPr>
                          <w:gridAfter w:val="3"/>
                          <w:wAfter w:w="2352" w:type="dxa"/>
                        </w:trPr>
                        <w:tc>
                          <w:tcPr>
                            <w:tcW w:w="3369" w:type="dxa"/>
                            <w:gridSpan w:val="2"/>
                            <w:shd w:val="clear" w:color="auto" w:fill="auto"/>
                          </w:tcPr>
                          <w:p w14:paraId="2C3D9053" w14:textId="77777777" w:rsidR="00055A65" w:rsidRPr="0055776F" w:rsidRDefault="00055A65" w:rsidP="00117023">
                            <w:pPr>
                              <w:rPr>
                                <w:rFonts w:ascii="Arial" w:hAnsi="Arial" w:cs="Arial"/>
                              </w:rPr>
                            </w:pPr>
                            <w:r>
                              <w:rPr>
                                <w:rFonts w:ascii="Arial" w:hAnsi="Arial" w:cs="Arial"/>
                              </w:rPr>
                              <w:t>P &lt; 0,0001</w:t>
                            </w:r>
                          </w:p>
                          <w:p w14:paraId="50D692F3" w14:textId="77777777" w:rsidR="00055A65" w:rsidRPr="0055776F" w:rsidRDefault="00055A65" w:rsidP="00117023">
                            <w:pPr>
                              <w:rPr>
                                <w:rFonts w:ascii="Arial" w:hAnsi="Arial" w:cs="Arial"/>
                              </w:rPr>
                            </w:pPr>
                            <w:r>
                              <w:rPr>
                                <w:rFonts w:ascii="Arial" w:hAnsi="Arial" w:cs="Arial"/>
                              </w:rPr>
                              <w:t>Hazard ratio 0,</w:t>
                            </w:r>
                            <w:r w:rsidRPr="0055776F">
                              <w:rPr>
                                <w:rFonts w:ascii="Arial" w:hAnsi="Arial" w:cs="Arial"/>
                              </w:rPr>
                              <w:t>4</w:t>
                            </w:r>
                            <w:r>
                              <w:rPr>
                                <w:rFonts w:ascii="Arial" w:hAnsi="Arial" w:cs="Arial"/>
                              </w:rPr>
                              <w:t>6</w:t>
                            </w:r>
                          </w:p>
                          <w:p w14:paraId="52D0431A" w14:textId="77777777" w:rsidR="00055A65" w:rsidRPr="0055776F" w:rsidRDefault="00055A65" w:rsidP="00117023">
                            <w:pPr>
                              <w:rPr>
                                <w:rFonts w:ascii="Arial" w:hAnsi="Arial" w:cs="Arial"/>
                              </w:rPr>
                            </w:pPr>
                            <w:r>
                              <w:rPr>
                                <w:rFonts w:ascii="Arial" w:hAnsi="Arial" w:cs="Arial"/>
                              </w:rPr>
                              <w:t>(95%-KI, 0,3</w:t>
                            </w:r>
                            <w:r w:rsidRPr="0055776F">
                              <w:rPr>
                                <w:rFonts w:ascii="Arial" w:hAnsi="Arial" w:cs="Arial"/>
                              </w:rPr>
                              <w:t>2</w:t>
                            </w:r>
                            <w:r>
                              <w:rPr>
                                <w:rFonts w:ascii="Arial" w:hAnsi="Arial" w:cs="Arial"/>
                              </w:rPr>
                              <w:noBreakHyphen/>
                              <w:t>0,65</w:t>
                            </w:r>
                            <w:r w:rsidRPr="0055776F">
                              <w:rPr>
                                <w:rFonts w:ascii="Arial" w:hAnsi="Arial" w:cs="Arial"/>
                              </w:rPr>
                              <w:t>)</w:t>
                            </w:r>
                          </w:p>
                        </w:tc>
                      </w:tr>
                      <w:tr w:rsidR="00055A65" w:rsidRPr="0055776F" w14:paraId="30218C2C" w14:textId="77777777" w:rsidTr="003048B7">
                        <w:tc>
                          <w:tcPr>
                            <w:tcW w:w="817" w:type="dxa"/>
                            <w:shd w:val="clear" w:color="auto" w:fill="auto"/>
                          </w:tcPr>
                          <w:p w14:paraId="31013A81" w14:textId="77777777" w:rsidR="00055A65" w:rsidRPr="0055776F" w:rsidRDefault="00055A65" w:rsidP="00FE0401">
                            <w:pPr>
                              <w:rPr>
                                <w:rFonts w:ascii="Arial" w:hAnsi="Arial" w:cs="Arial"/>
                              </w:rPr>
                            </w:pPr>
                          </w:p>
                        </w:tc>
                        <w:tc>
                          <w:tcPr>
                            <w:tcW w:w="2552" w:type="dxa"/>
                            <w:shd w:val="clear" w:color="auto" w:fill="auto"/>
                          </w:tcPr>
                          <w:p w14:paraId="172E2462" w14:textId="77777777" w:rsidR="00055A65" w:rsidRPr="0055776F" w:rsidRDefault="00055A65" w:rsidP="00FE0401">
                            <w:pPr>
                              <w:rPr>
                                <w:rFonts w:ascii="Arial" w:hAnsi="Arial" w:cs="Arial"/>
                              </w:rPr>
                            </w:pPr>
                          </w:p>
                        </w:tc>
                        <w:tc>
                          <w:tcPr>
                            <w:tcW w:w="763" w:type="dxa"/>
                            <w:tcBorders>
                              <w:bottom w:val="single" w:sz="4" w:space="0" w:color="auto"/>
                            </w:tcBorders>
                            <w:shd w:val="clear" w:color="auto" w:fill="auto"/>
                          </w:tcPr>
                          <w:p w14:paraId="60367BF2" w14:textId="77777777" w:rsidR="00055A65" w:rsidRPr="00200154" w:rsidRDefault="00055A65" w:rsidP="00FE0401">
                            <w:pPr>
                              <w:rPr>
                                <w:rFonts w:ascii="Arial" w:hAnsi="Arial" w:cs="Arial"/>
                              </w:rPr>
                            </w:pPr>
                            <w:r w:rsidRPr="00200154">
                              <w:rPr>
                                <w:rFonts w:ascii="Arial" w:hAnsi="Arial" w:cs="Arial"/>
                              </w:rPr>
                              <w:t>N</w:t>
                            </w:r>
                          </w:p>
                        </w:tc>
                        <w:tc>
                          <w:tcPr>
                            <w:tcW w:w="739" w:type="dxa"/>
                            <w:tcBorders>
                              <w:bottom w:val="single" w:sz="4" w:space="0" w:color="auto"/>
                            </w:tcBorders>
                            <w:shd w:val="clear" w:color="auto" w:fill="auto"/>
                          </w:tcPr>
                          <w:p w14:paraId="253DE389" w14:textId="77777777" w:rsidR="00055A65" w:rsidRPr="00200154"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524EB278" w14:textId="77777777" w:rsidR="00055A65" w:rsidRPr="00200154" w:rsidRDefault="00055A65" w:rsidP="00FE0401">
                            <w:pPr>
                              <w:rPr>
                                <w:rFonts w:ascii="Arial" w:hAnsi="Arial" w:cs="Arial"/>
                              </w:rPr>
                            </w:pPr>
                            <w:r w:rsidRPr="00200154">
                              <w:rPr>
                                <w:rFonts w:ascii="Arial" w:hAnsi="Arial" w:cs="Arial"/>
                              </w:rPr>
                              <w:t>Zens.</w:t>
                            </w:r>
                          </w:p>
                        </w:tc>
                      </w:tr>
                      <w:tr w:rsidR="00055A65" w:rsidRPr="0055776F" w14:paraId="7B154457" w14:textId="77777777" w:rsidTr="003048B7">
                        <w:tc>
                          <w:tcPr>
                            <w:tcW w:w="817" w:type="dxa"/>
                            <w:shd w:val="clear" w:color="auto" w:fill="auto"/>
                          </w:tcPr>
                          <w:p w14:paraId="120B4104" w14:textId="77777777" w:rsidR="00055A65" w:rsidRPr="0055776F" w:rsidRDefault="00055A65" w:rsidP="00FE0401">
                            <w:pPr>
                              <w:rPr>
                                <w:rFonts w:ascii="Arial" w:hAnsi="Arial" w:cs="Arial"/>
                              </w:rPr>
                            </w:pPr>
                            <w:r w:rsidRPr="0055776F">
                              <w:rPr>
                                <w:rFonts w:ascii="Arial" w:hAnsi="Arial" w:cs="Arial"/>
                                <w:b/>
                              </w:rPr>
                              <w:t>——</w:t>
                            </w:r>
                          </w:p>
                        </w:tc>
                        <w:tc>
                          <w:tcPr>
                            <w:tcW w:w="2552" w:type="dxa"/>
                            <w:shd w:val="clear" w:color="auto" w:fill="auto"/>
                          </w:tcPr>
                          <w:p w14:paraId="54C9DF70"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763" w:type="dxa"/>
                            <w:tcBorders>
                              <w:top w:val="single" w:sz="4" w:space="0" w:color="auto"/>
                            </w:tcBorders>
                            <w:shd w:val="clear" w:color="auto" w:fill="auto"/>
                          </w:tcPr>
                          <w:p w14:paraId="5F8DB33D" w14:textId="77777777" w:rsidR="00055A65" w:rsidRPr="0055776F" w:rsidRDefault="00055A65" w:rsidP="00FE0401">
                            <w:pPr>
                              <w:rPr>
                                <w:rFonts w:ascii="Arial" w:hAnsi="Arial" w:cs="Arial"/>
                              </w:rPr>
                            </w:pPr>
                            <w:r w:rsidRPr="0055776F">
                              <w:rPr>
                                <w:rFonts w:ascii="Arial" w:hAnsi="Arial" w:cs="Arial"/>
                              </w:rPr>
                              <w:t>199</w:t>
                            </w:r>
                          </w:p>
                        </w:tc>
                        <w:tc>
                          <w:tcPr>
                            <w:tcW w:w="739" w:type="dxa"/>
                            <w:tcBorders>
                              <w:top w:val="single" w:sz="4" w:space="0" w:color="auto"/>
                            </w:tcBorders>
                            <w:shd w:val="clear" w:color="auto" w:fill="auto"/>
                          </w:tcPr>
                          <w:p w14:paraId="5A22060C" w14:textId="77777777" w:rsidR="00055A65" w:rsidRPr="0055776F" w:rsidRDefault="00055A65" w:rsidP="00FE0401">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664EE0DC" w14:textId="77777777" w:rsidR="00055A65" w:rsidRPr="0055776F" w:rsidRDefault="00055A65" w:rsidP="00FE0401">
                            <w:pPr>
                              <w:rPr>
                                <w:rFonts w:ascii="Arial" w:hAnsi="Arial" w:cs="Arial"/>
                              </w:rPr>
                            </w:pPr>
                            <w:r w:rsidRPr="0055776F">
                              <w:rPr>
                                <w:rFonts w:ascii="Arial" w:hAnsi="Arial" w:cs="Arial"/>
                              </w:rPr>
                              <w:t>115</w:t>
                            </w:r>
                          </w:p>
                        </w:tc>
                      </w:tr>
                      <w:tr w:rsidR="00055A65" w:rsidRPr="0055776F" w14:paraId="744A7988" w14:textId="77777777" w:rsidTr="003048B7">
                        <w:tc>
                          <w:tcPr>
                            <w:tcW w:w="817" w:type="dxa"/>
                            <w:shd w:val="clear" w:color="auto" w:fill="auto"/>
                          </w:tcPr>
                          <w:p w14:paraId="79EBB770"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62E92B03"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763" w:type="dxa"/>
                            <w:tcBorders>
                              <w:bottom w:val="single" w:sz="4" w:space="0" w:color="auto"/>
                            </w:tcBorders>
                            <w:shd w:val="clear" w:color="auto" w:fill="auto"/>
                          </w:tcPr>
                          <w:p w14:paraId="2623FE83" w14:textId="77777777" w:rsidR="00055A65" w:rsidRPr="0055776F" w:rsidRDefault="00055A65" w:rsidP="00FE0401">
                            <w:pPr>
                              <w:rPr>
                                <w:rFonts w:ascii="Arial" w:hAnsi="Arial" w:cs="Arial"/>
                              </w:rPr>
                            </w:pPr>
                            <w:r w:rsidRPr="0055776F">
                              <w:rPr>
                                <w:rFonts w:ascii="Arial" w:hAnsi="Arial" w:cs="Arial"/>
                              </w:rPr>
                              <w:t>198</w:t>
                            </w:r>
                          </w:p>
                        </w:tc>
                        <w:tc>
                          <w:tcPr>
                            <w:tcW w:w="739" w:type="dxa"/>
                            <w:tcBorders>
                              <w:bottom w:val="single" w:sz="4" w:space="0" w:color="auto"/>
                            </w:tcBorders>
                            <w:shd w:val="clear" w:color="auto" w:fill="auto"/>
                          </w:tcPr>
                          <w:p w14:paraId="4DE7BB0F" w14:textId="77777777" w:rsidR="00055A65" w:rsidRPr="0055776F" w:rsidRDefault="00055A65" w:rsidP="00FE0401">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4E0015A0" w14:textId="77777777" w:rsidR="00055A65" w:rsidRPr="0055776F" w:rsidRDefault="00055A65" w:rsidP="00FE0401">
                            <w:pPr>
                              <w:rPr>
                                <w:rFonts w:ascii="Arial" w:hAnsi="Arial" w:cs="Arial"/>
                              </w:rPr>
                            </w:pPr>
                            <w:r w:rsidRPr="0055776F">
                              <w:rPr>
                                <w:rFonts w:ascii="Arial" w:hAnsi="Arial" w:cs="Arial"/>
                              </w:rPr>
                              <w:t>148</w:t>
                            </w:r>
                          </w:p>
                        </w:tc>
                      </w:tr>
                      <w:tr w:rsidR="00055A65" w:rsidRPr="0055776F" w14:paraId="559398F0" w14:textId="77777777" w:rsidTr="003048B7">
                        <w:tc>
                          <w:tcPr>
                            <w:tcW w:w="817" w:type="dxa"/>
                            <w:shd w:val="clear" w:color="auto" w:fill="auto"/>
                          </w:tcPr>
                          <w:p w14:paraId="68255183"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7AB4F936" w14:textId="77777777" w:rsidR="00055A65" w:rsidRPr="0055776F" w:rsidRDefault="00055A65" w:rsidP="00FE0401">
                            <w:pPr>
                              <w:rPr>
                                <w:rFonts w:ascii="Arial" w:hAnsi="Arial" w:cs="Arial"/>
                              </w:rPr>
                            </w:pPr>
                            <w:r w:rsidRPr="008558E7">
                              <w:rPr>
                                <w:rFonts w:ascii="Arial" w:hAnsi="Arial" w:cs="Arial"/>
                              </w:rPr>
                              <w:t>zensierte Beobachtungen</w:t>
                            </w:r>
                          </w:p>
                        </w:tc>
                        <w:tc>
                          <w:tcPr>
                            <w:tcW w:w="763" w:type="dxa"/>
                            <w:tcBorders>
                              <w:top w:val="single" w:sz="4" w:space="0" w:color="auto"/>
                            </w:tcBorders>
                            <w:shd w:val="clear" w:color="auto" w:fill="auto"/>
                          </w:tcPr>
                          <w:p w14:paraId="0BC978AB" w14:textId="77777777" w:rsidR="00055A65" w:rsidRPr="0055776F" w:rsidRDefault="00055A65" w:rsidP="00FE0401">
                            <w:pPr>
                              <w:rPr>
                                <w:rFonts w:ascii="Arial" w:hAnsi="Arial" w:cs="Arial"/>
                              </w:rPr>
                            </w:pPr>
                          </w:p>
                        </w:tc>
                        <w:tc>
                          <w:tcPr>
                            <w:tcW w:w="739" w:type="dxa"/>
                            <w:tcBorders>
                              <w:top w:val="single" w:sz="4" w:space="0" w:color="auto"/>
                            </w:tcBorders>
                            <w:shd w:val="clear" w:color="auto" w:fill="auto"/>
                          </w:tcPr>
                          <w:p w14:paraId="4B26E8E6"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2EC1A2E9" w14:textId="77777777" w:rsidR="00055A65" w:rsidRPr="0055776F" w:rsidRDefault="00055A65" w:rsidP="00FE0401">
                            <w:pPr>
                              <w:rPr>
                                <w:rFonts w:ascii="Arial" w:hAnsi="Arial" w:cs="Arial"/>
                              </w:rPr>
                            </w:pPr>
                          </w:p>
                        </w:tc>
                      </w:tr>
                    </w:tbl>
                    <w:p w14:paraId="1A5F164B" w14:textId="77777777" w:rsidR="00055A65" w:rsidRPr="00A33DBA" w:rsidRDefault="00055A65" w:rsidP="00D53262">
                      <w:pPr>
                        <w:rPr>
                          <w:rFonts w:ascii="Arial" w:hAnsi="Arial" w:cs="Arial"/>
                        </w:rPr>
                      </w:pPr>
                    </w:p>
                  </w:txbxContent>
                </v:textbox>
              </v:shape>
            </w:pict>
          </mc:Fallback>
        </mc:AlternateContent>
      </w:r>
      <w:r w:rsidRPr="00B30A12">
        <w:rPr>
          <w:noProof/>
          <w:lang w:val="en-GB" w:eastAsia="en-GB"/>
        </w:rPr>
        <w:drawing>
          <wp:inline distT="0" distB="0" distL="0" distR="0" wp14:anchorId="20DFD8E8" wp14:editId="46910E07">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1ED36798" w14:textId="77777777" w:rsidR="00D53262" w:rsidRPr="00B30A12" w:rsidRDefault="00367B53" w:rsidP="00537E23">
      <w:pPr>
        <w:widowControl w:val="0"/>
        <w:ind w:left="1418" w:hanging="1418"/>
        <w:rPr>
          <w:rFonts w:eastAsia="MS Mincho"/>
          <w:sz w:val="22"/>
          <w:szCs w:val="22"/>
        </w:rPr>
      </w:pPr>
      <w:r w:rsidRPr="00B30A12">
        <w:rPr>
          <w:noProof/>
          <w:lang w:val="en-GB" w:eastAsia="en-GB"/>
        </w:rPr>
        <mc:AlternateContent>
          <mc:Choice Requires="wps">
            <w:drawing>
              <wp:anchor distT="0" distB="0" distL="114300" distR="114300" simplePos="0" relativeHeight="251654144" behindDoc="0" locked="0" layoutInCell="1" allowOverlap="1" wp14:anchorId="45D402E7" wp14:editId="71802205">
                <wp:simplePos x="0" y="0"/>
                <wp:positionH relativeFrom="column">
                  <wp:posOffset>1929765</wp:posOffset>
                </wp:positionH>
                <wp:positionV relativeFrom="paragraph">
                  <wp:posOffset>26035</wp:posOffset>
                </wp:positionV>
                <wp:extent cx="1950085" cy="32639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26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50504" w14:textId="77777777" w:rsidR="00055A65" w:rsidRPr="00A33DBA" w:rsidRDefault="00055A65" w:rsidP="00D53262">
                            <w:pPr>
                              <w:rPr>
                                <w:rFonts w:ascii="Arial" w:hAnsi="Arial" w:cs="Arial"/>
                              </w:rPr>
                            </w:pPr>
                            <w:r>
                              <w:rPr>
                                <w:rFonts w:ascii="Arial" w:hAnsi="Arial" w:cs="Arial"/>
                              </w:rPr>
                              <w:t>Überlebenszeit in Monaten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402E7" id="_x0000_s1028" type="#_x0000_t202" style="position:absolute;left:0;text-align:left;margin-left:151.95pt;margin-top:2.05pt;width:153.55pt;height:2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qFAIAABQEAAAOAAAAZHJzL2Uyb0RvYy54bWysU9uO0zAQfUfiHyy/06TddtlGTVdLV0VI&#10;y0Xa5QMcx2ksEo8Zu03K1zO221LgDZEHK/aMz5w5Z7y6H/uOHRQ6Dabk00nOmTISam12Jf/6sn1z&#10;x5nzwtSiA6NKflSO369fv1oNtlAzaKGrFTICMa4YbMlb722RZU62qhduAlYZCjaAvfC0xV1WoxgI&#10;ve+yWZ7fZgNgbRGkco5OH1OQryN+0yjpPzeNU551JSduPq4Y1yqs2Xolih0K22p5oiH+gUUvtKGi&#10;F6hH4QXbo/4LqtcSwUHjJxL6DJpGSxV7oG6m+R/dPLfCqtgLiePsRSb3/2Dlp8MXZLou+YzkMaIn&#10;j17U6Nk7GNksyDNYV1DWs6U8P9Ix2RxbdfYJ5DfHDGxaYXbqARGGVoma6E3DzezqasJxAaQaPkJN&#10;ZcTeQwQaG+yDdqQGI3TicbxYE6jIUHK5yPO7BWeSYjez25tl9C4Txfm2ReffK+hZ+Ck5kvURXRye&#10;nA9sRHFOCcUcdLre6q6LG9xVmw7ZQdCYbOOX7na2Fen0XM6l1Ij3G0ZnApKBgJnKhZOoQWg7CeDH&#10;akxqn6WtoD6SKAhpNOkp0U8L+IOzgcay5O77XqDirPtgSNjldD4Pcxw388Xb4BpeR6rriDCSoEru&#10;OUu/G59mf29R71qqlKw08EBmNDrqFFxLrE70afRiu6dnEmb7eh+zfj3m9U8AAAD//wMAUEsDBBQA&#10;BgAIAAAAIQAUVYYe3wAAAAgBAAAPAAAAZHJzL2Rvd25yZXYueG1sTI9BS8NAFITvgv9heYIXsZu0&#10;psQ0myJFD4IVjHrfZF+T1OzbkN226b/v86THYYaZb/L1ZHtxxNF3jhTEswgEUu1MR42Cr8+X+xSE&#10;D5qM7h2hgjN6WBfXV7nOjDvRBx7L0AguIZ9pBW0IQyalr1u02s/cgMTezo1WB5ZjI82oT1xuezmP&#10;oqW0uiNeaPWAmxbrn/Jgefd5Sofv6m2zfy3vqv38nbptSkrd3kxPKxABp/AXhl98RoeCmSp3IONF&#10;r2ARLR45quAhBsH+Mo75W6UgSRKQRS7/HyguAAAA//8DAFBLAQItABQABgAIAAAAIQC2gziS/gAA&#10;AOEBAAATAAAAAAAAAAAAAAAAAAAAAABbQ29udGVudF9UeXBlc10ueG1sUEsBAi0AFAAGAAgAAAAh&#10;ADj9If/WAAAAlAEAAAsAAAAAAAAAAAAAAAAALwEAAF9yZWxzLy5yZWxzUEsBAi0AFAAGAAgAAAAh&#10;ACL8Y6oUAgAAFAQAAA4AAAAAAAAAAAAAAAAALgIAAGRycy9lMm9Eb2MueG1sUEsBAi0AFAAGAAgA&#10;AAAhABRVhh7fAAAACAEAAA8AAAAAAAAAAAAAAAAAbgQAAGRycy9kb3ducmV2LnhtbFBLBQYAAAAA&#10;BAAEAPMAAAB6BQAAAAA=&#10;" stroked="f">
                <v:fill opacity="0"/>
                <v:textbox>
                  <w:txbxContent>
                    <w:p w14:paraId="52050504" w14:textId="77777777" w:rsidR="00055A65" w:rsidRPr="00A33DBA" w:rsidRDefault="00055A65" w:rsidP="00D53262">
                      <w:pPr>
                        <w:rPr>
                          <w:rFonts w:ascii="Arial" w:hAnsi="Arial" w:cs="Arial"/>
                        </w:rPr>
                      </w:pPr>
                      <w:r>
                        <w:rPr>
                          <w:rFonts w:ascii="Arial" w:hAnsi="Arial" w:cs="Arial"/>
                        </w:rPr>
                        <w:t>Überlebenszeit in Monaten</w:t>
                      </w:r>
                    </w:p>
                  </w:txbxContent>
                </v:textbox>
              </v:shape>
            </w:pict>
          </mc:Fallback>
        </mc:AlternateContent>
      </w:r>
    </w:p>
    <w:p w14:paraId="2F3A02EB" w14:textId="77777777" w:rsidR="00D53262" w:rsidRPr="00B30A12" w:rsidRDefault="00D53262" w:rsidP="00537E23">
      <w:pPr>
        <w:widowControl w:val="0"/>
        <w:ind w:left="1418" w:hanging="1418"/>
        <w:rPr>
          <w:rFonts w:eastAsia="MS Mincho"/>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D53262" w:rsidRPr="00B30A12" w14:paraId="01F1A0FF" w14:textId="77777777" w:rsidTr="00410A32">
        <w:tc>
          <w:tcPr>
            <w:tcW w:w="10599" w:type="dxa"/>
            <w:gridSpan w:val="16"/>
            <w:shd w:val="clear" w:color="auto" w:fill="auto"/>
          </w:tcPr>
          <w:p w14:paraId="5F8EBCE6" w14:textId="77777777" w:rsidR="00D53262" w:rsidRPr="00B30A12" w:rsidRDefault="00200154" w:rsidP="00537E23">
            <w:pPr>
              <w:widowControl w:val="0"/>
              <w:ind w:left="-27"/>
              <w:rPr>
                <w:rFonts w:ascii="Arial" w:hAnsi="Arial" w:cs="Arial"/>
              </w:rPr>
            </w:pPr>
            <w:r w:rsidRPr="00B30A12">
              <w:rPr>
                <w:rFonts w:ascii="Arial" w:hAnsi="Arial" w:cs="Arial"/>
              </w:rPr>
              <w:t>Patienten mit Risiko: Ereignisse</w:t>
            </w:r>
          </w:p>
        </w:tc>
      </w:tr>
      <w:tr w:rsidR="00D53262" w:rsidRPr="00B30A12" w14:paraId="4B4D63B6" w14:textId="77777777" w:rsidTr="00410A32">
        <w:tc>
          <w:tcPr>
            <w:tcW w:w="450" w:type="dxa"/>
            <w:shd w:val="clear" w:color="auto" w:fill="auto"/>
          </w:tcPr>
          <w:p w14:paraId="2DB9F728" w14:textId="77777777" w:rsidR="00D53262" w:rsidRPr="00B30A12" w:rsidRDefault="00D53262" w:rsidP="00537E23">
            <w:pPr>
              <w:widowControl w:val="0"/>
              <w:rPr>
                <w:sz w:val="18"/>
                <w:szCs w:val="18"/>
              </w:rPr>
            </w:pPr>
            <w:r w:rsidRPr="00B30A12">
              <w:rPr>
                <w:sz w:val="18"/>
                <w:szCs w:val="18"/>
              </w:rPr>
              <w:t>(1)</w:t>
            </w:r>
          </w:p>
        </w:tc>
        <w:tc>
          <w:tcPr>
            <w:tcW w:w="646" w:type="dxa"/>
            <w:shd w:val="clear" w:color="auto" w:fill="auto"/>
          </w:tcPr>
          <w:p w14:paraId="524B8CEE" w14:textId="77777777" w:rsidR="00D53262" w:rsidRPr="00B30A12" w:rsidRDefault="00D53262" w:rsidP="00537E23">
            <w:pPr>
              <w:widowControl w:val="0"/>
              <w:ind w:left="-27"/>
              <w:rPr>
                <w:sz w:val="18"/>
                <w:szCs w:val="18"/>
              </w:rPr>
            </w:pPr>
            <w:r w:rsidRPr="00B30A12">
              <w:rPr>
                <w:sz w:val="18"/>
                <w:szCs w:val="18"/>
              </w:rPr>
              <w:t>199:0</w:t>
            </w:r>
          </w:p>
        </w:tc>
        <w:tc>
          <w:tcPr>
            <w:tcW w:w="645" w:type="dxa"/>
            <w:shd w:val="clear" w:color="auto" w:fill="auto"/>
          </w:tcPr>
          <w:p w14:paraId="376A574F" w14:textId="77777777" w:rsidR="00D53262" w:rsidRPr="00B30A12" w:rsidRDefault="00D53262" w:rsidP="00537E23">
            <w:pPr>
              <w:widowControl w:val="0"/>
              <w:ind w:left="-27"/>
              <w:rPr>
                <w:sz w:val="18"/>
                <w:szCs w:val="18"/>
              </w:rPr>
            </w:pPr>
            <w:r w:rsidRPr="00B30A12">
              <w:rPr>
                <w:sz w:val="18"/>
                <w:szCs w:val="18"/>
              </w:rPr>
              <w:t>182:8</w:t>
            </w:r>
          </w:p>
        </w:tc>
        <w:tc>
          <w:tcPr>
            <w:tcW w:w="745" w:type="dxa"/>
            <w:shd w:val="clear" w:color="auto" w:fill="auto"/>
          </w:tcPr>
          <w:p w14:paraId="05A44B2B" w14:textId="77777777" w:rsidR="00D53262" w:rsidRPr="00B30A12" w:rsidRDefault="00D53262" w:rsidP="00537E23">
            <w:pPr>
              <w:widowControl w:val="0"/>
              <w:ind w:left="-27"/>
              <w:rPr>
                <w:sz w:val="18"/>
                <w:szCs w:val="18"/>
              </w:rPr>
            </w:pPr>
            <w:r w:rsidRPr="00B30A12">
              <w:rPr>
                <w:sz w:val="18"/>
                <w:szCs w:val="18"/>
              </w:rPr>
              <w:t>177:12</w:t>
            </w:r>
          </w:p>
        </w:tc>
        <w:tc>
          <w:tcPr>
            <w:tcW w:w="745" w:type="dxa"/>
            <w:shd w:val="clear" w:color="auto" w:fill="auto"/>
          </w:tcPr>
          <w:p w14:paraId="0AE45F74" w14:textId="77777777" w:rsidR="00D53262" w:rsidRPr="00B30A12" w:rsidRDefault="00D53262" w:rsidP="00537E23">
            <w:pPr>
              <w:widowControl w:val="0"/>
              <w:ind w:left="-27"/>
              <w:rPr>
                <w:sz w:val="18"/>
                <w:szCs w:val="18"/>
              </w:rPr>
            </w:pPr>
            <w:r w:rsidRPr="00B30A12">
              <w:rPr>
                <w:sz w:val="18"/>
                <w:szCs w:val="18"/>
              </w:rPr>
              <w:t>163:25</w:t>
            </w:r>
          </w:p>
        </w:tc>
        <w:tc>
          <w:tcPr>
            <w:tcW w:w="745" w:type="dxa"/>
            <w:shd w:val="clear" w:color="auto" w:fill="auto"/>
          </w:tcPr>
          <w:p w14:paraId="762EACC5" w14:textId="77777777" w:rsidR="00D53262" w:rsidRPr="00B30A12" w:rsidRDefault="00D53262" w:rsidP="00537E23">
            <w:pPr>
              <w:widowControl w:val="0"/>
              <w:ind w:left="-27"/>
              <w:rPr>
                <w:sz w:val="18"/>
                <w:szCs w:val="18"/>
              </w:rPr>
            </w:pPr>
            <w:r w:rsidRPr="00B30A12">
              <w:rPr>
                <w:sz w:val="18"/>
                <w:szCs w:val="18"/>
              </w:rPr>
              <w:t>137:46</w:t>
            </w:r>
          </w:p>
        </w:tc>
        <w:tc>
          <w:tcPr>
            <w:tcW w:w="752" w:type="dxa"/>
            <w:shd w:val="clear" w:color="auto" w:fill="auto"/>
          </w:tcPr>
          <w:p w14:paraId="77A6F447" w14:textId="77777777" w:rsidR="00D53262" w:rsidRPr="00B30A12" w:rsidRDefault="00D53262" w:rsidP="00537E23">
            <w:pPr>
              <w:widowControl w:val="0"/>
              <w:ind w:left="-27"/>
              <w:rPr>
                <w:sz w:val="18"/>
                <w:szCs w:val="18"/>
              </w:rPr>
            </w:pPr>
            <w:r w:rsidRPr="00B30A12">
              <w:rPr>
                <w:sz w:val="18"/>
                <w:szCs w:val="18"/>
              </w:rPr>
              <w:t>105:65</w:t>
            </w:r>
          </w:p>
        </w:tc>
        <w:tc>
          <w:tcPr>
            <w:tcW w:w="745" w:type="dxa"/>
            <w:shd w:val="clear" w:color="auto" w:fill="auto"/>
          </w:tcPr>
          <w:p w14:paraId="5AF64B97" w14:textId="77777777" w:rsidR="00D53262" w:rsidRPr="00B30A12" w:rsidRDefault="00D53262" w:rsidP="00537E23">
            <w:pPr>
              <w:widowControl w:val="0"/>
              <w:ind w:left="-27"/>
              <w:rPr>
                <w:sz w:val="18"/>
                <w:szCs w:val="18"/>
              </w:rPr>
            </w:pPr>
            <w:r w:rsidRPr="00B30A12">
              <w:rPr>
                <w:sz w:val="18"/>
                <w:szCs w:val="18"/>
              </w:rPr>
              <w:t>88:72</w:t>
            </w:r>
          </w:p>
        </w:tc>
        <w:tc>
          <w:tcPr>
            <w:tcW w:w="745" w:type="dxa"/>
            <w:shd w:val="clear" w:color="auto" w:fill="auto"/>
          </w:tcPr>
          <w:p w14:paraId="35BECD2D" w14:textId="77777777" w:rsidR="00D53262" w:rsidRPr="00B30A12" w:rsidRDefault="00D53262" w:rsidP="00537E23">
            <w:pPr>
              <w:widowControl w:val="0"/>
              <w:ind w:left="-27"/>
              <w:rPr>
                <w:sz w:val="18"/>
                <w:szCs w:val="18"/>
              </w:rPr>
            </w:pPr>
            <w:r w:rsidRPr="00B30A12">
              <w:rPr>
                <w:sz w:val="18"/>
                <w:szCs w:val="18"/>
              </w:rPr>
              <w:t>61:77</w:t>
            </w:r>
          </w:p>
        </w:tc>
        <w:tc>
          <w:tcPr>
            <w:tcW w:w="652" w:type="dxa"/>
            <w:shd w:val="clear" w:color="auto" w:fill="auto"/>
          </w:tcPr>
          <w:p w14:paraId="73D211B5" w14:textId="77777777" w:rsidR="00D53262" w:rsidRPr="00B30A12" w:rsidRDefault="00D53262" w:rsidP="00537E23">
            <w:pPr>
              <w:widowControl w:val="0"/>
              <w:ind w:left="-27"/>
              <w:rPr>
                <w:sz w:val="18"/>
                <w:szCs w:val="18"/>
              </w:rPr>
            </w:pPr>
            <w:r w:rsidRPr="00B30A12">
              <w:rPr>
                <w:sz w:val="18"/>
                <w:szCs w:val="18"/>
              </w:rPr>
              <w:t>49:81</w:t>
            </w:r>
          </w:p>
        </w:tc>
        <w:tc>
          <w:tcPr>
            <w:tcW w:w="652" w:type="dxa"/>
            <w:shd w:val="clear" w:color="auto" w:fill="auto"/>
          </w:tcPr>
          <w:p w14:paraId="5CFE4F34" w14:textId="77777777" w:rsidR="00D53262" w:rsidRPr="00B30A12" w:rsidRDefault="00D53262" w:rsidP="00537E23">
            <w:pPr>
              <w:widowControl w:val="0"/>
              <w:ind w:left="-27"/>
              <w:rPr>
                <w:sz w:val="18"/>
                <w:szCs w:val="18"/>
              </w:rPr>
            </w:pPr>
            <w:r w:rsidRPr="00B30A12">
              <w:rPr>
                <w:sz w:val="18"/>
                <w:szCs w:val="18"/>
              </w:rPr>
              <w:t>36:83</w:t>
            </w:r>
          </w:p>
        </w:tc>
        <w:tc>
          <w:tcPr>
            <w:tcW w:w="649" w:type="dxa"/>
            <w:shd w:val="clear" w:color="auto" w:fill="auto"/>
          </w:tcPr>
          <w:p w14:paraId="233160DF" w14:textId="77777777" w:rsidR="00D53262" w:rsidRPr="00B30A12" w:rsidRDefault="00D53262" w:rsidP="00537E23">
            <w:pPr>
              <w:widowControl w:val="0"/>
              <w:ind w:left="-27"/>
              <w:rPr>
                <w:sz w:val="18"/>
                <w:szCs w:val="18"/>
              </w:rPr>
            </w:pPr>
            <w:r w:rsidRPr="00B30A12">
              <w:rPr>
                <w:sz w:val="18"/>
                <w:szCs w:val="18"/>
              </w:rPr>
              <w:t>27:84</w:t>
            </w:r>
          </w:p>
        </w:tc>
        <w:tc>
          <w:tcPr>
            <w:tcW w:w="660" w:type="dxa"/>
            <w:shd w:val="clear" w:color="auto" w:fill="auto"/>
          </w:tcPr>
          <w:p w14:paraId="385E22D4" w14:textId="77777777" w:rsidR="00D53262" w:rsidRPr="00B30A12" w:rsidRDefault="00D53262" w:rsidP="00537E23">
            <w:pPr>
              <w:widowControl w:val="0"/>
              <w:ind w:left="-27"/>
              <w:rPr>
                <w:sz w:val="18"/>
                <w:szCs w:val="18"/>
              </w:rPr>
            </w:pPr>
            <w:r w:rsidRPr="00B30A12">
              <w:rPr>
                <w:sz w:val="18"/>
                <w:szCs w:val="18"/>
              </w:rPr>
              <w:t>14:84</w:t>
            </w:r>
          </w:p>
        </w:tc>
        <w:tc>
          <w:tcPr>
            <w:tcW w:w="649" w:type="dxa"/>
            <w:shd w:val="clear" w:color="auto" w:fill="auto"/>
          </w:tcPr>
          <w:p w14:paraId="0E6AF45D" w14:textId="77777777" w:rsidR="00D53262" w:rsidRPr="00B30A12" w:rsidRDefault="00D53262" w:rsidP="00537E23">
            <w:pPr>
              <w:widowControl w:val="0"/>
              <w:ind w:left="-27"/>
              <w:rPr>
                <w:sz w:val="18"/>
                <w:szCs w:val="18"/>
              </w:rPr>
            </w:pPr>
            <w:r w:rsidRPr="00B30A12">
              <w:rPr>
                <w:sz w:val="18"/>
                <w:szCs w:val="18"/>
              </w:rPr>
              <w:t>10:84</w:t>
            </w:r>
          </w:p>
        </w:tc>
        <w:tc>
          <w:tcPr>
            <w:tcW w:w="564" w:type="dxa"/>
            <w:shd w:val="clear" w:color="auto" w:fill="auto"/>
          </w:tcPr>
          <w:p w14:paraId="382D42FE" w14:textId="77777777" w:rsidR="00D53262" w:rsidRPr="00B30A12" w:rsidRDefault="00D53262" w:rsidP="00537E23">
            <w:pPr>
              <w:widowControl w:val="0"/>
              <w:ind w:left="-27"/>
              <w:rPr>
                <w:sz w:val="18"/>
                <w:szCs w:val="18"/>
              </w:rPr>
            </w:pPr>
            <w:r w:rsidRPr="00B30A12">
              <w:rPr>
                <w:sz w:val="18"/>
                <w:szCs w:val="18"/>
              </w:rPr>
              <w:t>2:84</w:t>
            </w:r>
          </w:p>
        </w:tc>
        <w:tc>
          <w:tcPr>
            <w:tcW w:w="555" w:type="dxa"/>
            <w:shd w:val="clear" w:color="auto" w:fill="auto"/>
          </w:tcPr>
          <w:p w14:paraId="3B6FCE62" w14:textId="77777777" w:rsidR="00D53262" w:rsidRPr="00B30A12" w:rsidRDefault="00D53262" w:rsidP="00537E23">
            <w:pPr>
              <w:widowControl w:val="0"/>
              <w:ind w:left="-27"/>
              <w:rPr>
                <w:sz w:val="18"/>
                <w:szCs w:val="18"/>
              </w:rPr>
            </w:pPr>
            <w:r w:rsidRPr="00B30A12">
              <w:rPr>
                <w:sz w:val="18"/>
                <w:szCs w:val="18"/>
              </w:rPr>
              <w:t>0:84</w:t>
            </w:r>
          </w:p>
        </w:tc>
      </w:tr>
      <w:tr w:rsidR="00D53262" w:rsidRPr="00B30A12" w14:paraId="2B6EB34B" w14:textId="77777777" w:rsidTr="00410A32">
        <w:tc>
          <w:tcPr>
            <w:tcW w:w="450" w:type="dxa"/>
            <w:shd w:val="clear" w:color="auto" w:fill="auto"/>
          </w:tcPr>
          <w:p w14:paraId="72F71C59" w14:textId="77777777" w:rsidR="00D53262" w:rsidRPr="00B30A12" w:rsidRDefault="00D53262" w:rsidP="00537E23">
            <w:pPr>
              <w:widowControl w:val="0"/>
              <w:rPr>
                <w:sz w:val="18"/>
                <w:szCs w:val="18"/>
              </w:rPr>
            </w:pPr>
            <w:r w:rsidRPr="00B30A12">
              <w:rPr>
                <w:sz w:val="18"/>
                <w:szCs w:val="18"/>
              </w:rPr>
              <w:t>(2)</w:t>
            </w:r>
          </w:p>
        </w:tc>
        <w:tc>
          <w:tcPr>
            <w:tcW w:w="646" w:type="dxa"/>
            <w:shd w:val="clear" w:color="auto" w:fill="auto"/>
          </w:tcPr>
          <w:p w14:paraId="0D077D5E" w14:textId="77777777" w:rsidR="00D53262" w:rsidRPr="00B30A12" w:rsidRDefault="00D53262" w:rsidP="00537E23">
            <w:pPr>
              <w:widowControl w:val="0"/>
              <w:ind w:left="-27"/>
              <w:rPr>
                <w:sz w:val="18"/>
                <w:szCs w:val="18"/>
              </w:rPr>
            </w:pPr>
            <w:r w:rsidRPr="00B30A12">
              <w:rPr>
                <w:sz w:val="18"/>
                <w:szCs w:val="18"/>
              </w:rPr>
              <w:t>198:0</w:t>
            </w:r>
          </w:p>
        </w:tc>
        <w:tc>
          <w:tcPr>
            <w:tcW w:w="645" w:type="dxa"/>
            <w:shd w:val="clear" w:color="auto" w:fill="auto"/>
          </w:tcPr>
          <w:p w14:paraId="73613C83" w14:textId="77777777" w:rsidR="00D53262" w:rsidRPr="00B30A12" w:rsidRDefault="00D53262" w:rsidP="00537E23">
            <w:pPr>
              <w:widowControl w:val="0"/>
              <w:ind w:left="-27"/>
              <w:rPr>
                <w:sz w:val="18"/>
                <w:szCs w:val="18"/>
              </w:rPr>
            </w:pPr>
            <w:r w:rsidRPr="00B30A12">
              <w:rPr>
                <w:sz w:val="18"/>
                <w:szCs w:val="18"/>
              </w:rPr>
              <w:t>189:5</w:t>
            </w:r>
          </w:p>
        </w:tc>
        <w:tc>
          <w:tcPr>
            <w:tcW w:w="745" w:type="dxa"/>
            <w:shd w:val="clear" w:color="auto" w:fill="auto"/>
          </w:tcPr>
          <w:p w14:paraId="745B64B9" w14:textId="77777777" w:rsidR="00D53262" w:rsidRPr="00B30A12" w:rsidRDefault="00D53262" w:rsidP="00537E23">
            <w:pPr>
              <w:widowControl w:val="0"/>
              <w:ind w:left="-27"/>
              <w:rPr>
                <w:sz w:val="18"/>
                <w:szCs w:val="18"/>
              </w:rPr>
            </w:pPr>
            <w:r w:rsidRPr="00B30A12">
              <w:rPr>
                <w:sz w:val="18"/>
                <w:szCs w:val="18"/>
              </w:rPr>
              <w:t>184:8</w:t>
            </w:r>
          </w:p>
        </w:tc>
        <w:tc>
          <w:tcPr>
            <w:tcW w:w="745" w:type="dxa"/>
            <w:shd w:val="clear" w:color="auto" w:fill="auto"/>
          </w:tcPr>
          <w:p w14:paraId="71340637" w14:textId="77777777" w:rsidR="00D53262" w:rsidRPr="00B30A12" w:rsidRDefault="00D53262" w:rsidP="00537E23">
            <w:pPr>
              <w:widowControl w:val="0"/>
              <w:ind w:left="-27"/>
              <w:rPr>
                <w:sz w:val="18"/>
                <w:szCs w:val="18"/>
              </w:rPr>
            </w:pPr>
            <w:r w:rsidRPr="00B30A12">
              <w:rPr>
                <w:sz w:val="18"/>
                <w:szCs w:val="18"/>
              </w:rPr>
              <w:t>181:11</w:t>
            </w:r>
          </w:p>
        </w:tc>
        <w:tc>
          <w:tcPr>
            <w:tcW w:w="745" w:type="dxa"/>
            <w:shd w:val="clear" w:color="auto" w:fill="auto"/>
          </w:tcPr>
          <w:p w14:paraId="73DF534E" w14:textId="77777777" w:rsidR="00D53262" w:rsidRPr="00B30A12" w:rsidRDefault="00D53262" w:rsidP="00537E23">
            <w:pPr>
              <w:widowControl w:val="0"/>
              <w:ind w:left="-27"/>
              <w:rPr>
                <w:sz w:val="18"/>
                <w:szCs w:val="18"/>
              </w:rPr>
            </w:pPr>
            <w:r w:rsidRPr="00B30A12">
              <w:rPr>
                <w:sz w:val="18"/>
                <w:szCs w:val="18"/>
              </w:rPr>
              <w:t>173:18</w:t>
            </w:r>
          </w:p>
        </w:tc>
        <w:tc>
          <w:tcPr>
            <w:tcW w:w="752" w:type="dxa"/>
            <w:shd w:val="clear" w:color="auto" w:fill="auto"/>
          </w:tcPr>
          <w:p w14:paraId="598BC3C2" w14:textId="77777777" w:rsidR="00D53262" w:rsidRPr="00B30A12" w:rsidRDefault="00D53262" w:rsidP="00537E23">
            <w:pPr>
              <w:widowControl w:val="0"/>
              <w:ind w:left="-27"/>
              <w:rPr>
                <w:sz w:val="18"/>
                <w:szCs w:val="18"/>
              </w:rPr>
            </w:pPr>
            <w:r w:rsidRPr="00B30A12">
              <w:rPr>
                <w:sz w:val="18"/>
                <w:szCs w:val="18"/>
              </w:rPr>
              <w:t>152:22</w:t>
            </w:r>
          </w:p>
        </w:tc>
        <w:tc>
          <w:tcPr>
            <w:tcW w:w="745" w:type="dxa"/>
            <w:shd w:val="clear" w:color="auto" w:fill="auto"/>
          </w:tcPr>
          <w:p w14:paraId="61E1BD05" w14:textId="77777777" w:rsidR="00D53262" w:rsidRPr="00B30A12" w:rsidRDefault="00D53262" w:rsidP="00537E23">
            <w:pPr>
              <w:widowControl w:val="0"/>
              <w:ind w:left="-27"/>
              <w:rPr>
                <w:sz w:val="18"/>
                <w:szCs w:val="18"/>
              </w:rPr>
            </w:pPr>
            <w:r w:rsidRPr="00B30A12">
              <w:rPr>
                <w:sz w:val="18"/>
                <w:szCs w:val="18"/>
              </w:rPr>
              <w:t>133:25</w:t>
            </w:r>
          </w:p>
        </w:tc>
        <w:tc>
          <w:tcPr>
            <w:tcW w:w="745" w:type="dxa"/>
            <w:shd w:val="clear" w:color="auto" w:fill="auto"/>
          </w:tcPr>
          <w:p w14:paraId="2C1D56F6" w14:textId="77777777" w:rsidR="00D53262" w:rsidRPr="00B30A12" w:rsidRDefault="00D53262" w:rsidP="00537E23">
            <w:pPr>
              <w:widowControl w:val="0"/>
              <w:ind w:left="-27"/>
              <w:rPr>
                <w:sz w:val="18"/>
                <w:szCs w:val="18"/>
              </w:rPr>
            </w:pPr>
            <w:r w:rsidRPr="00B30A12">
              <w:rPr>
                <w:sz w:val="18"/>
                <w:szCs w:val="18"/>
              </w:rPr>
              <w:t>102:29</w:t>
            </w:r>
          </w:p>
        </w:tc>
        <w:tc>
          <w:tcPr>
            <w:tcW w:w="652" w:type="dxa"/>
            <w:shd w:val="clear" w:color="auto" w:fill="auto"/>
          </w:tcPr>
          <w:p w14:paraId="7C9DF5A7" w14:textId="77777777" w:rsidR="00D53262" w:rsidRPr="00B30A12" w:rsidRDefault="00D53262" w:rsidP="00537E23">
            <w:pPr>
              <w:widowControl w:val="0"/>
              <w:ind w:left="-27"/>
              <w:rPr>
                <w:sz w:val="18"/>
                <w:szCs w:val="18"/>
              </w:rPr>
            </w:pPr>
            <w:r w:rsidRPr="00B30A12">
              <w:rPr>
                <w:sz w:val="18"/>
                <w:szCs w:val="18"/>
              </w:rPr>
              <w:t>82:35</w:t>
            </w:r>
          </w:p>
        </w:tc>
        <w:tc>
          <w:tcPr>
            <w:tcW w:w="652" w:type="dxa"/>
            <w:shd w:val="clear" w:color="auto" w:fill="auto"/>
          </w:tcPr>
          <w:p w14:paraId="52E60326" w14:textId="77777777" w:rsidR="00D53262" w:rsidRPr="00B30A12" w:rsidRDefault="00D53262" w:rsidP="00537E23">
            <w:pPr>
              <w:widowControl w:val="0"/>
              <w:ind w:left="-27"/>
              <w:rPr>
                <w:sz w:val="18"/>
                <w:szCs w:val="18"/>
              </w:rPr>
            </w:pPr>
            <w:r w:rsidRPr="00B30A12">
              <w:rPr>
                <w:sz w:val="18"/>
                <w:szCs w:val="18"/>
              </w:rPr>
              <w:t>54:46</w:t>
            </w:r>
          </w:p>
        </w:tc>
        <w:tc>
          <w:tcPr>
            <w:tcW w:w="649" w:type="dxa"/>
            <w:shd w:val="clear" w:color="auto" w:fill="auto"/>
          </w:tcPr>
          <w:p w14:paraId="5D13AFD4" w14:textId="77777777" w:rsidR="00D53262" w:rsidRPr="00B30A12" w:rsidRDefault="00D53262" w:rsidP="00537E23">
            <w:pPr>
              <w:widowControl w:val="0"/>
              <w:ind w:left="-27"/>
              <w:rPr>
                <w:sz w:val="18"/>
                <w:szCs w:val="18"/>
              </w:rPr>
            </w:pPr>
            <w:r w:rsidRPr="00B30A12">
              <w:rPr>
                <w:sz w:val="18"/>
                <w:szCs w:val="18"/>
              </w:rPr>
              <w:t>39:47</w:t>
            </w:r>
          </w:p>
        </w:tc>
        <w:tc>
          <w:tcPr>
            <w:tcW w:w="660" w:type="dxa"/>
            <w:shd w:val="clear" w:color="auto" w:fill="auto"/>
          </w:tcPr>
          <w:p w14:paraId="574D4EDA" w14:textId="77777777" w:rsidR="00D53262" w:rsidRPr="00B30A12" w:rsidRDefault="00D53262" w:rsidP="00537E23">
            <w:pPr>
              <w:widowControl w:val="0"/>
              <w:ind w:left="-27"/>
              <w:rPr>
                <w:sz w:val="18"/>
                <w:szCs w:val="18"/>
              </w:rPr>
            </w:pPr>
            <w:r w:rsidRPr="00B30A12">
              <w:rPr>
                <w:sz w:val="18"/>
                <w:szCs w:val="18"/>
              </w:rPr>
              <w:t>21:49</w:t>
            </w:r>
          </w:p>
        </w:tc>
        <w:tc>
          <w:tcPr>
            <w:tcW w:w="649" w:type="dxa"/>
            <w:shd w:val="clear" w:color="auto" w:fill="auto"/>
          </w:tcPr>
          <w:p w14:paraId="4BD6DE2E" w14:textId="77777777" w:rsidR="00D53262" w:rsidRPr="00B30A12" w:rsidRDefault="00D53262" w:rsidP="00537E23">
            <w:pPr>
              <w:widowControl w:val="0"/>
              <w:ind w:left="-27"/>
              <w:rPr>
                <w:sz w:val="18"/>
                <w:szCs w:val="18"/>
              </w:rPr>
            </w:pPr>
            <w:r w:rsidRPr="00B30A12">
              <w:rPr>
                <w:sz w:val="18"/>
                <w:szCs w:val="18"/>
              </w:rPr>
              <w:t>8:50</w:t>
            </w:r>
          </w:p>
        </w:tc>
        <w:tc>
          <w:tcPr>
            <w:tcW w:w="564" w:type="dxa"/>
            <w:shd w:val="clear" w:color="auto" w:fill="auto"/>
          </w:tcPr>
          <w:p w14:paraId="0D167483" w14:textId="77777777" w:rsidR="00D53262" w:rsidRPr="00B30A12" w:rsidRDefault="00D53262" w:rsidP="00537E23">
            <w:pPr>
              <w:widowControl w:val="0"/>
              <w:ind w:left="-27"/>
              <w:rPr>
                <w:sz w:val="18"/>
                <w:szCs w:val="18"/>
              </w:rPr>
            </w:pPr>
            <w:r w:rsidRPr="00B30A12">
              <w:rPr>
                <w:sz w:val="18"/>
                <w:szCs w:val="18"/>
              </w:rPr>
              <w:t>0:50</w:t>
            </w:r>
          </w:p>
        </w:tc>
        <w:tc>
          <w:tcPr>
            <w:tcW w:w="555" w:type="dxa"/>
            <w:shd w:val="clear" w:color="auto" w:fill="auto"/>
          </w:tcPr>
          <w:p w14:paraId="31808B59" w14:textId="77777777" w:rsidR="00D53262" w:rsidRPr="00B30A12" w:rsidRDefault="00D53262" w:rsidP="00537E23">
            <w:pPr>
              <w:widowControl w:val="0"/>
              <w:ind w:left="-27"/>
              <w:rPr>
                <w:sz w:val="18"/>
                <w:szCs w:val="18"/>
              </w:rPr>
            </w:pPr>
          </w:p>
        </w:tc>
      </w:tr>
    </w:tbl>
    <w:p w14:paraId="50E1158B" w14:textId="77777777" w:rsidR="00D53262" w:rsidRPr="00B30A12" w:rsidRDefault="00D53262" w:rsidP="00537E23">
      <w:pPr>
        <w:widowControl w:val="0"/>
        <w:ind w:left="1418" w:hanging="1418"/>
        <w:rPr>
          <w:rFonts w:eastAsia="MS Mincho"/>
          <w:sz w:val="22"/>
          <w:szCs w:val="22"/>
        </w:rPr>
      </w:pPr>
    </w:p>
    <w:p w14:paraId="66045268" w14:textId="77777777" w:rsidR="00D53262" w:rsidRPr="00B30A12" w:rsidRDefault="00367B53" w:rsidP="00052596">
      <w:pPr>
        <w:keepNext/>
        <w:widowControl w:val="0"/>
        <w:ind w:left="1134" w:hanging="1134"/>
        <w:rPr>
          <w:rFonts w:eastAsia="MS Mincho"/>
          <w:b/>
          <w:sz w:val="22"/>
          <w:szCs w:val="22"/>
        </w:rPr>
      </w:pPr>
      <w:r w:rsidRPr="00B30A12">
        <w:rPr>
          <w:noProof/>
          <w:lang w:val="en-GB" w:eastAsia="en-GB"/>
        </w:rPr>
        <w:lastRenderedPageBreak/>
        <mc:AlternateContent>
          <mc:Choice Requires="wps">
            <w:drawing>
              <wp:anchor distT="0" distB="0" distL="114300" distR="114300" simplePos="0" relativeHeight="251655168" behindDoc="0" locked="0" layoutInCell="1" allowOverlap="1" wp14:anchorId="5BA60C4E" wp14:editId="0C32FB29">
                <wp:simplePos x="0" y="0"/>
                <wp:positionH relativeFrom="column">
                  <wp:posOffset>-266700</wp:posOffset>
                </wp:positionH>
                <wp:positionV relativeFrom="paragraph">
                  <wp:posOffset>140970</wp:posOffset>
                </wp:positionV>
                <wp:extent cx="335915" cy="24606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6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166BA" w14:textId="77777777" w:rsidR="00055A65" w:rsidRPr="00A33DBA" w:rsidRDefault="00055A65" w:rsidP="00200154">
                            <w:pPr>
                              <w:rPr>
                                <w:rFonts w:ascii="Arial" w:hAnsi="Arial" w:cs="Arial"/>
                              </w:rPr>
                            </w:pPr>
                            <w:r>
                              <w:rPr>
                                <w:rFonts w:ascii="Arial" w:hAnsi="Arial" w:cs="Arial"/>
                              </w:rPr>
                              <w:t>Wahrscheinlichkeit für Gesamtüberleben</w:t>
                            </w:r>
                          </w:p>
                          <w:p w14:paraId="0A6EB6EE" w14:textId="77777777" w:rsidR="00055A65" w:rsidRPr="00A33DBA" w:rsidRDefault="00055A65" w:rsidP="00D53262">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A60C4E" id="_x0000_s1029" type="#_x0000_t202" style="position:absolute;left:0;text-align:left;margin-left:-21pt;margin-top:11.1pt;width:26.45pt;height:19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d4FgIAABcEAAAOAAAAZHJzL2Uyb0RvYy54bWysU9uO0zAQfUfiHyy/07TpZWnUdLV0VYS0&#10;LEi7fIDjOImF4zG226R/z9huS4E3RB6szMVnZs4cb+7HXpGjsE6CLulsMqVEaA611G1Jv73u372n&#10;xHmma6ZAi5KehKP327dvNoMpRA4dqFpYgiDaFYMpaee9KbLM8U70zE3ACI3BBmzPPJq2zWrLBkTv&#10;VZZPp6tsAFsbC1w4h97HFKTbiN80gvsvTeOEJ6qk2JuPp41nFc5su2FFa5npJD+3wf6hi55JjUWv&#10;UI/MM3Kw8i+oXnILDho/4dBn0DSSizgDTjOb/jHNS8eMiLMgOc5caXL/D5Y/H79aImvc3ZoSzXrc&#10;0asYPfkAI8kDPYNxBWa9GMzzI7oxNY7qzBPw745o2HVMt+LBWhg6wWpsbxZuZjdXE44LINXwGWos&#10;ww4eItDY2D5wh2wQRMc1na6rCa1wdM7ny/VsSQnHUL5YTVf5MpZgxeW2sc5/FNCT8FNSi6uP6Oz4&#10;5HzohhWXlFDMgZL1XioVDdtWO2XJkaFM9vFLd5XpWPJGqSCGS6kR7zcMpQOShoCZygVP5CCMnQjw&#10;YzVGtucXaiuoT0iKhSRNfEr4E878DokYUJkldT8OzApK1CeN3K5ni0WQcjQWy7scDXsbqW4jTPMO&#10;UPCekvS780n+B2Nl22GxtE0ND7iPRkaqwuJSY+cJUH1x4vNLCfK+tWPWr/e8/QkAAP//AwBQSwME&#10;FAAGAAgAAAAhAPiQ+GjgAAAACQEAAA8AAABkcnMvZG93bnJldi54bWxMj0FLw0AUhO+C/2F5grd2&#10;17XYNGZTRCgIgmCtorfX7GsSzO6G7Gsb/fVuT/Y4zDDzTbEcXScONMQ2eAM3UwWCfBVs62sDm7fV&#10;JAMRGb3FLngy8EMRluXlRYG5DUf/Soc11yKV+JijgYa5z6WMVUMO4zT05JO3C4NDTnKopR3wmMpd&#10;J7VSd9Jh69NCgz09NlR9r/fOwNfHb0bvLF/wiW/nK9rE591nZsz11fhwD4Jp5P8wnPATOpSJaRv2&#10;3kbRGZjMdPrCBrTWIE4BtQCxNTBTiznIspDnD8o/AAAA//8DAFBLAQItABQABgAIAAAAIQC2gziS&#10;/gAAAOEBAAATAAAAAAAAAAAAAAAAAAAAAABbQ29udGVudF9UeXBlc10ueG1sUEsBAi0AFAAGAAgA&#10;AAAhADj9If/WAAAAlAEAAAsAAAAAAAAAAAAAAAAALwEAAF9yZWxzLy5yZWxzUEsBAi0AFAAGAAgA&#10;AAAhAHGZ13gWAgAAFwQAAA4AAAAAAAAAAAAAAAAALgIAAGRycy9lMm9Eb2MueG1sUEsBAi0AFAAG&#10;AAgAAAAhAPiQ+GjgAAAACQEAAA8AAAAAAAAAAAAAAAAAcAQAAGRycy9kb3ducmV2LnhtbFBLBQYA&#10;AAAABAAEAPMAAAB9BQAAAAA=&#10;" stroked="f">
                <v:fill opacity="0"/>
                <v:textbox style="layout-flow:vertical;mso-layout-flow-alt:bottom-to-top">
                  <w:txbxContent>
                    <w:p w14:paraId="462166BA" w14:textId="77777777" w:rsidR="00055A65" w:rsidRPr="00A33DBA" w:rsidRDefault="00055A65" w:rsidP="00200154">
                      <w:pPr>
                        <w:rPr>
                          <w:rFonts w:ascii="Arial" w:hAnsi="Arial" w:cs="Arial"/>
                        </w:rPr>
                      </w:pPr>
                      <w:r>
                        <w:rPr>
                          <w:rFonts w:ascii="Arial" w:hAnsi="Arial" w:cs="Arial"/>
                        </w:rPr>
                        <w:t>Wahrscheinlichkeit für Gesamtüberleben</w:t>
                      </w:r>
                    </w:p>
                    <w:p w14:paraId="0A6EB6EE" w14:textId="77777777" w:rsidR="00055A65" w:rsidRPr="00A33DBA" w:rsidRDefault="00055A65" w:rsidP="00D53262">
                      <w:pPr>
                        <w:rPr>
                          <w:rFonts w:ascii="Arial" w:hAnsi="Arial" w:cs="Arial"/>
                        </w:rPr>
                      </w:pPr>
                    </w:p>
                  </w:txbxContent>
                </v:textbox>
              </v:shape>
            </w:pict>
          </mc:Fallback>
        </mc:AlternateContent>
      </w:r>
      <w:r w:rsidR="00D53262" w:rsidRPr="00B30A12">
        <w:rPr>
          <w:rFonts w:eastAsia="MS Mincho"/>
          <w:b/>
          <w:sz w:val="22"/>
          <w:szCs w:val="22"/>
        </w:rPr>
        <w:t>Abbildung 2 Kaplan-Meier-Schätzung für das Gesamtüberleben (ITT-Population)</w:t>
      </w:r>
    </w:p>
    <w:p w14:paraId="4EDA429C" w14:textId="77777777" w:rsidR="00D53262" w:rsidRPr="00B30A12" w:rsidRDefault="00D53262" w:rsidP="00052596">
      <w:pPr>
        <w:keepNext/>
        <w:widowControl w:val="0"/>
        <w:ind w:left="1418" w:hanging="1418"/>
        <w:rPr>
          <w:rFonts w:eastAsia="MS Mincho"/>
          <w:sz w:val="22"/>
          <w:szCs w:val="22"/>
        </w:rPr>
      </w:pPr>
    </w:p>
    <w:p w14:paraId="263A4AEB" w14:textId="77777777" w:rsidR="00D53262" w:rsidRPr="00B30A12" w:rsidRDefault="00367B53" w:rsidP="00052596">
      <w:pPr>
        <w:keepNext/>
        <w:widowControl w:val="0"/>
        <w:ind w:left="1418" w:hanging="1418"/>
        <w:rPr>
          <w:rFonts w:eastAsia="MS Mincho"/>
          <w:sz w:val="22"/>
          <w:szCs w:val="22"/>
        </w:rPr>
      </w:pPr>
      <w:r w:rsidRPr="00B30A12">
        <w:rPr>
          <w:rFonts w:eastAsia="MS Mincho"/>
          <w:noProof/>
          <w:sz w:val="22"/>
          <w:szCs w:val="22"/>
          <w:lang w:val="en-GB" w:eastAsia="en-GB"/>
        </w:rPr>
        <mc:AlternateContent>
          <mc:Choice Requires="wps">
            <w:drawing>
              <wp:anchor distT="0" distB="0" distL="114300" distR="114300" simplePos="0" relativeHeight="251657216" behindDoc="0" locked="0" layoutInCell="1" allowOverlap="1" wp14:anchorId="1AD9F9D0" wp14:editId="37515098">
                <wp:simplePos x="0" y="0"/>
                <wp:positionH relativeFrom="column">
                  <wp:posOffset>2253615</wp:posOffset>
                </wp:positionH>
                <wp:positionV relativeFrom="paragraph">
                  <wp:posOffset>2657475</wp:posOffset>
                </wp:positionV>
                <wp:extent cx="1800225" cy="2197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BA35E" w14:textId="77777777" w:rsidR="00055A65" w:rsidRPr="00A33DBA" w:rsidRDefault="00055A65" w:rsidP="00D53262">
                            <w:pPr>
                              <w:rPr>
                                <w:rFonts w:ascii="Arial" w:hAnsi="Arial" w:cs="Arial"/>
                              </w:rPr>
                            </w:pPr>
                            <w:r>
                              <w:rPr>
                                <w:rFonts w:ascii="Arial" w:hAnsi="Arial" w:cs="Arial"/>
                              </w:rPr>
                              <w:t>Überlebenszeit in Monaten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D9F9D0" id="_x0000_s1030" type="#_x0000_t202" style="position:absolute;left:0;text-align:left;margin-left:177.45pt;margin-top:209.25pt;width:141.75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AuEwIAABQEAAAOAAAAZHJzL2Uyb0RvYy54bWysU9tu2zAMfR+wfxD0vjg20rU14hRdigwD&#10;ugvQ7gNkWbaF2aJGKbG7rx8lJVm2vQ3TgyCK1CF5DrW+m8eBHRQ6Dabi+WLJmTISGm26in993r25&#10;4cx5YRoxgFEVf1GO321ev1pPtlQF9DA0ChmBGFdOtuK997bMMid7NQq3AKsMOVvAUXgyscsaFBOh&#10;j0NWLJdvswmwsQhSOUe3D8nJNxG/bZX0n9vWKc+GilNtPu4Y9zrs2WYtyg6F7bU8liH+oYpRaENJ&#10;z1APwgu2R/0X1KglgoPWLySMGbStlir2QN3kyz+6eeqFVbEXIsfZM03u/8HKT4cvyHRD2pFSRoyk&#10;0bOaPXsHMysCPZN1JUU9WYrzM11TaGzV2UeQ3xwzsO2F6dQ9Iky9Eg2Vl4eX2cXThOMCSD19hIbS&#10;iL2HCDS3OAbuiA1G6CTTy1maUIoMKW+Wy6K44kySr8hvr/OoXSbK02uLzr9XMLJwqDiS9BFdHB6d&#10;D9WI8hQSkjkYdLPTwxAN7OrtgOwgaEx2caW3g+1Fuj2lcyk04v2GMZiAZCBgpnThJnIQ2k4E+Lme&#10;I9urE7U1NC9ECkIaTfpKdOgBf3A20VhW3H3fC1ScDR8MEXubr1ZhjqOxurouyMBLT33pEUYSVMU9&#10;Z+m49Wn29xZ111OmJKWBexKj1ZGnoFqq6lg+jV5s9/hNwmxf2jHq12fe/AQAAP//AwBQSwMEFAAG&#10;AAgAAAAhAMhPM2rgAAAACwEAAA8AAABkcnMvZG93bnJldi54bWxMj8FOhDAQhu8mvkMzJl6MW1hg&#10;g0jZmI0eTNRE1HuhI7DSKaHdXXx7x5MeZ+bL/39Tbhc7iiPOfnCkIF5FIJBaZwbqFLy/PVznIHzQ&#10;ZPToCBV8o4dtdX5W6sK4E73isQ6d4BDyhVbQhzAVUvq2R6v9yk1IfPt0s9WBx7mTZtYnDrejXEfR&#10;Rlo9EDf0esJdj+1XfbDce7/k00fztNs/1lfNfv1Cw3NOSl1eLHe3IAIu4Q+GX31Wh4qdGncg48Wo&#10;IMnSG0YVpHGegWBik+QpiIY3WRKDrEr5/4fqBwAA//8DAFBLAQItABQABgAIAAAAIQC2gziS/gAA&#10;AOEBAAATAAAAAAAAAAAAAAAAAAAAAABbQ29udGVudF9UeXBlc10ueG1sUEsBAi0AFAAGAAgAAAAh&#10;ADj9If/WAAAAlAEAAAsAAAAAAAAAAAAAAAAALwEAAF9yZWxzLy5yZWxzUEsBAi0AFAAGAAgAAAAh&#10;AOnyoC4TAgAAFAQAAA4AAAAAAAAAAAAAAAAALgIAAGRycy9lMm9Eb2MueG1sUEsBAi0AFAAGAAgA&#10;AAAhAMhPM2rgAAAACwEAAA8AAAAAAAAAAAAAAAAAbQQAAGRycy9kb3ducmV2LnhtbFBLBQYAAAAA&#10;BAAEAPMAAAB6BQAAAAA=&#10;" stroked="f">
                <v:fill opacity="0"/>
                <v:textbox>
                  <w:txbxContent>
                    <w:p w14:paraId="5FDBA35E" w14:textId="77777777" w:rsidR="00055A65" w:rsidRPr="00A33DBA" w:rsidRDefault="00055A65" w:rsidP="00D53262">
                      <w:pPr>
                        <w:rPr>
                          <w:rFonts w:ascii="Arial" w:hAnsi="Arial" w:cs="Arial"/>
                        </w:rPr>
                      </w:pPr>
                      <w:r>
                        <w:rPr>
                          <w:rFonts w:ascii="Arial" w:hAnsi="Arial" w:cs="Arial"/>
                        </w:rPr>
                        <w:t>Überlebenszeit in Monaten</w:t>
                      </w:r>
                    </w:p>
                  </w:txbxContent>
                </v:textbox>
              </v:shape>
            </w:pict>
          </mc:Fallback>
        </mc:AlternateContent>
      </w:r>
      <w:r w:rsidRPr="00B30A12">
        <w:rPr>
          <w:noProof/>
          <w:lang w:val="en-GB" w:eastAsia="en-GB"/>
        </w:rPr>
        <mc:AlternateContent>
          <mc:Choice Requires="wps">
            <w:drawing>
              <wp:anchor distT="0" distB="0" distL="114300" distR="114300" simplePos="0" relativeHeight="251656192" behindDoc="0" locked="0" layoutInCell="1" allowOverlap="1" wp14:anchorId="458D9B41" wp14:editId="6489E3C1">
                <wp:simplePos x="0" y="0"/>
                <wp:positionH relativeFrom="column">
                  <wp:posOffset>350520</wp:posOffset>
                </wp:positionH>
                <wp:positionV relativeFrom="paragraph">
                  <wp:posOffset>952500</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7453D" w14:textId="77777777" w:rsidR="00055A65" w:rsidRDefault="00055A65" w:rsidP="00200154">
                            <w:pPr>
                              <w:rPr>
                                <w:rFonts w:ascii="Arial" w:hAnsi="Arial" w:cs="Arial"/>
                              </w:rPr>
                            </w:pPr>
                          </w:p>
                          <w:tbl>
                            <w:tblPr>
                              <w:tblW w:w="0" w:type="auto"/>
                              <w:tblLook w:val="04A0" w:firstRow="1" w:lastRow="0" w:firstColumn="1" w:lastColumn="0" w:noHBand="0" w:noVBand="1"/>
                            </w:tblPr>
                            <w:tblGrid>
                              <w:gridCol w:w="817"/>
                              <w:gridCol w:w="2693"/>
                              <w:gridCol w:w="851"/>
                              <w:gridCol w:w="739"/>
                              <w:gridCol w:w="850"/>
                            </w:tblGrid>
                            <w:tr w:rsidR="00055A65" w:rsidRPr="0055776F" w14:paraId="6D2F1DB7" w14:textId="77777777" w:rsidTr="00200154">
                              <w:tc>
                                <w:tcPr>
                                  <w:tcW w:w="5920" w:type="dxa"/>
                                  <w:gridSpan w:val="5"/>
                                  <w:shd w:val="clear" w:color="auto" w:fill="auto"/>
                                </w:tcPr>
                                <w:p w14:paraId="5AD82DCB" w14:textId="77777777" w:rsidR="00055A65" w:rsidRPr="00F42FE0" w:rsidRDefault="00055A65" w:rsidP="00200154">
                                  <w:pPr>
                                    <w:rPr>
                                      <w:rFonts w:ascii="Arial" w:hAnsi="Arial" w:cs="Arial"/>
                                      <w:lang w:val="en-US"/>
                                    </w:rPr>
                                  </w:pPr>
                                  <w:r>
                                    <w:rPr>
                                      <w:rFonts w:ascii="Arial" w:hAnsi="Arial" w:cs="Arial"/>
                                      <w:lang w:val="en-US"/>
                                    </w:rPr>
                                    <w:t>P =</w:t>
                                  </w:r>
                                  <w:r w:rsidRPr="00F42FE0">
                                    <w:rPr>
                                      <w:rFonts w:ascii="Arial" w:hAnsi="Arial" w:cs="Arial"/>
                                      <w:lang w:val="en-US"/>
                                    </w:rPr>
                                    <w:t xml:space="preserve"> 0,</w:t>
                                  </w:r>
                                  <w:r>
                                    <w:rPr>
                                      <w:rFonts w:ascii="Arial" w:hAnsi="Arial" w:cs="Arial"/>
                                      <w:lang w:val="en-US"/>
                                    </w:rPr>
                                    <w:t>0</w:t>
                                  </w:r>
                                  <w:r w:rsidRPr="00F42FE0">
                                    <w:rPr>
                                      <w:rFonts w:ascii="Arial" w:hAnsi="Arial" w:cs="Arial"/>
                                      <w:lang w:val="en-US"/>
                                    </w:rPr>
                                    <w:t>19</w:t>
                                  </w:r>
                                </w:p>
                                <w:p w14:paraId="3261AFAB" w14:textId="77777777" w:rsidR="00055A65" w:rsidRPr="00F42FE0" w:rsidRDefault="00055A65" w:rsidP="00200154">
                                  <w:pPr>
                                    <w:rPr>
                                      <w:rFonts w:ascii="Arial" w:hAnsi="Arial" w:cs="Arial"/>
                                      <w:lang w:val="en-US"/>
                                    </w:rPr>
                                  </w:pPr>
                                  <w:r w:rsidRPr="00F42FE0">
                                    <w:rPr>
                                      <w:rFonts w:ascii="Arial" w:hAnsi="Arial" w:cs="Arial"/>
                                      <w:lang w:val="en-US"/>
                                    </w:rPr>
                                    <w:t>Hazard ratio 0,45</w:t>
                                  </w:r>
                                </w:p>
                                <w:p w14:paraId="689D14AD" w14:textId="77777777" w:rsidR="00055A65" w:rsidRPr="0055776F" w:rsidRDefault="00055A65" w:rsidP="00200154">
                                  <w:pPr>
                                    <w:rPr>
                                      <w:rFonts w:ascii="Arial" w:hAnsi="Arial" w:cs="Arial"/>
                                    </w:rPr>
                                  </w:pPr>
                                  <w:r w:rsidRPr="00F42FE0">
                                    <w:rPr>
                                      <w:rFonts w:ascii="Arial" w:hAnsi="Arial" w:cs="Arial"/>
                                      <w:lang w:val="en-US"/>
                                    </w:rPr>
                                    <w:t>(95%</w:t>
                                  </w:r>
                                  <w:r>
                                    <w:rPr>
                                      <w:rFonts w:ascii="Arial" w:hAnsi="Arial" w:cs="Arial"/>
                                      <w:lang w:val="en-US"/>
                                    </w:rPr>
                                    <w:t>-KI</w:t>
                                  </w:r>
                                  <w:r w:rsidRPr="00F42FE0">
                                    <w:rPr>
                                      <w:rFonts w:ascii="Arial" w:hAnsi="Arial" w:cs="Arial"/>
                                      <w:lang w:val="en-US"/>
                                    </w:rPr>
                                    <w:t>, 0</w:t>
                                  </w:r>
                                  <w:r>
                                    <w:rPr>
                                      <w:rFonts w:ascii="Arial" w:hAnsi="Arial" w:cs="Arial"/>
                                      <w:lang w:val="en-US"/>
                                    </w:rPr>
                                    <w:t>,22</w:t>
                                  </w:r>
                                  <w:r>
                                    <w:rPr>
                                      <w:rFonts w:ascii="Arial" w:hAnsi="Arial" w:cs="Arial"/>
                                      <w:lang w:val="en-US"/>
                                    </w:rPr>
                                    <w:noBreakHyphen/>
                                  </w:r>
                                  <w:r w:rsidRPr="00F42FE0">
                                    <w:rPr>
                                      <w:rFonts w:ascii="Arial" w:hAnsi="Arial" w:cs="Arial"/>
                                      <w:lang w:val="en-US"/>
                                    </w:rPr>
                                    <w:t>0,89)</w:t>
                                  </w:r>
                                </w:p>
                              </w:tc>
                            </w:tr>
                            <w:tr w:rsidR="00055A65" w:rsidRPr="0055776F" w14:paraId="7A20BAA9" w14:textId="77777777" w:rsidTr="00200154">
                              <w:tc>
                                <w:tcPr>
                                  <w:tcW w:w="817" w:type="dxa"/>
                                  <w:shd w:val="clear" w:color="auto" w:fill="auto"/>
                                </w:tcPr>
                                <w:p w14:paraId="4393F2C3" w14:textId="77777777" w:rsidR="00055A65" w:rsidRPr="0055776F" w:rsidRDefault="00055A65" w:rsidP="00FE0401">
                                  <w:pPr>
                                    <w:rPr>
                                      <w:rFonts w:ascii="Arial" w:hAnsi="Arial" w:cs="Arial"/>
                                    </w:rPr>
                                  </w:pPr>
                                </w:p>
                              </w:tc>
                              <w:tc>
                                <w:tcPr>
                                  <w:tcW w:w="2693" w:type="dxa"/>
                                  <w:shd w:val="clear" w:color="auto" w:fill="auto"/>
                                </w:tcPr>
                                <w:p w14:paraId="1DD4F14B" w14:textId="77777777" w:rsidR="00055A65" w:rsidRPr="0055776F" w:rsidRDefault="00055A65" w:rsidP="00FE0401">
                                  <w:pPr>
                                    <w:rPr>
                                      <w:rFonts w:ascii="Arial" w:hAnsi="Arial" w:cs="Arial"/>
                                    </w:rPr>
                                  </w:pPr>
                                </w:p>
                              </w:tc>
                              <w:tc>
                                <w:tcPr>
                                  <w:tcW w:w="851" w:type="dxa"/>
                                  <w:tcBorders>
                                    <w:bottom w:val="single" w:sz="4" w:space="0" w:color="auto"/>
                                  </w:tcBorders>
                                  <w:shd w:val="clear" w:color="auto" w:fill="auto"/>
                                </w:tcPr>
                                <w:p w14:paraId="0D39848B" w14:textId="77777777" w:rsidR="00055A65" w:rsidRPr="0055776F" w:rsidRDefault="00055A65" w:rsidP="00FE0401">
                                  <w:pPr>
                                    <w:rPr>
                                      <w:rFonts w:ascii="Arial" w:hAnsi="Arial" w:cs="Arial"/>
                                    </w:rPr>
                                  </w:pPr>
                                  <w:r w:rsidRPr="00200154">
                                    <w:rPr>
                                      <w:rFonts w:ascii="Arial" w:hAnsi="Arial" w:cs="Arial"/>
                                    </w:rPr>
                                    <w:t>N</w:t>
                                  </w:r>
                                </w:p>
                              </w:tc>
                              <w:tc>
                                <w:tcPr>
                                  <w:tcW w:w="709" w:type="dxa"/>
                                  <w:tcBorders>
                                    <w:bottom w:val="single" w:sz="4" w:space="0" w:color="auto"/>
                                  </w:tcBorders>
                                  <w:shd w:val="clear" w:color="auto" w:fill="auto"/>
                                </w:tcPr>
                                <w:p w14:paraId="729E881C" w14:textId="77777777" w:rsidR="00055A65" w:rsidRPr="0055776F"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46D87C2E" w14:textId="77777777" w:rsidR="00055A65" w:rsidRPr="0055776F" w:rsidRDefault="00055A65" w:rsidP="00FE0401">
                                  <w:pPr>
                                    <w:rPr>
                                      <w:rFonts w:ascii="Arial" w:hAnsi="Arial" w:cs="Arial"/>
                                    </w:rPr>
                                  </w:pPr>
                                  <w:r w:rsidRPr="00200154">
                                    <w:rPr>
                                      <w:rFonts w:ascii="Arial" w:hAnsi="Arial" w:cs="Arial"/>
                                    </w:rPr>
                                    <w:t>Zens.</w:t>
                                  </w:r>
                                </w:p>
                              </w:tc>
                            </w:tr>
                            <w:tr w:rsidR="00055A65" w:rsidRPr="0055776F" w14:paraId="5179C1CA" w14:textId="77777777" w:rsidTr="00200154">
                              <w:tc>
                                <w:tcPr>
                                  <w:tcW w:w="817" w:type="dxa"/>
                                  <w:shd w:val="clear" w:color="auto" w:fill="auto"/>
                                </w:tcPr>
                                <w:p w14:paraId="54A5F050" w14:textId="77777777" w:rsidR="00055A65" w:rsidRPr="0055776F" w:rsidRDefault="00055A65" w:rsidP="00FE0401">
                                  <w:pPr>
                                    <w:rPr>
                                      <w:rFonts w:ascii="Arial" w:hAnsi="Arial" w:cs="Arial"/>
                                    </w:rPr>
                                  </w:pPr>
                                  <w:r w:rsidRPr="0055776F">
                                    <w:rPr>
                                      <w:rFonts w:ascii="Arial" w:hAnsi="Arial" w:cs="Arial"/>
                                      <w:b/>
                                    </w:rPr>
                                    <w:t>——</w:t>
                                  </w:r>
                                </w:p>
                              </w:tc>
                              <w:tc>
                                <w:tcPr>
                                  <w:tcW w:w="2693" w:type="dxa"/>
                                  <w:shd w:val="clear" w:color="auto" w:fill="auto"/>
                                </w:tcPr>
                                <w:p w14:paraId="7D00FDE8"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851" w:type="dxa"/>
                                  <w:tcBorders>
                                    <w:top w:val="single" w:sz="4" w:space="0" w:color="auto"/>
                                  </w:tcBorders>
                                  <w:shd w:val="clear" w:color="auto" w:fill="auto"/>
                                </w:tcPr>
                                <w:p w14:paraId="2A19AD1C" w14:textId="77777777" w:rsidR="00055A65" w:rsidRPr="0055776F" w:rsidRDefault="00055A65" w:rsidP="00FE0401">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3612E084" w14:textId="77777777" w:rsidR="00055A65" w:rsidRPr="0055776F" w:rsidRDefault="00055A65" w:rsidP="00FE0401">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0D3BFD86" w14:textId="77777777" w:rsidR="00055A65" w:rsidRPr="0055776F" w:rsidRDefault="00055A65" w:rsidP="00FE0401">
                                  <w:pPr>
                                    <w:rPr>
                                      <w:rFonts w:ascii="Arial" w:hAnsi="Arial" w:cs="Arial"/>
                                    </w:rPr>
                                  </w:pPr>
                                  <w:r w:rsidRPr="0055776F">
                                    <w:rPr>
                                      <w:rFonts w:ascii="Arial" w:hAnsi="Arial" w:cs="Arial"/>
                                    </w:rPr>
                                    <w:t>174</w:t>
                                  </w:r>
                                </w:p>
                              </w:tc>
                            </w:tr>
                            <w:tr w:rsidR="00055A65" w:rsidRPr="0055776F" w14:paraId="266C7771" w14:textId="77777777" w:rsidTr="00200154">
                              <w:tc>
                                <w:tcPr>
                                  <w:tcW w:w="817" w:type="dxa"/>
                                  <w:shd w:val="clear" w:color="auto" w:fill="auto"/>
                                </w:tcPr>
                                <w:p w14:paraId="470C407E"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3C130102"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851" w:type="dxa"/>
                                  <w:tcBorders>
                                    <w:bottom w:val="single" w:sz="4" w:space="0" w:color="auto"/>
                                  </w:tcBorders>
                                  <w:shd w:val="clear" w:color="auto" w:fill="auto"/>
                                </w:tcPr>
                                <w:p w14:paraId="401A7E65" w14:textId="77777777" w:rsidR="00055A65" w:rsidRPr="0055776F" w:rsidRDefault="00055A65" w:rsidP="00FE0401">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536FCC45" w14:textId="77777777" w:rsidR="00055A65" w:rsidRPr="0055776F" w:rsidRDefault="00055A65" w:rsidP="00FE0401">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02FC5C45" w14:textId="77777777" w:rsidR="00055A65" w:rsidRPr="0055776F" w:rsidRDefault="00055A65" w:rsidP="00FE0401">
                                  <w:pPr>
                                    <w:rPr>
                                      <w:rFonts w:ascii="Arial" w:hAnsi="Arial" w:cs="Arial"/>
                                    </w:rPr>
                                  </w:pPr>
                                  <w:r w:rsidRPr="0055776F">
                                    <w:rPr>
                                      <w:rFonts w:ascii="Arial" w:hAnsi="Arial" w:cs="Arial"/>
                                    </w:rPr>
                                    <w:t>186</w:t>
                                  </w:r>
                                </w:p>
                              </w:tc>
                            </w:tr>
                            <w:tr w:rsidR="00055A65" w:rsidRPr="0055776F" w14:paraId="1ECDD3F5" w14:textId="77777777" w:rsidTr="00200154">
                              <w:tc>
                                <w:tcPr>
                                  <w:tcW w:w="817" w:type="dxa"/>
                                  <w:shd w:val="clear" w:color="auto" w:fill="auto"/>
                                </w:tcPr>
                                <w:p w14:paraId="2A2F029F"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68844CB3" w14:textId="77777777" w:rsidR="00055A65" w:rsidRPr="0055776F" w:rsidRDefault="00055A65" w:rsidP="00FE0401">
                                  <w:pPr>
                                    <w:rPr>
                                      <w:rFonts w:ascii="Arial" w:hAnsi="Arial" w:cs="Arial"/>
                                    </w:rPr>
                                  </w:pPr>
                                  <w:r>
                                    <w:rPr>
                                      <w:rFonts w:ascii="Arial" w:hAnsi="Arial" w:cs="Arial"/>
                                    </w:rPr>
                                    <w:t>z</w:t>
                                  </w:r>
                                  <w:r w:rsidRPr="0002465D">
                                    <w:rPr>
                                      <w:rFonts w:ascii="Arial" w:hAnsi="Arial" w:cs="Arial"/>
                                    </w:rPr>
                                    <w:t>ensierte Beobachtungen</w:t>
                                  </w:r>
                                </w:p>
                              </w:tc>
                              <w:tc>
                                <w:tcPr>
                                  <w:tcW w:w="851" w:type="dxa"/>
                                  <w:tcBorders>
                                    <w:top w:val="single" w:sz="4" w:space="0" w:color="auto"/>
                                  </w:tcBorders>
                                  <w:shd w:val="clear" w:color="auto" w:fill="auto"/>
                                </w:tcPr>
                                <w:p w14:paraId="367F5F0C" w14:textId="77777777" w:rsidR="00055A65" w:rsidRPr="0055776F" w:rsidRDefault="00055A65" w:rsidP="00FE0401">
                                  <w:pPr>
                                    <w:rPr>
                                      <w:rFonts w:ascii="Arial" w:hAnsi="Arial" w:cs="Arial"/>
                                    </w:rPr>
                                  </w:pPr>
                                </w:p>
                              </w:tc>
                              <w:tc>
                                <w:tcPr>
                                  <w:tcW w:w="709" w:type="dxa"/>
                                  <w:tcBorders>
                                    <w:top w:val="single" w:sz="4" w:space="0" w:color="auto"/>
                                  </w:tcBorders>
                                  <w:shd w:val="clear" w:color="auto" w:fill="auto"/>
                                </w:tcPr>
                                <w:p w14:paraId="4F6E180A"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4D9D18D0" w14:textId="77777777" w:rsidR="00055A65" w:rsidRPr="0055776F" w:rsidRDefault="00055A65" w:rsidP="00FE0401">
                                  <w:pPr>
                                    <w:rPr>
                                      <w:rFonts w:ascii="Arial" w:hAnsi="Arial" w:cs="Arial"/>
                                    </w:rPr>
                                  </w:pPr>
                                </w:p>
                              </w:tc>
                            </w:tr>
                          </w:tbl>
                          <w:p w14:paraId="59492329" w14:textId="77777777" w:rsidR="00055A65" w:rsidRPr="00A33DBA" w:rsidRDefault="00055A65" w:rsidP="00D53262">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D9B41" id="_x0000_s1031" type="#_x0000_t202" style="position:absolute;left:0;text-align:left;margin-left:27.6pt;margin-top:7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8DyBcd4AAAAKAQAADwAAAGRycy9k&#10;b3ducmV2LnhtbEyPTU/DMAyG70j7D5GRuLGEjVDWNZ0QiCto40PiljVeW61xqiZby7/HnOBo+9Hr&#10;5y02k+/EGYfYBjJwM1cgkKrgWqoNvL89X9+DiMmSs10gNPCNETbl7KKwuQsjbfG8S7XgEIq5NdCk&#10;1OdSxqpBb+M89Eh8O4TB28TjUEs32JHDfScXSt1Jb1viD43t8bHB6rg7eQMfL4evz1v1Wj953Y9h&#10;UpL8ShpzdTk9rEEknNIfDL/6rA4lO+3DiVwUnQGtF0zyXivuxECWZUsQewPLTCuQZSH/Vyh/AAAA&#10;//8DAFBLAQItABQABgAIAAAAIQC2gziS/gAAAOEBAAATAAAAAAAAAAAAAAAAAAAAAABbQ29udGVu&#10;dF9UeXBlc10ueG1sUEsBAi0AFAAGAAgAAAAhADj9If/WAAAAlAEAAAsAAAAAAAAAAAAAAAAALwEA&#10;AF9yZWxzLy5yZWxzUEsBAi0AFAAGAAgAAAAhABvqgTT3AQAAzwMAAA4AAAAAAAAAAAAAAAAALgIA&#10;AGRycy9lMm9Eb2MueG1sUEsBAi0AFAAGAAgAAAAhAPA8gXHeAAAACgEAAA8AAAAAAAAAAAAAAAAA&#10;UQQAAGRycy9kb3ducmV2LnhtbFBLBQYAAAAABAAEAPMAAABcBQAAAAA=&#10;" filled="f" stroked="f">
                <v:textbox>
                  <w:txbxContent>
                    <w:p w14:paraId="7E67453D" w14:textId="77777777" w:rsidR="00055A65" w:rsidRDefault="00055A65" w:rsidP="00200154">
                      <w:pPr>
                        <w:rPr>
                          <w:rFonts w:ascii="Arial" w:hAnsi="Arial" w:cs="Arial"/>
                        </w:rPr>
                      </w:pPr>
                    </w:p>
                    <w:tbl>
                      <w:tblPr>
                        <w:tblW w:w="0" w:type="auto"/>
                        <w:tblLook w:val="04A0" w:firstRow="1" w:lastRow="0" w:firstColumn="1" w:lastColumn="0" w:noHBand="0" w:noVBand="1"/>
                      </w:tblPr>
                      <w:tblGrid>
                        <w:gridCol w:w="817"/>
                        <w:gridCol w:w="2693"/>
                        <w:gridCol w:w="851"/>
                        <w:gridCol w:w="739"/>
                        <w:gridCol w:w="850"/>
                      </w:tblGrid>
                      <w:tr w:rsidR="00055A65" w:rsidRPr="0055776F" w14:paraId="6D2F1DB7" w14:textId="77777777" w:rsidTr="00200154">
                        <w:tc>
                          <w:tcPr>
                            <w:tcW w:w="5920" w:type="dxa"/>
                            <w:gridSpan w:val="5"/>
                            <w:shd w:val="clear" w:color="auto" w:fill="auto"/>
                          </w:tcPr>
                          <w:p w14:paraId="5AD82DCB" w14:textId="77777777" w:rsidR="00055A65" w:rsidRPr="00F42FE0" w:rsidRDefault="00055A65" w:rsidP="00200154">
                            <w:pPr>
                              <w:rPr>
                                <w:rFonts w:ascii="Arial" w:hAnsi="Arial" w:cs="Arial"/>
                                <w:lang w:val="en-US"/>
                              </w:rPr>
                            </w:pPr>
                            <w:r>
                              <w:rPr>
                                <w:rFonts w:ascii="Arial" w:hAnsi="Arial" w:cs="Arial"/>
                                <w:lang w:val="en-US"/>
                              </w:rPr>
                              <w:t>P =</w:t>
                            </w:r>
                            <w:r w:rsidRPr="00F42FE0">
                              <w:rPr>
                                <w:rFonts w:ascii="Arial" w:hAnsi="Arial" w:cs="Arial"/>
                                <w:lang w:val="en-US"/>
                              </w:rPr>
                              <w:t xml:space="preserve"> 0,</w:t>
                            </w:r>
                            <w:r>
                              <w:rPr>
                                <w:rFonts w:ascii="Arial" w:hAnsi="Arial" w:cs="Arial"/>
                                <w:lang w:val="en-US"/>
                              </w:rPr>
                              <w:t>0</w:t>
                            </w:r>
                            <w:r w:rsidRPr="00F42FE0">
                              <w:rPr>
                                <w:rFonts w:ascii="Arial" w:hAnsi="Arial" w:cs="Arial"/>
                                <w:lang w:val="en-US"/>
                              </w:rPr>
                              <w:t>19</w:t>
                            </w:r>
                          </w:p>
                          <w:p w14:paraId="3261AFAB" w14:textId="77777777" w:rsidR="00055A65" w:rsidRPr="00F42FE0" w:rsidRDefault="00055A65" w:rsidP="00200154">
                            <w:pPr>
                              <w:rPr>
                                <w:rFonts w:ascii="Arial" w:hAnsi="Arial" w:cs="Arial"/>
                                <w:lang w:val="en-US"/>
                              </w:rPr>
                            </w:pPr>
                            <w:r w:rsidRPr="00F42FE0">
                              <w:rPr>
                                <w:rFonts w:ascii="Arial" w:hAnsi="Arial" w:cs="Arial"/>
                                <w:lang w:val="en-US"/>
                              </w:rPr>
                              <w:t>Hazard ratio 0,45</w:t>
                            </w:r>
                          </w:p>
                          <w:p w14:paraId="689D14AD" w14:textId="77777777" w:rsidR="00055A65" w:rsidRPr="0055776F" w:rsidRDefault="00055A65" w:rsidP="00200154">
                            <w:pPr>
                              <w:rPr>
                                <w:rFonts w:ascii="Arial" w:hAnsi="Arial" w:cs="Arial"/>
                              </w:rPr>
                            </w:pPr>
                            <w:r w:rsidRPr="00F42FE0">
                              <w:rPr>
                                <w:rFonts w:ascii="Arial" w:hAnsi="Arial" w:cs="Arial"/>
                                <w:lang w:val="en-US"/>
                              </w:rPr>
                              <w:t>(95%</w:t>
                            </w:r>
                            <w:r>
                              <w:rPr>
                                <w:rFonts w:ascii="Arial" w:hAnsi="Arial" w:cs="Arial"/>
                                <w:lang w:val="en-US"/>
                              </w:rPr>
                              <w:t>-KI</w:t>
                            </w:r>
                            <w:r w:rsidRPr="00F42FE0">
                              <w:rPr>
                                <w:rFonts w:ascii="Arial" w:hAnsi="Arial" w:cs="Arial"/>
                                <w:lang w:val="en-US"/>
                              </w:rPr>
                              <w:t>, 0</w:t>
                            </w:r>
                            <w:r>
                              <w:rPr>
                                <w:rFonts w:ascii="Arial" w:hAnsi="Arial" w:cs="Arial"/>
                                <w:lang w:val="en-US"/>
                              </w:rPr>
                              <w:t>,22</w:t>
                            </w:r>
                            <w:r>
                              <w:rPr>
                                <w:rFonts w:ascii="Arial" w:hAnsi="Arial" w:cs="Arial"/>
                                <w:lang w:val="en-US"/>
                              </w:rPr>
                              <w:noBreakHyphen/>
                            </w:r>
                            <w:r w:rsidRPr="00F42FE0">
                              <w:rPr>
                                <w:rFonts w:ascii="Arial" w:hAnsi="Arial" w:cs="Arial"/>
                                <w:lang w:val="en-US"/>
                              </w:rPr>
                              <w:t>0,89)</w:t>
                            </w:r>
                          </w:p>
                        </w:tc>
                      </w:tr>
                      <w:tr w:rsidR="00055A65" w:rsidRPr="0055776F" w14:paraId="7A20BAA9" w14:textId="77777777" w:rsidTr="00200154">
                        <w:tc>
                          <w:tcPr>
                            <w:tcW w:w="817" w:type="dxa"/>
                            <w:shd w:val="clear" w:color="auto" w:fill="auto"/>
                          </w:tcPr>
                          <w:p w14:paraId="4393F2C3" w14:textId="77777777" w:rsidR="00055A65" w:rsidRPr="0055776F" w:rsidRDefault="00055A65" w:rsidP="00FE0401">
                            <w:pPr>
                              <w:rPr>
                                <w:rFonts w:ascii="Arial" w:hAnsi="Arial" w:cs="Arial"/>
                              </w:rPr>
                            </w:pPr>
                          </w:p>
                        </w:tc>
                        <w:tc>
                          <w:tcPr>
                            <w:tcW w:w="2693" w:type="dxa"/>
                            <w:shd w:val="clear" w:color="auto" w:fill="auto"/>
                          </w:tcPr>
                          <w:p w14:paraId="1DD4F14B" w14:textId="77777777" w:rsidR="00055A65" w:rsidRPr="0055776F" w:rsidRDefault="00055A65" w:rsidP="00FE0401">
                            <w:pPr>
                              <w:rPr>
                                <w:rFonts w:ascii="Arial" w:hAnsi="Arial" w:cs="Arial"/>
                              </w:rPr>
                            </w:pPr>
                          </w:p>
                        </w:tc>
                        <w:tc>
                          <w:tcPr>
                            <w:tcW w:w="851" w:type="dxa"/>
                            <w:tcBorders>
                              <w:bottom w:val="single" w:sz="4" w:space="0" w:color="auto"/>
                            </w:tcBorders>
                            <w:shd w:val="clear" w:color="auto" w:fill="auto"/>
                          </w:tcPr>
                          <w:p w14:paraId="0D39848B" w14:textId="77777777" w:rsidR="00055A65" w:rsidRPr="0055776F" w:rsidRDefault="00055A65" w:rsidP="00FE0401">
                            <w:pPr>
                              <w:rPr>
                                <w:rFonts w:ascii="Arial" w:hAnsi="Arial" w:cs="Arial"/>
                              </w:rPr>
                            </w:pPr>
                            <w:r w:rsidRPr="00200154">
                              <w:rPr>
                                <w:rFonts w:ascii="Arial" w:hAnsi="Arial" w:cs="Arial"/>
                              </w:rPr>
                              <w:t>N</w:t>
                            </w:r>
                          </w:p>
                        </w:tc>
                        <w:tc>
                          <w:tcPr>
                            <w:tcW w:w="709" w:type="dxa"/>
                            <w:tcBorders>
                              <w:bottom w:val="single" w:sz="4" w:space="0" w:color="auto"/>
                            </w:tcBorders>
                            <w:shd w:val="clear" w:color="auto" w:fill="auto"/>
                          </w:tcPr>
                          <w:p w14:paraId="729E881C" w14:textId="77777777" w:rsidR="00055A65" w:rsidRPr="0055776F"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46D87C2E" w14:textId="77777777" w:rsidR="00055A65" w:rsidRPr="0055776F" w:rsidRDefault="00055A65" w:rsidP="00FE0401">
                            <w:pPr>
                              <w:rPr>
                                <w:rFonts w:ascii="Arial" w:hAnsi="Arial" w:cs="Arial"/>
                              </w:rPr>
                            </w:pPr>
                            <w:r w:rsidRPr="00200154">
                              <w:rPr>
                                <w:rFonts w:ascii="Arial" w:hAnsi="Arial" w:cs="Arial"/>
                              </w:rPr>
                              <w:t>Zens.</w:t>
                            </w:r>
                          </w:p>
                        </w:tc>
                      </w:tr>
                      <w:tr w:rsidR="00055A65" w:rsidRPr="0055776F" w14:paraId="5179C1CA" w14:textId="77777777" w:rsidTr="00200154">
                        <w:tc>
                          <w:tcPr>
                            <w:tcW w:w="817" w:type="dxa"/>
                            <w:shd w:val="clear" w:color="auto" w:fill="auto"/>
                          </w:tcPr>
                          <w:p w14:paraId="54A5F050" w14:textId="77777777" w:rsidR="00055A65" w:rsidRPr="0055776F" w:rsidRDefault="00055A65" w:rsidP="00FE0401">
                            <w:pPr>
                              <w:rPr>
                                <w:rFonts w:ascii="Arial" w:hAnsi="Arial" w:cs="Arial"/>
                              </w:rPr>
                            </w:pPr>
                            <w:r w:rsidRPr="0055776F">
                              <w:rPr>
                                <w:rFonts w:ascii="Arial" w:hAnsi="Arial" w:cs="Arial"/>
                                <w:b/>
                              </w:rPr>
                              <w:t>——</w:t>
                            </w:r>
                          </w:p>
                        </w:tc>
                        <w:tc>
                          <w:tcPr>
                            <w:tcW w:w="2693" w:type="dxa"/>
                            <w:shd w:val="clear" w:color="auto" w:fill="auto"/>
                          </w:tcPr>
                          <w:p w14:paraId="7D00FDE8"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851" w:type="dxa"/>
                            <w:tcBorders>
                              <w:top w:val="single" w:sz="4" w:space="0" w:color="auto"/>
                            </w:tcBorders>
                            <w:shd w:val="clear" w:color="auto" w:fill="auto"/>
                          </w:tcPr>
                          <w:p w14:paraId="2A19AD1C" w14:textId="77777777" w:rsidR="00055A65" w:rsidRPr="0055776F" w:rsidRDefault="00055A65" w:rsidP="00FE0401">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3612E084" w14:textId="77777777" w:rsidR="00055A65" w:rsidRPr="0055776F" w:rsidRDefault="00055A65" w:rsidP="00FE0401">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0D3BFD86" w14:textId="77777777" w:rsidR="00055A65" w:rsidRPr="0055776F" w:rsidRDefault="00055A65" w:rsidP="00FE0401">
                            <w:pPr>
                              <w:rPr>
                                <w:rFonts w:ascii="Arial" w:hAnsi="Arial" w:cs="Arial"/>
                              </w:rPr>
                            </w:pPr>
                            <w:r w:rsidRPr="0055776F">
                              <w:rPr>
                                <w:rFonts w:ascii="Arial" w:hAnsi="Arial" w:cs="Arial"/>
                              </w:rPr>
                              <w:t>174</w:t>
                            </w:r>
                          </w:p>
                        </w:tc>
                      </w:tr>
                      <w:tr w:rsidR="00055A65" w:rsidRPr="0055776F" w14:paraId="266C7771" w14:textId="77777777" w:rsidTr="00200154">
                        <w:tc>
                          <w:tcPr>
                            <w:tcW w:w="817" w:type="dxa"/>
                            <w:shd w:val="clear" w:color="auto" w:fill="auto"/>
                          </w:tcPr>
                          <w:p w14:paraId="470C407E"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3C130102"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851" w:type="dxa"/>
                            <w:tcBorders>
                              <w:bottom w:val="single" w:sz="4" w:space="0" w:color="auto"/>
                            </w:tcBorders>
                            <w:shd w:val="clear" w:color="auto" w:fill="auto"/>
                          </w:tcPr>
                          <w:p w14:paraId="401A7E65" w14:textId="77777777" w:rsidR="00055A65" w:rsidRPr="0055776F" w:rsidRDefault="00055A65" w:rsidP="00FE0401">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536FCC45" w14:textId="77777777" w:rsidR="00055A65" w:rsidRPr="0055776F" w:rsidRDefault="00055A65" w:rsidP="00FE0401">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02FC5C45" w14:textId="77777777" w:rsidR="00055A65" w:rsidRPr="0055776F" w:rsidRDefault="00055A65" w:rsidP="00FE0401">
                            <w:pPr>
                              <w:rPr>
                                <w:rFonts w:ascii="Arial" w:hAnsi="Arial" w:cs="Arial"/>
                              </w:rPr>
                            </w:pPr>
                            <w:r w:rsidRPr="0055776F">
                              <w:rPr>
                                <w:rFonts w:ascii="Arial" w:hAnsi="Arial" w:cs="Arial"/>
                              </w:rPr>
                              <w:t>186</w:t>
                            </w:r>
                          </w:p>
                        </w:tc>
                      </w:tr>
                      <w:tr w:rsidR="00055A65" w:rsidRPr="0055776F" w14:paraId="1ECDD3F5" w14:textId="77777777" w:rsidTr="00200154">
                        <w:tc>
                          <w:tcPr>
                            <w:tcW w:w="817" w:type="dxa"/>
                            <w:shd w:val="clear" w:color="auto" w:fill="auto"/>
                          </w:tcPr>
                          <w:p w14:paraId="2A2F029F"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68844CB3" w14:textId="77777777" w:rsidR="00055A65" w:rsidRPr="0055776F" w:rsidRDefault="00055A65" w:rsidP="00FE0401">
                            <w:pPr>
                              <w:rPr>
                                <w:rFonts w:ascii="Arial" w:hAnsi="Arial" w:cs="Arial"/>
                              </w:rPr>
                            </w:pPr>
                            <w:r>
                              <w:rPr>
                                <w:rFonts w:ascii="Arial" w:hAnsi="Arial" w:cs="Arial"/>
                              </w:rPr>
                              <w:t>z</w:t>
                            </w:r>
                            <w:r w:rsidRPr="0002465D">
                              <w:rPr>
                                <w:rFonts w:ascii="Arial" w:hAnsi="Arial" w:cs="Arial"/>
                              </w:rPr>
                              <w:t>ensierte Beobachtungen</w:t>
                            </w:r>
                          </w:p>
                        </w:tc>
                        <w:tc>
                          <w:tcPr>
                            <w:tcW w:w="851" w:type="dxa"/>
                            <w:tcBorders>
                              <w:top w:val="single" w:sz="4" w:space="0" w:color="auto"/>
                            </w:tcBorders>
                            <w:shd w:val="clear" w:color="auto" w:fill="auto"/>
                          </w:tcPr>
                          <w:p w14:paraId="367F5F0C" w14:textId="77777777" w:rsidR="00055A65" w:rsidRPr="0055776F" w:rsidRDefault="00055A65" w:rsidP="00FE0401">
                            <w:pPr>
                              <w:rPr>
                                <w:rFonts w:ascii="Arial" w:hAnsi="Arial" w:cs="Arial"/>
                              </w:rPr>
                            </w:pPr>
                          </w:p>
                        </w:tc>
                        <w:tc>
                          <w:tcPr>
                            <w:tcW w:w="709" w:type="dxa"/>
                            <w:tcBorders>
                              <w:top w:val="single" w:sz="4" w:space="0" w:color="auto"/>
                            </w:tcBorders>
                            <w:shd w:val="clear" w:color="auto" w:fill="auto"/>
                          </w:tcPr>
                          <w:p w14:paraId="4F6E180A"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4D9D18D0" w14:textId="77777777" w:rsidR="00055A65" w:rsidRPr="0055776F" w:rsidRDefault="00055A65" w:rsidP="00FE0401">
                            <w:pPr>
                              <w:rPr>
                                <w:rFonts w:ascii="Arial" w:hAnsi="Arial" w:cs="Arial"/>
                              </w:rPr>
                            </w:pPr>
                          </w:p>
                        </w:tc>
                      </w:tr>
                    </w:tbl>
                    <w:p w14:paraId="59492329" w14:textId="77777777" w:rsidR="00055A65" w:rsidRPr="00A33DBA" w:rsidRDefault="00055A65" w:rsidP="00D53262">
                      <w:pPr>
                        <w:rPr>
                          <w:rFonts w:ascii="Arial" w:hAnsi="Arial" w:cs="Arial"/>
                        </w:rPr>
                      </w:pPr>
                    </w:p>
                  </w:txbxContent>
                </v:textbox>
              </v:shape>
            </w:pict>
          </mc:Fallback>
        </mc:AlternateContent>
      </w:r>
      <w:r w:rsidRPr="00B30A12">
        <w:rPr>
          <w:noProof/>
          <w:lang w:val="en-GB" w:eastAsia="en-GB"/>
        </w:rPr>
        <w:drawing>
          <wp:inline distT="0" distB="0" distL="0" distR="0" wp14:anchorId="18F34679" wp14:editId="47E33DE3">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2558D098" w14:textId="77777777" w:rsidR="00D53262" w:rsidRPr="00B30A12" w:rsidRDefault="00D53262" w:rsidP="00052596">
      <w:pPr>
        <w:keepNext/>
        <w:widowControl w:val="0"/>
        <w:ind w:left="1418" w:hanging="1418"/>
        <w:rPr>
          <w:rFonts w:eastAsia="MS Mincho"/>
          <w:sz w:val="22"/>
          <w:szCs w:val="22"/>
        </w:rPr>
      </w:pPr>
    </w:p>
    <w:p w14:paraId="5B472C09" w14:textId="77777777" w:rsidR="00D53262" w:rsidRPr="00B30A12" w:rsidRDefault="00D53262" w:rsidP="00052596">
      <w:pPr>
        <w:keepNext/>
        <w:widowControl w:val="0"/>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D53262" w:rsidRPr="00B30A12" w14:paraId="18B56DFB" w14:textId="77777777" w:rsidTr="00410A32">
        <w:tc>
          <w:tcPr>
            <w:tcW w:w="10632" w:type="dxa"/>
            <w:gridSpan w:val="16"/>
            <w:shd w:val="clear" w:color="auto" w:fill="auto"/>
          </w:tcPr>
          <w:p w14:paraId="547146C9" w14:textId="77777777" w:rsidR="00D53262" w:rsidRPr="00B30A12" w:rsidRDefault="00200154" w:rsidP="00052596">
            <w:pPr>
              <w:keepNext/>
              <w:widowControl w:val="0"/>
              <w:ind w:left="-27"/>
              <w:rPr>
                <w:rFonts w:ascii="Arial" w:hAnsi="Arial" w:cs="Arial"/>
                <w:sz w:val="16"/>
                <w:szCs w:val="16"/>
              </w:rPr>
            </w:pPr>
            <w:r w:rsidRPr="00B30A12">
              <w:rPr>
                <w:rFonts w:ascii="Arial" w:hAnsi="Arial" w:cs="Arial"/>
              </w:rPr>
              <w:t>Patienten mit Risiko: Ereignisse</w:t>
            </w:r>
          </w:p>
        </w:tc>
      </w:tr>
      <w:tr w:rsidR="00D53262" w:rsidRPr="00B30A12" w14:paraId="52758584" w14:textId="77777777" w:rsidTr="00410A32">
        <w:tc>
          <w:tcPr>
            <w:tcW w:w="450" w:type="dxa"/>
            <w:shd w:val="clear" w:color="auto" w:fill="auto"/>
          </w:tcPr>
          <w:p w14:paraId="0348EB50" w14:textId="77777777" w:rsidR="00D53262" w:rsidRPr="00B30A12" w:rsidRDefault="00D53262" w:rsidP="00537E23">
            <w:pPr>
              <w:widowControl w:val="0"/>
            </w:pPr>
            <w:r w:rsidRPr="00B30A12">
              <w:t>(1)</w:t>
            </w:r>
          </w:p>
        </w:tc>
        <w:tc>
          <w:tcPr>
            <w:tcW w:w="691" w:type="dxa"/>
            <w:shd w:val="clear" w:color="auto" w:fill="auto"/>
          </w:tcPr>
          <w:p w14:paraId="1F780739" w14:textId="77777777" w:rsidR="00D53262" w:rsidRPr="00B30A12" w:rsidRDefault="00D53262" w:rsidP="00537E23">
            <w:pPr>
              <w:widowControl w:val="0"/>
              <w:ind w:left="-45"/>
            </w:pPr>
            <w:r w:rsidRPr="00B30A12">
              <w:t>199:0</w:t>
            </w:r>
          </w:p>
        </w:tc>
        <w:tc>
          <w:tcPr>
            <w:tcW w:w="672" w:type="dxa"/>
            <w:shd w:val="clear" w:color="auto" w:fill="auto"/>
          </w:tcPr>
          <w:p w14:paraId="5AB9E129" w14:textId="77777777" w:rsidR="00D53262" w:rsidRPr="00B30A12" w:rsidRDefault="00D53262" w:rsidP="00537E23">
            <w:pPr>
              <w:widowControl w:val="0"/>
              <w:ind w:left="-45"/>
            </w:pPr>
            <w:r w:rsidRPr="00B30A12">
              <w:t>190:2</w:t>
            </w:r>
          </w:p>
        </w:tc>
        <w:tc>
          <w:tcPr>
            <w:tcW w:w="714" w:type="dxa"/>
            <w:shd w:val="clear" w:color="auto" w:fill="auto"/>
          </w:tcPr>
          <w:p w14:paraId="27FFCF5E" w14:textId="77777777" w:rsidR="00D53262" w:rsidRPr="00B30A12" w:rsidRDefault="00D53262" w:rsidP="00537E23">
            <w:pPr>
              <w:widowControl w:val="0"/>
              <w:ind w:left="-45"/>
            </w:pPr>
            <w:r w:rsidRPr="00B30A12">
              <w:t>188:2</w:t>
            </w:r>
          </w:p>
        </w:tc>
        <w:tc>
          <w:tcPr>
            <w:tcW w:w="722" w:type="dxa"/>
            <w:shd w:val="clear" w:color="auto" w:fill="auto"/>
          </w:tcPr>
          <w:p w14:paraId="1BC30B16" w14:textId="77777777" w:rsidR="00D53262" w:rsidRPr="00B30A12" w:rsidRDefault="00D53262" w:rsidP="00537E23">
            <w:pPr>
              <w:widowControl w:val="0"/>
              <w:ind w:left="-45"/>
            </w:pPr>
            <w:r w:rsidRPr="00B30A12">
              <w:t>183:6</w:t>
            </w:r>
          </w:p>
        </w:tc>
        <w:tc>
          <w:tcPr>
            <w:tcW w:w="694" w:type="dxa"/>
            <w:shd w:val="clear" w:color="auto" w:fill="auto"/>
          </w:tcPr>
          <w:p w14:paraId="248D1ED7" w14:textId="77777777" w:rsidR="00D53262" w:rsidRPr="00B30A12" w:rsidRDefault="00D53262" w:rsidP="00537E23">
            <w:pPr>
              <w:widowControl w:val="0"/>
              <w:ind w:left="-45"/>
            </w:pPr>
            <w:r w:rsidRPr="00B30A12">
              <w:t>176:8</w:t>
            </w:r>
          </w:p>
        </w:tc>
        <w:tc>
          <w:tcPr>
            <w:tcW w:w="772" w:type="dxa"/>
            <w:shd w:val="clear" w:color="auto" w:fill="auto"/>
          </w:tcPr>
          <w:p w14:paraId="54E4DB65" w14:textId="77777777" w:rsidR="00D53262" w:rsidRPr="00B30A12" w:rsidRDefault="00D53262" w:rsidP="00537E23">
            <w:pPr>
              <w:widowControl w:val="0"/>
              <w:ind w:left="-45"/>
            </w:pPr>
            <w:r w:rsidRPr="00B30A12">
              <w:t>156:10</w:t>
            </w:r>
          </w:p>
        </w:tc>
        <w:tc>
          <w:tcPr>
            <w:tcW w:w="782" w:type="dxa"/>
            <w:shd w:val="clear" w:color="auto" w:fill="auto"/>
          </w:tcPr>
          <w:p w14:paraId="6AC1A1DB" w14:textId="77777777" w:rsidR="00D53262" w:rsidRPr="00B30A12" w:rsidRDefault="00D53262" w:rsidP="00537E23">
            <w:pPr>
              <w:widowControl w:val="0"/>
              <w:ind w:left="-45"/>
            </w:pPr>
            <w:r w:rsidRPr="00B30A12">
              <w:t>140:11</w:t>
            </w:r>
          </w:p>
        </w:tc>
        <w:tc>
          <w:tcPr>
            <w:tcW w:w="798" w:type="dxa"/>
            <w:shd w:val="clear" w:color="auto" w:fill="auto"/>
          </w:tcPr>
          <w:p w14:paraId="216B4B8B" w14:textId="77777777" w:rsidR="00D53262" w:rsidRPr="00B30A12" w:rsidRDefault="00D53262" w:rsidP="00537E23">
            <w:pPr>
              <w:widowControl w:val="0"/>
              <w:ind w:left="-45"/>
            </w:pPr>
            <w:r w:rsidRPr="00B30A12">
              <w:t>105:14</w:t>
            </w:r>
          </w:p>
        </w:tc>
        <w:tc>
          <w:tcPr>
            <w:tcW w:w="654" w:type="dxa"/>
            <w:shd w:val="clear" w:color="auto" w:fill="auto"/>
          </w:tcPr>
          <w:p w14:paraId="2C3DC613" w14:textId="77777777" w:rsidR="00D53262" w:rsidRPr="00B30A12" w:rsidRDefault="00D53262" w:rsidP="00537E23">
            <w:pPr>
              <w:widowControl w:val="0"/>
              <w:ind w:left="-45"/>
            </w:pPr>
            <w:r w:rsidRPr="00B30A12">
              <w:t>87:18</w:t>
            </w:r>
          </w:p>
        </w:tc>
        <w:tc>
          <w:tcPr>
            <w:tcW w:w="630" w:type="dxa"/>
            <w:shd w:val="clear" w:color="auto" w:fill="auto"/>
          </w:tcPr>
          <w:p w14:paraId="58E491AE" w14:textId="77777777" w:rsidR="00D53262" w:rsidRPr="00B30A12" w:rsidRDefault="00D53262" w:rsidP="00537E23">
            <w:pPr>
              <w:widowControl w:val="0"/>
              <w:ind w:left="-45"/>
            </w:pPr>
            <w:r w:rsidRPr="00B30A12">
              <w:t>64:22</w:t>
            </w:r>
          </w:p>
        </w:tc>
        <w:tc>
          <w:tcPr>
            <w:tcW w:w="644" w:type="dxa"/>
            <w:shd w:val="clear" w:color="auto" w:fill="auto"/>
          </w:tcPr>
          <w:p w14:paraId="53B5A4B0" w14:textId="77777777" w:rsidR="00D53262" w:rsidRPr="00B30A12" w:rsidRDefault="00D53262" w:rsidP="00537E23">
            <w:pPr>
              <w:widowControl w:val="0"/>
              <w:ind w:left="-45"/>
            </w:pPr>
            <w:r w:rsidRPr="00B30A12">
              <w:t>46:23</w:t>
            </w:r>
          </w:p>
        </w:tc>
        <w:tc>
          <w:tcPr>
            <w:tcW w:w="672" w:type="dxa"/>
            <w:shd w:val="clear" w:color="auto" w:fill="auto"/>
          </w:tcPr>
          <w:p w14:paraId="7A7BE407" w14:textId="77777777" w:rsidR="00D53262" w:rsidRPr="00B30A12" w:rsidRDefault="00D53262" w:rsidP="00537E23">
            <w:pPr>
              <w:widowControl w:val="0"/>
              <w:ind w:left="-45"/>
            </w:pPr>
            <w:r w:rsidRPr="00B30A12">
              <w:t>27:25</w:t>
            </w:r>
          </w:p>
        </w:tc>
        <w:tc>
          <w:tcPr>
            <w:tcW w:w="686" w:type="dxa"/>
            <w:shd w:val="clear" w:color="auto" w:fill="auto"/>
          </w:tcPr>
          <w:p w14:paraId="7DE7D68D" w14:textId="77777777" w:rsidR="00D53262" w:rsidRPr="00B30A12" w:rsidRDefault="00D53262" w:rsidP="00537E23">
            <w:pPr>
              <w:widowControl w:val="0"/>
              <w:ind w:left="-45"/>
            </w:pPr>
            <w:r w:rsidRPr="00B30A12">
              <w:t>20:25</w:t>
            </w:r>
          </w:p>
        </w:tc>
        <w:tc>
          <w:tcPr>
            <w:tcW w:w="560" w:type="dxa"/>
            <w:shd w:val="clear" w:color="auto" w:fill="auto"/>
          </w:tcPr>
          <w:p w14:paraId="421EE2B9" w14:textId="77777777" w:rsidR="00D53262" w:rsidRPr="00B30A12" w:rsidRDefault="00D53262" w:rsidP="00537E23">
            <w:pPr>
              <w:widowControl w:val="0"/>
              <w:ind w:left="-45"/>
            </w:pPr>
            <w:r w:rsidRPr="00B30A12">
              <w:t>2:25</w:t>
            </w:r>
          </w:p>
        </w:tc>
        <w:tc>
          <w:tcPr>
            <w:tcW w:w="491" w:type="dxa"/>
            <w:shd w:val="clear" w:color="auto" w:fill="auto"/>
          </w:tcPr>
          <w:p w14:paraId="35ECA4A8" w14:textId="77777777" w:rsidR="00D53262" w:rsidRPr="00B30A12" w:rsidRDefault="00D53262" w:rsidP="00537E23">
            <w:pPr>
              <w:widowControl w:val="0"/>
              <w:ind w:left="-45"/>
            </w:pPr>
            <w:r w:rsidRPr="00B30A12">
              <w:t>0:25</w:t>
            </w:r>
          </w:p>
        </w:tc>
      </w:tr>
      <w:tr w:rsidR="00D53262" w:rsidRPr="00B30A12" w14:paraId="2F6D183C" w14:textId="77777777" w:rsidTr="00410A32">
        <w:tc>
          <w:tcPr>
            <w:tcW w:w="450" w:type="dxa"/>
            <w:shd w:val="clear" w:color="auto" w:fill="auto"/>
          </w:tcPr>
          <w:p w14:paraId="018FF38C" w14:textId="77777777" w:rsidR="00D53262" w:rsidRPr="00B30A12" w:rsidRDefault="00D53262" w:rsidP="00537E23">
            <w:pPr>
              <w:widowControl w:val="0"/>
            </w:pPr>
            <w:r w:rsidRPr="00B30A12">
              <w:t>(2)</w:t>
            </w:r>
          </w:p>
        </w:tc>
        <w:tc>
          <w:tcPr>
            <w:tcW w:w="691" w:type="dxa"/>
            <w:shd w:val="clear" w:color="auto" w:fill="auto"/>
          </w:tcPr>
          <w:p w14:paraId="0A7EE621" w14:textId="77777777" w:rsidR="00D53262" w:rsidRPr="00B30A12" w:rsidRDefault="00D53262" w:rsidP="00537E23">
            <w:pPr>
              <w:widowControl w:val="0"/>
              <w:ind w:left="-45"/>
            </w:pPr>
            <w:r w:rsidRPr="00B30A12">
              <w:t>198:0</w:t>
            </w:r>
          </w:p>
        </w:tc>
        <w:tc>
          <w:tcPr>
            <w:tcW w:w="672" w:type="dxa"/>
            <w:shd w:val="clear" w:color="auto" w:fill="auto"/>
          </w:tcPr>
          <w:p w14:paraId="414F302B" w14:textId="77777777" w:rsidR="00D53262" w:rsidRPr="00B30A12" w:rsidRDefault="00D53262" w:rsidP="00537E23">
            <w:pPr>
              <w:widowControl w:val="0"/>
              <w:ind w:left="-45"/>
            </w:pPr>
            <w:r w:rsidRPr="00B30A12">
              <w:t>196:0</w:t>
            </w:r>
          </w:p>
        </w:tc>
        <w:tc>
          <w:tcPr>
            <w:tcW w:w="714" w:type="dxa"/>
            <w:shd w:val="clear" w:color="auto" w:fill="auto"/>
          </w:tcPr>
          <w:p w14:paraId="15F7BF19" w14:textId="77777777" w:rsidR="00D53262" w:rsidRPr="00B30A12" w:rsidRDefault="00D53262" w:rsidP="00537E23">
            <w:pPr>
              <w:widowControl w:val="0"/>
              <w:ind w:left="-45"/>
            </w:pPr>
            <w:r w:rsidRPr="00B30A12">
              <w:t>192:0</w:t>
            </w:r>
          </w:p>
        </w:tc>
        <w:tc>
          <w:tcPr>
            <w:tcW w:w="722" w:type="dxa"/>
            <w:shd w:val="clear" w:color="auto" w:fill="auto"/>
          </w:tcPr>
          <w:p w14:paraId="5C6AD93A" w14:textId="77777777" w:rsidR="00D53262" w:rsidRPr="00B30A12" w:rsidRDefault="00D53262" w:rsidP="00537E23">
            <w:pPr>
              <w:widowControl w:val="0"/>
              <w:ind w:left="-45"/>
            </w:pPr>
            <w:r w:rsidRPr="00B30A12">
              <w:t>187:4</w:t>
            </w:r>
          </w:p>
        </w:tc>
        <w:tc>
          <w:tcPr>
            <w:tcW w:w="694" w:type="dxa"/>
            <w:shd w:val="clear" w:color="auto" w:fill="auto"/>
          </w:tcPr>
          <w:p w14:paraId="0A1C7A4A" w14:textId="77777777" w:rsidR="00D53262" w:rsidRPr="00B30A12" w:rsidRDefault="00D53262" w:rsidP="00537E23">
            <w:pPr>
              <w:widowControl w:val="0"/>
              <w:ind w:left="-45"/>
            </w:pPr>
            <w:r w:rsidRPr="00B30A12">
              <w:t>184:5</w:t>
            </w:r>
          </w:p>
        </w:tc>
        <w:tc>
          <w:tcPr>
            <w:tcW w:w="772" w:type="dxa"/>
            <w:shd w:val="clear" w:color="auto" w:fill="auto"/>
          </w:tcPr>
          <w:p w14:paraId="018C11CC" w14:textId="77777777" w:rsidR="00D53262" w:rsidRPr="00B30A12" w:rsidRDefault="00D53262" w:rsidP="00537E23">
            <w:pPr>
              <w:widowControl w:val="0"/>
              <w:ind w:left="-45"/>
            </w:pPr>
            <w:r w:rsidRPr="00B30A12">
              <w:t>164:7</w:t>
            </w:r>
          </w:p>
        </w:tc>
        <w:tc>
          <w:tcPr>
            <w:tcW w:w="782" w:type="dxa"/>
            <w:shd w:val="clear" w:color="auto" w:fill="auto"/>
          </w:tcPr>
          <w:p w14:paraId="75937953" w14:textId="77777777" w:rsidR="00D53262" w:rsidRPr="00B30A12" w:rsidRDefault="00D53262" w:rsidP="00537E23">
            <w:pPr>
              <w:widowControl w:val="0"/>
              <w:ind w:left="-45"/>
            </w:pPr>
            <w:r w:rsidRPr="00B30A12">
              <w:t>152:7</w:t>
            </w:r>
          </w:p>
        </w:tc>
        <w:tc>
          <w:tcPr>
            <w:tcW w:w="798" w:type="dxa"/>
            <w:shd w:val="clear" w:color="auto" w:fill="auto"/>
          </w:tcPr>
          <w:p w14:paraId="35A26A87" w14:textId="77777777" w:rsidR="00D53262" w:rsidRPr="00B30A12" w:rsidRDefault="00D53262" w:rsidP="00537E23">
            <w:pPr>
              <w:widowControl w:val="0"/>
              <w:ind w:left="-45"/>
            </w:pPr>
            <w:r w:rsidRPr="00B30A12">
              <w:t>119:8</w:t>
            </w:r>
          </w:p>
        </w:tc>
        <w:tc>
          <w:tcPr>
            <w:tcW w:w="654" w:type="dxa"/>
            <w:shd w:val="clear" w:color="auto" w:fill="auto"/>
          </w:tcPr>
          <w:p w14:paraId="32DD8859" w14:textId="77777777" w:rsidR="00D53262" w:rsidRPr="00B30A12" w:rsidRDefault="00D53262" w:rsidP="00537E23">
            <w:pPr>
              <w:widowControl w:val="0"/>
              <w:ind w:left="-45"/>
            </w:pPr>
            <w:r w:rsidRPr="00B30A12">
              <w:t>100:8</w:t>
            </w:r>
          </w:p>
        </w:tc>
        <w:tc>
          <w:tcPr>
            <w:tcW w:w="630" w:type="dxa"/>
            <w:shd w:val="clear" w:color="auto" w:fill="auto"/>
          </w:tcPr>
          <w:p w14:paraId="77C486DC" w14:textId="77777777" w:rsidR="00D53262" w:rsidRPr="00B30A12" w:rsidRDefault="00D53262" w:rsidP="00537E23">
            <w:pPr>
              <w:widowControl w:val="0"/>
              <w:ind w:left="-45"/>
            </w:pPr>
            <w:r w:rsidRPr="00B30A12">
              <w:t>76:10</w:t>
            </w:r>
          </w:p>
        </w:tc>
        <w:tc>
          <w:tcPr>
            <w:tcW w:w="644" w:type="dxa"/>
            <w:shd w:val="clear" w:color="auto" w:fill="auto"/>
          </w:tcPr>
          <w:p w14:paraId="49769F88" w14:textId="77777777" w:rsidR="00D53262" w:rsidRPr="00B30A12" w:rsidRDefault="00D53262" w:rsidP="00537E23">
            <w:pPr>
              <w:widowControl w:val="0"/>
              <w:ind w:left="-45"/>
            </w:pPr>
            <w:r w:rsidRPr="00B30A12">
              <w:t>56:11</w:t>
            </w:r>
          </w:p>
        </w:tc>
        <w:tc>
          <w:tcPr>
            <w:tcW w:w="672" w:type="dxa"/>
            <w:shd w:val="clear" w:color="auto" w:fill="auto"/>
          </w:tcPr>
          <w:p w14:paraId="66D2F6C0" w14:textId="77777777" w:rsidR="00D53262" w:rsidRPr="00B30A12" w:rsidRDefault="00D53262" w:rsidP="00537E23">
            <w:pPr>
              <w:widowControl w:val="0"/>
              <w:ind w:left="-45"/>
            </w:pPr>
            <w:r w:rsidRPr="00B30A12">
              <w:t>31:11</w:t>
            </w:r>
          </w:p>
        </w:tc>
        <w:tc>
          <w:tcPr>
            <w:tcW w:w="686" w:type="dxa"/>
            <w:shd w:val="clear" w:color="auto" w:fill="auto"/>
          </w:tcPr>
          <w:p w14:paraId="4651157E" w14:textId="77777777" w:rsidR="00D53262" w:rsidRPr="00B30A12" w:rsidRDefault="00D53262" w:rsidP="00537E23">
            <w:pPr>
              <w:widowControl w:val="0"/>
              <w:ind w:left="-45"/>
            </w:pPr>
            <w:r w:rsidRPr="00B30A12">
              <w:t>13:12</w:t>
            </w:r>
          </w:p>
        </w:tc>
        <w:tc>
          <w:tcPr>
            <w:tcW w:w="560" w:type="dxa"/>
            <w:shd w:val="clear" w:color="auto" w:fill="auto"/>
          </w:tcPr>
          <w:p w14:paraId="2FB25246" w14:textId="77777777" w:rsidR="00D53262" w:rsidRPr="00B30A12" w:rsidRDefault="00936B75" w:rsidP="00537E23">
            <w:pPr>
              <w:widowControl w:val="0"/>
              <w:ind w:left="-45"/>
            </w:pPr>
            <w:r w:rsidRPr="00B30A12">
              <w:t>0</w:t>
            </w:r>
            <w:r w:rsidR="00D53262" w:rsidRPr="00B30A12">
              <w:t>:12</w:t>
            </w:r>
          </w:p>
        </w:tc>
        <w:tc>
          <w:tcPr>
            <w:tcW w:w="491" w:type="dxa"/>
            <w:shd w:val="clear" w:color="auto" w:fill="auto"/>
          </w:tcPr>
          <w:p w14:paraId="670B168D" w14:textId="77777777" w:rsidR="00D53262" w:rsidRPr="00B30A12" w:rsidRDefault="00D53262" w:rsidP="00537E23">
            <w:pPr>
              <w:widowControl w:val="0"/>
              <w:ind w:left="-45"/>
            </w:pPr>
          </w:p>
        </w:tc>
      </w:tr>
    </w:tbl>
    <w:p w14:paraId="074776B0" w14:textId="77777777" w:rsidR="00812331" w:rsidRPr="00B30A12" w:rsidRDefault="00812331" w:rsidP="00537E23">
      <w:pPr>
        <w:pStyle w:val="Header"/>
        <w:widowControl w:val="0"/>
        <w:tabs>
          <w:tab w:val="clear" w:pos="4320"/>
          <w:tab w:val="clear" w:pos="8640"/>
          <w:tab w:val="center" w:pos="6804"/>
          <w:tab w:val="right" w:leader="underscore" w:pos="9072"/>
        </w:tabs>
        <w:rPr>
          <w:color w:val="000000"/>
          <w:szCs w:val="22"/>
        </w:rPr>
      </w:pPr>
    </w:p>
    <w:p w14:paraId="5BA0FCF3" w14:textId="77777777" w:rsidR="00DD7C24" w:rsidRPr="00B30A12" w:rsidRDefault="00DD7C24"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Es gibt keine kontrollierten Studien </w:t>
      </w:r>
      <w:r w:rsidR="00576EF2" w:rsidRPr="00B30A12">
        <w:rPr>
          <w:color w:val="000000"/>
          <w:szCs w:val="22"/>
        </w:rPr>
        <w:t>bei</w:t>
      </w:r>
      <w:r w:rsidRPr="00B30A12">
        <w:rPr>
          <w:color w:val="000000"/>
          <w:szCs w:val="22"/>
        </w:rPr>
        <w:t xml:space="preserve"> Kindern und Jugendlichen mit c-Kit positivem GIST. In 7 </w:t>
      </w:r>
      <w:r w:rsidR="00E3615A" w:rsidRPr="00B30A12">
        <w:rPr>
          <w:color w:val="000000"/>
          <w:szCs w:val="22"/>
        </w:rPr>
        <w:t>Publikationen</w:t>
      </w:r>
      <w:r w:rsidRPr="00B30A12">
        <w:rPr>
          <w:color w:val="000000"/>
          <w:szCs w:val="22"/>
        </w:rPr>
        <w:t xml:space="preserve"> w</w:t>
      </w:r>
      <w:r w:rsidR="00A511F1" w:rsidRPr="00B30A12">
        <w:rPr>
          <w:color w:val="000000"/>
          <w:szCs w:val="22"/>
        </w:rPr>
        <w:t>urde</w:t>
      </w:r>
      <w:r w:rsidRPr="00B30A12">
        <w:rPr>
          <w:color w:val="000000"/>
          <w:szCs w:val="22"/>
        </w:rPr>
        <w:t xml:space="preserve"> über 17</w:t>
      </w:r>
      <w:r w:rsidR="008609C1" w:rsidRPr="00B30A12">
        <w:rPr>
          <w:color w:val="000000"/>
          <w:szCs w:val="22"/>
        </w:rPr>
        <w:t> </w:t>
      </w:r>
      <w:r w:rsidRPr="00B30A12">
        <w:rPr>
          <w:color w:val="000000"/>
          <w:szCs w:val="22"/>
        </w:rPr>
        <w:t>Patienten mit GIST (mit oder ohne Kit und PDGFR</w:t>
      </w:r>
      <w:r w:rsidR="008609C1" w:rsidRPr="00B30A12">
        <w:rPr>
          <w:color w:val="000000"/>
          <w:szCs w:val="22"/>
        </w:rPr>
        <w:t>-</w:t>
      </w:r>
      <w:r w:rsidRPr="00B30A12">
        <w:rPr>
          <w:color w:val="000000"/>
          <w:szCs w:val="22"/>
        </w:rPr>
        <w:t>Mutationen) berichtet. Das Alter dieser Patienten reichte von 8 bis 18 Jahren</w:t>
      </w:r>
      <w:r w:rsidR="00A511F1" w:rsidRPr="00B30A12">
        <w:rPr>
          <w:color w:val="000000"/>
          <w:szCs w:val="22"/>
        </w:rPr>
        <w:t xml:space="preserve"> und</w:t>
      </w:r>
      <w:r w:rsidRPr="00B30A12">
        <w:rPr>
          <w:color w:val="000000"/>
          <w:szCs w:val="22"/>
        </w:rPr>
        <w:t xml:space="preserve"> Imatinib </w:t>
      </w:r>
      <w:r w:rsidR="00A511F1" w:rsidRPr="00B30A12">
        <w:rPr>
          <w:color w:val="000000"/>
          <w:szCs w:val="22"/>
        </w:rPr>
        <w:t xml:space="preserve">wurde </w:t>
      </w:r>
      <w:r w:rsidRPr="00B30A12">
        <w:rPr>
          <w:color w:val="000000"/>
          <w:szCs w:val="22"/>
        </w:rPr>
        <w:t xml:space="preserve">in Dosen von 300 bis 800 mg </w:t>
      </w:r>
      <w:r w:rsidR="00A511F1" w:rsidRPr="00B30A12">
        <w:rPr>
          <w:color w:val="000000"/>
          <w:szCs w:val="22"/>
        </w:rPr>
        <w:t>täglich</w:t>
      </w:r>
      <w:r w:rsidRPr="00B30A12">
        <w:rPr>
          <w:color w:val="000000"/>
          <w:szCs w:val="22"/>
        </w:rPr>
        <w:t xml:space="preserve"> sowohl </w:t>
      </w:r>
      <w:r w:rsidR="005268DC" w:rsidRPr="00B30A12">
        <w:rPr>
          <w:color w:val="000000"/>
          <w:szCs w:val="22"/>
        </w:rPr>
        <w:t>in der A</w:t>
      </w:r>
      <w:r w:rsidR="008609C1" w:rsidRPr="00B30A12">
        <w:rPr>
          <w:color w:val="000000"/>
          <w:szCs w:val="22"/>
        </w:rPr>
        <w:t>djuvan</w:t>
      </w:r>
      <w:r w:rsidR="005268DC" w:rsidRPr="00B30A12">
        <w:rPr>
          <w:color w:val="000000"/>
          <w:szCs w:val="22"/>
        </w:rPr>
        <w:t>z</w:t>
      </w:r>
      <w:r w:rsidR="00A511F1" w:rsidRPr="00B30A12">
        <w:rPr>
          <w:color w:val="000000"/>
          <w:szCs w:val="22"/>
        </w:rPr>
        <w:t xml:space="preserve"> </w:t>
      </w:r>
      <w:r w:rsidR="008609C1" w:rsidRPr="00B30A12">
        <w:rPr>
          <w:color w:val="000000"/>
          <w:szCs w:val="22"/>
        </w:rPr>
        <w:t>als auch</w:t>
      </w:r>
      <w:r w:rsidR="00A511F1" w:rsidRPr="00B30A12">
        <w:rPr>
          <w:color w:val="000000"/>
          <w:szCs w:val="22"/>
        </w:rPr>
        <w:t xml:space="preserve"> </w:t>
      </w:r>
      <w:r w:rsidR="005268DC" w:rsidRPr="00B30A12">
        <w:rPr>
          <w:color w:val="000000"/>
          <w:szCs w:val="22"/>
        </w:rPr>
        <w:t xml:space="preserve">in der metastasierten Situation </w:t>
      </w:r>
      <w:r w:rsidRPr="00B30A12">
        <w:rPr>
          <w:color w:val="000000"/>
          <w:szCs w:val="22"/>
        </w:rPr>
        <w:t xml:space="preserve">gegeben. </w:t>
      </w:r>
      <w:r w:rsidR="008609C1" w:rsidRPr="00B30A12">
        <w:rPr>
          <w:color w:val="000000"/>
          <w:szCs w:val="22"/>
        </w:rPr>
        <w:t>Für die</w:t>
      </w:r>
      <w:r w:rsidRPr="00B30A12">
        <w:rPr>
          <w:color w:val="000000"/>
          <w:szCs w:val="22"/>
        </w:rPr>
        <w:t xml:space="preserve"> Mehrheit der </w:t>
      </w:r>
      <w:r w:rsidR="008609C1" w:rsidRPr="00B30A12">
        <w:rPr>
          <w:color w:val="000000"/>
          <w:szCs w:val="22"/>
        </w:rPr>
        <w:t>pädiatrischen</w:t>
      </w:r>
      <w:r w:rsidRPr="00B30A12">
        <w:rPr>
          <w:color w:val="000000"/>
          <w:szCs w:val="22"/>
        </w:rPr>
        <w:t xml:space="preserve"> Patienten</w:t>
      </w:r>
      <w:r w:rsidR="008609C1" w:rsidRPr="00B30A12">
        <w:rPr>
          <w:color w:val="000000"/>
          <w:szCs w:val="22"/>
        </w:rPr>
        <w:t>,</w:t>
      </w:r>
      <w:r w:rsidRPr="00B30A12">
        <w:rPr>
          <w:color w:val="000000"/>
          <w:szCs w:val="22"/>
        </w:rPr>
        <w:t xml:space="preserve"> die gegen GIST behandelt wurden, fehlten Daten hinsichtlich c-Kit oder PDGFR</w:t>
      </w:r>
      <w:r w:rsidR="008609C1" w:rsidRPr="00B30A12">
        <w:rPr>
          <w:color w:val="000000"/>
          <w:szCs w:val="22"/>
        </w:rPr>
        <w:t>-</w:t>
      </w:r>
      <w:r w:rsidRPr="00B30A12">
        <w:rPr>
          <w:color w:val="000000"/>
          <w:szCs w:val="22"/>
        </w:rPr>
        <w:t>Mutationen, die zu verschiedenen klinischen Ergebnisse</w:t>
      </w:r>
      <w:r w:rsidR="00B644B1" w:rsidRPr="00B30A12">
        <w:rPr>
          <w:color w:val="000000"/>
          <w:szCs w:val="22"/>
        </w:rPr>
        <w:t>n</w:t>
      </w:r>
      <w:r w:rsidRPr="00B30A12">
        <w:rPr>
          <w:color w:val="000000"/>
          <w:szCs w:val="22"/>
        </w:rPr>
        <w:t xml:space="preserve"> </w:t>
      </w:r>
      <w:r w:rsidR="00DA2EDC" w:rsidRPr="00B30A12">
        <w:rPr>
          <w:color w:val="000000"/>
          <w:szCs w:val="22"/>
        </w:rPr>
        <w:t>ge</w:t>
      </w:r>
      <w:r w:rsidRPr="00B30A12">
        <w:rPr>
          <w:color w:val="000000"/>
          <w:szCs w:val="22"/>
        </w:rPr>
        <w:t>führ</w:t>
      </w:r>
      <w:r w:rsidR="00DA2EDC" w:rsidRPr="00B30A12">
        <w:rPr>
          <w:color w:val="000000"/>
          <w:szCs w:val="22"/>
        </w:rPr>
        <w:t>t haben</w:t>
      </w:r>
      <w:r w:rsidRPr="00B30A12">
        <w:rPr>
          <w:color w:val="000000"/>
          <w:szCs w:val="22"/>
        </w:rPr>
        <w:t xml:space="preserve"> könn</w:t>
      </w:r>
      <w:r w:rsidR="00DA2EDC" w:rsidRPr="00B30A12">
        <w:rPr>
          <w:color w:val="000000"/>
          <w:szCs w:val="22"/>
        </w:rPr>
        <w:t>t</w:t>
      </w:r>
      <w:r w:rsidRPr="00B30A12">
        <w:rPr>
          <w:color w:val="000000"/>
          <w:szCs w:val="22"/>
        </w:rPr>
        <w:t>en.</w:t>
      </w:r>
    </w:p>
    <w:p w14:paraId="4A14ED43" w14:textId="77777777" w:rsidR="00DD7C24" w:rsidRPr="00B30A12" w:rsidRDefault="00DD7C24" w:rsidP="00537E23">
      <w:pPr>
        <w:pStyle w:val="Header"/>
        <w:widowControl w:val="0"/>
        <w:tabs>
          <w:tab w:val="clear" w:pos="4320"/>
          <w:tab w:val="clear" w:pos="8640"/>
          <w:tab w:val="center" w:pos="6804"/>
          <w:tab w:val="right" w:leader="underscore" w:pos="9072"/>
        </w:tabs>
        <w:rPr>
          <w:color w:val="000000"/>
          <w:szCs w:val="22"/>
        </w:rPr>
      </w:pPr>
    </w:p>
    <w:p w14:paraId="1FDF0E44" w14:textId="77777777" w:rsidR="00B30B08" w:rsidRPr="00B30A12" w:rsidRDefault="00B30B08" w:rsidP="00052596">
      <w:pPr>
        <w:pStyle w:val="Header"/>
        <w:keepNext/>
        <w:widowControl w:val="0"/>
        <w:tabs>
          <w:tab w:val="clear" w:pos="4320"/>
          <w:tab w:val="clear" w:pos="8640"/>
          <w:tab w:val="center" w:pos="6804"/>
          <w:tab w:val="right" w:leader="underscore" w:pos="9072"/>
        </w:tabs>
        <w:rPr>
          <w:color w:val="000000"/>
          <w:szCs w:val="22"/>
          <w:u w:val="single"/>
        </w:rPr>
      </w:pPr>
      <w:r w:rsidRPr="00B30A12">
        <w:rPr>
          <w:color w:val="000000"/>
          <w:szCs w:val="22"/>
          <w:u w:val="single"/>
        </w:rPr>
        <w:t>Klinische Studien bei DFSP</w:t>
      </w:r>
    </w:p>
    <w:p w14:paraId="4B3301E5" w14:textId="77777777" w:rsidR="00B30B08" w:rsidRPr="00B30A12" w:rsidRDefault="00B30B08"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wurde eine offene, multizentrische Phase-II-Studie (Studie B2225) bei 12 Patienten mit DSFP durchgeführt, die mit täglich 800 mg Glivec behandelt wurden. Das Alter der DFSP-Patienten betrug 23</w:t>
      </w:r>
      <w:r w:rsidRPr="00B30A12">
        <w:rPr>
          <w:color w:val="000000"/>
          <w:szCs w:val="22"/>
        </w:rPr>
        <w:noBreakHyphen/>
        <w:t xml:space="preserve">75 Jahre; das DFSP war zum Zeitpunkt des Eintritts in die Studie metastasiert mit lokalen Rezidiven nach initialer chirurgischer Resektion und wurde als nicht behandelbar durch weitere chirurgische Resektionen beurteilt. Der primäre Wirksamkeitsnachweis beruhte auf objektiven Ansprechraten. Von den 12 eingeschlossenen Patienten sprachen 9 an, ein Patient </w:t>
      </w:r>
      <w:r w:rsidR="00802517" w:rsidRPr="00B30A12">
        <w:rPr>
          <w:color w:val="000000"/>
          <w:szCs w:val="22"/>
        </w:rPr>
        <w:t xml:space="preserve">komplett </w:t>
      </w:r>
      <w:r w:rsidRPr="00B30A12">
        <w:rPr>
          <w:color w:val="000000"/>
          <w:szCs w:val="22"/>
        </w:rPr>
        <w:t>und 8 teilweise. Drei der Patienten mit teilweisem Ansprechen wurden nach anschließender Operation als krankheitsfrei eingestuft. Die mediane Behandlungsdauer in der Studie B2225 betrug 6,2 Monate bei einer maximalen Behandlungsdauer von 24,3 Monaten. Über weitere 6 DFSP-Patienten, die mit Glivec behandelt wurden, wurde in 5 publizierten Fallberichten berichtet; ihr Alter betrug 18 Monate bis 49 Jahre. Die erwachsenen Patienten, über die in der publizierten Literatur berichtet wird, wurden mit täglich 400 mg (4 Fälle) oder 800 mg (1 Fall) Glivec behandelt. Fünf Patienten sprachen an, 3 vollständig und 2 teilweise. Die mediane Behandlungsdauer lag in der publizierten Literatur zwischen 4 Wochen und mehr als 20 Monaten. Die Translokation t(17:22)[(q22:q13)] oder ihr Genprodukt waren bei fast allen Patienten, die auf die Glivec-Behandlung ansprachen, vorhanden.</w:t>
      </w:r>
    </w:p>
    <w:p w14:paraId="7EDC9B0F" w14:textId="77777777" w:rsidR="00022036" w:rsidRPr="00B30A12" w:rsidRDefault="00022036" w:rsidP="00537E23">
      <w:pPr>
        <w:pStyle w:val="Header"/>
        <w:widowControl w:val="0"/>
        <w:tabs>
          <w:tab w:val="clear" w:pos="4320"/>
          <w:tab w:val="clear" w:pos="8640"/>
          <w:tab w:val="center" w:pos="6804"/>
          <w:tab w:val="right" w:leader="underscore" w:pos="9072"/>
        </w:tabs>
        <w:rPr>
          <w:color w:val="000000"/>
          <w:szCs w:val="22"/>
        </w:rPr>
      </w:pPr>
    </w:p>
    <w:p w14:paraId="70358BBA" w14:textId="77777777" w:rsidR="00022036" w:rsidRPr="00B30A12" w:rsidRDefault="00022036" w:rsidP="00537E23">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Es gibt keine kontrollierten Studien mit Kindern und Jugendlichen mit DFSP. In </w:t>
      </w:r>
      <w:r w:rsidR="00E3615A" w:rsidRPr="00B30A12">
        <w:rPr>
          <w:color w:val="000000"/>
          <w:szCs w:val="22"/>
        </w:rPr>
        <w:t>3 </w:t>
      </w:r>
      <w:r w:rsidRPr="00B30A12">
        <w:rPr>
          <w:color w:val="000000"/>
          <w:szCs w:val="22"/>
        </w:rPr>
        <w:t>Publikationen wurde über 5</w:t>
      </w:r>
      <w:r w:rsidR="00EA0721" w:rsidRPr="00B30A12">
        <w:rPr>
          <w:color w:val="000000"/>
          <w:szCs w:val="22"/>
        </w:rPr>
        <w:t> </w:t>
      </w:r>
      <w:r w:rsidRPr="00B30A12">
        <w:rPr>
          <w:color w:val="000000"/>
          <w:szCs w:val="22"/>
        </w:rPr>
        <w:t>Patienten mit DFSP und PDGFR</w:t>
      </w:r>
      <w:r w:rsidR="00EA0721" w:rsidRPr="00B30A12">
        <w:rPr>
          <w:color w:val="000000"/>
          <w:szCs w:val="22"/>
        </w:rPr>
        <w:t>-</w:t>
      </w:r>
      <w:r w:rsidR="005F6F30" w:rsidRPr="00B30A12">
        <w:rPr>
          <w:color w:val="000000"/>
          <w:szCs w:val="22"/>
        </w:rPr>
        <w:t>Genumlagerungen</w:t>
      </w:r>
      <w:r w:rsidRPr="00B30A12">
        <w:rPr>
          <w:color w:val="000000"/>
          <w:szCs w:val="22"/>
        </w:rPr>
        <w:t xml:space="preserve"> berichtet. Die Altersspanne dieser Patienten reichte vom Neugeborenen bis 14</w:t>
      </w:r>
      <w:r w:rsidR="00EA0721" w:rsidRPr="00B30A12">
        <w:rPr>
          <w:color w:val="000000"/>
          <w:szCs w:val="22"/>
        </w:rPr>
        <w:t> </w:t>
      </w:r>
      <w:r w:rsidRPr="00B30A12">
        <w:rPr>
          <w:color w:val="000000"/>
          <w:szCs w:val="22"/>
        </w:rPr>
        <w:t xml:space="preserve">Jahre und Imatinib wurde </w:t>
      </w:r>
      <w:r w:rsidR="005B1CC3" w:rsidRPr="00B30A12">
        <w:rPr>
          <w:color w:val="000000"/>
          <w:szCs w:val="22"/>
        </w:rPr>
        <w:t xml:space="preserve">in einer Dosierung von 50 mg täglich oder in Dosen von 400 bis 520 mg/m² täglich gegeben. </w:t>
      </w:r>
      <w:r w:rsidRPr="00B30A12">
        <w:rPr>
          <w:color w:val="000000"/>
          <w:szCs w:val="22"/>
        </w:rPr>
        <w:t xml:space="preserve">Alle Patienten </w:t>
      </w:r>
      <w:r w:rsidR="001729FD" w:rsidRPr="00B30A12">
        <w:rPr>
          <w:color w:val="000000"/>
          <w:szCs w:val="22"/>
        </w:rPr>
        <w:t xml:space="preserve">zeigten </w:t>
      </w:r>
      <w:r w:rsidRPr="00B30A12">
        <w:rPr>
          <w:color w:val="000000"/>
          <w:szCs w:val="22"/>
        </w:rPr>
        <w:t>teilweise</w:t>
      </w:r>
      <w:r w:rsidR="00C86471" w:rsidRPr="00B30A12">
        <w:rPr>
          <w:color w:val="000000"/>
          <w:szCs w:val="22"/>
        </w:rPr>
        <w:t>s</w:t>
      </w:r>
      <w:r w:rsidRPr="00B30A12">
        <w:rPr>
          <w:color w:val="000000"/>
          <w:szCs w:val="22"/>
        </w:rPr>
        <w:t xml:space="preserve"> und/oder </w:t>
      </w:r>
      <w:r w:rsidR="005268DC" w:rsidRPr="00B30A12">
        <w:rPr>
          <w:color w:val="000000"/>
          <w:szCs w:val="22"/>
        </w:rPr>
        <w:t>komplettes</w:t>
      </w:r>
      <w:r w:rsidR="001729FD" w:rsidRPr="00B30A12">
        <w:rPr>
          <w:color w:val="000000"/>
          <w:szCs w:val="22"/>
        </w:rPr>
        <w:t xml:space="preserve"> Ansprech</w:t>
      </w:r>
      <w:r w:rsidR="00C86471" w:rsidRPr="00B30A12">
        <w:rPr>
          <w:color w:val="000000"/>
          <w:szCs w:val="22"/>
        </w:rPr>
        <w:t>en</w:t>
      </w:r>
      <w:r w:rsidRPr="00B30A12">
        <w:rPr>
          <w:color w:val="000000"/>
          <w:szCs w:val="22"/>
        </w:rPr>
        <w:t>.</w:t>
      </w:r>
    </w:p>
    <w:p w14:paraId="513E5362" w14:textId="77777777" w:rsidR="006615F9" w:rsidRPr="00B30A12" w:rsidRDefault="006615F9" w:rsidP="00537E23">
      <w:pPr>
        <w:pStyle w:val="Header"/>
        <w:widowControl w:val="0"/>
        <w:tabs>
          <w:tab w:val="clear" w:pos="4320"/>
          <w:tab w:val="clear" w:pos="8640"/>
          <w:tab w:val="center" w:pos="6804"/>
          <w:tab w:val="right" w:leader="underscore" w:pos="9072"/>
        </w:tabs>
        <w:rPr>
          <w:color w:val="000000"/>
          <w:szCs w:val="22"/>
        </w:rPr>
      </w:pPr>
    </w:p>
    <w:p w14:paraId="5F11B755" w14:textId="77777777" w:rsidR="006615F9" w:rsidRPr="00B30A12" w:rsidRDefault="006615F9" w:rsidP="00052596">
      <w:pPr>
        <w:keepNext/>
        <w:widowControl w:val="0"/>
        <w:ind w:left="567" w:hanging="567"/>
        <w:rPr>
          <w:color w:val="000000"/>
          <w:sz w:val="22"/>
          <w:szCs w:val="22"/>
        </w:rPr>
      </w:pPr>
      <w:r w:rsidRPr="00B30A12">
        <w:rPr>
          <w:b/>
          <w:color w:val="000000"/>
          <w:sz w:val="22"/>
          <w:szCs w:val="22"/>
        </w:rPr>
        <w:lastRenderedPageBreak/>
        <w:t>5.2</w:t>
      </w:r>
      <w:r w:rsidRPr="00B30A12">
        <w:rPr>
          <w:b/>
          <w:color w:val="000000"/>
          <w:sz w:val="22"/>
          <w:szCs w:val="22"/>
        </w:rPr>
        <w:tab/>
        <w:t>Pharmakokinetische Eigenschaften</w:t>
      </w:r>
    </w:p>
    <w:p w14:paraId="45B324D3" w14:textId="77777777" w:rsidR="006615F9" w:rsidRPr="00B30A12" w:rsidRDefault="006615F9" w:rsidP="00052596">
      <w:pPr>
        <w:keepNext/>
        <w:widowControl w:val="0"/>
        <w:ind w:firstLine="3"/>
        <w:rPr>
          <w:color w:val="000000"/>
          <w:sz w:val="22"/>
          <w:szCs w:val="22"/>
        </w:rPr>
      </w:pPr>
    </w:p>
    <w:p w14:paraId="0498908B" w14:textId="77777777" w:rsidR="00D72F2D" w:rsidRPr="00B30A12" w:rsidRDefault="006615F9" w:rsidP="00052596">
      <w:pPr>
        <w:keepNext/>
        <w:widowControl w:val="0"/>
        <w:ind w:firstLine="3"/>
        <w:rPr>
          <w:color w:val="000000"/>
          <w:sz w:val="22"/>
          <w:szCs w:val="22"/>
          <w:u w:val="single"/>
        </w:rPr>
      </w:pPr>
      <w:r w:rsidRPr="00B30A12">
        <w:rPr>
          <w:color w:val="000000"/>
          <w:sz w:val="22"/>
          <w:szCs w:val="22"/>
          <w:u w:val="single"/>
        </w:rPr>
        <w:t>Pharmakokinetik von Glivec</w:t>
      </w:r>
    </w:p>
    <w:p w14:paraId="6BEDC876" w14:textId="77777777" w:rsidR="00D72F2D" w:rsidRPr="00B30A12" w:rsidRDefault="006615F9" w:rsidP="00537E23">
      <w:pPr>
        <w:widowControl w:val="0"/>
        <w:ind w:firstLine="3"/>
        <w:rPr>
          <w:color w:val="000000"/>
          <w:sz w:val="22"/>
          <w:szCs w:val="22"/>
        </w:rPr>
      </w:pPr>
      <w:r w:rsidRPr="00B30A12">
        <w:rPr>
          <w:color w:val="000000"/>
          <w:sz w:val="22"/>
          <w:szCs w:val="22"/>
        </w:rPr>
        <w:t>Die Pharmakokinetik von Glivec wurde in einem Dosisbereich vo</w:t>
      </w:r>
      <w:r w:rsidR="00AA3F36" w:rsidRPr="00B30A12">
        <w:rPr>
          <w:color w:val="000000"/>
          <w:sz w:val="22"/>
          <w:szCs w:val="22"/>
        </w:rPr>
        <w:t>n</w:t>
      </w:r>
      <w:r w:rsidRPr="00B30A12">
        <w:rPr>
          <w:color w:val="000000"/>
          <w:sz w:val="22"/>
          <w:szCs w:val="22"/>
        </w:rPr>
        <w:t xml:space="preserve"> 25 bis 1</w:t>
      </w:r>
      <w:r w:rsidR="00BB10C8" w:rsidRPr="00B30A12">
        <w:rPr>
          <w:color w:val="000000"/>
          <w:sz w:val="22"/>
          <w:szCs w:val="22"/>
        </w:rPr>
        <w:t>.</w:t>
      </w:r>
      <w:r w:rsidRPr="00B30A12">
        <w:rPr>
          <w:color w:val="000000"/>
          <w:sz w:val="22"/>
          <w:szCs w:val="22"/>
        </w:rPr>
        <w:t>000</w:t>
      </w:r>
      <w:r w:rsidR="001922B0" w:rsidRPr="00B30A12">
        <w:rPr>
          <w:color w:val="000000"/>
          <w:sz w:val="22"/>
          <w:szCs w:val="22"/>
        </w:rPr>
        <w:t> mg</w:t>
      </w:r>
      <w:r w:rsidRPr="00B30A12">
        <w:rPr>
          <w:color w:val="000000"/>
          <w:sz w:val="22"/>
          <w:szCs w:val="22"/>
        </w:rPr>
        <w:t xml:space="preserve"> untersucht. Es wur</w:t>
      </w:r>
      <w:r w:rsidRPr="00B30A12">
        <w:rPr>
          <w:color w:val="000000"/>
          <w:sz w:val="22"/>
          <w:szCs w:val="22"/>
        </w:rPr>
        <w:softHyphen/>
        <w:t>den die pharmakokinetischen Profile im Plasma am Tag</w:t>
      </w:r>
      <w:r w:rsidR="00C80819" w:rsidRPr="00B30A12">
        <w:rPr>
          <w:color w:val="000000"/>
          <w:sz w:val="22"/>
          <w:szCs w:val="22"/>
        </w:rPr>
        <w:t> </w:t>
      </w:r>
      <w:r w:rsidRPr="00B30A12">
        <w:rPr>
          <w:color w:val="000000"/>
          <w:sz w:val="22"/>
          <w:szCs w:val="22"/>
        </w:rPr>
        <w:t>1 und am Tag</w:t>
      </w:r>
      <w:r w:rsidR="00C80819" w:rsidRPr="00B30A12">
        <w:rPr>
          <w:color w:val="000000"/>
          <w:sz w:val="22"/>
          <w:szCs w:val="22"/>
        </w:rPr>
        <w:t> </w:t>
      </w:r>
      <w:r w:rsidRPr="00B30A12">
        <w:rPr>
          <w:color w:val="000000"/>
          <w:sz w:val="22"/>
          <w:szCs w:val="22"/>
        </w:rPr>
        <w:t>7 oder 28 untersucht, an denen die Gleichgewichtskonzentrationen (</w:t>
      </w:r>
      <w:r w:rsidR="00AA3F36" w:rsidRPr="00B30A12">
        <w:rPr>
          <w:color w:val="000000"/>
          <w:sz w:val="22"/>
          <w:szCs w:val="22"/>
        </w:rPr>
        <w:t>Steady-State</w:t>
      </w:r>
      <w:r w:rsidRPr="00B30A12">
        <w:rPr>
          <w:color w:val="000000"/>
          <w:sz w:val="22"/>
          <w:szCs w:val="22"/>
        </w:rPr>
        <w:t>) erreicht wurden.</w:t>
      </w:r>
    </w:p>
    <w:p w14:paraId="1C3037E7" w14:textId="77777777" w:rsidR="006615F9" w:rsidRPr="00B30A12" w:rsidRDefault="006615F9" w:rsidP="00537E23">
      <w:pPr>
        <w:widowControl w:val="0"/>
        <w:ind w:firstLine="3"/>
        <w:rPr>
          <w:color w:val="000000"/>
          <w:sz w:val="22"/>
          <w:szCs w:val="22"/>
        </w:rPr>
      </w:pPr>
    </w:p>
    <w:p w14:paraId="00DD5517" w14:textId="77777777" w:rsidR="006615F9" w:rsidRPr="00B30A12" w:rsidRDefault="006615F9" w:rsidP="00052596">
      <w:pPr>
        <w:keepNext/>
        <w:widowControl w:val="0"/>
        <w:ind w:firstLine="6"/>
        <w:rPr>
          <w:color w:val="000000"/>
          <w:sz w:val="22"/>
          <w:szCs w:val="22"/>
          <w:u w:val="single"/>
        </w:rPr>
      </w:pPr>
      <w:r w:rsidRPr="00B30A12">
        <w:rPr>
          <w:color w:val="000000"/>
          <w:sz w:val="22"/>
          <w:szCs w:val="22"/>
          <w:u w:val="single"/>
        </w:rPr>
        <w:t>Resorption</w:t>
      </w:r>
    </w:p>
    <w:p w14:paraId="4616015D" w14:textId="77777777" w:rsidR="006615F9" w:rsidRPr="00B30A12" w:rsidRDefault="006615F9" w:rsidP="00537E23">
      <w:pPr>
        <w:widowControl w:val="0"/>
        <w:ind w:firstLine="3"/>
        <w:rPr>
          <w:color w:val="000000"/>
          <w:sz w:val="22"/>
          <w:szCs w:val="22"/>
        </w:rPr>
      </w:pPr>
      <w:r w:rsidRPr="00B30A12">
        <w:rPr>
          <w:color w:val="000000"/>
          <w:sz w:val="22"/>
          <w:szCs w:val="22"/>
        </w:rPr>
        <w:t>Die mittlere absolute Bioverfügbarkeit der Kapseln beträgt 98</w:t>
      </w:r>
      <w:r w:rsidR="006766AC" w:rsidRPr="00B30A12">
        <w:rPr>
          <w:color w:val="000000"/>
          <w:sz w:val="22"/>
          <w:szCs w:val="22"/>
        </w:rPr>
        <w:t>%</w:t>
      </w:r>
      <w:r w:rsidRPr="00B30A12">
        <w:rPr>
          <w:color w:val="000000"/>
          <w:sz w:val="22"/>
          <w:szCs w:val="22"/>
        </w:rPr>
        <w:t>. Nach einer oralen Dosis fand sich eine hohe interindividuelle Variabilität der Plasma-AUC-Spiegel von Imatinib. Nach Gabe mit einer fettreichen Mahlzeit wird die Resorptionsrate von Imatinib verglichen mit dem Nüchternzustand gering</w:t>
      </w:r>
      <w:r w:rsidRPr="00B30A12">
        <w:rPr>
          <w:color w:val="000000"/>
          <w:sz w:val="22"/>
          <w:szCs w:val="22"/>
        </w:rPr>
        <w:softHyphen/>
        <w:t>fügig vermindert (11</w:t>
      </w:r>
      <w:r w:rsidR="006766AC" w:rsidRPr="00B30A12">
        <w:rPr>
          <w:color w:val="000000"/>
          <w:sz w:val="22"/>
          <w:szCs w:val="22"/>
        </w:rPr>
        <w:t>%</w:t>
      </w:r>
      <w:r w:rsidRPr="00B30A12">
        <w:rPr>
          <w:color w:val="000000"/>
          <w:sz w:val="22"/>
          <w:szCs w:val="22"/>
        </w:rPr>
        <w:t xml:space="preserve"> Abnahme der C</w:t>
      </w:r>
      <w:r w:rsidRPr="00B30A12">
        <w:rPr>
          <w:color w:val="000000"/>
          <w:sz w:val="22"/>
          <w:szCs w:val="22"/>
          <w:vertAlign w:val="subscript"/>
        </w:rPr>
        <w:t xml:space="preserve">max </w:t>
      </w:r>
      <w:r w:rsidRPr="00B30A12">
        <w:rPr>
          <w:color w:val="000000"/>
          <w:sz w:val="22"/>
          <w:szCs w:val="22"/>
        </w:rPr>
        <w:t>und Verlängerung der t</w:t>
      </w:r>
      <w:r w:rsidRPr="00B30A12">
        <w:rPr>
          <w:color w:val="000000"/>
          <w:sz w:val="22"/>
          <w:szCs w:val="22"/>
          <w:vertAlign w:val="subscript"/>
        </w:rPr>
        <w:t xml:space="preserve">max </w:t>
      </w:r>
      <w:r w:rsidRPr="00B30A12">
        <w:rPr>
          <w:color w:val="000000"/>
          <w:sz w:val="22"/>
          <w:szCs w:val="22"/>
        </w:rPr>
        <w:t>um 1,5</w:t>
      </w:r>
      <w:r w:rsidR="00C80819" w:rsidRPr="00B30A12">
        <w:rPr>
          <w:color w:val="000000"/>
          <w:sz w:val="22"/>
          <w:szCs w:val="22"/>
        </w:rPr>
        <w:t> </w:t>
      </w:r>
      <w:r w:rsidRPr="00B30A12">
        <w:rPr>
          <w:color w:val="000000"/>
          <w:sz w:val="22"/>
          <w:szCs w:val="22"/>
        </w:rPr>
        <w:t>Stunden) mit einer gerin</w:t>
      </w:r>
      <w:r w:rsidRPr="00B30A12">
        <w:rPr>
          <w:color w:val="000000"/>
          <w:sz w:val="22"/>
          <w:szCs w:val="22"/>
        </w:rPr>
        <w:softHyphen/>
        <w:t>gen Reduktion der AUC (7,4</w:t>
      </w:r>
      <w:r w:rsidR="006766AC" w:rsidRPr="00B30A12">
        <w:rPr>
          <w:color w:val="000000"/>
          <w:sz w:val="22"/>
          <w:szCs w:val="22"/>
        </w:rPr>
        <w:t>%</w:t>
      </w:r>
      <w:r w:rsidRPr="00B30A12">
        <w:rPr>
          <w:color w:val="000000"/>
          <w:sz w:val="22"/>
          <w:szCs w:val="22"/>
        </w:rPr>
        <w:t>). Der Einfluss eines vorhergehenden gastrointestinalen Eingriffs auf die Resorption des Wirkstoffs wurde nicht untersucht.</w:t>
      </w:r>
    </w:p>
    <w:p w14:paraId="553F147E" w14:textId="77777777" w:rsidR="006615F9" w:rsidRPr="00B30A12" w:rsidRDefault="006615F9" w:rsidP="00537E23">
      <w:pPr>
        <w:widowControl w:val="0"/>
        <w:ind w:firstLine="3"/>
        <w:rPr>
          <w:color w:val="000000"/>
          <w:sz w:val="22"/>
          <w:szCs w:val="22"/>
        </w:rPr>
      </w:pPr>
    </w:p>
    <w:p w14:paraId="7002048E" w14:textId="77777777" w:rsidR="006615F9" w:rsidRPr="00B30A12" w:rsidRDefault="006615F9" w:rsidP="00052596">
      <w:pPr>
        <w:keepNext/>
        <w:widowControl w:val="0"/>
        <w:ind w:firstLine="6"/>
        <w:rPr>
          <w:color w:val="000000"/>
          <w:sz w:val="22"/>
          <w:szCs w:val="22"/>
          <w:u w:val="single"/>
        </w:rPr>
      </w:pPr>
      <w:r w:rsidRPr="00B30A12">
        <w:rPr>
          <w:color w:val="000000"/>
          <w:sz w:val="22"/>
          <w:szCs w:val="22"/>
          <w:u w:val="single"/>
        </w:rPr>
        <w:t>Verteilung</w:t>
      </w:r>
    </w:p>
    <w:p w14:paraId="1875B32D" w14:textId="77777777" w:rsidR="006615F9" w:rsidRPr="00B30A12" w:rsidRDefault="006615F9" w:rsidP="00537E23">
      <w:pPr>
        <w:widowControl w:val="0"/>
        <w:ind w:firstLine="3"/>
        <w:rPr>
          <w:color w:val="000000"/>
          <w:sz w:val="22"/>
          <w:szCs w:val="22"/>
        </w:rPr>
      </w:pPr>
      <w:r w:rsidRPr="00B30A12">
        <w:rPr>
          <w:color w:val="000000"/>
          <w:sz w:val="22"/>
          <w:szCs w:val="22"/>
        </w:rPr>
        <w:t xml:space="preserve">Bei klinisch relevanten Konzentrationen von Imatinib betrug bei </w:t>
      </w:r>
      <w:r w:rsidR="00AA3F36" w:rsidRPr="00B30A12">
        <w:rPr>
          <w:i/>
          <w:color w:val="000000"/>
          <w:sz w:val="22"/>
          <w:szCs w:val="22"/>
        </w:rPr>
        <w:t>I</w:t>
      </w:r>
      <w:r w:rsidRPr="00B30A12">
        <w:rPr>
          <w:i/>
          <w:color w:val="000000"/>
          <w:sz w:val="22"/>
          <w:szCs w:val="22"/>
        </w:rPr>
        <w:t>n</w:t>
      </w:r>
      <w:r w:rsidR="00AA3F36" w:rsidRPr="00B30A12">
        <w:rPr>
          <w:i/>
          <w:color w:val="000000"/>
          <w:sz w:val="22"/>
          <w:szCs w:val="22"/>
        </w:rPr>
        <w:t>-</w:t>
      </w:r>
      <w:r w:rsidRPr="00B30A12">
        <w:rPr>
          <w:i/>
          <w:color w:val="000000"/>
          <w:sz w:val="22"/>
          <w:szCs w:val="22"/>
        </w:rPr>
        <w:t>vitro</w:t>
      </w:r>
      <w:r w:rsidR="00AA3F36" w:rsidRPr="00B30A12">
        <w:rPr>
          <w:color w:val="000000"/>
          <w:sz w:val="22"/>
          <w:szCs w:val="22"/>
        </w:rPr>
        <w:t>-</w:t>
      </w:r>
      <w:r w:rsidRPr="00B30A12">
        <w:rPr>
          <w:color w:val="000000"/>
          <w:sz w:val="22"/>
          <w:szCs w:val="22"/>
        </w:rPr>
        <w:t>Experimenten die Plasmapro</w:t>
      </w:r>
      <w:r w:rsidRPr="00B30A12">
        <w:rPr>
          <w:color w:val="000000"/>
          <w:sz w:val="22"/>
          <w:szCs w:val="22"/>
        </w:rPr>
        <w:softHyphen/>
        <w:t>teinbindung etwa 95</w:t>
      </w:r>
      <w:r w:rsidR="006766AC" w:rsidRPr="00B30A12">
        <w:rPr>
          <w:color w:val="000000"/>
          <w:sz w:val="22"/>
          <w:szCs w:val="22"/>
        </w:rPr>
        <w:t>%</w:t>
      </w:r>
      <w:r w:rsidRPr="00B30A12">
        <w:rPr>
          <w:color w:val="000000"/>
          <w:sz w:val="22"/>
          <w:szCs w:val="22"/>
        </w:rPr>
        <w:t>, hauptsächlich gebunden an Albumin und alpha-saures Glykoprotein und mit nur geringer Bindung an Lipoprotein.</w:t>
      </w:r>
    </w:p>
    <w:p w14:paraId="766774ED" w14:textId="77777777" w:rsidR="006615F9" w:rsidRPr="00B30A12" w:rsidRDefault="006615F9" w:rsidP="00537E23">
      <w:pPr>
        <w:widowControl w:val="0"/>
        <w:ind w:firstLine="3"/>
        <w:rPr>
          <w:color w:val="000000"/>
          <w:sz w:val="22"/>
          <w:szCs w:val="22"/>
        </w:rPr>
      </w:pPr>
    </w:p>
    <w:p w14:paraId="79FD8F0C" w14:textId="77777777" w:rsidR="006615F9" w:rsidRPr="00B30A12" w:rsidRDefault="00EB3FD1" w:rsidP="00052596">
      <w:pPr>
        <w:keepNext/>
        <w:widowControl w:val="0"/>
        <w:ind w:firstLine="6"/>
        <w:rPr>
          <w:color w:val="000000"/>
          <w:sz w:val="22"/>
          <w:szCs w:val="22"/>
          <w:u w:val="single"/>
        </w:rPr>
      </w:pPr>
      <w:r w:rsidRPr="00B30A12">
        <w:rPr>
          <w:color w:val="000000"/>
          <w:sz w:val="22"/>
          <w:szCs w:val="22"/>
          <w:u w:val="single"/>
        </w:rPr>
        <w:t>Biotransformation</w:t>
      </w:r>
    </w:p>
    <w:p w14:paraId="0F65AF61" w14:textId="77777777" w:rsidR="006615F9" w:rsidRPr="00B30A12" w:rsidRDefault="006615F9" w:rsidP="00537E23">
      <w:pPr>
        <w:widowControl w:val="0"/>
        <w:ind w:firstLine="3"/>
        <w:rPr>
          <w:color w:val="000000"/>
          <w:sz w:val="22"/>
          <w:szCs w:val="22"/>
        </w:rPr>
      </w:pPr>
      <w:r w:rsidRPr="00B30A12">
        <w:rPr>
          <w:color w:val="000000"/>
          <w:sz w:val="22"/>
          <w:szCs w:val="22"/>
        </w:rPr>
        <w:t xml:space="preserve">Der beim Menschen hauptsächlich zirkulierende Metabolit ist das N-demethylierte Piperazinderivat, welches </w:t>
      </w:r>
      <w:r w:rsidRPr="00B30A12">
        <w:rPr>
          <w:i/>
          <w:color w:val="000000"/>
          <w:sz w:val="22"/>
          <w:szCs w:val="22"/>
        </w:rPr>
        <w:t>in vitro</w:t>
      </w:r>
      <w:r w:rsidRPr="00B30A12">
        <w:rPr>
          <w:color w:val="000000"/>
          <w:sz w:val="22"/>
          <w:szCs w:val="22"/>
        </w:rPr>
        <w:t xml:space="preserve"> eine ähnliche Wirkung wie der unveränderte Wirkstoff aufweist. Die Plasma-AUC die</w:t>
      </w:r>
      <w:r w:rsidRPr="00B30A12">
        <w:rPr>
          <w:color w:val="000000"/>
          <w:sz w:val="22"/>
          <w:szCs w:val="22"/>
        </w:rPr>
        <w:softHyphen/>
        <w:t>ses Metaboliten beträgt nur 16</w:t>
      </w:r>
      <w:r w:rsidR="006766AC" w:rsidRPr="00B30A12">
        <w:rPr>
          <w:color w:val="000000"/>
          <w:sz w:val="22"/>
          <w:szCs w:val="22"/>
        </w:rPr>
        <w:t>%</w:t>
      </w:r>
      <w:r w:rsidRPr="00B30A12">
        <w:rPr>
          <w:color w:val="000000"/>
          <w:sz w:val="22"/>
          <w:szCs w:val="22"/>
        </w:rPr>
        <w:t xml:space="preserve"> der AUC von Imatinib.</w:t>
      </w:r>
      <w:r w:rsidR="00AB281D" w:rsidRPr="00B30A12">
        <w:rPr>
          <w:color w:val="000000"/>
          <w:sz w:val="22"/>
          <w:szCs w:val="22"/>
        </w:rPr>
        <w:t xml:space="preserve"> Die Plasmaproteinbindung des N-demethylierten Metaboliten ist mit derjenigen der Muttersubstanz vergleichbar.</w:t>
      </w:r>
    </w:p>
    <w:p w14:paraId="4B05E4FE" w14:textId="77777777" w:rsidR="006615F9" w:rsidRPr="00B30A12" w:rsidRDefault="006615F9" w:rsidP="00537E23">
      <w:pPr>
        <w:widowControl w:val="0"/>
        <w:ind w:firstLine="3"/>
        <w:rPr>
          <w:color w:val="000000"/>
          <w:sz w:val="22"/>
          <w:szCs w:val="22"/>
        </w:rPr>
      </w:pPr>
    </w:p>
    <w:p w14:paraId="3C2ECC6D" w14:textId="77777777" w:rsidR="006615F9" w:rsidRPr="00B30A12" w:rsidRDefault="006615F9" w:rsidP="00537E23">
      <w:pPr>
        <w:widowControl w:val="0"/>
        <w:ind w:firstLine="3"/>
        <w:rPr>
          <w:color w:val="000000"/>
          <w:sz w:val="22"/>
          <w:szCs w:val="22"/>
        </w:rPr>
      </w:pPr>
      <w:r w:rsidRPr="00B30A12">
        <w:rPr>
          <w:color w:val="000000"/>
          <w:sz w:val="22"/>
          <w:szCs w:val="22"/>
        </w:rPr>
        <w:t>Imatinib und sein N-Demethyl-Metabolit machten zusammen etwa 65</w:t>
      </w:r>
      <w:r w:rsidR="006766AC" w:rsidRPr="00B30A12">
        <w:rPr>
          <w:color w:val="000000"/>
          <w:sz w:val="22"/>
          <w:szCs w:val="22"/>
        </w:rPr>
        <w:t>%</w:t>
      </w:r>
      <w:r w:rsidRPr="00B30A12">
        <w:rPr>
          <w:color w:val="000000"/>
          <w:sz w:val="22"/>
          <w:szCs w:val="22"/>
        </w:rPr>
        <w:t xml:space="preserve"> der zirkulierenden Radioaktivität (AUC</w:t>
      </w:r>
      <w:r w:rsidRPr="00B30A12">
        <w:rPr>
          <w:color w:val="000000"/>
          <w:sz w:val="22"/>
          <w:szCs w:val="22"/>
          <w:vertAlign w:val="subscript"/>
        </w:rPr>
        <w:t>0-48h</w:t>
      </w:r>
      <w:r w:rsidRPr="00B30A12">
        <w:rPr>
          <w:color w:val="000000"/>
          <w:sz w:val="22"/>
          <w:szCs w:val="22"/>
        </w:rPr>
        <w:t>) aus. Die verbleibende zirkulierende Radioaktivität bestand aus einer Anzahl von Ne</w:t>
      </w:r>
      <w:r w:rsidRPr="00B30A12">
        <w:rPr>
          <w:color w:val="000000"/>
          <w:sz w:val="22"/>
          <w:szCs w:val="22"/>
        </w:rPr>
        <w:softHyphen/>
        <w:t>benmetaboliten.</w:t>
      </w:r>
    </w:p>
    <w:p w14:paraId="6A653781" w14:textId="77777777" w:rsidR="006615F9" w:rsidRPr="00B30A12" w:rsidRDefault="006615F9" w:rsidP="00537E23">
      <w:pPr>
        <w:widowControl w:val="0"/>
        <w:ind w:firstLine="3"/>
        <w:rPr>
          <w:color w:val="000000"/>
          <w:sz w:val="22"/>
          <w:szCs w:val="22"/>
        </w:rPr>
      </w:pPr>
    </w:p>
    <w:p w14:paraId="480F3BC3" w14:textId="77777777" w:rsidR="006615F9" w:rsidRPr="00B30A12" w:rsidRDefault="006615F9" w:rsidP="00537E23">
      <w:pPr>
        <w:widowControl w:val="0"/>
        <w:ind w:firstLine="3"/>
        <w:rPr>
          <w:color w:val="000000"/>
          <w:sz w:val="22"/>
          <w:szCs w:val="22"/>
        </w:rPr>
      </w:pPr>
      <w:r w:rsidRPr="00B30A12">
        <w:rPr>
          <w:i/>
          <w:color w:val="000000"/>
          <w:sz w:val="22"/>
          <w:szCs w:val="22"/>
        </w:rPr>
        <w:t>In</w:t>
      </w:r>
      <w:r w:rsidR="00AA3F36" w:rsidRPr="00B30A12">
        <w:rPr>
          <w:i/>
          <w:color w:val="000000"/>
          <w:sz w:val="22"/>
          <w:szCs w:val="22"/>
        </w:rPr>
        <w:t>-</w:t>
      </w:r>
      <w:r w:rsidRPr="00B30A12">
        <w:rPr>
          <w:i/>
          <w:color w:val="000000"/>
          <w:sz w:val="22"/>
          <w:szCs w:val="22"/>
        </w:rPr>
        <w:t>vitro</w:t>
      </w:r>
      <w:r w:rsidR="00AA3F36" w:rsidRPr="00B30A12">
        <w:rPr>
          <w:color w:val="000000"/>
          <w:sz w:val="22"/>
          <w:szCs w:val="22"/>
        </w:rPr>
        <w:t>-</w:t>
      </w:r>
      <w:r w:rsidRPr="00B30A12">
        <w:rPr>
          <w:color w:val="000000"/>
          <w:sz w:val="22"/>
          <w:szCs w:val="22"/>
        </w:rPr>
        <w:t>Untersuchungen zeigten, dass CYP3A4 das wesentliche humane P450 Enzym für die Biotrans</w:t>
      </w:r>
      <w:r w:rsidRPr="00B30A12">
        <w:rPr>
          <w:color w:val="000000"/>
          <w:sz w:val="22"/>
          <w:szCs w:val="22"/>
        </w:rPr>
        <w:softHyphen/>
        <w:t>formation von Imatinib darstellt. Aus einer Reihe poten</w:t>
      </w:r>
      <w:r w:rsidR="003F7ABD" w:rsidRPr="00B30A12">
        <w:rPr>
          <w:color w:val="000000"/>
          <w:sz w:val="22"/>
          <w:szCs w:val="22"/>
        </w:rPr>
        <w:t>z</w:t>
      </w:r>
      <w:r w:rsidRPr="00B30A12">
        <w:rPr>
          <w:color w:val="000000"/>
          <w:sz w:val="22"/>
          <w:szCs w:val="22"/>
        </w:rPr>
        <w:t>ieller Begleitmedikationen (Paracetamol, Aci</w:t>
      </w:r>
      <w:r w:rsidRPr="00B30A12">
        <w:rPr>
          <w:color w:val="000000"/>
          <w:sz w:val="22"/>
          <w:szCs w:val="22"/>
        </w:rPr>
        <w:softHyphen/>
        <w:t>clovir, Allopurinol, Amphotericin, Cytarabin, Erythromycin, Fluconazol, Hydroxyharnstoff, Norfloxa</w:t>
      </w:r>
      <w:r w:rsidRPr="00B30A12">
        <w:rPr>
          <w:color w:val="000000"/>
          <w:sz w:val="22"/>
          <w:szCs w:val="22"/>
        </w:rPr>
        <w:softHyphen/>
        <w:t>cin, Penicillin V) zeigten nur Erythromycin (IC</w:t>
      </w:r>
      <w:r w:rsidRPr="00B30A12">
        <w:rPr>
          <w:color w:val="000000"/>
          <w:sz w:val="22"/>
          <w:szCs w:val="22"/>
          <w:vertAlign w:val="subscript"/>
        </w:rPr>
        <w:t>50</w:t>
      </w:r>
      <w:r w:rsidRPr="00B30A12">
        <w:rPr>
          <w:color w:val="000000"/>
          <w:sz w:val="22"/>
          <w:szCs w:val="22"/>
        </w:rPr>
        <w:t xml:space="preserve"> 50</w:t>
      </w:r>
      <w:r w:rsidR="00C80819" w:rsidRPr="00B30A12">
        <w:rPr>
          <w:color w:val="000000"/>
          <w:sz w:val="22"/>
          <w:szCs w:val="22"/>
        </w:rPr>
        <w:t> </w:t>
      </w:r>
      <w:r w:rsidRPr="00B30A12">
        <w:rPr>
          <w:color w:val="000000"/>
          <w:sz w:val="22"/>
          <w:szCs w:val="22"/>
        </w:rPr>
        <w:t>µM) und Fluconazol (IC</w:t>
      </w:r>
      <w:r w:rsidRPr="00B30A12">
        <w:rPr>
          <w:color w:val="000000"/>
          <w:sz w:val="22"/>
          <w:szCs w:val="22"/>
          <w:vertAlign w:val="subscript"/>
        </w:rPr>
        <w:t>50</w:t>
      </w:r>
      <w:r w:rsidRPr="00B30A12">
        <w:rPr>
          <w:color w:val="000000"/>
          <w:sz w:val="22"/>
          <w:szCs w:val="22"/>
        </w:rPr>
        <w:t xml:space="preserve"> 118</w:t>
      </w:r>
      <w:r w:rsidR="00C80819" w:rsidRPr="00B30A12">
        <w:rPr>
          <w:color w:val="000000"/>
          <w:sz w:val="22"/>
          <w:szCs w:val="22"/>
        </w:rPr>
        <w:t> </w:t>
      </w:r>
      <w:r w:rsidRPr="00B30A12">
        <w:rPr>
          <w:color w:val="000000"/>
          <w:sz w:val="22"/>
          <w:szCs w:val="22"/>
        </w:rPr>
        <w:t>µM) eine Hemmung des Imatinibmetabolismus, die möglicherweise klinische Relevanz hat.</w:t>
      </w:r>
    </w:p>
    <w:p w14:paraId="0B7470E6" w14:textId="77777777" w:rsidR="006615F9" w:rsidRPr="00B30A12" w:rsidRDefault="006615F9" w:rsidP="00537E23">
      <w:pPr>
        <w:widowControl w:val="0"/>
        <w:ind w:firstLine="3"/>
        <w:rPr>
          <w:color w:val="000000"/>
          <w:sz w:val="22"/>
          <w:szCs w:val="22"/>
        </w:rPr>
      </w:pPr>
    </w:p>
    <w:p w14:paraId="0D1BDEDB" w14:textId="77777777" w:rsidR="006615F9" w:rsidRPr="00B30A12" w:rsidRDefault="006615F9" w:rsidP="00537E23">
      <w:pPr>
        <w:widowControl w:val="0"/>
        <w:ind w:firstLine="3"/>
        <w:rPr>
          <w:color w:val="000000"/>
          <w:sz w:val="22"/>
          <w:szCs w:val="22"/>
        </w:rPr>
      </w:pPr>
      <w:r w:rsidRPr="00B30A12">
        <w:rPr>
          <w:color w:val="000000"/>
          <w:sz w:val="22"/>
          <w:szCs w:val="22"/>
        </w:rPr>
        <w:t xml:space="preserve">Imatinib erwies sich </w:t>
      </w:r>
      <w:r w:rsidRPr="00B30A12">
        <w:rPr>
          <w:i/>
          <w:color w:val="000000"/>
          <w:sz w:val="22"/>
          <w:szCs w:val="22"/>
        </w:rPr>
        <w:t>in vitro</w:t>
      </w:r>
      <w:r w:rsidRPr="00B30A12">
        <w:rPr>
          <w:color w:val="000000"/>
          <w:sz w:val="22"/>
          <w:szCs w:val="22"/>
        </w:rPr>
        <w:t xml:space="preserve"> als ein kompetitiver Hemmstoff von Markersubstraten für CYP2C9, CYP2D6 und CYP3A4/5. Die K</w:t>
      </w:r>
      <w:r w:rsidRPr="00B30A12">
        <w:rPr>
          <w:color w:val="000000"/>
          <w:sz w:val="22"/>
          <w:szCs w:val="22"/>
          <w:vertAlign w:val="subscript"/>
        </w:rPr>
        <w:t>i</w:t>
      </w:r>
      <w:r w:rsidRPr="00B30A12">
        <w:rPr>
          <w:color w:val="000000"/>
          <w:sz w:val="22"/>
          <w:szCs w:val="22"/>
        </w:rPr>
        <w:t>-Werte in humanen Lebermikrosomen betrugen 27, 7,5 bzw. 7,9 µmol/l. Die maximalen Plasmakonzentrationen von Imatinib lagen bei Patienten zwischen 2 und 4 µmol/l. Von daher ist eine Hemmung des CYP2D6- und/oder CYP3A4/5-vermittelten Metabolismus von gleichzeitig angewendeten Arzneimitteln möglich. Imatinib interferierte nicht mit der Biotransfor</w:t>
      </w:r>
      <w:r w:rsidRPr="00B30A12">
        <w:rPr>
          <w:color w:val="000000"/>
          <w:sz w:val="22"/>
          <w:szCs w:val="22"/>
        </w:rPr>
        <w:softHyphen/>
        <w:t>mation von 5-Fluorouracil, aber es inhibierte auf Grund einer kompetitiven Hemmung von CYP2C8 (K</w:t>
      </w:r>
      <w:r w:rsidRPr="00B30A12">
        <w:rPr>
          <w:color w:val="000000"/>
          <w:sz w:val="22"/>
          <w:szCs w:val="22"/>
          <w:vertAlign w:val="subscript"/>
        </w:rPr>
        <w:t>i</w:t>
      </w:r>
      <w:r w:rsidRPr="00B30A12">
        <w:rPr>
          <w:color w:val="000000"/>
          <w:sz w:val="22"/>
          <w:szCs w:val="22"/>
        </w:rPr>
        <w:t xml:space="preserve"> = 34,7</w:t>
      </w:r>
      <w:r w:rsidR="00C80819" w:rsidRPr="00B30A12">
        <w:rPr>
          <w:color w:val="000000"/>
          <w:sz w:val="22"/>
          <w:szCs w:val="22"/>
        </w:rPr>
        <w:t> </w:t>
      </w:r>
      <w:r w:rsidRPr="00B30A12">
        <w:rPr>
          <w:color w:val="000000"/>
          <w:sz w:val="22"/>
          <w:szCs w:val="22"/>
        </w:rPr>
        <w:t>µM) den Metabolismus von Paclitaxel. Dieser K</w:t>
      </w:r>
      <w:r w:rsidRPr="00B30A12">
        <w:rPr>
          <w:color w:val="000000"/>
          <w:sz w:val="22"/>
          <w:szCs w:val="22"/>
          <w:vertAlign w:val="subscript"/>
        </w:rPr>
        <w:t>i</w:t>
      </w:r>
      <w:r w:rsidRPr="00B30A12">
        <w:rPr>
          <w:color w:val="000000"/>
          <w:sz w:val="22"/>
          <w:szCs w:val="22"/>
        </w:rPr>
        <w:t>-Wert ist weit höher als der erwartete Plasma</w:t>
      </w:r>
      <w:r w:rsidRPr="00B30A12">
        <w:rPr>
          <w:color w:val="000000"/>
          <w:sz w:val="22"/>
          <w:szCs w:val="22"/>
        </w:rPr>
        <w:softHyphen/>
        <w:t>spiegel von Imatinib bei Patienten. Daher ist keine Interaktion bei gleichzeitiger Gabe von entweder 5-Fluorouracil oder Paclitaxel und Imatinib zu erwarten.</w:t>
      </w:r>
    </w:p>
    <w:p w14:paraId="01412CFD" w14:textId="77777777" w:rsidR="006615F9" w:rsidRPr="00B30A12" w:rsidRDefault="006615F9" w:rsidP="00537E23">
      <w:pPr>
        <w:widowControl w:val="0"/>
        <w:ind w:firstLine="3"/>
        <w:rPr>
          <w:color w:val="000000"/>
          <w:sz w:val="22"/>
          <w:szCs w:val="22"/>
        </w:rPr>
      </w:pPr>
    </w:p>
    <w:p w14:paraId="3C678694" w14:textId="77777777" w:rsidR="006615F9" w:rsidRPr="00B30A12" w:rsidRDefault="00EB3FD1" w:rsidP="007A26D7">
      <w:pPr>
        <w:keepNext/>
        <w:widowControl w:val="0"/>
        <w:ind w:firstLine="6"/>
        <w:rPr>
          <w:color w:val="000000"/>
          <w:sz w:val="22"/>
          <w:szCs w:val="22"/>
          <w:u w:val="single"/>
        </w:rPr>
      </w:pPr>
      <w:r w:rsidRPr="00B30A12">
        <w:rPr>
          <w:color w:val="000000"/>
          <w:sz w:val="22"/>
          <w:szCs w:val="22"/>
          <w:u w:val="single"/>
        </w:rPr>
        <w:t>Elimination</w:t>
      </w:r>
    </w:p>
    <w:p w14:paraId="6AA2BD19" w14:textId="77777777" w:rsidR="006615F9" w:rsidRPr="00B30A12" w:rsidRDefault="006615F9" w:rsidP="00537E23">
      <w:pPr>
        <w:widowControl w:val="0"/>
        <w:ind w:firstLine="3"/>
        <w:rPr>
          <w:color w:val="000000"/>
          <w:sz w:val="22"/>
          <w:szCs w:val="22"/>
        </w:rPr>
      </w:pPr>
      <w:r w:rsidRPr="00B30A12">
        <w:rPr>
          <w:color w:val="000000"/>
          <w:sz w:val="22"/>
          <w:szCs w:val="22"/>
        </w:rPr>
        <w:t xml:space="preserve">Basierend auf dem Wiederauffinden von Verbindungen nach einer oralen Gabe von </w:t>
      </w:r>
      <w:r w:rsidRPr="00B30A12">
        <w:rPr>
          <w:color w:val="000000"/>
          <w:sz w:val="22"/>
          <w:szCs w:val="22"/>
          <w:vertAlign w:val="superscript"/>
        </w:rPr>
        <w:t>14</w:t>
      </w:r>
      <w:r w:rsidRPr="00B30A12">
        <w:rPr>
          <w:color w:val="000000"/>
          <w:sz w:val="22"/>
          <w:szCs w:val="22"/>
        </w:rPr>
        <w:t>C-markiertem Imatinib werden etwa 81</w:t>
      </w:r>
      <w:r w:rsidR="006766AC" w:rsidRPr="00B30A12">
        <w:rPr>
          <w:color w:val="000000"/>
          <w:sz w:val="22"/>
          <w:szCs w:val="22"/>
        </w:rPr>
        <w:t>%</w:t>
      </w:r>
      <w:r w:rsidRPr="00B30A12">
        <w:rPr>
          <w:color w:val="000000"/>
          <w:sz w:val="22"/>
          <w:szCs w:val="22"/>
        </w:rPr>
        <w:t xml:space="preserve"> der Dosis innerhalb von 7</w:t>
      </w:r>
      <w:r w:rsidR="00C80819" w:rsidRPr="00B30A12">
        <w:rPr>
          <w:color w:val="000000"/>
          <w:sz w:val="22"/>
          <w:szCs w:val="22"/>
        </w:rPr>
        <w:t> </w:t>
      </w:r>
      <w:r w:rsidRPr="00B30A12">
        <w:rPr>
          <w:color w:val="000000"/>
          <w:sz w:val="22"/>
          <w:szCs w:val="22"/>
        </w:rPr>
        <w:t>Tagen in den Fäzes (68</w:t>
      </w:r>
      <w:r w:rsidR="006766AC" w:rsidRPr="00B30A12">
        <w:rPr>
          <w:color w:val="000000"/>
          <w:sz w:val="22"/>
          <w:szCs w:val="22"/>
        </w:rPr>
        <w:t>%</w:t>
      </w:r>
      <w:r w:rsidRPr="00B30A12">
        <w:rPr>
          <w:color w:val="000000"/>
          <w:sz w:val="22"/>
          <w:szCs w:val="22"/>
        </w:rPr>
        <w:t xml:space="preserve"> der Dosis) und im Urin (13</w:t>
      </w:r>
      <w:r w:rsidR="006766AC" w:rsidRPr="00B30A12">
        <w:rPr>
          <w:color w:val="000000"/>
          <w:sz w:val="22"/>
          <w:szCs w:val="22"/>
        </w:rPr>
        <w:t>%</w:t>
      </w:r>
      <w:r w:rsidRPr="00B30A12">
        <w:rPr>
          <w:color w:val="000000"/>
          <w:sz w:val="22"/>
          <w:szCs w:val="22"/>
        </w:rPr>
        <w:t xml:space="preserve"> der Dosis) wiedergefunden. Unverändert bleiben etwa 25</w:t>
      </w:r>
      <w:r w:rsidR="006766AC" w:rsidRPr="00B30A12">
        <w:rPr>
          <w:color w:val="000000"/>
          <w:sz w:val="22"/>
          <w:szCs w:val="22"/>
        </w:rPr>
        <w:t>%</w:t>
      </w:r>
      <w:r w:rsidRPr="00B30A12">
        <w:rPr>
          <w:color w:val="000000"/>
          <w:sz w:val="22"/>
          <w:szCs w:val="22"/>
        </w:rPr>
        <w:t xml:space="preserve"> der Imatinib-Dosis (5</w:t>
      </w:r>
      <w:r w:rsidR="006766AC" w:rsidRPr="00B30A12">
        <w:rPr>
          <w:color w:val="000000"/>
          <w:sz w:val="22"/>
          <w:szCs w:val="22"/>
        </w:rPr>
        <w:t>%</w:t>
      </w:r>
      <w:r w:rsidRPr="00B30A12">
        <w:rPr>
          <w:color w:val="000000"/>
          <w:sz w:val="22"/>
          <w:szCs w:val="22"/>
        </w:rPr>
        <w:t xml:space="preserve"> im Urin, 20</w:t>
      </w:r>
      <w:r w:rsidR="006766AC" w:rsidRPr="00B30A12">
        <w:rPr>
          <w:color w:val="000000"/>
          <w:sz w:val="22"/>
          <w:szCs w:val="22"/>
        </w:rPr>
        <w:t>%</w:t>
      </w:r>
      <w:r w:rsidRPr="00B30A12">
        <w:rPr>
          <w:color w:val="000000"/>
          <w:sz w:val="22"/>
          <w:szCs w:val="22"/>
        </w:rPr>
        <w:t xml:space="preserve"> in den Fäzes), der Rest sind Metaboliten.</w:t>
      </w:r>
    </w:p>
    <w:p w14:paraId="003D4B84" w14:textId="77777777" w:rsidR="006615F9" w:rsidRPr="00B30A12" w:rsidRDefault="006615F9" w:rsidP="00537E23">
      <w:pPr>
        <w:widowControl w:val="0"/>
        <w:ind w:firstLine="3"/>
        <w:rPr>
          <w:color w:val="000000"/>
          <w:sz w:val="22"/>
          <w:szCs w:val="22"/>
        </w:rPr>
      </w:pPr>
    </w:p>
    <w:p w14:paraId="4A86BBDA" w14:textId="77777777" w:rsidR="006615F9" w:rsidRPr="00B30A12" w:rsidRDefault="006615F9" w:rsidP="007A26D7">
      <w:pPr>
        <w:keepNext/>
        <w:widowControl w:val="0"/>
        <w:ind w:firstLine="6"/>
        <w:rPr>
          <w:color w:val="000000"/>
          <w:sz w:val="22"/>
          <w:szCs w:val="22"/>
          <w:u w:val="single"/>
        </w:rPr>
      </w:pPr>
      <w:r w:rsidRPr="00B30A12">
        <w:rPr>
          <w:color w:val="000000"/>
          <w:sz w:val="22"/>
          <w:szCs w:val="22"/>
          <w:u w:val="single"/>
        </w:rPr>
        <w:t>Plasmapharmakokinetik</w:t>
      </w:r>
    </w:p>
    <w:p w14:paraId="2DE17D2E" w14:textId="77777777" w:rsidR="006615F9" w:rsidRPr="00B30A12" w:rsidRDefault="006615F9" w:rsidP="00537E23">
      <w:pPr>
        <w:widowControl w:val="0"/>
        <w:ind w:firstLine="3"/>
        <w:rPr>
          <w:color w:val="000000"/>
          <w:sz w:val="22"/>
          <w:szCs w:val="22"/>
        </w:rPr>
      </w:pPr>
      <w:r w:rsidRPr="00B30A12">
        <w:rPr>
          <w:color w:val="000000"/>
          <w:sz w:val="22"/>
          <w:szCs w:val="22"/>
        </w:rPr>
        <w:t>Nach oraler Anwendung bei Probanden betrug die Halbwertszeit t</w:t>
      </w:r>
      <w:r w:rsidRPr="00B30A12">
        <w:rPr>
          <w:color w:val="000000"/>
          <w:sz w:val="22"/>
          <w:szCs w:val="22"/>
          <w:vertAlign w:val="subscript"/>
        </w:rPr>
        <w:t>1/2</w:t>
      </w:r>
      <w:r w:rsidRPr="00B30A12">
        <w:rPr>
          <w:color w:val="000000"/>
          <w:sz w:val="22"/>
          <w:szCs w:val="22"/>
        </w:rPr>
        <w:t xml:space="preserve"> etwa 18</w:t>
      </w:r>
      <w:r w:rsidR="00C80819" w:rsidRPr="00B30A12">
        <w:rPr>
          <w:color w:val="000000"/>
          <w:sz w:val="22"/>
          <w:szCs w:val="22"/>
        </w:rPr>
        <w:t> </w:t>
      </w:r>
      <w:r w:rsidRPr="00B30A12">
        <w:rPr>
          <w:color w:val="000000"/>
          <w:sz w:val="22"/>
          <w:szCs w:val="22"/>
        </w:rPr>
        <w:t>Stunden. Dies weist darauf hin, dass eine einmal tägliche Dosierung möglich ist.</w:t>
      </w:r>
      <w:r w:rsidR="00094914" w:rsidRPr="00B30A12">
        <w:rPr>
          <w:color w:val="000000"/>
          <w:sz w:val="22"/>
          <w:szCs w:val="22"/>
        </w:rPr>
        <w:t xml:space="preserve"> </w:t>
      </w:r>
      <w:r w:rsidRPr="00B30A12">
        <w:rPr>
          <w:color w:val="000000"/>
          <w:sz w:val="22"/>
          <w:szCs w:val="22"/>
        </w:rPr>
        <w:t>Die Zunahme der mittleren AUC war im Bereich von 25</w:t>
      </w:r>
      <w:r w:rsidR="00975215" w:rsidRPr="00B30A12">
        <w:rPr>
          <w:color w:val="000000"/>
          <w:sz w:val="22"/>
          <w:szCs w:val="22"/>
        </w:rPr>
        <w:t>–</w:t>
      </w:r>
      <w:r w:rsidRPr="00B30A12">
        <w:rPr>
          <w:color w:val="000000"/>
          <w:sz w:val="22"/>
          <w:szCs w:val="22"/>
        </w:rPr>
        <w:t>1</w:t>
      </w:r>
      <w:r w:rsidR="00BB10C8" w:rsidRPr="00B30A12">
        <w:rPr>
          <w:color w:val="000000"/>
          <w:sz w:val="22"/>
          <w:szCs w:val="22"/>
        </w:rPr>
        <w:t>.</w:t>
      </w:r>
      <w:r w:rsidRPr="00B30A12">
        <w:rPr>
          <w:color w:val="000000"/>
          <w:sz w:val="22"/>
          <w:szCs w:val="22"/>
        </w:rPr>
        <w:t>000</w:t>
      </w:r>
      <w:r w:rsidR="001922B0" w:rsidRPr="00B30A12">
        <w:rPr>
          <w:color w:val="000000"/>
          <w:sz w:val="22"/>
          <w:szCs w:val="22"/>
        </w:rPr>
        <w:t> mg</w:t>
      </w:r>
      <w:r w:rsidRPr="00B30A12">
        <w:rPr>
          <w:color w:val="000000"/>
          <w:sz w:val="22"/>
          <w:szCs w:val="22"/>
        </w:rPr>
        <w:t xml:space="preserve"> Imatinib nach oraler Anwendung linear und dosisproportional. Es gab nach wieder</w:t>
      </w:r>
      <w:r w:rsidRPr="00B30A12">
        <w:rPr>
          <w:color w:val="000000"/>
          <w:sz w:val="22"/>
          <w:szCs w:val="22"/>
        </w:rPr>
        <w:softHyphen/>
        <w:t xml:space="preserve">holter Gabe von Imatinib keine Veränderungen der Kinetik und die Akkumulation betrug nach </w:t>
      </w:r>
      <w:r w:rsidRPr="00B30A12">
        <w:rPr>
          <w:color w:val="000000"/>
          <w:sz w:val="22"/>
          <w:szCs w:val="22"/>
        </w:rPr>
        <w:lastRenderedPageBreak/>
        <w:t>einmal täglicher Anwendung im Gleichgewichtszustand (</w:t>
      </w:r>
      <w:r w:rsidR="003F7ABD" w:rsidRPr="00B30A12">
        <w:rPr>
          <w:color w:val="000000"/>
          <w:sz w:val="22"/>
          <w:szCs w:val="22"/>
        </w:rPr>
        <w:t>S</w:t>
      </w:r>
      <w:r w:rsidRPr="00B30A12">
        <w:rPr>
          <w:color w:val="000000"/>
          <w:sz w:val="22"/>
          <w:szCs w:val="22"/>
        </w:rPr>
        <w:t>teady</w:t>
      </w:r>
      <w:r w:rsidR="003F7ABD" w:rsidRPr="00B30A12">
        <w:rPr>
          <w:color w:val="000000"/>
          <w:sz w:val="22"/>
          <w:szCs w:val="22"/>
        </w:rPr>
        <w:t>-S</w:t>
      </w:r>
      <w:r w:rsidRPr="00B30A12">
        <w:rPr>
          <w:color w:val="000000"/>
          <w:sz w:val="22"/>
          <w:szCs w:val="22"/>
        </w:rPr>
        <w:t>tate) das 1,5–2,5fache.</w:t>
      </w:r>
    </w:p>
    <w:p w14:paraId="3E8C0D8D" w14:textId="77777777" w:rsidR="006615F9" w:rsidRPr="00B30A12" w:rsidRDefault="006615F9" w:rsidP="00537E23">
      <w:pPr>
        <w:widowControl w:val="0"/>
        <w:ind w:firstLine="3"/>
        <w:rPr>
          <w:color w:val="000000"/>
          <w:sz w:val="22"/>
          <w:szCs w:val="22"/>
        </w:rPr>
      </w:pPr>
    </w:p>
    <w:p w14:paraId="1DF0AAC6" w14:textId="77777777" w:rsidR="006615F9" w:rsidRPr="00B30A12" w:rsidRDefault="006615F9" w:rsidP="007A26D7">
      <w:pPr>
        <w:keepNext/>
        <w:widowControl w:val="0"/>
        <w:ind w:firstLine="6"/>
        <w:rPr>
          <w:color w:val="000000"/>
          <w:sz w:val="22"/>
          <w:szCs w:val="22"/>
          <w:u w:val="single"/>
        </w:rPr>
      </w:pPr>
      <w:r w:rsidRPr="00B30A12">
        <w:rPr>
          <w:color w:val="000000"/>
          <w:sz w:val="22"/>
          <w:szCs w:val="22"/>
          <w:u w:val="single"/>
        </w:rPr>
        <w:t>Pharmakokinetik bei GIST-Patienten</w:t>
      </w:r>
    </w:p>
    <w:p w14:paraId="34D42B86" w14:textId="77777777" w:rsidR="006615F9" w:rsidRPr="00B30A12" w:rsidRDefault="006615F9" w:rsidP="00537E23">
      <w:pPr>
        <w:widowControl w:val="0"/>
        <w:ind w:firstLine="3"/>
        <w:rPr>
          <w:color w:val="000000"/>
          <w:sz w:val="22"/>
          <w:szCs w:val="22"/>
        </w:rPr>
      </w:pPr>
      <w:r w:rsidRPr="00B30A12">
        <w:rPr>
          <w:color w:val="000000"/>
          <w:sz w:val="22"/>
          <w:szCs w:val="22"/>
        </w:rPr>
        <w:t xml:space="preserve">Bei GIST-Patienten war die Exposition im </w:t>
      </w:r>
      <w:r w:rsidR="003F7ABD" w:rsidRPr="00B30A12">
        <w:rPr>
          <w:color w:val="000000"/>
          <w:sz w:val="22"/>
          <w:szCs w:val="22"/>
        </w:rPr>
        <w:t>S</w:t>
      </w:r>
      <w:r w:rsidRPr="00B30A12">
        <w:rPr>
          <w:color w:val="000000"/>
          <w:sz w:val="22"/>
          <w:szCs w:val="22"/>
        </w:rPr>
        <w:t>teady-</w:t>
      </w:r>
      <w:r w:rsidR="003F7ABD" w:rsidRPr="00B30A12">
        <w:rPr>
          <w:color w:val="000000"/>
          <w:sz w:val="22"/>
          <w:szCs w:val="22"/>
        </w:rPr>
        <w:t>S</w:t>
      </w:r>
      <w:r w:rsidRPr="00B30A12">
        <w:rPr>
          <w:color w:val="000000"/>
          <w:sz w:val="22"/>
          <w:szCs w:val="22"/>
        </w:rPr>
        <w:t>tate 1,5fach höher als bei CML-Patienten bei gleicher Dosierung (400</w:t>
      </w:r>
      <w:r w:rsidR="001922B0" w:rsidRPr="00B30A12">
        <w:rPr>
          <w:color w:val="000000"/>
          <w:sz w:val="22"/>
          <w:szCs w:val="22"/>
        </w:rPr>
        <w:t> mg</w:t>
      </w:r>
      <w:r w:rsidRPr="00B30A12">
        <w:rPr>
          <w:color w:val="000000"/>
          <w:sz w:val="22"/>
          <w:szCs w:val="22"/>
        </w:rPr>
        <w:t xml:space="preserve"> täglich). Auf der Grundlage vorläufiger populationspharmakokinetischer Un</w:t>
      </w:r>
      <w:r w:rsidRPr="00B30A12">
        <w:rPr>
          <w:color w:val="000000"/>
          <w:sz w:val="22"/>
          <w:szCs w:val="22"/>
        </w:rPr>
        <w:softHyphen/>
        <w:t>tersuchungen bei GIST-Patienten gibt es drei Variable (Albumin, Leukozytenzahl und Bilirubin), die einen statistisch signifikanten Einfluss auf die Pharmakokinetik von Imatinib haben. Niedrige Albumin</w:t>
      </w:r>
      <w:r w:rsidRPr="00B30A12">
        <w:rPr>
          <w:color w:val="000000"/>
          <w:sz w:val="22"/>
          <w:szCs w:val="22"/>
        </w:rPr>
        <w:softHyphen/>
        <w:t>spiegel verursachten ebenso wie höhere Leukozytenzahlen eine verminderte Clearance (CL/f). Diese Auswirkungen sind jedoch nicht ausgeprägt genug, um eine Dosisanpassung zu rechtfertigen. Bei dieser Patientenpopulation können Lebermetastasen möglicherweise zu Leberinsuffizienz und reduzierter Me</w:t>
      </w:r>
      <w:r w:rsidRPr="00B30A12">
        <w:rPr>
          <w:color w:val="000000"/>
          <w:sz w:val="22"/>
          <w:szCs w:val="22"/>
        </w:rPr>
        <w:softHyphen/>
        <w:t>tabolisierung führen.</w:t>
      </w:r>
    </w:p>
    <w:p w14:paraId="4A9672FE" w14:textId="77777777" w:rsidR="006615F9" w:rsidRPr="00B30A12" w:rsidRDefault="006615F9" w:rsidP="00537E23">
      <w:pPr>
        <w:widowControl w:val="0"/>
        <w:ind w:firstLine="3"/>
        <w:rPr>
          <w:color w:val="000000"/>
          <w:sz w:val="22"/>
          <w:szCs w:val="22"/>
        </w:rPr>
      </w:pPr>
    </w:p>
    <w:p w14:paraId="08C666C6" w14:textId="77777777" w:rsidR="006615F9" w:rsidRPr="00B30A12" w:rsidRDefault="006615F9" w:rsidP="007A26D7">
      <w:pPr>
        <w:keepNext/>
        <w:widowControl w:val="0"/>
        <w:ind w:firstLine="6"/>
        <w:rPr>
          <w:color w:val="000000"/>
          <w:sz w:val="22"/>
          <w:szCs w:val="22"/>
          <w:u w:val="single"/>
        </w:rPr>
      </w:pPr>
      <w:r w:rsidRPr="00B30A12">
        <w:rPr>
          <w:color w:val="000000"/>
          <w:sz w:val="22"/>
          <w:szCs w:val="22"/>
          <w:u w:val="single"/>
        </w:rPr>
        <w:t>Populationspharmakokinetik</w:t>
      </w:r>
    </w:p>
    <w:p w14:paraId="3E616E01" w14:textId="77777777" w:rsidR="006615F9" w:rsidRPr="00B30A12" w:rsidRDefault="006615F9" w:rsidP="00537E23">
      <w:pPr>
        <w:widowControl w:val="0"/>
        <w:ind w:firstLine="3"/>
        <w:rPr>
          <w:color w:val="000000"/>
          <w:sz w:val="22"/>
          <w:szCs w:val="22"/>
        </w:rPr>
      </w:pPr>
      <w:r w:rsidRPr="00B30A12">
        <w:rPr>
          <w:color w:val="000000"/>
          <w:sz w:val="22"/>
          <w:szCs w:val="22"/>
        </w:rPr>
        <w:t>Die Analyse der Populationspharmakokinetik bei CML-Patienten ergab einen geringen Einfluss des Al</w:t>
      </w:r>
      <w:r w:rsidRPr="00B30A12">
        <w:rPr>
          <w:color w:val="000000"/>
          <w:sz w:val="22"/>
          <w:szCs w:val="22"/>
        </w:rPr>
        <w:softHyphen/>
        <w:t>ters auf das Verteilungsvolumen (12</w:t>
      </w:r>
      <w:r w:rsidR="006766AC" w:rsidRPr="00B30A12">
        <w:rPr>
          <w:color w:val="000000"/>
          <w:sz w:val="22"/>
          <w:szCs w:val="22"/>
        </w:rPr>
        <w:t>%</w:t>
      </w:r>
      <w:r w:rsidRPr="00B30A12">
        <w:rPr>
          <w:color w:val="000000"/>
          <w:sz w:val="22"/>
          <w:szCs w:val="22"/>
        </w:rPr>
        <w:t xml:space="preserve"> Zunahme bei Patienten &gt;</w:t>
      </w:r>
      <w:r w:rsidR="00975215" w:rsidRPr="00B30A12">
        <w:rPr>
          <w:color w:val="000000"/>
          <w:sz w:val="22"/>
          <w:szCs w:val="22"/>
        </w:rPr>
        <w:t> </w:t>
      </w:r>
      <w:r w:rsidRPr="00B30A12">
        <w:rPr>
          <w:color w:val="000000"/>
          <w:sz w:val="22"/>
          <w:szCs w:val="22"/>
        </w:rPr>
        <w:t>65</w:t>
      </w:r>
      <w:r w:rsidR="00C80819" w:rsidRPr="00B30A12">
        <w:rPr>
          <w:color w:val="000000"/>
          <w:sz w:val="22"/>
          <w:szCs w:val="22"/>
        </w:rPr>
        <w:t> </w:t>
      </w:r>
      <w:r w:rsidRPr="00B30A12">
        <w:rPr>
          <w:color w:val="000000"/>
          <w:sz w:val="22"/>
          <w:szCs w:val="22"/>
        </w:rPr>
        <w:t>Jahre alt). Diese Veränderung scheint klinisch nicht signifikant zu sein. Der Einfluss des Körpergewichts auf die Clearance von Imati</w:t>
      </w:r>
      <w:r w:rsidRPr="00B30A12">
        <w:rPr>
          <w:color w:val="000000"/>
          <w:sz w:val="22"/>
          <w:szCs w:val="22"/>
        </w:rPr>
        <w:softHyphen/>
        <w:t>nib zeigt sich darin, dass bei einem Patienten von 50</w:t>
      </w:r>
      <w:r w:rsidR="001922B0" w:rsidRPr="00B30A12">
        <w:rPr>
          <w:color w:val="000000"/>
          <w:sz w:val="22"/>
          <w:szCs w:val="22"/>
        </w:rPr>
        <w:t> kg</w:t>
      </w:r>
      <w:r w:rsidRPr="00B30A12">
        <w:rPr>
          <w:color w:val="000000"/>
          <w:sz w:val="22"/>
          <w:szCs w:val="22"/>
        </w:rPr>
        <w:t xml:space="preserve"> eine mittlere Clearance von 8,5</w:t>
      </w:r>
      <w:r w:rsidR="00C80819" w:rsidRPr="00B30A12">
        <w:rPr>
          <w:color w:val="000000"/>
          <w:sz w:val="22"/>
          <w:szCs w:val="22"/>
        </w:rPr>
        <w:t> </w:t>
      </w:r>
      <w:r w:rsidRPr="00B30A12">
        <w:rPr>
          <w:color w:val="000000"/>
          <w:sz w:val="22"/>
          <w:szCs w:val="22"/>
        </w:rPr>
        <w:t>l/h erwartet werden kann, während bei einem Patienten von 100</w:t>
      </w:r>
      <w:r w:rsidR="001922B0" w:rsidRPr="00B30A12">
        <w:rPr>
          <w:color w:val="000000"/>
          <w:sz w:val="22"/>
          <w:szCs w:val="22"/>
        </w:rPr>
        <w:t> kg</w:t>
      </w:r>
      <w:r w:rsidRPr="00B30A12">
        <w:rPr>
          <w:color w:val="000000"/>
          <w:sz w:val="22"/>
          <w:szCs w:val="22"/>
        </w:rPr>
        <w:t xml:space="preserve"> die Clearance auf 11,8</w:t>
      </w:r>
      <w:r w:rsidR="00C80819" w:rsidRPr="00B30A12">
        <w:rPr>
          <w:color w:val="000000"/>
          <w:sz w:val="22"/>
          <w:szCs w:val="22"/>
        </w:rPr>
        <w:t> </w:t>
      </w:r>
      <w:r w:rsidRPr="00B30A12">
        <w:rPr>
          <w:color w:val="000000"/>
          <w:sz w:val="22"/>
          <w:szCs w:val="22"/>
        </w:rPr>
        <w:t>l/h ansteigt. Diese Verän</w:t>
      </w:r>
      <w:r w:rsidRPr="00B30A12">
        <w:rPr>
          <w:color w:val="000000"/>
          <w:sz w:val="22"/>
          <w:szCs w:val="22"/>
        </w:rPr>
        <w:softHyphen/>
        <w:t>derungen begründen keine Dosisanpassung nach kg Körpergewicht. Es gibt keinen geschlechtspezifi</w:t>
      </w:r>
      <w:r w:rsidRPr="00B30A12">
        <w:rPr>
          <w:color w:val="000000"/>
          <w:sz w:val="22"/>
          <w:szCs w:val="22"/>
        </w:rPr>
        <w:softHyphen/>
        <w:t>schen Einfluss auf die Kinetik von Imatinib.</w:t>
      </w:r>
    </w:p>
    <w:p w14:paraId="3AC5FF6B" w14:textId="77777777" w:rsidR="006615F9" w:rsidRPr="00B30A12" w:rsidRDefault="006615F9" w:rsidP="00537E23">
      <w:pPr>
        <w:widowControl w:val="0"/>
        <w:ind w:firstLine="3"/>
        <w:rPr>
          <w:color w:val="000000"/>
          <w:sz w:val="22"/>
          <w:szCs w:val="22"/>
        </w:rPr>
      </w:pPr>
    </w:p>
    <w:p w14:paraId="58E48AA7" w14:textId="77777777" w:rsidR="006615F9" w:rsidRPr="00B30A12" w:rsidRDefault="006615F9" w:rsidP="007A26D7">
      <w:pPr>
        <w:keepNext/>
        <w:widowControl w:val="0"/>
        <w:ind w:firstLine="6"/>
        <w:rPr>
          <w:color w:val="000000"/>
          <w:sz w:val="22"/>
          <w:szCs w:val="22"/>
          <w:u w:val="single"/>
        </w:rPr>
      </w:pPr>
      <w:r w:rsidRPr="00B30A12">
        <w:rPr>
          <w:color w:val="000000"/>
          <w:sz w:val="22"/>
          <w:szCs w:val="22"/>
          <w:u w:val="single"/>
        </w:rPr>
        <w:t>Pharmakokinetik bei Kindern</w:t>
      </w:r>
    </w:p>
    <w:p w14:paraId="52A82041" w14:textId="77777777" w:rsidR="006615F9" w:rsidRPr="00B30A12" w:rsidRDefault="006615F9" w:rsidP="00537E23">
      <w:pPr>
        <w:widowControl w:val="0"/>
        <w:ind w:firstLine="3"/>
        <w:rPr>
          <w:color w:val="000000"/>
          <w:sz w:val="22"/>
          <w:szCs w:val="22"/>
        </w:rPr>
      </w:pPr>
      <w:r w:rsidRPr="00B30A12">
        <w:rPr>
          <w:color w:val="000000"/>
          <w:sz w:val="22"/>
          <w:szCs w:val="22"/>
        </w:rPr>
        <w:t>Wie bei erwachsenen Patienten wurde Imatinib</w:t>
      </w:r>
      <w:r w:rsidR="00514DA3" w:rsidRPr="00B30A12">
        <w:rPr>
          <w:color w:val="000000"/>
          <w:sz w:val="22"/>
          <w:szCs w:val="22"/>
        </w:rPr>
        <w:t xml:space="preserve"> sowohl</w:t>
      </w:r>
      <w:r w:rsidRPr="00B30A12">
        <w:rPr>
          <w:color w:val="000000"/>
          <w:sz w:val="22"/>
          <w:szCs w:val="22"/>
        </w:rPr>
        <w:t xml:space="preserve"> in Phase</w:t>
      </w:r>
      <w:r w:rsidR="00E16221" w:rsidRPr="00B30A12">
        <w:rPr>
          <w:color w:val="000000"/>
          <w:sz w:val="22"/>
          <w:szCs w:val="22"/>
        </w:rPr>
        <w:t>-</w:t>
      </w:r>
      <w:r w:rsidRPr="00B30A12">
        <w:rPr>
          <w:color w:val="000000"/>
          <w:sz w:val="22"/>
          <w:szCs w:val="22"/>
        </w:rPr>
        <w:t>I-</w:t>
      </w:r>
      <w:r w:rsidR="00514DA3" w:rsidRPr="00B30A12">
        <w:rPr>
          <w:color w:val="000000"/>
          <w:sz w:val="22"/>
          <w:szCs w:val="22"/>
        </w:rPr>
        <w:t xml:space="preserve"> als auch in Phase</w:t>
      </w:r>
      <w:r w:rsidR="00E16221" w:rsidRPr="00B30A12">
        <w:rPr>
          <w:color w:val="000000"/>
          <w:sz w:val="22"/>
          <w:szCs w:val="22"/>
        </w:rPr>
        <w:t>-</w:t>
      </w:r>
      <w:r w:rsidR="00514DA3" w:rsidRPr="00B30A12">
        <w:rPr>
          <w:color w:val="000000"/>
          <w:sz w:val="22"/>
          <w:szCs w:val="22"/>
        </w:rPr>
        <w:t>II-</w:t>
      </w:r>
      <w:r w:rsidRPr="00B30A12">
        <w:rPr>
          <w:color w:val="000000"/>
          <w:sz w:val="22"/>
          <w:szCs w:val="22"/>
        </w:rPr>
        <w:t>Studie</w:t>
      </w:r>
      <w:r w:rsidR="00514DA3" w:rsidRPr="00B30A12">
        <w:rPr>
          <w:color w:val="000000"/>
          <w:sz w:val="22"/>
          <w:szCs w:val="22"/>
        </w:rPr>
        <w:t>n</w:t>
      </w:r>
      <w:r w:rsidRPr="00B30A12">
        <w:rPr>
          <w:color w:val="000000"/>
          <w:sz w:val="22"/>
          <w:szCs w:val="22"/>
        </w:rPr>
        <w:t xml:space="preserve"> bei Kindern nach oraler Gabe schnell absorbiert. Bei den Kindern führten Dosierungen von 260 bzw. 340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zu einer vergleichbaren Exposi</w:t>
      </w:r>
      <w:r w:rsidRPr="00B30A12">
        <w:rPr>
          <w:color w:val="000000"/>
          <w:sz w:val="22"/>
          <w:szCs w:val="22"/>
        </w:rPr>
        <w:softHyphen/>
        <w:t>tion wie Dosen von 400</w:t>
      </w:r>
      <w:r w:rsidR="001922B0" w:rsidRPr="00B30A12">
        <w:rPr>
          <w:color w:val="000000"/>
          <w:sz w:val="22"/>
          <w:szCs w:val="22"/>
        </w:rPr>
        <w:t> mg</w:t>
      </w:r>
      <w:r w:rsidRPr="00B30A12">
        <w:rPr>
          <w:color w:val="000000"/>
          <w:sz w:val="22"/>
          <w:szCs w:val="22"/>
        </w:rPr>
        <w:t xml:space="preserve"> bzw. 600</w:t>
      </w:r>
      <w:r w:rsidR="001922B0" w:rsidRPr="00B30A12">
        <w:rPr>
          <w:color w:val="000000"/>
          <w:sz w:val="22"/>
          <w:szCs w:val="22"/>
        </w:rPr>
        <w:t> mg</w:t>
      </w:r>
      <w:r w:rsidRPr="00B30A12">
        <w:rPr>
          <w:color w:val="000000"/>
          <w:sz w:val="22"/>
          <w:szCs w:val="22"/>
        </w:rPr>
        <w:t xml:space="preserve"> bei Erwachsenen. Der Vergleich zwischen der AUC</w:t>
      </w:r>
      <w:r w:rsidRPr="00B30A12">
        <w:rPr>
          <w:color w:val="000000"/>
          <w:sz w:val="22"/>
          <w:szCs w:val="22"/>
          <w:vertAlign w:val="subscript"/>
        </w:rPr>
        <w:t>(0-24)</w:t>
      </w:r>
      <w:r w:rsidRPr="00B30A12">
        <w:rPr>
          <w:color w:val="000000"/>
          <w:sz w:val="22"/>
          <w:szCs w:val="22"/>
        </w:rPr>
        <w:t xml:space="preserve"> am Tag</w:t>
      </w:r>
      <w:r w:rsidR="00C80819" w:rsidRPr="00B30A12">
        <w:rPr>
          <w:color w:val="000000"/>
          <w:sz w:val="22"/>
          <w:szCs w:val="22"/>
        </w:rPr>
        <w:t> </w:t>
      </w:r>
      <w:r w:rsidRPr="00B30A12">
        <w:rPr>
          <w:color w:val="000000"/>
          <w:sz w:val="22"/>
          <w:szCs w:val="22"/>
        </w:rPr>
        <w:t>8 und am Tag</w:t>
      </w:r>
      <w:r w:rsidR="00C80819" w:rsidRPr="00B30A12">
        <w:rPr>
          <w:color w:val="000000"/>
          <w:sz w:val="22"/>
          <w:szCs w:val="22"/>
        </w:rPr>
        <w:t> </w:t>
      </w:r>
      <w:r w:rsidRPr="00B30A12">
        <w:rPr>
          <w:color w:val="000000"/>
          <w:sz w:val="22"/>
          <w:szCs w:val="22"/>
        </w:rPr>
        <w:t>1 bei einer Dosierung von 340</w:t>
      </w:r>
      <w:r w:rsidR="001922B0" w:rsidRPr="00B30A12">
        <w:rPr>
          <w:color w:val="000000"/>
          <w:sz w:val="22"/>
          <w:szCs w:val="22"/>
        </w:rPr>
        <w:t> mg</w:t>
      </w:r>
      <w:r w:rsidRPr="00B30A12">
        <w:rPr>
          <w:color w:val="000000"/>
          <w:sz w:val="22"/>
          <w:szCs w:val="22"/>
        </w:rPr>
        <w:t>/m</w:t>
      </w:r>
      <w:r w:rsidRPr="00B30A12">
        <w:rPr>
          <w:color w:val="000000"/>
          <w:sz w:val="22"/>
          <w:szCs w:val="22"/>
          <w:vertAlign w:val="superscript"/>
        </w:rPr>
        <w:t>2</w:t>
      </w:r>
      <w:r w:rsidRPr="00B30A12">
        <w:rPr>
          <w:color w:val="000000"/>
          <w:sz w:val="22"/>
          <w:szCs w:val="22"/>
        </w:rPr>
        <w:t>/Tag resultierte in einer 1,7fachen Akkumula</w:t>
      </w:r>
      <w:r w:rsidRPr="00B30A12">
        <w:rPr>
          <w:color w:val="000000"/>
          <w:sz w:val="22"/>
          <w:szCs w:val="22"/>
        </w:rPr>
        <w:softHyphen/>
        <w:t>tion bei wiederholter einmal täglicher Dosierung.</w:t>
      </w:r>
    </w:p>
    <w:p w14:paraId="16EA338F" w14:textId="77777777" w:rsidR="00E26D14" w:rsidRPr="00B30A12" w:rsidRDefault="00E26D14" w:rsidP="00537E23">
      <w:pPr>
        <w:widowControl w:val="0"/>
        <w:ind w:firstLine="3"/>
        <w:rPr>
          <w:color w:val="000000"/>
          <w:sz w:val="22"/>
          <w:szCs w:val="22"/>
        </w:rPr>
      </w:pPr>
    </w:p>
    <w:p w14:paraId="31C8B58A" w14:textId="77777777" w:rsidR="00E26D14" w:rsidRPr="00B30A12" w:rsidRDefault="00E26D14" w:rsidP="00537E23">
      <w:pPr>
        <w:widowControl w:val="0"/>
        <w:ind w:firstLine="3"/>
        <w:rPr>
          <w:color w:val="000000"/>
          <w:sz w:val="22"/>
          <w:szCs w:val="22"/>
        </w:rPr>
      </w:pPr>
      <w:r w:rsidRPr="00B30A12">
        <w:rPr>
          <w:color w:val="000000"/>
          <w:sz w:val="22"/>
          <w:szCs w:val="22"/>
        </w:rPr>
        <w:t xml:space="preserve">Basierend auf </w:t>
      </w:r>
      <w:r w:rsidR="009D28F7" w:rsidRPr="00B30A12">
        <w:rPr>
          <w:color w:val="000000"/>
          <w:sz w:val="22"/>
          <w:szCs w:val="22"/>
        </w:rPr>
        <w:t xml:space="preserve">der </w:t>
      </w:r>
      <w:r w:rsidR="008067E5" w:rsidRPr="00B30A12">
        <w:rPr>
          <w:color w:val="000000"/>
          <w:sz w:val="22"/>
          <w:szCs w:val="22"/>
        </w:rPr>
        <w:t>gepoolten Analyse</w:t>
      </w:r>
      <w:r w:rsidR="009D28F7" w:rsidRPr="00B30A12">
        <w:rPr>
          <w:color w:val="000000"/>
          <w:sz w:val="22"/>
          <w:szCs w:val="22"/>
        </w:rPr>
        <w:t xml:space="preserve"> der Populationspharmakokinetik</w:t>
      </w:r>
      <w:r w:rsidR="006703D7" w:rsidRPr="00B30A12">
        <w:rPr>
          <w:color w:val="000000"/>
          <w:sz w:val="22"/>
          <w:szCs w:val="22"/>
        </w:rPr>
        <w:t xml:space="preserve"> bei pädiatrischen Patienten mit hämatologischen </w:t>
      </w:r>
      <w:r w:rsidR="00201432" w:rsidRPr="00B30A12">
        <w:rPr>
          <w:color w:val="000000"/>
          <w:sz w:val="22"/>
          <w:szCs w:val="22"/>
        </w:rPr>
        <w:t>Erkrankungen</w:t>
      </w:r>
      <w:r w:rsidR="006703D7" w:rsidRPr="00B30A12">
        <w:rPr>
          <w:color w:val="000000"/>
          <w:sz w:val="22"/>
          <w:szCs w:val="22"/>
        </w:rPr>
        <w:t xml:space="preserve"> (CML, Ph+ ALL oder andere hämatologische </w:t>
      </w:r>
      <w:r w:rsidR="00201432" w:rsidRPr="00B30A12">
        <w:rPr>
          <w:color w:val="000000"/>
          <w:sz w:val="22"/>
          <w:szCs w:val="22"/>
        </w:rPr>
        <w:t>Erkrankungen</w:t>
      </w:r>
      <w:r w:rsidR="006703D7" w:rsidRPr="00B30A12">
        <w:rPr>
          <w:color w:val="000000"/>
          <w:sz w:val="22"/>
          <w:szCs w:val="22"/>
        </w:rPr>
        <w:t>, die</w:t>
      </w:r>
      <w:r w:rsidR="009D28F7" w:rsidRPr="00B30A12">
        <w:rPr>
          <w:color w:val="000000"/>
          <w:sz w:val="22"/>
          <w:szCs w:val="22"/>
        </w:rPr>
        <w:t xml:space="preserve"> mit Imatinib behandelt werden)</w:t>
      </w:r>
      <w:r w:rsidR="006703D7" w:rsidRPr="00B30A12">
        <w:rPr>
          <w:color w:val="000000"/>
          <w:sz w:val="22"/>
          <w:szCs w:val="22"/>
        </w:rPr>
        <w:t xml:space="preserve"> </w:t>
      </w:r>
      <w:r w:rsidR="009D28F7" w:rsidRPr="00B30A12">
        <w:rPr>
          <w:color w:val="000000"/>
          <w:sz w:val="22"/>
          <w:szCs w:val="22"/>
        </w:rPr>
        <w:t>steigt die C</w:t>
      </w:r>
      <w:r w:rsidR="006703D7" w:rsidRPr="00B30A12">
        <w:rPr>
          <w:color w:val="000000"/>
          <w:sz w:val="22"/>
          <w:szCs w:val="22"/>
        </w:rPr>
        <w:t>learance von Imatinib</w:t>
      </w:r>
      <w:r w:rsidR="008067E5" w:rsidRPr="00B30A12">
        <w:rPr>
          <w:color w:val="000000"/>
          <w:sz w:val="22"/>
          <w:szCs w:val="22"/>
        </w:rPr>
        <w:t xml:space="preserve"> </w:t>
      </w:r>
      <w:r w:rsidR="006703D7" w:rsidRPr="00B30A12">
        <w:rPr>
          <w:color w:val="000000"/>
          <w:sz w:val="22"/>
          <w:szCs w:val="22"/>
        </w:rPr>
        <w:t xml:space="preserve">mit </w:t>
      </w:r>
      <w:r w:rsidR="009D28F7" w:rsidRPr="00B30A12">
        <w:rPr>
          <w:color w:val="000000"/>
          <w:sz w:val="22"/>
          <w:szCs w:val="22"/>
        </w:rPr>
        <w:t>zunehmender</w:t>
      </w:r>
      <w:r w:rsidR="008338D9" w:rsidRPr="00B30A12">
        <w:rPr>
          <w:color w:val="000000"/>
          <w:sz w:val="22"/>
          <w:szCs w:val="22"/>
        </w:rPr>
        <w:t xml:space="preserve"> Körperoberfläche (BSA)</w:t>
      </w:r>
      <w:r w:rsidR="006703D7" w:rsidRPr="00B30A12">
        <w:rPr>
          <w:color w:val="000000"/>
          <w:sz w:val="22"/>
          <w:szCs w:val="22"/>
        </w:rPr>
        <w:t xml:space="preserve">. </w:t>
      </w:r>
      <w:r w:rsidR="008067E5" w:rsidRPr="00B30A12">
        <w:rPr>
          <w:color w:val="000000"/>
          <w:sz w:val="22"/>
          <w:szCs w:val="22"/>
        </w:rPr>
        <w:t>Nach der Korrektur des BSA-Effekts haben an</w:t>
      </w:r>
      <w:r w:rsidR="009D28F7" w:rsidRPr="00B30A12">
        <w:rPr>
          <w:color w:val="000000"/>
          <w:sz w:val="22"/>
          <w:szCs w:val="22"/>
        </w:rPr>
        <w:t>dere demographische Faktoren</w:t>
      </w:r>
      <w:r w:rsidR="00204C6B" w:rsidRPr="00B30A12">
        <w:rPr>
          <w:color w:val="000000"/>
          <w:sz w:val="22"/>
          <w:szCs w:val="22"/>
        </w:rPr>
        <w:t xml:space="preserve"> </w:t>
      </w:r>
      <w:r w:rsidR="006703D7" w:rsidRPr="00B30A12">
        <w:rPr>
          <w:color w:val="000000"/>
          <w:sz w:val="22"/>
          <w:szCs w:val="22"/>
        </w:rPr>
        <w:t>wie Alter, Körpergewicht und Body-Mass-Index</w:t>
      </w:r>
      <w:r w:rsidR="008067E5" w:rsidRPr="00B30A12">
        <w:rPr>
          <w:color w:val="000000"/>
          <w:sz w:val="22"/>
          <w:szCs w:val="22"/>
        </w:rPr>
        <w:t xml:space="preserve"> </w:t>
      </w:r>
      <w:r w:rsidR="006703D7" w:rsidRPr="00B30A12">
        <w:rPr>
          <w:color w:val="000000"/>
          <w:sz w:val="22"/>
          <w:szCs w:val="22"/>
        </w:rPr>
        <w:t>keine klinisch signif</w:t>
      </w:r>
      <w:r w:rsidR="00204C6B" w:rsidRPr="00B30A12">
        <w:rPr>
          <w:color w:val="000000"/>
          <w:sz w:val="22"/>
          <w:szCs w:val="22"/>
        </w:rPr>
        <w:t>i</w:t>
      </w:r>
      <w:r w:rsidR="006703D7" w:rsidRPr="00B30A12">
        <w:rPr>
          <w:color w:val="000000"/>
          <w:sz w:val="22"/>
          <w:szCs w:val="22"/>
        </w:rPr>
        <w:t>ka</w:t>
      </w:r>
      <w:r w:rsidR="00204C6B" w:rsidRPr="00B30A12">
        <w:rPr>
          <w:color w:val="000000"/>
          <w:sz w:val="22"/>
          <w:szCs w:val="22"/>
        </w:rPr>
        <w:t>n</w:t>
      </w:r>
      <w:r w:rsidR="006703D7" w:rsidRPr="00B30A12">
        <w:rPr>
          <w:color w:val="000000"/>
          <w:sz w:val="22"/>
          <w:szCs w:val="22"/>
        </w:rPr>
        <w:t xml:space="preserve">ten </w:t>
      </w:r>
      <w:r w:rsidR="008067E5" w:rsidRPr="00B30A12">
        <w:rPr>
          <w:color w:val="000000"/>
          <w:sz w:val="22"/>
          <w:szCs w:val="22"/>
        </w:rPr>
        <w:t>Auswirkungen</w:t>
      </w:r>
      <w:r w:rsidR="006703D7" w:rsidRPr="00B30A12">
        <w:rPr>
          <w:color w:val="000000"/>
          <w:sz w:val="22"/>
          <w:szCs w:val="22"/>
        </w:rPr>
        <w:t xml:space="preserve"> auf die </w:t>
      </w:r>
      <w:r w:rsidR="008067E5" w:rsidRPr="00B30A12">
        <w:rPr>
          <w:color w:val="000000"/>
          <w:sz w:val="22"/>
          <w:szCs w:val="22"/>
        </w:rPr>
        <w:t xml:space="preserve">Exposition </w:t>
      </w:r>
      <w:r w:rsidR="009D28F7" w:rsidRPr="00B30A12">
        <w:rPr>
          <w:color w:val="000000"/>
          <w:sz w:val="22"/>
          <w:szCs w:val="22"/>
        </w:rPr>
        <w:t>von</w:t>
      </w:r>
      <w:r w:rsidR="006703D7" w:rsidRPr="00B30A12">
        <w:rPr>
          <w:color w:val="000000"/>
          <w:sz w:val="22"/>
          <w:szCs w:val="22"/>
        </w:rPr>
        <w:t xml:space="preserve"> Imatinib. Die Analyse bestätigt</w:t>
      </w:r>
      <w:r w:rsidR="009D28F7" w:rsidRPr="00B30A12">
        <w:rPr>
          <w:color w:val="000000"/>
          <w:sz w:val="22"/>
          <w:szCs w:val="22"/>
        </w:rPr>
        <w:t>e</w:t>
      </w:r>
      <w:r w:rsidR="006703D7" w:rsidRPr="00B30A12">
        <w:rPr>
          <w:color w:val="000000"/>
          <w:sz w:val="22"/>
          <w:szCs w:val="22"/>
        </w:rPr>
        <w:t xml:space="preserve">, dass die </w:t>
      </w:r>
      <w:r w:rsidR="008067E5" w:rsidRPr="00B30A12">
        <w:rPr>
          <w:color w:val="000000"/>
          <w:sz w:val="22"/>
          <w:szCs w:val="22"/>
        </w:rPr>
        <w:t>Exposition</w:t>
      </w:r>
      <w:r w:rsidR="006703D7" w:rsidRPr="00B30A12">
        <w:rPr>
          <w:color w:val="000000"/>
          <w:sz w:val="22"/>
          <w:szCs w:val="22"/>
        </w:rPr>
        <w:t xml:space="preserve"> </w:t>
      </w:r>
      <w:r w:rsidR="009D28F7" w:rsidRPr="00B30A12">
        <w:rPr>
          <w:color w:val="000000"/>
          <w:sz w:val="22"/>
          <w:szCs w:val="22"/>
        </w:rPr>
        <w:t>von</w:t>
      </w:r>
      <w:r w:rsidR="006703D7" w:rsidRPr="00B30A12">
        <w:rPr>
          <w:color w:val="000000"/>
          <w:sz w:val="22"/>
          <w:szCs w:val="22"/>
        </w:rPr>
        <w:t xml:space="preserve"> Imatin</w:t>
      </w:r>
      <w:r w:rsidR="00B41527" w:rsidRPr="00B30A12">
        <w:rPr>
          <w:color w:val="000000"/>
          <w:sz w:val="22"/>
          <w:szCs w:val="22"/>
        </w:rPr>
        <w:t xml:space="preserve">ib bei </w:t>
      </w:r>
      <w:r w:rsidR="009D28F7" w:rsidRPr="00B30A12">
        <w:rPr>
          <w:color w:val="000000"/>
          <w:sz w:val="22"/>
          <w:szCs w:val="22"/>
        </w:rPr>
        <w:t>pädiatrischen Patienten</w:t>
      </w:r>
      <w:r w:rsidR="006703D7" w:rsidRPr="00B30A12">
        <w:rPr>
          <w:color w:val="000000"/>
          <w:sz w:val="22"/>
          <w:szCs w:val="22"/>
        </w:rPr>
        <w:t xml:space="preserve">, die einmal täglich 260 mg/m² </w:t>
      </w:r>
      <w:r w:rsidR="00B41527" w:rsidRPr="00B30A12">
        <w:rPr>
          <w:color w:val="000000"/>
          <w:sz w:val="22"/>
          <w:szCs w:val="22"/>
        </w:rPr>
        <w:t xml:space="preserve">(täglich nicht mehr als 400 mg) </w:t>
      </w:r>
      <w:r w:rsidR="006703D7" w:rsidRPr="00B30A12">
        <w:rPr>
          <w:color w:val="000000"/>
          <w:sz w:val="22"/>
          <w:szCs w:val="22"/>
        </w:rPr>
        <w:t>oder einmal täglich 340 mg/m²</w:t>
      </w:r>
      <w:r w:rsidR="00B41527" w:rsidRPr="00B30A12">
        <w:rPr>
          <w:color w:val="000000"/>
          <w:sz w:val="22"/>
          <w:szCs w:val="22"/>
        </w:rPr>
        <w:t xml:space="preserve"> (täglich nicht mehr als 600 mg)</w:t>
      </w:r>
      <w:r w:rsidR="006703D7" w:rsidRPr="00B30A12">
        <w:rPr>
          <w:color w:val="000000"/>
          <w:sz w:val="22"/>
          <w:szCs w:val="22"/>
        </w:rPr>
        <w:t xml:space="preserve"> erh</w:t>
      </w:r>
      <w:r w:rsidR="008067E5" w:rsidRPr="00B30A12">
        <w:rPr>
          <w:color w:val="000000"/>
          <w:sz w:val="22"/>
          <w:szCs w:val="22"/>
        </w:rPr>
        <w:t>ie</w:t>
      </w:r>
      <w:r w:rsidR="006703D7" w:rsidRPr="00B30A12">
        <w:rPr>
          <w:color w:val="000000"/>
          <w:sz w:val="22"/>
          <w:szCs w:val="22"/>
        </w:rPr>
        <w:t>lten, vergleichbar</w:t>
      </w:r>
      <w:r w:rsidR="00204C6B" w:rsidRPr="00B30A12">
        <w:rPr>
          <w:color w:val="000000"/>
          <w:sz w:val="22"/>
          <w:szCs w:val="22"/>
        </w:rPr>
        <w:t xml:space="preserve"> </w:t>
      </w:r>
      <w:r w:rsidR="008067E5" w:rsidRPr="00B30A12">
        <w:rPr>
          <w:color w:val="000000"/>
          <w:sz w:val="22"/>
          <w:szCs w:val="22"/>
        </w:rPr>
        <w:t>war</w:t>
      </w:r>
      <w:r w:rsidR="006703D7" w:rsidRPr="00B30A12">
        <w:rPr>
          <w:color w:val="000000"/>
          <w:sz w:val="22"/>
          <w:szCs w:val="22"/>
        </w:rPr>
        <w:t xml:space="preserve"> </w:t>
      </w:r>
      <w:r w:rsidR="008067E5" w:rsidRPr="00B30A12">
        <w:rPr>
          <w:color w:val="000000"/>
          <w:sz w:val="22"/>
          <w:szCs w:val="22"/>
        </w:rPr>
        <w:t>mit</w:t>
      </w:r>
      <w:r w:rsidR="006703D7" w:rsidRPr="00B30A12">
        <w:rPr>
          <w:color w:val="000000"/>
          <w:sz w:val="22"/>
          <w:szCs w:val="22"/>
        </w:rPr>
        <w:t xml:space="preserve"> der von erwachsenen Patienten, die einmal täglich 400 mg oder 600</w:t>
      </w:r>
      <w:r w:rsidR="00204C6B" w:rsidRPr="00B30A12">
        <w:rPr>
          <w:color w:val="000000"/>
          <w:sz w:val="22"/>
          <w:szCs w:val="22"/>
        </w:rPr>
        <w:t> mg Imatinib erhielten</w:t>
      </w:r>
      <w:r w:rsidR="006703D7" w:rsidRPr="00B30A12">
        <w:rPr>
          <w:color w:val="000000"/>
          <w:sz w:val="22"/>
          <w:szCs w:val="22"/>
        </w:rPr>
        <w:t>.</w:t>
      </w:r>
    </w:p>
    <w:p w14:paraId="7BE938A2" w14:textId="77777777" w:rsidR="006615F9" w:rsidRPr="00B30A12" w:rsidRDefault="006615F9" w:rsidP="00537E23">
      <w:pPr>
        <w:widowControl w:val="0"/>
        <w:ind w:firstLine="3"/>
        <w:rPr>
          <w:color w:val="000000"/>
          <w:sz w:val="22"/>
          <w:szCs w:val="22"/>
        </w:rPr>
      </w:pPr>
    </w:p>
    <w:p w14:paraId="3D2EA653" w14:textId="77777777" w:rsidR="006615F9" w:rsidRPr="00B30A12" w:rsidRDefault="006615F9" w:rsidP="007A26D7">
      <w:pPr>
        <w:keepNext/>
        <w:widowControl w:val="0"/>
        <w:ind w:firstLine="6"/>
        <w:rPr>
          <w:color w:val="000000"/>
          <w:sz w:val="22"/>
          <w:szCs w:val="22"/>
          <w:u w:val="single"/>
        </w:rPr>
      </w:pPr>
      <w:r w:rsidRPr="00B30A12">
        <w:rPr>
          <w:color w:val="000000"/>
          <w:sz w:val="22"/>
          <w:szCs w:val="22"/>
          <w:u w:val="single"/>
        </w:rPr>
        <w:t>Beeinträchtigung der Organfunktionen</w:t>
      </w:r>
    </w:p>
    <w:p w14:paraId="41AF8137" w14:textId="77777777" w:rsidR="00FA3AE5" w:rsidRPr="00B30A12" w:rsidRDefault="006615F9" w:rsidP="00537E23">
      <w:pPr>
        <w:widowControl w:val="0"/>
        <w:ind w:firstLine="3"/>
        <w:rPr>
          <w:color w:val="000000"/>
          <w:sz w:val="22"/>
          <w:szCs w:val="22"/>
        </w:rPr>
      </w:pPr>
      <w:r w:rsidRPr="00B30A12">
        <w:rPr>
          <w:color w:val="000000"/>
          <w:sz w:val="22"/>
          <w:szCs w:val="22"/>
        </w:rPr>
        <w:t xml:space="preserve">Imatinib und seine Metaboliten werden nicht in bedeutendem Ausmaß durch die Nieren ausgeschieden. </w:t>
      </w:r>
      <w:r w:rsidR="00FA3AE5" w:rsidRPr="00B30A12">
        <w:rPr>
          <w:color w:val="000000"/>
          <w:sz w:val="22"/>
          <w:szCs w:val="22"/>
        </w:rPr>
        <w:t>Patienten mit leichter und mäßiger Niereninsuffizienz scheinen eine höhere Plasmaexposition zu haben als Patienten mit normaler Nierenfunktion. Der Anstieg ist etwa 1,5- bis 2-fach, entsprechend einem 1,5-fachen Anstieg von AGP im Plasma, an das Imatinib stark bindet. Die Clearance von ungebundenem Imatinib ist wahrscheinlich vergleichbar zwischen Patienten mit Niereninsuffizienz und Patienten mit normaler Nierenfunktion, da die renale Ausscheidung nur einen unbedeutenden Eliminationsweg für Imatinib darstellt (siehe Abschnitte 4.2 und 4.4)</w:t>
      </w:r>
      <w:r w:rsidR="007D3C54" w:rsidRPr="00B30A12">
        <w:rPr>
          <w:color w:val="000000"/>
          <w:sz w:val="22"/>
          <w:szCs w:val="22"/>
        </w:rPr>
        <w:t>.</w:t>
      </w:r>
    </w:p>
    <w:p w14:paraId="04FCE444" w14:textId="77777777" w:rsidR="00FA3AE5" w:rsidRPr="00B30A12" w:rsidRDefault="00FA3AE5" w:rsidP="00537E23">
      <w:pPr>
        <w:widowControl w:val="0"/>
        <w:ind w:firstLine="3"/>
        <w:rPr>
          <w:color w:val="000000"/>
          <w:sz w:val="22"/>
          <w:szCs w:val="22"/>
        </w:rPr>
      </w:pPr>
    </w:p>
    <w:p w14:paraId="74CDAA8A" w14:textId="77777777" w:rsidR="006615F9" w:rsidRPr="00B30A12" w:rsidRDefault="00AB281D" w:rsidP="00537E23">
      <w:pPr>
        <w:widowControl w:val="0"/>
        <w:ind w:firstLine="3"/>
        <w:rPr>
          <w:color w:val="000000"/>
          <w:sz w:val="22"/>
          <w:szCs w:val="22"/>
        </w:rPr>
      </w:pPr>
      <w:r w:rsidRPr="00B30A12">
        <w:rPr>
          <w:color w:val="000000"/>
          <w:sz w:val="22"/>
          <w:szCs w:val="22"/>
        </w:rPr>
        <w:t>Obwohl die Ergebnisse der pharmakokinetischen Analyse eine beträchtliche interindividuelle Variabilität</w:t>
      </w:r>
      <w:r w:rsidR="006D03B8" w:rsidRPr="00B30A12">
        <w:rPr>
          <w:color w:val="000000"/>
          <w:sz w:val="22"/>
          <w:szCs w:val="22"/>
        </w:rPr>
        <w:t xml:space="preserve"> zeigten, stieg die mittlere Imatinib-Exposition bei Patienten mit unterschiedlichem Ausmaß von Leberfunktionsstörungen im Vergleich zu Patienten mit normaler Leberfunktion nicht an </w:t>
      </w:r>
      <w:r w:rsidR="006615F9" w:rsidRPr="00B30A12">
        <w:rPr>
          <w:color w:val="000000"/>
          <w:sz w:val="22"/>
          <w:szCs w:val="22"/>
        </w:rPr>
        <w:t>(siehe Abschnitte 4.2</w:t>
      </w:r>
      <w:r w:rsidR="006D03B8" w:rsidRPr="00B30A12">
        <w:rPr>
          <w:color w:val="000000"/>
          <w:sz w:val="22"/>
          <w:szCs w:val="22"/>
        </w:rPr>
        <w:t>,</w:t>
      </w:r>
      <w:r w:rsidR="006615F9" w:rsidRPr="00B30A12">
        <w:rPr>
          <w:color w:val="000000"/>
          <w:sz w:val="22"/>
          <w:szCs w:val="22"/>
        </w:rPr>
        <w:t xml:space="preserve"> 4.4</w:t>
      </w:r>
      <w:r w:rsidR="006D03B8" w:rsidRPr="00B30A12">
        <w:rPr>
          <w:color w:val="000000"/>
          <w:sz w:val="22"/>
          <w:szCs w:val="22"/>
        </w:rPr>
        <w:t xml:space="preserve"> und 4.8</w:t>
      </w:r>
      <w:r w:rsidR="006615F9" w:rsidRPr="00B30A12">
        <w:rPr>
          <w:color w:val="000000"/>
          <w:sz w:val="22"/>
          <w:szCs w:val="22"/>
        </w:rPr>
        <w:t>).</w:t>
      </w:r>
    </w:p>
    <w:p w14:paraId="111465EC" w14:textId="77777777" w:rsidR="006615F9" w:rsidRPr="00B30A12" w:rsidRDefault="006615F9" w:rsidP="00537E23">
      <w:pPr>
        <w:widowControl w:val="0"/>
        <w:rPr>
          <w:color w:val="000000"/>
          <w:sz w:val="22"/>
          <w:szCs w:val="22"/>
        </w:rPr>
      </w:pPr>
    </w:p>
    <w:p w14:paraId="5696D6E4" w14:textId="77777777" w:rsidR="006615F9" w:rsidRPr="00B30A12" w:rsidRDefault="006615F9" w:rsidP="007A26D7">
      <w:pPr>
        <w:keepNext/>
        <w:widowControl w:val="0"/>
        <w:ind w:left="567" w:hanging="567"/>
        <w:rPr>
          <w:color w:val="000000"/>
          <w:sz w:val="22"/>
          <w:szCs w:val="22"/>
        </w:rPr>
      </w:pPr>
      <w:r w:rsidRPr="00B30A12">
        <w:rPr>
          <w:b/>
          <w:color w:val="000000"/>
          <w:sz w:val="22"/>
          <w:szCs w:val="22"/>
        </w:rPr>
        <w:t>5.3</w:t>
      </w:r>
      <w:r w:rsidRPr="00B30A12">
        <w:rPr>
          <w:b/>
          <w:color w:val="000000"/>
          <w:sz w:val="22"/>
          <w:szCs w:val="22"/>
        </w:rPr>
        <w:tab/>
        <w:t>Präklinische Daten zur Sicherheit</w:t>
      </w:r>
    </w:p>
    <w:p w14:paraId="73BEBF98" w14:textId="77777777" w:rsidR="006615F9" w:rsidRPr="00B30A12" w:rsidRDefault="006615F9" w:rsidP="007A26D7">
      <w:pPr>
        <w:keepNext/>
        <w:widowControl w:val="0"/>
        <w:ind w:firstLine="3"/>
        <w:rPr>
          <w:color w:val="000000"/>
          <w:sz w:val="22"/>
          <w:szCs w:val="22"/>
        </w:rPr>
      </w:pPr>
    </w:p>
    <w:p w14:paraId="77C91118" w14:textId="77777777" w:rsidR="006615F9" w:rsidRPr="00B30A12" w:rsidRDefault="006615F9" w:rsidP="00537E23">
      <w:pPr>
        <w:widowControl w:val="0"/>
        <w:ind w:firstLine="3"/>
        <w:rPr>
          <w:color w:val="000000"/>
          <w:sz w:val="22"/>
          <w:szCs w:val="22"/>
        </w:rPr>
      </w:pPr>
      <w:r w:rsidRPr="00B30A12">
        <w:rPr>
          <w:color w:val="000000"/>
          <w:sz w:val="22"/>
          <w:szCs w:val="22"/>
        </w:rPr>
        <w:t>Das präklinische Sicherheitsprofil von Imatinib wurde an Ratten, Hunden, Affen und Kaninchen unter</w:t>
      </w:r>
      <w:r w:rsidRPr="00B30A12">
        <w:rPr>
          <w:color w:val="000000"/>
          <w:sz w:val="22"/>
          <w:szCs w:val="22"/>
        </w:rPr>
        <w:softHyphen/>
        <w:t>sucht.</w:t>
      </w:r>
    </w:p>
    <w:p w14:paraId="77A1AEB1" w14:textId="77777777" w:rsidR="006615F9" w:rsidRPr="00B30A12" w:rsidRDefault="006615F9" w:rsidP="00537E23">
      <w:pPr>
        <w:widowControl w:val="0"/>
        <w:ind w:firstLine="3"/>
        <w:rPr>
          <w:color w:val="000000"/>
          <w:sz w:val="22"/>
          <w:szCs w:val="22"/>
        </w:rPr>
      </w:pPr>
    </w:p>
    <w:p w14:paraId="10B7A893" w14:textId="77777777" w:rsidR="006615F9" w:rsidRPr="00B30A12" w:rsidRDefault="006615F9" w:rsidP="00537E23">
      <w:pPr>
        <w:widowControl w:val="0"/>
        <w:ind w:firstLine="3"/>
        <w:rPr>
          <w:color w:val="000000"/>
          <w:sz w:val="22"/>
          <w:szCs w:val="22"/>
        </w:rPr>
      </w:pPr>
      <w:r w:rsidRPr="00B30A12">
        <w:rPr>
          <w:color w:val="000000"/>
          <w:sz w:val="22"/>
          <w:szCs w:val="22"/>
        </w:rPr>
        <w:t>Toxizitätsstudien nach wiederholter Gabe zeigten bei Ratten, Hunden und Affen leichte bis mäßige hä</w:t>
      </w:r>
      <w:r w:rsidRPr="00B30A12">
        <w:rPr>
          <w:color w:val="000000"/>
          <w:sz w:val="22"/>
          <w:szCs w:val="22"/>
        </w:rPr>
        <w:softHyphen/>
        <w:t>matologische Veränderungen, die bei Ratten und Hunden mit Veränderungen des Knochenmarks einher</w:t>
      </w:r>
      <w:r w:rsidRPr="00B30A12">
        <w:rPr>
          <w:color w:val="000000"/>
          <w:sz w:val="22"/>
          <w:szCs w:val="22"/>
        </w:rPr>
        <w:softHyphen/>
        <w:t>gingen.</w:t>
      </w:r>
    </w:p>
    <w:p w14:paraId="70CAD502" w14:textId="77777777" w:rsidR="006615F9" w:rsidRPr="00B30A12" w:rsidRDefault="006615F9" w:rsidP="00537E23">
      <w:pPr>
        <w:widowControl w:val="0"/>
        <w:ind w:firstLine="3"/>
        <w:rPr>
          <w:color w:val="000000"/>
          <w:sz w:val="22"/>
          <w:szCs w:val="22"/>
        </w:rPr>
      </w:pPr>
    </w:p>
    <w:p w14:paraId="305AA41D" w14:textId="77777777" w:rsidR="006615F9" w:rsidRPr="00B30A12" w:rsidRDefault="006615F9" w:rsidP="00537E23">
      <w:pPr>
        <w:widowControl w:val="0"/>
        <w:ind w:firstLine="3"/>
        <w:rPr>
          <w:color w:val="000000"/>
          <w:sz w:val="22"/>
          <w:szCs w:val="22"/>
        </w:rPr>
      </w:pPr>
      <w:r w:rsidRPr="00B30A12">
        <w:rPr>
          <w:color w:val="000000"/>
          <w:sz w:val="22"/>
          <w:szCs w:val="22"/>
        </w:rPr>
        <w:t>Die Leber war das Zielorgan bei Ratten und Hunden. Leichte bis mäßige Anstiege der Transaminasen und geringe Abnahmen von Cholesterin, Triglyzeriden, des Gesamtproteins und der Albuminspiegel wurden in beiden Spezies beobachtet. In der Rattenleber wurden keine histopathologischen Veränderun</w:t>
      </w:r>
      <w:r w:rsidRPr="00B30A12">
        <w:rPr>
          <w:color w:val="000000"/>
          <w:sz w:val="22"/>
          <w:szCs w:val="22"/>
        </w:rPr>
        <w:softHyphen/>
        <w:t>gen gefunden. Schwere Lebertoxizität mit erhöhten Leberenzymen, Leberzellnekrose, Gallengangs</w:t>
      </w:r>
      <w:r w:rsidRPr="00B30A12">
        <w:rPr>
          <w:color w:val="000000"/>
          <w:sz w:val="22"/>
          <w:szCs w:val="22"/>
        </w:rPr>
        <w:softHyphen/>
        <w:t>nekrose und Gallengangshyperplasie wurde bei Hunden nach zweiwöchiger Behandlung beobachtet.</w:t>
      </w:r>
    </w:p>
    <w:p w14:paraId="2056C614" w14:textId="77777777" w:rsidR="006615F9" w:rsidRPr="00B30A12" w:rsidRDefault="006615F9" w:rsidP="00537E23">
      <w:pPr>
        <w:widowControl w:val="0"/>
        <w:ind w:firstLine="3"/>
        <w:rPr>
          <w:color w:val="000000"/>
          <w:sz w:val="22"/>
          <w:szCs w:val="22"/>
        </w:rPr>
      </w:pPr>
    </w:p>
    <w:p w14:paraId="3BF9A311" w14:textId="77777777" w:rsidR="006615F9" w:rsidRPr="00B30A12" w:rsidRDefault="006615F9" w:rsidP="00537E23">
      <w:pPr>
        <w:widowControl w:val="0"/>
        <w:ind w:firstLine="3"/>
        <w:rPr>
          <w:color w:val="000000"/>
          <w:sz w:val="22"/>
          <w:szCs w:val="22"/>
        </w:rPr>
      </w:pPr>
      <w:r w:rsidRPr="00B30A12">
        <w:rPr>
          <w:color w:val="000000"/>
          <w:sz w:val="22"/>
          <w:szCs w:val="22"/>
        </w:rPr>
        <w:t>Nierentoxizität mit fokaler Mineralisierung und Dilatation der renalen Tubuli und einer tubulären Nekrose wurde bei Affen nach zweiwöchiger Behandlung beobachtet. Erhöhte Blutharnstoffwerte (BUN) und Kreatininspiegel wurden bei einigen dieser Tiere gefunden. Bei Ratten wurde eine Hyperpla</w:t>
      </w:r>
      <w:r w:rsidRPr="00B30A12">
        <w:rPr>
          <w:color w:val="000000"/>
          <w:sz w:val="22"/>
          <w:szCs w:val="22"/>
        </w:rPr>
        <w:softHyphen/>
        <w:t>sie des Übergangsepithels in der Nierenpapille und in der Harnblase bei Dosen &gt;</w:t>
      </w:r>
      <w:r w:rsidR="00975215" w:rsidRPr="00B30A12">
        <w:rPr>
          <w:color w:val="000000"/>
          <w:sz w:val="22"/>
          <w:szCs w:val="22"/>
        </w:rPr>
        <w:t> </w:t>
      </w:r>
      <w:r w:rsidRPr="00B30A12">
        <w:rPr>
          <w:color w:val="000000"/>
          <w:sz w:val="22"/>
          <w:szCs w:val="22"/>
        </w:rPr>
        <w:t>6</w:t>
      </w:r>
      <w:r w:rsidR="00975215" w:rsidRPr="00B30A12">
        <w:rPr>
          <w:color w:val="000000"/>
          <w:sz w:val="22"/>
          <w:szCs w:val="22"/>
        </w:rPr>
        <w:t> </w:t>
      </w:r>
      <w:r w:rsidRPr="00B30A12">
        <w:rPr>
          <w:color w:val="000000"/>
          <w:sz w:val="22"/>
          <w:szCs w:val="22"/>
        </w:rPr>
        <w:t>mg/kg in einer 13-Wochenstudie ohne Änderungen der Serum- oder Urinparameter festgestellt. Eine erhöhte Rate oppor</w:t>
      </w:r>
      <w:r w:rsidRPr="00B30A12">
        <w:rPr>
          <w:color w:val="000000"/>
          <w:sz w:val="22"/>
          <w:szCs w:val="22"/>
        </w:rPr>
        <w:softHyphen/>
        <w:t>tunistischer Infektionen trat unter chronischer Imatinib-Behandlung auf.</w:t>
      </w:r>
    </w:p>
    <w:p w14:paraId="72F186AF" w14:textId="77777777" w:rsidR="006615F9" w:rsidRPr="00B30A12" w:rsidRDefault="006615F9" w:rsidP="00537E23">
      <w:pPr>
        <w:widowControl w:val="0"/>
        <w:ind w:firstLine="3"/>
        <w:rPr>
          <w:color w:val="000000"/>
          <w:sz w:val="22"/>
          <w:szCs w:val="22"/>
        </w:rPr>
      </w:pPr>
    </w:p>
    <w:p w14:paraId="36C8DAAA" w14:textId="77777777" w:rsidR="00D72F2D" w:rsidRPr="00B30A12" w:rsidRDefault="006615F9" w:rsidP="00537E23">
      <w:pPr>
        <w:widowControl w:val="0"/>
        <w:ind w:firstLine="3"/>
        <w:rPr>
          <w:color w:val="000000"/>
          <w:sz w:val="22"/>
          <w:szCs w:val="22"/>
        </w:rPr>
      </w:pPr>
      <w:r w:rsidRPr="00B30A12">
        <w:rPr>
          <w:color w:val="000000"/>
          <w:sz w:val="22"/>
          <w:szCs w:val="22"/>
        </w:rPr>
        <w:t>In einer Affenstudie über 39</w:t>
      </w:r>
      <w:r w:rsidR="00C80819" w:rsidRPr="00B30A12">
        <w:rPr>
          <w:color w:val="000000"/>
          <w:sz w:val="22"/>
          <w:szCs w:val="22"/>
        </w:rPr>
        <w:t> </w:t>
      </w:r>
      <w:r w:rsidRPr="00B30A12">
        <w:rPr>
          <w:color w:val="000000"/>
          <w:sz w:val="22"/>
          <w:szCs w:val="22"/>
        </w:rPr>
        <w:t>Wochen konnte bei der niedrigsten Dosierung von 15</w:t>
      </w:r>
      <w:r w:rsidR="001922B0" w:rsidRPr="00B30A12">
        <w:rPr>
          <w:color w:val="000000"/>
          <w:sz w:val="22"/>
          <w:szCs w:val="22"/>
        </w:rPr>
        <w:t> mg</w:t>
      </w:r>
      <w:r w:rsidRPr="00B30A12">
        <w:rPr>
          <w:color w:val="000000"/>
          <w:sz w:val="22"/>
          <w:szCs w:val="22"/>
        </w:rPr>
        <w:t>/kg, die etwa einem Drittel der maximalen Humandosis von 800</w:t>
      </w:r>
      <w:r w:rsidR="001922B0" w:rsidRPr="00B30A12">
        <w:rPr>
          <w:color w:val="000000"/>
          <w:sz w:val="22"/>
          <w:szCs w:val="22"/>
        </w:rPr>
        <w:t> mg</w:t>
      </w:r>
      <w:r w:rsidRPr="00B30A12">
        <w:rPr>
          <w:color w:val="000000"/>
          <w:sz w:val="22"/>
          <w:szCs w:val="22"/>
        </w:rPr>
        <w:t>/Tag bezogen auf die Körperoberfläche entsprach,</w:t>
      </w:r>
      <w:r w:rsidR="00094914" w:rsidRPr="00B30A12">
        <w:rPr>
          <w:color w:val="000000"/>
          <w:sz w:val="22"/>
          <w:szCs w:val="22"/>
        </w:rPr>
        <w:t xml:space="preserve"> </w:t>
      </w:r>
      <w:r w:rsidRPr="00B30A12">
        <w:rPr>
          <w:color w:val="000000"/>
          <w:sz w:val="22"/>
          <w:szCs w:val="22"/>
        </w:rPr>
        <w:t xml:space="preserve">kein </w:t>
      </w:r>
      <w:r w:rsidR="00C75754" w:rsidRPr="00B30A12">
        <w:rPr>
          <w:color w:val="000000"/>
          <w:sz w:val="22"/>
          <w:szCs w:val="22"/>
        </w:rPr>
        <w:t>„No Observed Adverse Effect Level“</w:t>
      </w:r>
      <w:r w:rsidRPr="00B30A12">
        <w:rPr>
          <w:color w:val="000000"/>
          <w:sz w:val="22"/>
          <w:szCs w:val="22"/>
        </w:rPr>
        <w:t xml:space="preserve"> (NOAEL) festgestellt werden. Die Behandlung ergab bei diesen Versuchstie</w:t>
      </w:r>
      <w:r w:rsidRPr="00B30A12">
        <w:rPr>
          <w:color w:val="000000"/>
          <w:sz w:val="22"/>
          <w:szCs w:val="22"/>
        </w:rPr>
        <w:softHyphen/>
        <w:t>ren eine Verschlechterung normalerweise unterdrückter Malariainfektionen.</w:t>
      </w:r>
    </w:p>
    <w:p w14:paraId="52798599" w14:textId="77777777" w:rsidR="006615F9" w:rsidRPr="00B30A12" w:rsidRDefault="006615F9" w:rsidP="00537E23">
      <w:pPr>
        <w:widowControl w:val="0"/>
        <w:ind w:firstLine="3"/>
        <w:rPr>
          <w:color w:val="000000"/>
          <w:sz w:val="22"/>
          <w:szCs w:val="22"/>
        </w:rPr>
      </w:pPr>
    </w:p>
    <w:p w14:paraId="1B071042" w14:textId="77777777" w:rsidR="006615F9" w:rsidRPr="00B30A12" w:rsidRDefault="006615F9" w:rsidP="00537E23">
      <w:pPr>
        <w:widowControl w:val="0"/>
        <w:ind w:firstLine="3"/>
        <w:rPr>
          <w:color w:val="000000"/>
          <w:sz w:val="22"/>
          <w:szCs w:val="22"/>
        </w:rPr>
      </w:pPr>
      <w:r w:rsidRPr="00B30A12">
        <w:rPr>
          <w:color w:val="000000"/>
          <w:sz w:val="22"/>
          <w:szCs w:val="22"/>
        </w:rPr>
        <w:t xml:space="preserve">Imatinib zeigte keine genotoxischen Eigenschaften in einem </w:t>
      </w:r>
      <w:r w:rsidRPr="00B30A12">
        <w:rPr>
          <w:i/>
          <w:color w:val="000000"/>
          <w:sz w:val="22"/>
          <w:szCs w:val="22"/>
        </w:rPr>
        <w:t>in vitro</w:t>
      </w:r>
      <w:r w:rsidRPr="00B30A12">
        <w:rPr>
          <w:color w:val="000000"/>
          <w:sz w:val="22"/>
          <w:szCs w:val="22"/>
        </w:rPr>
        <w:t xml:space="preserve"> bakteriellen Zelltest (Ames Test), einem </w:t>
      </w:r>
      <w:r w:rsidRPr="00B30A12">
        <w:rPr>
          <w:i/>
          <w:color w:val="000000"/>
          <w:sz w:val="22"/>
          <w:szCs w:val="22"/>
        </w:rPr>
        <w:t>in vitro</w:t>
      </w:r>
      <w:r w:rsidRPr="00B30A12">
        <w:rPr>
          <w:color w:val="000000"/>
          <w:sz w:val="22"/>
          <w:szCs w:val="22"/>
        </w:rPr>
        <w:t xml:space="preserve"> Säugetierzelltest (Maus</w:t>
      </w:r>
      <w:r w:rsidR="00E16221" w:rsidRPr="00B30A12">
        <w:rPr>
          <w:color w:val="000000"/>
          <w:sz w:val="22"/>
          <w:szCs w:val="22"/>
        </w:rPr>
        <w:t>-</w:t>
      </w:r>
      <w:r w:rsidRPr="00B30A12">
        <w:rPr>
          <w:color w:val="000000"/>
          <w:sz w:val="22"/>
          <w:szCs w:val="22"/>
        </w:rPr>
        <w:t>Lymphoma</w:t>
      </w:r>
      <w:r w:rsidR="00E16221" w:rsidRPr="00B30A12">
        <w:rPr>
          <w:color w:val="000000"/>
          <w:sz w:val="22"/>
          <w:szCs w:val="22"/>
        </w:rPr>
        <w:t>-</w:t>
      </w:r>
      <w:r w:rsidRPr="00B30A12">
        <w:rPr>
          <w:color w:val="000000"/>
          <w:sz w:val="22"/>
          <w:szCs w:val="22"/>
        </w:rPr>
        <w:t xml:space="preserve">Test) und einem </w:t>
      </w:r>
      <w:r w:rsidRPr="00B30A12">
        <w:rPr>
          <w:i/>
          <w:color w:val="000000"/>
          <w:sz w:val="22"/>
          <w:szCs w:val="22"/>
        </w:rPr>
        <w:t>in vivo</w:t>
      </w:r>
      <w:r w:rsidRPr="00B30A12">
        <w:rPr>
          <w:color w:val="000000"/>
          <w:sz w:val="22"/>
          <w:szCs w:val="22"/>
        </w:rPr>
        <w:t xml:space="preserve"> Rattenmikrokerntest. Positive genotoxische Effekte wurden für Imatinib in einem </w:t>
      </w:r>
      <w:r w:rsidRPr="00B30A12">
        <w:rPr>
          <w:i/>
          <w:color w:val="000000"/>
          <w:sz w:val="22"/>
          <w:szCs w:val="22"/>
        </w:rPr>
        <w:t>in vitro</w:t>
      </w:r>
      <w:r w:rsidRPr="00B30A12">
        <w:rPr>
          <w:color w:val="000000"/>
          <w:sz w:val="22"/>
          <w:szCs w:val="22"/>
        </w:rPr>
        <w:t xml:space="preserve"> Säugetierzelltest (Ovarialzellen des Chi</w:t>
      </w:r>
      <w:r w:rsidRPr="00B30A12">
        <w:rPr>
          <w:color w:val="000000"/>
          <w:sz w:val="22"/>
          <w:szCs w:val="22"/>
        </w:rPr>
        <w:softHyphen/>
        <w:t>nesischen Hamsters) auf klastogene Effekte (Chromosomenaberrationen) bei Vorliegen einer metaboli</w:t>
      </w:r>
      <w:r w:rsidRPr="00B30A12">
        <w:rPr>
          <w:color w:val="000000"/>
          <w:sz w:val="22"/>
          <w:szCs w:val="22"/>
        </w:rPr>
        <w:softHyphen/>
        <w:t>schen Aktivierung gefunden. Zwei Zwischenprodukte im Herstellungsprozess, die sich auch im Endpro</w:t>
      </w:r>
      <w:r w:rsidRPr="00B30A12">
        <w:rPr>
          <w:color w:val="000000"/>
          <w:sz w:val="22"/>
          <w:szCs w:val="22"/>
        </w:rPr>
        <w:softHyphen/>
        <w:t>dukt finden, zeigten im Ames Test Mutagenität. Eines dieser Zwischenprodukte war auch im Maus Lymphoma Test positiv.</w:t>
      </w:r>
    </w:p>
    <w:p w14:paraId="79076700" w14:textId="77777777" w:rsidR="006615F9" w:rsidRPr="00B30A12" w:rsidRDefault="006615F9" w:rsidP="00537E23">
      <w:pPr>
        <w:widowControl w:val="0"/>
        <w:ind w:firstLine="3"/>
        <w:rPr>
          <w:color w:val="000000"/>
          <w:sz w:val="22"/>
          <w:szCs w:val="22"/>
        </w:rPr>
      </w:pPr>
    </w:p>
    <w:p w14:paraId="2C075F97" w14:textId="77777777" w:rsidR="006615F9" w:rsidRPr="00B30A12" w:rsidRDefault="006615F9" w:rsidP="00537E23">
      <w:pPr>
        <w:widowControl w:val="0"/>
        <w:ind w:firstLine="3"/>
        <w:rPr>
          <w:color w:val="000000"/>
          <w:sz w:val="22"/>
          <w:szCs w:val="22"/>
        </w:rPr>
      </w:pPr>
      <w:r w:rsidRPr="00B30A12">
        <w:rPr>
          <w:color w:val="000000"/>
          <w:sz w:val="22"/>
          <w:szCs w:val="22"/>
        </w:rPr>
        <w:t>Männliche Ratten, die in einer Fertilitätsstudie 70</w:t>
      </w:r>
      <w:r w:rsidR="00C80819" w:rsidRPr="00B30A12">
        <w:rPr>
          <w:color w:val="000000"/>
          <w:sz w:val="22"/>
          <w:szCs w:val="22"/>
        </w:rPr>
        <w:t> </w:t>
      </w:r>
      <w:r w:rsidRPr="00B30A12">
        <w:rPr>
          <w:color w:val="000000"/>
          <w:sz w:val="22"/>
          <w:szCs w:val="22"/>
        </w:rPr>
        <w:t>Tage lang mit 60</w:t>
      </w:r>
      <w:r w:rsidR="001922B0" w:rsidRPr="00B30A12">
        <w:rPr>
          <w:color w:val="000000"/>
          <w:sz w:val="22"/>
          <w:szCs w:val="22"/>
        </w:rPr>
        <w:t> mg</w:t>
      </w:r>
      <w:r w:rsidRPr="00B30A12">
        <w:rPr>
          <w:color w:val="000000"/>
          <w:sz w:val="22"/>
          <w:szCs w:val="22"/>
        </w:rPr>
        <w:t>/kg, was etwa der maximalen klinischen Dosierung von 800</w:t>
      </w:r>
      <w:r w:rsidR="001922B0" w:rsidRPr="00B30A12">
        <w:rPr>
          <w:color w:val="000000"/>
          <w:sz w:val="22"/>
          <w:szCs w:val="22"/>
        </w:rPr>
        <w:t> mg</w:t>
      </w:r>
      <w:r w:rsidRPr="00B30A12">
        <w:rPr>
          <w:color w:val="000000"/>
          <w:sz w:val="22"/>
          <w:szCs w:val="22"/>
        </w:rPr>
        <w:t>/Tag bezogen auf die Körperoberfläche entspricht, vor der Verpaarung behandelt wurden, zeigten ein vermindertes Hoden- und Nebenhodengewicht und eine verringerte Sper</w:t>
      </w:r>
      <w:r w:rsidRPr="00B30A12">
        <w:rPr>
          <w:color w:val="000000"/>
          <w:sz w:val="22"/>
          <w:szCs w:val="22"/>
        </w:rPr>
        <w:softHyphen/>
        <w:t>mienmotilität. Dies wurde bei Dosen ≤</w:t>
      </w:r>
      <w:r w:rsidR="001922B0" w:rsidRPr="00B30A12">
        <w:rPr>
          <w:color w:val="000000"/>
          <w:sz w:val="22"/>
          <w:szCs w:val="22"/>
        </w:rPr>
        <w:t> </w:t>
      </w:r>
      <w:r w:rsidRPr="00B30A12">
        <w:rPr>
          <w:color w:val="000000"/>
          <w:sz w:val="22"/>
          <w:szCs w:val="22"/>
        </w:rPr>
        <w:t>20</w:t>
      </w:r>
      <w:r w:rsidR="001922B0" w:rsidRPr="00B30A12">
        <w:rPr>
          <w:color w:val="000000"/>
          <w:sz w:val="22"/>
          <w:szCs w:val="22"/>
        </w:rPr>
        <w:t> mg</w:t>
      </w:r>
      <w:r w:rsidRPr="00B30A12">
        <w:rPr>
          <w:color w:val="000000"/>
          <w:sz w:val="22"/>
          <w:szCs w:val="22"/>
        </w:rPr>
        <w:t>/kg nicht gefunden. Eine leichte bis mäßige Verminderung der Spermatogenese wurde auch bei Hunden unter oralen Dosen von &gt;</w:t>
      </w:r>
      <w:r w:rsidR="00975215" w:rsidRPr="00B30A12">
        <w:rPr>
          <w:color w:val="000000"/>
          <w:sz w:val="22"/>
          <w:szCs w:val="22"/>
        </w:rPr>
        <w:t> </w:t>
      </w:r>
      <w:r w:rsidRPr="00B30A12">
        <w:rPr>
          <w:color w:val="000000"/>
          <w:sz w:val="22"/>
          <w:szCs w:val="22"/>
        </w:rPr>
        <w:t>30 mg/kg beobachtet. Wenn weibliche Ratten 14</w:t>
      </w:r>
      <w:r w:rsidR="00C80819" w:rsidRPr="00B30A12">
        <w:rPr>
          <w:color w:val="000000"/>
          <w:sz w:val="22"/>
          <w:szCs w:val="22"/>
        </w:rPr>
        <w:t> </w:t>
      </w:r>
      <w:r w:rsidRPr="00B30A12">
        <w:rPr>
          <w:color w:val="000000"/>
          <w:sz w:val="22"/>
          <w:szCs w:val="22"/>
        </w:rPr>
        <w:t>Tage vor der Verpaarung und bis zum 6.</w:t>
      </w:r>
      <w:r w:rsidR="00C80819" w:rsidRPr="00B30A12">
        <w:rPr>
          <w:color w:val="000000"/>
          <w:sz w:val="22"/>
          <w:szCs w:val="22"/>
        </w:rPr>
        <w:t> </w:t>
      </w:r>
      <w:r w:rsidRPr="00B30A12">
        <w:rPr>
          <w:color w:val="000000"/>
          <w:sz w:val="22"/>
          <w:szCs w:val="22"/>
        </w:rPr>
        <w:t>Tag der Gestation behandelt wurden, er</w:t>
      </w:r>
      <w:r w:rsidRPr="00B30A12">
        <w:rPr>
          <w:color w:val="000000"/>
          <w:sz w:val="22"/>
          <w:szCs w:val="22"/>
        </w:rPr>
        <w:softHyphen/>
        <w:t>gab sich kein Effekt auf die Verpaarung oder auf die Zahl trächtiger Tiere. Bei einer Dosierung von 60</w:t>
      </w:r>
      <w:r w:rsidR="001922B0" w:rsidRPr="00B30A12">
        <w:rPr>
          <w:color w:val="000000"/>
          <w:sz w:val="22"/>
          <w:szCs w:val="22"/>
        </w:rPr>
        <w:t> </w:t>
      </w:r>
      <w:r w:rsidRPr="00B30A12">
        <w:rPr>
          <w:color w:val="000000"/>
          <w:sz w:val="22"/>
          <w:szCs w:val="22"/>
        </w:rPr>
        <w:t>mg/kg hatten weibliche Ratten einen signifikanten Verlust von Feten nach der Implantation und eine verminderte Anzahl lebender Feten. Dies war bei Dosen ≤</w:t>
      </w:r>
      <w:r w:rsidR="00975215" w:rsidRPr="00B30A12">
        <w:rPr>
          <w:color w:val="000000"/>
          <w:sz w:val="22"/>
          <w:szCs w:val="22"/>
        </w:rPr>
        <w:t> </w:t>
      </w:r>
      <w:r w:rsidRPr="00B30A12">
        <w:rPr>
          <w:color w:val="000000"/>
          <w:sz w:val="22"/>
          <w:szCs w:val="22"/>
        </w:rPr>
        <w:t>20 mg/kg nicht nachweisbar.</w:t>
      </w:r>
    </w:p>
    <w:p w14:paraId="31EAEF9C" w14:textId="77777777" w:rsidR="006615F9" w:rsidRPr="00B30A12" w:rsidRDefault="006615F9" w:rsidP="00537E23">
      <w:pPr>
        <w:widowControl w:val="0"/>
        <w:ind w:firstLine="3"/>
        <w:rPr>
          <w:color w:val="000000"/>
          <w:sz w:val="22"/>
          <w:szCs w:val="22"/>
        </w:rPr>
      </w:pPr>
    </w:p>
    <w:p w14:paraId="1CF6FFA7" w14:textId="77777777" w:rsidR="006615F9" w:rsidRPr="00B30A12" w:rsidRDefault="006615F9" w:rsidP="00537E23">
      <w:pPr>
        <w:widowControl w:val="0"/>
        <w:ind w:firstLine="3"/>
        <w:rPr>
          <w:color w:val="000000"/>
          <w:sz w:val="22"/>
          <w:szCs w:val="22"/>
        </w:rPr>
      </w:pPr>
      <w:r w:rsidRPr="00B30A12">
        <w:rPr>
          <w:color w:val="000000"/>
          <w:sz w:val="22"/>
          <w:szCs w:val="22"/>
        </w:rPr>
        <w:t>In einer oralen Studie zur prä- und postnatalen Entwicklung bei Ratten wurde in der Gruppe mit 45 mg/kg/Tag am Tag</w:t>
      </w:r>
      <w:r w:rsidR="00C80819" w:rsidRPr="00B30A12">
        <w:rPr>
          <w:color w:val="000000"/>
          <w:sz w:val="22"/>
          <w:szCs w:val="22"/>
        </w:rPr>
        <w:t> </w:t>
      </w:r>
      <w:r w:rsidRPr="00B30A12">
        <w:rPr>
          <w:color w:val="000000"/>
          <w:sz w:val="22"/>
          <w:szCs w:val="22"/>
        </w:rPr>
        <w:t>14 oder 15 der Tragzeit ein roter vaginaler Ausfluss beobachtet. Bei der gleichen Dosis war die Anzahl der Totgeburten ebenso erhöht wie die Zahl der Nachkommen, die in den Tagen</w:t>
      </w:r>
      <w:r w:rsidR="00C80819" w:rsidRPr="00B30A12">
        <w:rPr>
          <w:color w:val="000000"/>
          <w:sz w:val="22"/>
          <w:szCs w:val="22"/>
        </w:rPr>
        <w:t> </w:t>
      </w:r>
      <w:r w:rsidRPr="00B30A12">
        <w:rPr>
          <w:color w:val="000000"/>
          <w:sz w:val="22"/>
          <w:szCs w:val="22"/>
        </w:rPr>
        <w:t>0 bis 4 post partum starben. In der F</w:t>
      </w:r>
      <w:r w:rsidRPr="00B30A12">
        <w:rPr>
          <w:color w:val="000000"/>
          <w:sz w:val="22"/>
          <w:szCs w:val="22"/>
          <w:vertAlign w:val="subscript"/>
        </w:rPr>
        <w:t>1</w:t>
      </w:r>
      <w:r w:rsidRPr="00B30A12">
        <w:rPr>
          <w:color w:val="000000"/>
          <w:sz w:val="22"/>
          <w:szCs w:val="22"/>
        </w:rPr>
        <w:t>-Generation war in der gleichen Dosisgruppe das gemittelte Körper</w:t>
      </w:r>
      <w:r w:rsidRPr="00B30A12">
        <w:rPr>
          <w:color w:val="000000"/>
          <w:sz w:val="22"/>
          <w:szCs w:val="22"/>
        </w:rPr>
        <w:softHyphen/>
        <w:t>gewicht von der Geburt bis zur versuchsgemäßen Tötung der Tiere reduziert und die Anzahl der Jung</w:t>
      </w:r>
      <w:r w:rsidRPr="00B30A12">
        <w:rPr>
          <w:color w:val="000000"/>
          <w:sz w:val="22"/>
          <w:szCs w:val="22"/>
        </w:rPr>
        <w:softHyphen/>
        <w:t>tiere, die den Zeitpunkt der Ablösung des Präputiums erreichten, war leicht vermindert. Die Fertilität der F</w:t>
      </w:r>
      <w:r w:rsidRPr="00B30A12">
        <w:rPr>
          <w:color w:val="000000"/>
          <w:sz w:val="22"/>
          <w:szCs w:val="22"/>
          <w:vertAlign w:val="subscript"/>
        </w:rPr>
        <w:t>1</w:t>
      </w:r>
      <w:r w:rsidRPr="00B30A12">
        <w:rPr>
          <w:color w:val="000000"/>
          <w:sz w:val="22"/>
          <w:szCs w:val="22"/>
        </w:rPr>
        <w:t>-Generation war nicht beeinträchtigt, während eine erhöhte Anzahl von Resorptionen der Feten und eine verminderte Zahl von lebensfähigen Feten bei der Gruppe mit 45</w:t>
      </w:r>
      <w:r w:rsidR="001922B0" w:rsidRPr="00B30A12">
        <w:rPr>
          <w:color w:val="000000"/>
          <w:sz w:val="22"/>
          <w:szCs w:val="22"/>
        </w:rPr>
        <w:t> mg</w:t>
      </w:r>
      <w:r w:rsidRPr="00B30A12">
        <w:rPr>
          <w:color w:val="000000"/>
          <w:sz w:val="22"/>
          <w:szCs w:val="22"/>
        </w:rPr>
        <w:t>/kg/Tag beobachtet wur</w:t>
      </w:r>
      <w:r w:rsidRPr="00B30A12">
        <w:rPr>
          <w:color w:val="000000"/>
          <w:sz w:val="22"/>
          <w:szCs w:val="22"/>
        </w:rPr>
        <w:softHyphen/>
        <w:t xml:space="preserve">den. Der „No </w:t>
      </w:r>
      <w:r w:rsidR="00C75754" w:rsidRPr="00B30A12">
        <w:rPr>
          <w:color w:val="000000"/>
          <w:sz w:val="22"/>
          <w:szCs w:val="22"/>
        </w:rPr>
        <w:t>Observed Effect Level“ (NOEL)</w:t>
      </w:r>
      <w:r w:rsidRPr="00B30A12">
        <w:rPr>
          <w:color w:val="000000"/>
          <w:sz w:val="22"/>
          <w:szCs w:val="22"/>
        </w:rPr>
        <w:t xml:space="preserve"> betrug sowohl für die Muttertiere als auch für die F</w:t>
      </w:r>
      <w:r w:rsidRPr="00B30A12">
        <w:rPr>
          <w:color w:val="000000"/>
          <w:sz w:val="22"/>
          <w:szCs w:val="22"/>
          <w:vertAlign w:val="subscript"/>
        </w:rPr>
        <w:t>1</w:t>
      </w:r>
      <w:r w:rsidRPr="00B30A12">
        <w:rPr>
          <w:color w:val="000000"/>
          <w:sz w:val="22"/>
          <w:szCs w:val="22"/>
        </w:rPr>
        <w:t>-Generation 15</w:t>
      </w:r>
      <w:r w:rsidR="001922B0" w:rsidRPr="00B30A12">
        <w:rPr>
          <w:color w:val="000000"/>
          <w:sz w:val="22"/>
          <w:szCs w:val="22"/>
        </w:rPr>
        <w:t> mg</w:t>
      </w:r>
      <w:r w:rsidRPr="00B30A12">
        <w:rPr>
          <w:color w:val="000000"/>
          <w:sz w:val="22"/>
          <w:szCs w:val="22"/>
        </w:rPr>
        <w:t>/kg/Tag (ein Viertel der maximalen Dosis beim Menschen von 800</w:t>
      </w:r>
      <w:r w:rsidR="001922B0" w:rsidRPr="00B30A12">
        <w:rPr>
          <w:color w:val="000000"/>
          <w:sz w:val="22"/>
          <w:szCs w:val="22"/>
        </w:rPr>
        <w:t> mg</w:t>
      </w:r>
      <w:r w:rsidRPr="00B30A12">
        <w:rPr>
          <w:color w:val="000000"/>
          <w:sz w:val="22"/>
          <w:szCs w:val="22"/>
        </w:rPr>
        <w:t>).</w:t>
      </w:r>
    </w:p>
    <w:p w14:paraId="4ABA6430" w14:textId="77777777" w:rsidR="006615F9" w:rsidRPr="00B30A12" w:rsidRDefault="006615F9" w:rsidP="00537E23">
      <w:pPr>
        <w:widowControl w:val="0"/>
        <w:ind w:firstLine="3"/>
        <w:rPr>
          <w:color w:val="000000"/>
          <w:sz w:val="22"/>
          <w:szCs w:val="22"/>
        </w:rPr>
      </w:pPr>
    </w:p>
    <w:p w14:paraId="6BA259F4" w14:textId="77777777" w:rsidR="006615F9" w:rsidRPr="00B30A12" w:rsidRDefault="006615F9" w:rsidP="00537E23">
      <w:pPr>
        <w:widowControl w:val="0"/>
        <w:ind w:firstLine="3"/>
        <w:rPr>
          <w:color w:val="000000"/>
          <w:sz w:val="22"/>
          <w:szCs w:val="22"/>
        </w:rPr>
      </w:pPr>
      <w:r w:rsidRPr="00B30A12">
        <w:rPr>
          <w:color w:val="000000"/>
          <w:sz w:val="22"/>
          <w:szCs w:val="22"/>
        </w:rPr>
        <w:t>Imatinib war teratogen bei Ratten, wenn es während der Organogenese in Dosen von ≥</w:t>
      </w:r>
      <w:r w:rsidR="00975215" w:rsidRPr="00B30A12">
        <w:rPr>
          <w:color w:val="000000"/>
          <w:sz w:val="22"/>
          <w:szCs w:val="22"/>
        </w:rPr>
        <w:t> </w:t>
      </w:r>
      <w:r w:rsidRPr="00B30A12">
        <w:rPr>
          <w:color w:val="000000"/>
          <w:sz w:val="22"/>
          <w:szCs w:val="22"/>
        </w:rPr>
        <w:t>100</w:t>
      </w:r>
      <w:r w:rsidR="001922B0" w:rsidRPr="00B30A12">
        <w:rPr>
          <w:color w:val="000000"/>
          <w:sz w:val="22"/>
          <w:szCs w:val="22"/>
        </w:rPr>
        <w:t> mg</w:t>
      </w:r>
      <w:r w:rsidRPr="00B30A12">
        <w:rPr>
          <w:color w:val="000000"/>
          <w:sz w:val="22"/>
          <w:szCs w:val="22"/>
        </w:rPr>
        <w:t xml:space="preserve">/kg </w:t>
      </w:r>
      <w:r w:rsidRPr="00B30A12">
        <w:rPr>
          <w:color w:val="000000"/>
          <w:sz w:val="22"/>
          <w:szCs w:val="22"/>
        </w:rPr>
        <w:lastRenderedPageBreak/>
        <w:t>gege</w:t>
      </w:r>
      <w:r w:rsidRPr="00B30A12">
        <w:rPr>
          <w:color w:val="000000"/>
          <w:sz w:val="22"/>
          <w:szCs w:val="22"/>
        </w:rPr>
        <w:softHyphen/>
        <w:t>ben wurde, was etwa der maximalen klinischen Dosierung von 800</w:t>
      </w:r>
      <w:r w:rsidR="001922B0" w:rsidRPr="00B30A12">
        <w:rPr>
          <w:color w:val="000000"/>
          <w:sz w:val="22"/>
          <w:szCs w:val="22"/>
        </w:rPr>
        <w:t> mg</w:t>
      </w:r>
      <w:r w:rsidRPr="00B30A12">
        <w:rPr>
          <w:color w:val="000000"/>
          <w:sz w:val="22"/>
          <w:szCs w:val="22"/>
        </w:rPr>
        <w:t>/Tag bezogen auf die Körper</w:t>
      </w:r>
      <w:r w:rsidRPr="00B30A12">
        <w:rPr>
          <w:color w:val="000000"/>
          <w:sz w:val="22"/>
          <w:szCs w:val="22"/>
        </w:rPr>
        <w:softHyphen/>
        <w:t>oberfläche entspricht. Die teratogenen Effekte beinhalteten Exenzephalie oder Enzephalozele sowie feh</w:t>
      </w:r>
      <w:r w:rsidRPr="00B30A12">
        <w:rPr>
          <w:color w:val="000000"/>
          <w:sz w:val="22"/>
          <w:szCs w:val="22"/>
        </w:rPr>
        <w:softHyphen/>
        <w:t>lende/reduzierte frontale sowie fehlende parietale Knochen. Diese Effekte wurden bei Dosen von ≤</w:t>
      </w:r>
      <w:r w:rsidR="001922B0" w:rsidRPr="00B30A12">
        <w:rPr>
          <w:color w:val="000000"/>
          <w:sz w:val="22"/>
          <w:szCs w:val="22"/>
        </w:rPr>
        <w:t> </w:t>
      </w:r>
      <w:r w:rsidRPr="00B30A12">
        <w:rPr>
          <w:color w:val="000000"/>
          <w:sz w:val="22"/>
          <w:szCs w:val="22"/>
        </w:rPr>
        <w:t>30</w:t>
      </w:r>
      <w:r w:rsidR="001922B0" w:rsidRPr="00B30A12">
        <w:rPr>
          <w:color w:val="000000"/>
          <w:sz w:val="22"/>
          <w:szCs w:val="22"/>
        </w:rPr>
        <w:t> mg</w:t>
      </w:r>
      <w:r w:rsidRPr="00B30A12">
        <w:rPr>
          <w:color w:val="000000"/>
          <w:sz w:val="22"/>
          <w:szCs w:val="22"/>
        </w:rPr>
        <w:t>/kg nicht gesehen</w:t>
      </w:r>
      <w:r w:rsidR="003F7ABD" w:rsidRPr="00B30A12">
        <w:rPr>
          <w:color w:val="000000"/>
          <w:sz w:val="22"/>
          <w:szCs w:val="22"/>
        </w:rPr>
        <w:t>.</w:t>
      </w:r>
    </w:p>
    <w:p w14:paraId="4E61E1A5" w14:textId="77777777" w:rsidR="006615F9" w:rsidRPr="00B30A12" w:rsidRDefault="006615F9" w:rsidP="00537E23">
      <w:pPr>
        <w:widowControl w:val="0"/>
        <w:ind w:firstLine="3"/>
        <w:rPr>
          <w:color w:val="000000"/>
          <w:sz w:val="22"/>
          <w:szCs w:val="22"/>
        </w:rPr>
      </w:pPr>
    </w:p>
    <w:p w14:paraId="1C1A6876" w14:textId="77777777" w:rsidR="00711258" w:rsidRPr="00B30A12" w:rsidRDefault="006879EA" w:rsidP="00537E23">
      <w:pPr>
        <w:widowControl w:val="0"/>
        <w:ind w:firstLine="3"/>
        <w:rPr>
          <w:color w:val="000000"/>
          <w:sz w:val="22"/>
          <w:szCs w:val="22"/>
        </w:rPr>
      </w:pPr>
      <w:r w:rsidRPr="00B30A12">
        <w:rPr>
          <w:color w:val="000000"/>
          <w:sz w:val="22"/>
          <w:szCs w:val="22"/>
        </w:rPr>
        <w:t>Hinsichtlich der bekannten Zielorgane bei erwachsenen Ratten wurden in der toxikologischen Studie zur juvenilen Entwicklung von Ratten (Tag</w:t>
      </w:r>
      <w:r w:rsidR="00D62EAC" w:rsidRPr="00B30A12">
        <w:rPr>
          <w:color w:val="000000"/>
          <w:sz w:val="22"/>
          <w:szCs w:val="22"/>
        </w:rPr>
        <w:t> </w:t>
      </w:r>
      <w:r w:rsidRPr="00B30A12">
        <w:rPr>
          <w:color w:val="000000"/>
          <w:sz w:val="22"/>
          <w:szCs w:val="22"/>
        </w:rPr>
        <w:t>10 bis Tag</w:t>
      </w:r>
      <w:r w:rsidR="00D62EAC" w:rsidRPr="00B30A12">
        <w:rPr>
          <w:color w:val="000000"/>
          <w:sz w:val="22"/>
          <w:szCs w:val="22"/>
        </w:rPr>
        <w:t> </w:t>
      </w:r>
      <w:r w:rsidRPr="00B30A12">
        <w:rPr>
          <w:color w:val="000000"/>
          <w:sz w:val="22"/>
          <w:szCs w:val="22"/>
        </w:rPr>
        <w:t xml:space="preserve">70 nach der Geburt) keine neuen Zielorgane identifiziert. </w:t>
      </w:r>
      <w:r w:rsidR="00711258" w:rsidRPr="00B30A12">
        <w:rPr>
          <w:color w:val="000000"/>
          <w:sz w:val="22"/>
          <w:szCs w:val="22"/>
        </w:rPr>
        <w:t>In dieser Studie wurden Effekte auf das Wachstum sowie eine Verzögerung der Vaginalöffnung und der Vorhautablösung ungefähr bei der 0,3</w:t>
      </w:r>
      <w:r w:rsidR="00D62EAC" w:rsidRPr="00B30A12">
        <w:rPr>
          <w:color w:val="000000"/>
          <w:sz w:val="22"/>
          <w:szCs w:val="22"/>
        </w:rPr>
        <w:noBreakHyphen/>
      </w:r>
      <w:r w:rsidR="00711258" w:rsidRPr="00B30A12">
        <w:rPr>
          <w:color w:val="000000"/>
          <w:sz w:val="22"/>
          <w:szCs w:val="22"/>
        </w:rPr>
        <w:t xml:space="preserve"> bis </w:t>
      </w:r>
      <w:r w:rsidR="00A621F4" w:rsidRPr="00B30A12">
        <w:rPr>
          <w:color w:val="000000"/>
          <w:sz w:val="22"/>
          <w:szCs w:val="22"/>
        </w:rPr>
        <w:t>2</w:t>
      </w:r>
      <w:r w:rsidR="00711258" w:rsidRPr="00B30A12">
        <w:rPr>
          <w:color w:val="000000"/>
          <w:sz w:val="22"/>
          <w:szCs w:val="22"/>
        </w:rPr>
        <w:t>fachen durchschnittlichen pädiatrischen Exposition bei der höchsten empfohlenen Dosis von 340 mg/m</w:t>
      </w:r>
      <w:r w:rsidR="00711258" w:rsidRPr="00B30A12">
        <w:rPr>
          <w:color w:val="000000"/>
          <w:sz w:val="22"/>
          <w:szCs w:val="22"/>
          <w:vertAlign w:val="superscript"/>
        </w:rPr>
        <w:t>2</w:t>
      </w:r>
      <w:r w:rsidR="00711258" w:rsidRPr="00B30A12">
        <w:rPr>
          <w:color w:val="000000"/>
          <w:sz w:val="22"/>
          <w:szCs w:val="22"/>
        </w:rPr>
        <w:t xml:space="preserve"> beobachtet. Zusätzlich wurde Mortalität bei juvenilen Tieren (etwa zum Zeitpunkt des Abstillens) ungefähr bei der </w:t>
      </w:r>
      <w:r w:rsidR="00A621F4" w:rsidRPr="00B30A12">
        <w:rPr>
          <w:color w:val="000000"/>
          <w:sz w:val="22"/>
          <w:szCs w:val="22"/>
        </w:rPr>
        <w:t>2</w:t>
      </w:r>
      <w:r w:rsidR="00711258" w:rsidRPr="00B30A12">
        <w:rPr>
          <w:color w:val="000000"/>
          <w:sz w:val="22"/>
          <w:szCs w:val="22"/>
        </w:rPr>
        <w:t>fachen durchschnittlichen pädiatrischen Exposition bei der höchsten empfohlenen Dosis von 340 mg/m</w:t>
      </w:r>
      <w:r w:rsidR="00711258" w:rsidRPr="00B30A12">
        <w:rPr>
          <w:color w:val="000000"/>
          <w:sz w:val="22"/>
          <w:szCs w:val="22"/>
          <w:vertAlign w:val="superscript"/>
        </w:rPr>
        <w:t>2</w:t>
      </w:r>
      <w:r w:rsidR="00711258" w:rsidRPr="00B30A12">
        <w:rPr>
          <w:color w:val="000000"/>
          <w:sz w:val="22"/>
          <w:szCs w:val="22"/>
        </w:rPr>
        <w:t xml:space="preserve"> beobachtet.</w:t>
      </w:r>
    </w:p>
    <w:p w14:paraId="3C263176" w14:textId="77777777" w:rsidR="0066276E" w:rsidRPr="00B30A12" w:rsidRDefault="0066276E" w:rsidP="00537E23">
      <w:pPr>
        <w:widowControl w:val="0"/>
        <w:ind w:firstLine="3"/>
        <w:rPr>
          <w:color w:val="000000"/>
          <w:sz w:val="22"/>
          <w:szCs w:val="22"/>
        </w:rPr>
      </w:pPr>
    </w:p>
    <w:p w14:paraId="2044575B" w14:textId="77777777" w:rsidR="00C75754" w:rsidRPr="00B30A12" w:rsidRDefault="000F2E7F" w:rsidP="00537E23">
      <w:pPr>
        <w:widowControl w:val="0"/>
        <w:rPr>
          <w:color w:val="000000"/>
          <w:sz w:val="22"/>
          <w:szCs w:val="22"/>
        </w:rPr>
      </w:pPr>
      <w:r w:rsidRPr="00B30A12">
        <w:rPr>
          <w:color w:val="000000"/>
          <w:sz w:val="22"/>
          <w:szCs w:val="22"/>
        </w:rPr>
        <w:t>In einer zweijährigen Kanzerogenitätsstudie an Ratten resultierte die Gabe von 15, 30 und 60</w:t>
      </w:r>
      <w:r w:rsidR="007422D1" w:rsidRPr="00B30A12">
        <w:rPr>
          <w:color w:val="000000"/>
          <w:sz w:val="22"/>
          <w:szCs w:val="22"/>
        </w:rPr>
        <w:t> </w:t>
      </w:r>
      <w:r w:rsidRPr="00B30A12">
        <w:rPr>
          <w:color w:val="000000"/>
          <w:sz w:val="22"/>
          <w:szCs w:val="22"/>
        </w:rPr>
        <w:t>mg/kg/Tag Imatinib in einer statistisch signifikanten Reduktion der Lebensdauer der männlichen Tiere bei 60 mg/kg/Tag und der weiblichen Tiere bei Dosen von ≥</w:t>
      </w:r>
      <w:r w:rsidR="0013458D" w:rsidRPr="00B30A12">
        <w:rPr>
          <w:color w:val="000000"/>
          <w:sz w:val="22"/>
          <w:szCs w:val="22"/>
        </w:rPr>
        <w:t> </w:t>
      </w:r>
      <w:r w:rsidRPr="00B30A12">
        <w:rPr>
          <w:color w:val="000000"/>
          <w:sz w:val="22"/>
          <w:szCs w:val="22"/>
        </w:rPr>
        <w:t xml:space="preserve">30 mg/kg/Tag. Die histopathologische Untersuchung der verstorbenen Tiere ergab Kardiomyopathie (beide Geschlechter), chronische progressive Nephropathie (Weibchen) und Papillome der Präputialdrüse als vorrangige Todesursache oder als Grund für </w:t>
      </w:r>
      <w:r w:rsidR="00A02B92" w:rsidRPr="00B30A12">
        <w:rPr>
          <w:color w:val="000000"/>
          <w:sz w:val="22"/>
          <w:szCs w:val="22"/>
        </w:rPr>
        <w:t>die Tötung der Tiere</w:t>
      </w:r>
      <w:r w:rsidRPr="00B30A12">
        <w:rPr>
          <w:color w:val="000000"/>
          <w:sz w:val="22"/>
          <w:szCs w:val="22"/>
        </w:rPr>
        <w:t>. Die Zielorgane für neoplastische Veränderungen waren Nieren, Harnblase, Harnröhre, Präputial- und Klitorisdrüse, Dünndarm, Nebens</w:t>
      </w:r>
      <w:r w:rsidR="006B055D" w:rsidRPr="00B30A12">
        <w:rPr>
          <w:color w:val="000000"/>
          <w:sz w:val="22"/>
          <w:szCs w:val="22"/>
        </w:rPr>
        <w:t>childdrüsen, Nebennierendrüsen und</w:t>
      </w:r>
      <w:r w:rsidR="00A02B92" w:rsidRPr="00B30A12">
        <w:rPr>
          <w:color w:val="000000"/>
          <w:sz w:val="22"/>
          <w:szCs w:val="22"/>
        </w:rPr>
        <w:t xml:space="preserve"> </w:t>
      </w:r>
      <w:r w:rsidR="000F05FE" w:rsidRPr="00B30A12">
        <w:rPr>
          <w:color w:val="000000"/>
          <w:sz w:val="22"/>
          <w:szCs w:val="22"/>
        </w:rPr>
        <w:t>Antrum</w:t>
      </w:r>
      <w:r w:rsidR="006B055D" w:rsidRPr="00B30A12">
        <w:rPr>
          <w:color w:val="000000"/>
          <w:sz w:val="22"/>
          <w:szCs w:val="22"/>
        </w:rPr>
        <w:t>.</w:t>
      </w:r>
    </w:p>
    <w:p w14:paraId="78D80F94" w14:textId="77777777" w:rsidR="00C75754" w:rsidRPr="00B30A12" w:rsidRDefault="00C75754" w:rsidP="00537E23">
      <w:pPr>
        <w:widowControl w:val="0"/>
        <w:rPr>
          <w:color w:val="000000"/>
          <w:sz w:val="22"/>
          <w:szCs w:val="22"/>
        </w:rPr>
      </w:pPr>
    </w:p>
    <w:p w14:paraId="13DA9296" w14:textId="77777777" w:rsidR="00B027AD" w:rsidRPr="00B30A12" w:rsidRDefault="00C75754" w:rsidP="00537E23">
      <w:pPr>
        <w:widowControl w:val="0"/>
        <w:rPr>
          <w:color w:val="000000"/>
          <w:sz w:val="22"/>
          <w:szCs w:val="22"/>
          <w:lang w:val="en-US"/>
        </w:rPr>
      </w:pPr>
      <w:r w:rsidRPr="00B30A12">
        <w:rPr>
          <w:color w:val="000000"/>
          <w:sz w:val="22"/>
          <w:szCs w:val="22"/>
        </w:rPr>
        <w:t>Die Papillome/Karzinome der Präputial- bzw. Klitorisdrüse wurden bei Dos</w:t>
      </w:r>
      <w:r w:rsidR="0013458D" w:rsidRPr="00B30A12">
        <w:rPr>
          <w:color w:val="000000"/>
          <w:sz w:val="22"/>
          <w:szCs w:val="22"/>
        </w:rPr>
        <w:t>en von 30 </w:t>
      </w:r>
      <w:r w:rsidRPr="00B30A12">
        <w:rPr>
          <w:color w:val="000000"/>
          <w:sz w:val="22"/>
          <w:szCs w:val="22"/>
        </w:rPr>
        <w:t xml:space="preserve">mg/kg/Tag </w:t>
      </w:r>
      <w:r w:rsidR="0045784C" w:rsidRPr="00B30A12">
        <w:rPr>
          <w:color w:val="000000"/>
          <w:sz w:val="22"/>
          <w:szCs w:val="22"/>
        </w:rPr>
        <w:t xml:space="preserve">und mehr </w:t>
      </w:r>
      <w:r w:rsidRPr="00B30A12">
        <w:rPr>
          <w:color w:val="000000"/>
          <w:sz w:val="22"/>
          <w:szCs w:val="22"/>
        </w:rPr>
        <w:t>festgestellt. Dies entspricht (auf der Grundlage der AUC) etwa dem 0,5- bzw. 0,3fachen der täglichen Dosis von 400 mg/Tag bzw. 800 mg/Tag bei Erwachsenen und (auf der Grundlage der AUC) dem 0,4fachen der täglichen Dosis von 340 mg/m</w:t>
      </w:r>
      <w:r w:rsidRPr="00B30A12">
        <w:rPr>
          <w:color w:val="000000"/>
          <w:sz w:val="22"/>
          <w:szCs w:val="22"/>
          <w:vertAlign w:val="superscript"/>
        </w:rPr>
        <w:t>2</w:t>
      </w:r>
      <w:r w:rsidR="0045784C" w:rsidRPr="00B30A12">
        <w:rPr>
          <w:color w:val="000000"/>
          <w:sz w:val="22"/>
          <w:szCs w:val="22"/>
        </w:rPr>
        <w:t>/Tag</w:t>
      </w:r>
      <w:r w:rsidRPr="00B30A12">
        <w:rPr>
          <w:color w:val="000000"/>
          <w:sz w:val="22"/>
          <w:szCs w:val="22"/>
        </w:rPr>
        <w:t xml:space="preserve"> bei Kindern. </w:t>
      </w:r>
      <w:r w:rsidR="0045784C" w:rsidRPr="00B30A12">
        <w:rPr>
          <w:color w:val="000000"/>
          <w:sz w:val="22"/>
          <w:szCs w:val="22"/>
          <w:lang w:val="en-US"/>
        </w:rPr>
        <w:t>Der „No Observed Effect Level“ (NOEL) betrug 15</w:t>
      </w:r>
      <w:r w:rsidR="0013458D" w:rsidRPr="00B30A12">
        <w:rPr>
          <w:color w:val="000000"/>
          <w:sz w:val="22"/>
          <w:szCs w:val="22"/>
          <w:lang w:val="en-US"/>
        </w:rPr>
        <w:t> </w:t>
      </w:r>
      <w:r w:rsidR="0045784C" w:rsidRPr="00B30A12">
        <w:rPr>
          <w:color w:val="000000"/>
          <w:sz w:val="22"/>
          <w:szCs w:val="22"/>
          <w:lang w:val="en-US"/>
        </w:rPr>
        <w:t xml:space="preserve">mg/kg/Tag. </w:t>
      </w:r>
      <w:r w:rsidR="00B027AD" w:rsidRPr="00B30A12">
        <w:rPr>
          <w:color w:val="000000"/>
          <w:sz w:val="22"/>
          <w:szCs w:val="22"/>
        </w:rPr>
        <w:t>Die renalen Adenome/Karzinome, die Papillome der Harnblase und Ha</w:t>
      </w:r>
      <w:r w:rsidR="00B536A2" w:rsidRPr="00B30A12">
        <w:rPr>
          <w:color w:val="000000"/>
          <w:sz w:val="22"/>
          <w:szCs w:val="22"/>
        </w:rPr>
        <w:t>r</w:t>
      </w:r>
      <w:r w:rsidR="00B027AD" w:rsidRPr="00B30A12">
        <w:rPr>
          <w:color w:val="000000"/>
          <w:sz w:val="22"/>
          <w:szCs w:val="22"/>
        </w:rPr>
        <w:t xml:space="preserve">nröhre, die Adenokarzinome des Dünndarms, die Adenome der Nebenschilddrüsen, die benignen und malignen medullären Tumoren der Nebennierendrüsen und die Papillome/Karzinome des </w:t>
      </w:r>
      <w:r w:rsidR="000F05FE" w:rsidRPr="00B30A12">
        <w:rPr>
          <w:color w:val="000000"/>
          <w:sz w:val="22"/>
          <w:szCs w:val="22"/>
        </w:rPr>
        <w:t>Antrum</w:t>
      </w:r>
      <w:r w:rsidR="00A02B92" w:rsidRPr="00B30A12">
        <w:rPr>
          <w:color w:val="000000"/>
          <w:sz w:val="22"/>
          <w:szCs w:val="22"/>
        </w:rPr>
        <w:t xml:space="preserve">s </w:t>
      </w:r>
      <w:r w:rsidR="00B027AD" w:rsidRPr="00B30A12">
        <w:rPr>
          <w:color w:val="000000"/>
          <w:sz w:val="22"/>
          <w:szCs w:val="22"/>
        </w:rPr>
        <w:t>wurden bei 60 mg/kg/Tag beobachtet</w:t>
      </w:r>
      <w:r w:rsidR="0045784C" w:rsidRPr="00B30A12">
        <w:rPr>
          <w:color w:val="000000"/>
          <w:sz w:val="22"/>
          <w:szCs w:val="22"/>
        </w:rPr>
        <w:t>, entsprechend (auf der Grundlage der AUC) dem etwa 1</w:t>
      </w:r>
      <w:r w:rsidR="00237C79" w:rsidRPr="00B30A12">
        <w:rPr>
          <w:color w:val="000000"/>
          <w:sz w:val="22"/>
          <w:szCs w:val="22"/>
        </w:rPr>
        <w:t>,7</w:t>
      </w:r>
      <w:r w:rsidR="00F41841" w:rsidRPr="00B30A12">
        <w:rPr>
          <w:color w:val="000000"/>
          <w:sz w:val="22"/>
          <w:szCs w:val="22"/>
        </w:rPr>
        <w:t xml:space="preserve">- </w:t>
      </w:r>
      <w:r w:rsidR="00237C79" w:rsidRPr="00B30A12">
        <w:rPr>
          <w:color w:val="000000"/>
          <w:sz w:val="22"/>
          <w:szCs w:val="22"/>
        </w:rPr>
        <w:t>bzw. 1</w:t>
      </w:r>
      <w:r w:rsidR="0045784C" w:rsidRPr="00B30A12">
        <w:rPr>
          <w:color w:val="000000"/>
          <w:sz w:val="22"/>
          <w:szCs w:val="22"/>
        </w:rPr>
        <w:t>fachen der täglichen Dosis von 400 mg/Tag bzw. 800 mg/Tag und (auf der Grundlage der AUC) dem 1,2fachen der täglichen Dosis von 340 mg/m</w:t>
      </w:r>
      <w:r w:rsidR="0045784C" w:rsidRPr="00B30A12">
        <w:rPr>
          <w:color w:val="000000"/>
          <w:sz w:val="22"/>
          <w:szCs w:val="22"/>
          <w:vertAlign w:val="superscript"/>
        </w:rPr>
        <w:t>2</w:t>
      </w:r>
      <w:r w:rsidR="0045784C" w:rsidRPr="00B30A12">
        <w:rPr>
          <w:color w:val="000000"/>
          <w:sz w:val="22"/>
          <w:szCs w:val="22"/>
        </w:rPr>
        <w:t>/Tag bei Kindern</w:t>
      </w:r>
      <w:r w:rsidR="00B027AD" w:rsidRPr="00B30A12">
        <w:rPr>
          <w:color w:val="000000"/>
          <w:sz w:val="22"/>
          <w:szCs w:val="22"/>
        </w:rPr>
        <w:t>.</w:t>
      </w:r>
      <w:r w:rsidR="0045784C" w:rsidRPr="00B30A12">
        <w:rPr>
          <w:color w:val="000000"/>
          <w:sz w:val="22"/>
          <w:szCs w:val="22"/>
        </w:rPr>
        <w:t xml:space="preserve"> </w:t>
      </w:r>
      <w:r w:rsidR="0045784C" w:rsidRPr="00B30A12">
        <w:rPr>
          <w:color w:val="000000"/>
          <w:sz w:val="22"/>
          <w:szCs w:val="22"/>
          <w:lang w:val="en-US"/>
        </w:rPr>
        <w:t>Der „No Observed Effect Level“ (NOEL) betrug 30</w:t>
      </w:r>
      <w:r w:rsidR="0013458D" w:rsidRPr="00B30A12">
        <w:rPr>
          <w:color w:val="000000"/>
          <w:sz w:val="22"/>
          <w:szCs w:val="22"/>
          <w:lang w:val="en-US"/>
        </w:rPr>
        <w:t> </w:t>
      </w:r>
      <w:r w:rsidR="0045784C" w:rsidRPr="00B30A12">
        <w:rPr>
          <w:color w:val="000000"/>
          <w:sz w:val="22"/>
          <w:szCs w:val="22"/>
          <w:lang w:val="en-US"/>
        </w:rPr>
        <w:t>mg/kg/Tag.</w:t>
      </w:r>
    </w:p>
    <w:p w14:paraId="433634AC" w14:textId="77777777" w:rsidR="00C75754" w:rsidRPr="00B30A12" w:rsidRDefault="00C75754" w:rsidP="00537E23">
      <w:pPr>
        <w:widowControl w:val="0"/>
        <w:rPr>
          <w:color w:val="000000"/>
          <w:sz w:val="22"/>
          <w:szCs w:val="22"/>
          <w:lang w:val="en-US"/>
        </w:rPr>
      </w:pPr>
    </w:p>
    <w:p w14:paraId="118F7C76" w14:textId="77777777" w:rsidR="00C75754" w:rsidRPr="00B30A12" w:rsidRDefault="00C75754" w:rsidP="00537E23">
      <w:pPr>
        <w:widowControl w:val="0"/>
        <w:rPr>
          <w:color w:val="000000"/>
          <w:sz w:val="22"/>
          <w:szCs w:val="22"/>
        </w:rPr>
      </w:pPr>
      <w:r w:rsidRPr="00B30A12">
        <w:rPr>
          <w:color w:val="000000"/>
          <w:sz w:val="22"/>
          <w:szCs w:val="22"/>
        </w:rPr>
        <w:t xml:space="preserve">Der Mechanismus und die Bedeutung dieser Befunde für den Menschen aus der Kanzerogenitätsstudie an Ratten </w:t>
      </w:r>
      <w:r w:rsidR="00E16221" w:rsidRPr="00B30A12">
        <w:rPr>
          <w:color w:val="000000"/>
          <w:sz w:val="22"/>
          <w:szCs w:val="22"/>
        </w:rPr>
        <w:t xml:space="preserve">sind </w:t>
      </w:r>
      <w:r w:rsidRPr="00B30A12">
        <w:rPr>
          <w:color w:val="000000"/>
          <w:sz w:val="22"/>
          <w:szCs w:val="22"/>
        </w:rPr>
        <w:t>noch nicht geklärt.</w:t>
      </w:r>
    </w:p>
    <w:p w14:paraId="48A66367" w14:textId="77777777" w:rsidR="00B027AD" w:rsidRPr="00B30A12" w:rsidRDefault="00B027AD" w:rsidP="00537E23">
      <w:pPr>
        <w:widowControl w:val="0"/>
        <w:rPr>
          <w:color w:val="000000"/>
          <w:sz w:val="22"/>
          <w:szCs w:val="22"/>
        </w:rPr>
      </w:pPr>
    </w:p>
    <w:p w14:paraId="32404A86" w14:textId="77777777" w:rsidR="00B027AD" w:rsidRPr="00B30A12" w:rsidRDefault="00B027AD" w:rsidP="00537E23">
      <w:pPr>
        <w:widowControl w:val="0"/>
        <w:rPr>
          <w:color w:val="000000"/>
          <w:sz w:val="22"/>
          <w:szCs w:val="22"/>
        </w:rPr>
      </w:pPr>
      <w:r w:rsidRPr="00B30A12">
        <w:rPr>
          <w:color w:val="000000"/>
          <w:sz w:val="22"/>
          <w:szCs w:val="22"/>
        </w:rPr>
        <w:t>Nichtneoplasti</w:t>
      </w:r>
      <w:r w:rsidR="00A02B92" w:rsidRPr="00B30A12">
        <w:rPr>
          <w:color w:val="000000"/>
          <w:sz w:val="22"/>
          <w:szCs w:val="22"/>
        </w:rPr>
        <w:t>s</w:t>
      </w:r>
      <w:r w:rsidRPr="00B30A12">
        <w:rPr>
          <w:color w:val="000000"/>
          <w:sz w:val="22"/>
          <w:szCs w:val="22"/>
        </w:rPr>
        <w:t xml:space="preserve">che Läsionen, die in früheren präklinischen Studien nicht gesehen wurden, betrafen das kardiovaskuläre System, </w:t>
      </w:r>
      <w:r w:rsidR="003F7ABD" w:rsidRPr="00B30A12">
        <w:rPr>
          <w:color w:val="000000"/>
          <w:sz w:val="22"/>
          <w:szCs w:val="22"/>
        </w:rPr>
        <w:t xml:space="preserve">das </w:t>
      </w:r>
      <w:r w:rsidRPr="00B30A12">
        <w:rPr>
          <w:color w:val="000000"/>
          <w:sz w:val="22"/>
          <w:szCs w:val="22"/>
        </w:rPr>
        <w:t>Pankreas, die endokrinen Organe und die Zähne.</w:t>
      </w:r>
      <w:r w:rsidR="00F51D38" w:rsidRPr="00B30A12">
        <w:rPr>
          <w:color w:val="000000"/>
          <w:sz w:val="22"/>
          <w:szCs w:val="22"/>
        </w:rPr>
        <w:t xml:space="preserve"> Die wichtigsten Veränderungen beinhalteten kardiale Hypertrophie und Dilatation, die bei einigen Tieren zu Anzeichen einer Herzinsuffizienz führten.</w:t>
      </w:r>
    </w:p>
    <w:p w14:paraId="6777C3EE" w14:textId="77777777" w:rsidR="007F463D" w:rsidRPr="00B30A12" w:rsidRDefault="007F463D" w:rsidP="00537E23">
      <w:pPr>
        <w:widowControl w:val="0"/>
        <w:rPr>
          <w:color w:val="000000"/>
          <w:sz w:val="22"/>
          <w:szCs w:val="22"/>
        </w:rPr>
      </w:pPr>
    </w:p>
    <w:p w14:paraId="78A465B6" w14:textId="77777777" w:rsidR="007F463D" w:rsidRPr="00B30A12" w:rsidRDefault="007F463D" w:rsidP="00537E23">
      <w:pPr>
        <w:widowControl w:val="0"/>
        <w:rPr>
          <w:color w:val="000000"/>
          <w:sz w:val="22"/>
          <w:szCs w:val="22"/>
        </w:rPr>
      </w:pPr>
      <w:r w:rsidRPr="00B30A12">
        <w:rPr>
          <w:color w:val="000000"/>
          <w:sz w:val="22"/>
          <w:szCs w:val="22"/>
        </w:rPr>
        <w:t xml:space="preserve">Der Wirkstoff Imatinib zeigt ein Umweltrisiko für </w:t>
      </w:r>
      <w:r w:rsidR="00FC09D2" w:rsidRPr="00B30A12">
        <w:rPr>
          <w:color w:val="000000"/>
          <w:sz w:val="22"/>
          <w:szCs w:val="22"/>
        </w:rPr>
        <w:t>Sediment</w:t>
      </w:r>
      <w:r w:rsidRPr="00B30A12">
        <w:rPr>
          <w:color w:val="000000"/>
          <w:sz w:val="22"/>
          <w:szCs w:val="22"/>
        </w:rPr>
        <w:t>organismen.</w:t>
      </w:r>
    </w:p>
    <w:p w14:paraId="55DEF8AB" w14:textId="77777777" w:rsidR="006615F9" w:rsidRPr="00B30A12" w:rsidRDefault="006615F9" w:rsidP="00537E23">
      <w:pPr>
        <w:widowControl w:val="0"/>
        <w:rPr>
          <w:color w:val="000000"/>
          <w:sz w:val="22"/>
          <w:szCs w:val="22"/>
        </w:rPr>
      </w:pPr>
    </w:p>
    <w:p w14:paraId="65F69435" w14:textId="77777777" w:rsidR="006615F9" w:rsidRPr="00B30A12" w:rsidRDefault="006615F9" w:rsidP="00537E23">
      <w:pPr>
        <w:widowControl w:val="0"/>
        <w:rPr>
          <w:color w:val="000000"/>
          <w:sz w:val="22"/>
          <w:szCs w:val="22"/>
        </w:rPr>
      </w:pPr>
    </w:p>
    <w:p w14:paraId="3FA09829" w14:textId="77777777" w:rsidR="006615F9" w:rsidRPr="00B30A12" w:rsidRDefault="006615F9" w:rsidP="007A26D7">
      <w:pPr>
        <w:keepNext/>
        <w:widowControl w:val="0"/>
        <w:ind w:left="567" w:hanging="567"/>
        <w:rPr>
          <w:color w:val="000000"/>
          <w:sz w:val="22"/>
          <w:szCs w:val="22"/>
        </w:rPr>
      </w:pPr>
      <w:r w:rsidRPr="00B30A12">
        <w:rPr>
          <w:b/>
          <w:color w:val="000000"/>
          <w:sz w:val="22"/>
          <w:szCs w:val="22"/>
        </w:rPr>
        <w:t>6.</w:t>
      </w:r>
      <w:r w:rsidRPr="00B30A12">
        <w:rPr>
          <w:b/>
          <w:color w:val="000000"/>
          <w:sz w:val="22"/>
          <w:szCs w:val="22"/>
        </w:rPr>
        <w:tab/>
        <w:t>PHARMAZEUTISCHE ANGABEN</w:t>
      </w:r>
    </w:p>
    <w:p w14:paraId="0EFA2DBF" w14:textId="77777777" w:rsidR="006615F9" w:rsidRPr="00B30A12" w:rsidRDefault="006615F9" w:rsidP="007A26D7">
      <w:pPr>
        <w:pStyle w:val="EndnoteText"/>
        <w:keepNext/>
        <w:widowControl w:val="0"/>
        <w:rPr>
          <w:color w:val="000000"/>
          <w:sz w:val="22"/>
          <w:szCs w:val="22"/>
          <w:lang w:val="de-DE"/>
        </w:rPr>
      </w:pPr>
    </w:p>
    <w:p w14:paraId="2EB9AB7D" w14:textId="77777777" w:rsidR="006615F9" w:rsidRPr="00B30A12" w:rsidRDefault="006615F9" w:rsidP="007A26D7">
      <w:pPr>
        <w:keepNext/>
        <w:widowControl w:val="0"/>
        <w:ind w:left="567" w:hanging="567"/>
        <w:rPr>
          <w:b/>
          <w:color w:val="000000"/>
          <w:sz w:val="22"/>
          <w:szCs w:val="22"/>
        </w:rPr>
      </w:pPr>
      <w:r w:rsidRPr="00B30A12">
        <w:rPr>
          <w:b/>
          <w:color w:val="000000"/>
          <w:sz w:val="22"/>
          <w:szCs w:val="22"/>
        </w:rPr>
        <w:t>6.1</w:t>
      </w:r>
      <w:r w:rsidRPr="00B30A12">
        <w:rPr>
          <w:b/>
          <w:color w:val="000000"/>
          <w:sz w:val="22"/>
          <w:szCs w:val="22"/>
        </w:rPr>
        <w:tab/>
      </w:r>
      <w:r w:rsidR="00707B86" w:rsidRPr="00B30A12">
        <w:rPr>
          <w:b/>
          <w:color w:val="000000"/>
          <w:sz w:val="22"/>
          <w:szCs w:val="22"/>
        </w:rPr>
        <w:t>Liste der sonstigen Bestandteile</w:t>
      </w:r>
    </w:p>
    <w:p w14:paraId="23F4AF9B" w14:textId="77777777" w:rsidR="006615F9" w:rsidRPr="00B30A12" w:rsidRDefault="006615F9" w:rsidP="007A26D7">
      <w:pPr>
        <w:keepNext/>
        <w:widowControl w:val="0"/>
        <w:rPr>
          <w:color w:val="000000"/>
          <w:sz w:val="22"/>
          <w:szCs w:val="22"/>
        </w:rPr>
      </w:pPr>
    </w:p>
    <w:p w14:paraId="63D7444E" w14:textId="77777777" w:rsidR="00C52C6F" w:rsidRPr="00B30A12" w:rsidRDefault="00C52C6F" w:rsidP="007A26D7">
      <w:pPr>
        <w:pStyle w:val="Header"/>
        <w:keepNext/>
        <w:widowControl w:val="0"/>
        <w:tabs>
          <w:tab w:val="clear" w:pos="4320"/>
          <w:tab w:val="clear" w:pos="8640"/>
          <w:tab w:val="left" w:pos="1701"/>
        </w:tabs>
        <w:rPr>
          <w:color w:val="000000"/>
          <w:szCs w:val="22"/>
        </w:rPr>
      </w:pPr>
      <w:r w:rsidRPr="00B30A12">
        <w:rPr>
          <w:color w:val="000000"/>
          <w:szCs w:val="22"/>
        </w:rPr>
        <w:t>Kapselinhalt</w:t>
      </w:r>
      <w:r w:rsidRPr="00B30A12">
        <w:rPr>
          <w:color w:val="000000"/>
          <w:szCs w:val="22"/>
        </w:rPr>
        <w:tab/>
        <w:t>Mikrokristalline Cellulose</w:t>
      </w:r>
    </w:p>
    <w:p w14:paraId="54645D88" w14:textId="77777777" w:rsidR="00C52C6F" w:rsidRPr="00B30A12" w:rsidRDefault="00C52C6F" w:rsidP="007A26D7">
      <w:pPr>
        <w:keepNext/>
        <w:widowControl w:val="0"/>
        <w:tabs>
          <w:tab w:val="left" w:pos="1701"/>
        </w:tabs>
        <w:ind w:left="1134" w:firstLine="567"/>
        <w:rPr>
          <w:color w:val="000000"/>
          <w:sz w:val="22"/>
          <w:szCs w:val="22"/>
        </w:rPr>
      </w:pPr>
      <w:r w:rsidRPr="00B30A12">
        <w:rPr>
          <w:color w:val="000000"/>
          <w:sz w:val="22"/>
          <w:szCs w:val="22"/>
        </w:rPr>
        <w:t>Crospovidon</w:t>
      </w:r>
    </w:p>
    <w:p w14:paraId="29650FDC" w14:textId="77777777" w:rsidR="00C52C6F" w:rsidRPr="00B30A12" w:rsidRDefault="00C52C6F" w:rsidP="007A26D7">
      <w:pPr>
        <w:keepNext/>
        <w:widowControl w:val="0"/>
        <w:ind w:left="1134" w:firstLine="567"/>
        <w:rPr>
          <w:color w:val="000000"/>
          <w:sz w:val="22"/>
          <w:szCs w:val="22"/>
        </w:rPr>
      </w:pPr>
      <w:r w:rsidRPr="00B30A12">
        <w:rPr>
          <w:color w:val="000000"/>
          <w:sz w:val="22"/>
          <w:szCs w:val="22"/>
        </w:rPr>
        <w:t>Magnesiumstearat</w:t>
      </w:r>
      <w:r w:rsidR="000F76A4" w:rsidRPr="00B30A12">
        <w:rPr>
          <w:color w:val="000000"/>
          <w:sz w:val="22"/>
          <w:szCs w:val="22"/>
        </w:rPr>
        <w:t xml:space="preserve"> [pflanzlich]</w:t>
      </w:r>
    </w:p>
    <w:p w14:paraId="251E4284" w14:textId="77777777" w:rsidR="00C52C6F" w:rsidRPr="00B30A12" w:rsidRDefault="00C52C6F" w:rsidP="00537E23">
      <w:pPr>
        <w:widowControl w:val="0"/>
        <w:tabs>
          <w:tab w:val="left" w:pos="1701"/>
        </w:tabs>
        <w:ind w:left="1134" w:firstLine="567"/>
        <w:rPr>
          <w:color w:val="000000"/>
          <w:sz w:val="22"/>
          <w:szCs w:val="22"/>
        </w:rPr>
      </w:pPr>
      <w:r w:rsidRPr="00B30A12">
        <w:rPr>
          <w:color w:val="000000"/>
          <w:sz w:val="22"/>
          <w:szCs w:val="22"/>
        </w:rPr>
        <w:t>hochdisperses Siliciumdioxid</w:t>
      </w:r>
    </w:p>
    <w:p w14:paraId="14EA8265" w14:textId="77777777" w:rsidR="00C52C6F" w:rsidRPr="00B30A12" w:rsidRDefault="00C52C6F" w:rsidP="00537E23">
      <w:pPr>
        <w:widowControl w:val="0"/>
        <w:tabs>
          <w:tab w:val="left" w:pos="1701"/>
        </w:tabs>
        <w:rPr>
          <w:color w:val="000000"/>
          <w:sz w:val="22"/>
          <w:szCs w:val="22"/>
        </w:rPr>
      </w:pPr>
    </w:p>
    <w:p w14:paraId="03991843" w14:textId="77777777" w:rsidR="00C52C6F" w:rsidRPr="00B30A12" w:rsidRDefault="00C52C6F" w:rsidP="007A26D7">
      <w:pPr>
        <w:keepNext/>
        <w:widowControl w:val="0"/>
        <w:tabs>
          <w:tab w:val="left" w:pos="1701"/>
        </w:tabs>
        <w:rPr>
          <w:color w:val="000000"/>
          <w:sz w:val="22"/>
          <w:szCs w:val="22"/>
        </w:rPr>
      </w:pPr>
      <w:r w:rsidRPr="00B30A12">
        <w:rPr>
          <w:color w:val="000000"/>
          <w:sz w:val="22"/>
          <w:szCs w:val="22"/>
        </w:rPr>
        <w:lastRenderedPageBreak/>
        <w:t>Kapselhülle</w:t>
      </w:r>
      <w:r w:rsidRPr="00B30A12">
        <w:rPr>
          <w:color w:val="000000"/>
          <w:sz w:val="22"/>
          <w:szCs w:val="22"/>
        </w:rPr>
        <w:tab/>
        <w:t>Gelatine</w:t>
      </w:r>
    </w:p>
    <w:p w14:paraId="23448554" w14:textId="77777777" w:rsidR="00C52C6F" w:rsidRPr="00B30A12" w:rsidRDefault="001371BD" w:rsidP="007A26D7">
      <w:pPr>
        <w:keepNext/>
        <w:widowControl w:val="0"/>
        <w:ind w:left="1134" w:firstLine="567"/>
        <w:rPr>
          <w:color w:val="000000"/>
          <w:sz w:val="22"/>
          <w:szCs w:val="22"/>
        </w:rPr>
      </w:pPr>
      <w:r w:rsidRPr="00B30A12">
        <w:rPr>
          <w:color w:val="000000"/>
          <w:sz w:val="22"/>
          <w:szCs w:val="22"/>
        </w:rPr>
        <w:t>Eisen</w:t>
      </w:r>
      <w:r w:rsidR="00C52C6F" w:rsidRPr="00B30A12">
        <w:rPr>
          <w:color w:val="000000"/>
          <w:sz w:val="22"/>
          <w:szCs w:val="22"/>
        </w:rPr>
        <w:t>(</w:t>
      </w:r>
      <w:smartTag w:uri="urn:schemas-microsoft-com:office:smarttags" w:element="stockticker">
        <w:r w:rsidR="00C52C6F" w:rsidRPr="00B30A12">
          <w:rPr>
            <w:color w:val="000000"/>
            <w:sz w:val="22"/>
            <w:szCs w:val="22"/>
          </w:rPr>
          <w:t>III</w:t>
        </w:r>
      </w:smartTag>
      <w:r w:rsidR="00C52C6F" w:rsidRPr="00B30A12">
        <w:rPr>
          <w:color w:val="000000"/>
          <w:sz w:val="22"/>
          <w:szCs w:val="22"/>
        </w:rPr>
        <w:t>)-oxid (E 172</w:t>
      </w:r>
      <w:r w:rsidR="00372A8A" w:rsidRPr="00B30A12">
        <w:rPr>
          <w:color w:val="000000"/>
          <w:sz w:val="22"/>
          <w:szCs w:val="22"/>
        </w:rPr>
        <w:t>, rot</w:t>
      </w:r>
      <w:r w:rsidR="00C52C6F" w:rsidRPr="00B30A12">
        <w:rPr>
          <w:color w:val="000000"/>
          <w:sz w:val="22"/>
          <w:szCs w:val="22"/>
        </w:rPr>
        <w:t>)</w:t>
      </w:r>
    </w:p>
    <w:p w14:paraId="16BBA9D4" w14:textId="77777777" w:rsidR="00C52C6F" w:rsidRPr="00B30A12" w:rsidRDefault="00372A8A" w:rsidP="007A26D7">
      <w:pPr>
        <w:keepNext/>
        <w:widowControl w:val="0"/>
        <w:ind w:left="1134" w:firstLine="567"/>
        <w:rPr>
          <w:color w:val="000000"/>
          <w:sz w:val="22"/>
          <w:szCs w:val="22"/>
        </w:rPr>
      </w:pPr>
      <w:r w:rsidRPr="00B30A12">
        <w:rPr>
          <w:sz w:val="22"/>
          <w:szCs w:val="22"/>
          <w:lang w:val="de-CH"/>
        </w:rPr>
        <w:t>Eisen(III)-hydroxid-oxid x H</w:t>
      </w:r>
      <w:r w:rsidRPr="00B30A12">
        <w:rPr>
          <w:sz w:val="22"/>
          <w:szCs w:val="22"/>
          <w:vertAlign w:val="subscript"/>
          <w:lang w:val="de-CH"/>
        </w:rPr>
        <w:t>2</w:t>
      </w:r>
      <w:r w:rsidRPr="00B30A12">
        <w:rPr>
          <w:sz w:val="22"/>
          <w:szCs w:val="22"/>
          <w:lang w:val="de-CH"/>
        </w:rPr>
        <w:t>O</w:t>
      </w:r>
      <w:r w:rsidR="00C52C6F" w:rsidRPr="00B30A12">
        <w:rPr>
          <w:color w:val="000000"/>
          <w:sz w:val="22"/>
          <w:szCs w:val="22"/>
        </w:rPr>
        <w:t xml:space="preserve"> (E 172</w:t>
      </w:r>
      <w:r w:rsidRPr="00B30A12">
        <w:rPr>
          <w:color w:val="000000"/>
          <w:sz w:val="22"/>
          <w:szCs w:val="22"/>
        </w:rPr>
        <w:t>, gelb</w:t>
      </w:r>
      <w:r w:rsidR="00C52C6F" w:rsidRPr="00B30A12">
        <w:rPr>
          <w:color w:val="000000"/>
          <w:sz w:val="22"/>
          <w:szCs w:val="22"/>
        </w:rPr>
        <w:t>)</w:t>
      </w:r>
    </w:p>
    <w:p w14:paraId="386EFA57" w14:textId="77777777" w:rsidR="00C52C6F" w:rsidRPr="00B30A12" w:rsidRDefault="00C52C6F" w:rsidP="00537E23">
      <w:pPr>
        <w:widowControl w:val="0"/>
        <w:ind w:left="1134" w:firstLine="567"/>
        <w:rPr>
          <w:color w:val="000000"/>
          <w:sz w:val="22"/>
          <w:szCs w:val="22"/>
        </w:rPr>
      </w:pPr>
      <w:r w:rsidRPr="00B30A12">
        <w:rPr>
          <w:color w:val="000000"/>
          <w:sz w:val="22"/>
          <w:szCs w:val="22"/>
        </w:rPr>
        <w:t>Titandioxid (E 171)</w:t>
      </w:r>
    </w:p>
    <w:p w14:paraId="1486AAA8" w14:textId="77777777" w:rsidR="00C52C6F" w:rsidRPr="00B30A12" w:rsidRDefault="00C52C6F" w:rsidP="00537E23">
      <w:pPr>
        <w:widowControl w:val="0"/>
        <w:rPr>
          <w:color w:val="000000"/>
          <w:sz w:val="22"/>
          <w:szCs w:val="22"/>
        </w:rPr>
      </w:pPr>
    </w:p>
    <w:p w14:paraId="0D4DBAB6" w14:textId="77777777" w:rsidR="00C52C6F" w:rsidRPr="00B30A12" w:rsidRDefault="00C52C6F" w:rsidP="007A26D7">
      <w:pPr>
        <w:pStyle w:val="BodyText3"/>
        <w:keepNext/>
        <w:widowControl w:val="0"/>
        <w:tabs>
          <w:tab w:val="left" w:pos="1701"/>
        </w:tabs>
        <w:rPr>
          <w:color w:val="000000"/>
          <w:szCs w:val="22"/>
        </w:rPr>
      </w:pPr>
      <w:r w:rsidRPr="00B30A12">
        <w:rPr>
          <w:color w:val="000000"/>
          <w:szCs w:val="22"/>
        </w:rPr>
        <w:t>Drucktinte</w:t>
      </w:r>
      <w:r w:rsidRPr="00B30A12">
        <w:rPr>
          <w:color w:val="000000"/>
          <w:szCs w:val="22"/>
        </w:rPr>
        <w:tab/>
        <w:t>Eisen(</w:t>
      </w:r>
      <w:smartTag w:uri="urn:schemas-microsoft-com:office:smarttags" w:element="stockticker">
        <w:r w:rsidRPr="00B30A12">
          <w:rPr>
            <w:color w:val="000000"/>
            <w:szCs w:val="22"/>
          </w:rPr>
          <w:t>III</w:t>
        </w:r>
      </w:smartTag>
      <w:r w:rsidRPr="00B30A12">
        <w:rPr>
          <w:color w:val="000000"/>
          <w:szCs w:val="22"/>
        </w:rPr>
        <w:t>)-oxid (E 172</w:t>
      </w:r>
      <w:r w:rsidR="00372A8A" w:rsidRPr="00B30A12">
        <w:rPr>
          <w:color w:val="000000"/>
          <w:szCs w:val="22"/>
        </w:rPr>
        <w:t>, rot</w:t>
      </w:r>
      <w:r w:rsidRPr="00B30A12">
        <w:rPr>
          <w:color w:val="000000"/>
          <w:szCs w:val="22"/>
        </w:rPr>
        <w:t>)</w:t>
      </w:r>
    </w:p>
    <w:p w14:paraId="7A009D1F" w14:textId="77777777" w:rsidR="00C52C6F" w:rsidRPr="00B30A12" w:rsidRDefault="00C52C6F" w:rsidP="00537E23">
      <w:pPr>
        <w:pStyle w:val="BodyText3"/>
        <w:widowControl w:val="0"/>
        <w:ind w:left="1701"/>
        <w:rPr>
          <w:color w:val="000000"/>
          <w:szCs w:val="22"/>
        </w:rPr>
      </w:pPr>
      <w:r w:rsidRPr="00B30A12">
        <w:rPr>
          <w:color w:val="000000"/>
          <w:szCs w:val="22"/>
        </w:rPr>
        <w:t>Schellack</w:t>
      </w:r>
    </w:p>
    <w:p w14:paraId="0498B9A2" w14:textId="77777777" w:rsidR="00C52C6F" w:rsidRPr="00B30A12" w:rsidRDefault="00C52C6F" w:rsidP="00537E23">
      <w:pPr>
        <w:widowControl w:val="0"/>
        <w:rPr>
          <w:color w:val="000000"/>
          <w:sz w:val="22"/>
          <w:szCs w:val="22"/>
        </w:rPr>
      </w:pPr>
    </w:p>
    <w:p w14:paraId="721629A1" w14:textId="77777777" w:rsidR="006615F9" w:rsidRPr="00B30A12" w:rsidRDefault="006615F9" w:rsidP="007A26D7">
      <w:pPr>
        <w:keepNext/>
        <w:widowControl w:val="0"/>
        <w:rPr>
          <w:color w:val="000000"/>
          <w:sz w:val="22"/>
          <w:szCs w:val="22"/>
        </w:rPr>
      </w:pPr>
      <w:r w:rsidRPr="00B30A12">
        <w:rPr>
          <w:b/>
          <w:color w:val="000000"/>
          <w:sz w:val="22"/>
          <w:szCs w:val="22"/>
        </w:rPr>
        <w:t>6.2</w:t>
      </w:r>
      <w:r w:rsidRPr="00B30A12">
        <w:rPr>
          <w:b/>
          <w:color w:val="000000"/>
          <w:sz w:val="22"/>
          <w:szCs w:val="22"/>
        </w:rPr>
        <w:tab/>
        <w:t>Inkompatibilitäten</w:t>
      </w:r>
    </w:p>
    <w:p w14:paraId="57480504" w14:textId="77777777" w:rsidR="006615F9" w:rsidRPr="00B30A12" w:rsidRDefault="006615F9" w:rsidP="007A26D7">
      <w:pPr>
        <w:keepNext/>
        <w:widowControl w:val="0"/>
        <w:rPr>
          <w:color w:val="000000"/>
          <w:sz w:val="22"/>
          <w:szCs w:val="22"/>
        </w:rPr>
      </w:pPr>
    </w:p>
    <w:p w14:paraId="00F54A4A" w14:textId="77777777" w:rsidR="006615F9" w:rsidRPr="00B30A12" w:rsidRDefault="006615F9" w:rsidP="00537E23">
      <w:pPr>
        <w:widowControl w:val="0"/>
        <w:rPr>
          <w:color w:val="000000"/>
          <w:sz w:val="22"/>
          <w:szCs w:val="22"/>
        </w:rPr>
      </w:pPr>
      <w:r w:rsidRPr="00B30A12">
        <w:rPr>
          <w:color w:val="000000"/>
          <w:sz w:val="22"/>
          <w:szCs w:val="22"/>
        </w:rPr>
        <w:t>Nicht zutreffend</w:t>
      </w:r>
      <w:r w:rsidR="00F8593A" w:rsidRPr="00B30A12">
        <w:rPr>
          <w:color w:val="000000"/>
          <w:sz w:val="22"/>
          <w:szCs w:val="22"/>
        </w:rPr>
        <w:t>.</w:t>
      </w:r>
    </w:p>
    <w:p w14:paraId="5D2FB892" w14:textId="77777777" w:rsidR="006615F9" w:rsidRPr="00B30A12" w:rsidRDefault="006615F9" w:rsidP="00537E23">
      <w:pPr>
        <w:widowControl w:val="0"/>
        <w:rPr>
          <w:color w:val="000000"/>
          <w:sz w:val="22"/>
          <w:szCs w:val="22"/>
        </w:rPr>
      </w:pPr>
    </w:p>
    <w:p w14:paraId="0AC8A205" w14:textId="77777777" w:rsidR="006615F9" w:rsidRPr="00B30A12" w:rsidRDefault="006615F9" w:rsidP="007A26D7">
      <w:pPr>
        <w:keepNext/>
        <w:widowControl w:val="0"/>
        <w:rPr>
          <w:color w:val="000000"/>
          <w:sz w:val="22"/>
          <w:szCs w:val="22"/>
        </w:rPr>
      </w:pPr>
      <w:r w:rsidRPr="00B30A12">
        <w:rPr>
          <w:b/>
          <w:color w:val="000000"/>
          <w:sz w:val="22"/>
          <w:szCs w:val="22"/>
        </w:rPr>
        <w:t>6.3</w:t>
      </w:r>
      <w:r w:rsidRPr="00B30A12">
        <w:rPr>
          <w:b/>
          <w:color w:val="000000"/>
          <w:sz w:val="22"/>
          <w:szCs w:val="22"/>
        </w:rPr>
        <w:tab/>
        <w:t>Dauer der Haltbarkeit</w:t>
      </w:r>
    </w:p>
    <w:p w14:paraId="4DFC44C0" w14:textId="77777777" w:rsidR="006615F9" w:rsidRPr="00B30A12" w:rsidRDefault="006615F9" w:rsidP="007A26D7">
      <w:pPr>
        <w:keepNext/>
        <w:widowControl w:val="0"/>
        <w:rPr>
          <w:color w:val="000000"/>
          <w:sz w:val="22"/>
          <w:szCs w:val="22"/>
        </w:rPr>
      </w:pPr>
    </w:p>
    <w:p w14:paraId="61E656A9" w14:textId="77777777" w:rsidR="006615F9" w:rsidRPr="00B30A12" w:rsidRDefault="006615F9" w:rsidP="00537E23">
      <w:pPr>
        <w:widowControl w:val="0"/>
        <w:rPr>
          <w:color w:val="000000"/>
          <w:sz w:val="22"/>
          <w:szCs w:val="22"/>
        </w:rPr>
      </w:pPr>
      <w:r w:rsidRPr="00B30A12">
        <w:rPr>
          <w:color w:val="000000"/>
          <w:sz w:val="22"/>
          <w:szCs w:val="22"/>
        </w:rPr>
        <w:t>2</w:t>
      </w:r>
      <w:r w:rsidR="00C80819" w:rsidRPr="00B30A12">
        <w:rPr>
          <w:color w:val="000000"/>
          <w:sz w:val="22"/>
          <w:szCs w:val="22"/>
        </w:rPr>
        <w:t> </w:t>
      </w:r>
      <w:r w:rsidRPr="00B30A12">
        <w:rPr>
          <w:color w:val="000000"/>
          <w:sz w:val="22"/>
          <w:szCs w:val="22"/>
        </w:rPr>
        <w:t>Jahre</w:t>
      </w:r>
    </w:p>
    <w:p w14:paraId="5C977439" w14:textId="77777777" w:rsidR="006615F9" w:rsidRPr="00B30A12" w:rsidRDefault="006615F9" w:rsidP="00537E23">
      <w:pPr>
        <w:widowControl w:val="0"/>
        <w:rPr>
          <w:color w:val="000000"/>
          <w:sz w:val="22"/>
          <w:szCs w:val="22"/>
        </w:rPr>
      </w:pPr>
    </w:p>
    <w:p w14:paraId="39529EF3" w14:textId="77777777" w:rsidR="006615F9" w:rsidRPr="00B30A12" w:rsidRDefault="006615F9" w:rsidP="007A26D7">
      <w:pPr>
        <w:keepNext/>
        <w:widowControl w:val="0"/>
        <w:rPr>
          <w:color w:val="000000"/>
          <w:sz w:val="22"/>
          <w:szCs w:val="22"/>
        </w:rPr>
      </w:pPr>
      <w:r w:rsidRPr="00B30A12">
        <w:rPr>
          <w:b/>
          <w:color w:val="000000"/>
          <w:sz w:val="22"/>
          <w:szCs w:val="22"/>
        </w:rPr>
        <w:t>6.4</w:t>
      </w:r>
      <w:r w:rsidRPr="00B30A12">
        <w:rPr>
          <w:b/>
          <w:color w:val="000000"/>
          <w:sz w:val="22"/>
          <w:szCs w:val="22"/>
        </w:rPr>
        <w:tab/>
        <w:t xml:space="preserve">Besondere </w:t>
      </w:r>
      <w:r w:rsidR="00707B86" w:rsidRPr="00B30A12">
        <w:rPr>
          <w:b/>
          <w:color w:val="000000"/>
          <w:sz w:val="22"/>
          <w:szCs w:val="22"/>
        </w:rPr>
        <w:t>Vorsichtsmaßnahmen für die Aufbewahrung</w:t>
      </w:r>
    </w:p>
    <w:p w14:paraId="31A8ADDD" w14:textId="77777777" w:rsidR="006615F9" w:rsidRPr="00B30A12" w:rsidRDefault="006615F9" w:rsidP="007A26D7">
      <w:pPr>
        <w:keepNext/>
        <w:widowControl w:val="0"/>
        <w:rPr>
          <w:color w:val="000000"/>
          <w:sz w:val="22"/>
          <w:szCs w:val="22"/>
        </w:rPr>
      </w:pPr>
    </w:p>
    <w:p w14:paraId="2F22CC1B" w14:textId="77777777" w:rsidR="00D72F2D" w:rsidRPr="00B30A12" w:rsidRDefault="006615F9" w:rsidP="00537E23">
      <w:pPr>
        <w:widowControl w:val="0"/>
        <w:rPr>
          <w:color w:val="000000"/>
          <w:sz w:val="22"/>
          <w:szCs w:val="22"/>
        </w:rPr>
      </w:pPr>
      <w:r w:rsidRPr="00B30A12">
        <w:rPr>
          <w:color w:val="000000"/>
          <w:sz w:val="22"/>
          <w:szCs w:val="22"/>
        </w:rPr>
        <w:t>Nicht über 30°C lagern.</w:t>
      </w:r>
    </w:p>
    <w:p w14:paraId="64FCF2F6" w14:textId="77777777" w:rsidR="006615F9" w:rsidRPr="00B30A12" w:rsidRDefault="006615F9" w:rsidP="00537E23">
      <w:pPr>
        <w:widowControl w:val="0"/>
        <w:rPr>
          <w:color w:val="000000"/>
          <w:sz w:val="22"/>
          <w:szCs w:val="22"/>
        </w:rPr>
      </w:pPr>
    </w:p>
    <w:p w14:paraId="5701A853" w14:textId="77777777" w:rsidR="006615F9" w:rsidRPr="00B30A12" w:rsidRDefault="006615F9" w:rsidP="00537E23">
      <w:pPr>
        <w:widowControl w:val="0"/>
        <w:rPr>
          <w:color w:val="000000"/>
          <w:sz w:val="22"/>
          <w:szCs w:val="22"/>
        </w:rPr>
      </w:pPr>
      <w:r w:rsidRPr="00B30A12">
        <w:rPr>
          <w:color w:val="000000"/>
          <w:sz w:val="22"/>
          <w:szCs w:val="22"/>
        </w:rPr>
        <w:t>In der Originalverpackung aufbewahren</w:t>
      </w:r>
      <w:r w:rsidR="00046D23" w:rsidRPr="00B30A12">
        <w:rPr>
          <w:color w:val="000000"/>
          <w:sz w:val="22"/>
          <w:szCs w:val="22"/>
        </w:rPr>
        <w:t>, um den Inhalt vor Feuchtigkeit zu schützen</w:t>
      </w:r>
      <w:r w:rsidRPr="00B30A12">
        <w:rPr>
          <w:color w:val="000000"/>
          <w:sz w:val="22"/>
          <w:szCs w:val="22"/>
        </w:rPr>
        <w:t>.</w:t>
      </w:r>
    </w:p>
    <w:p w14:paraId="75A353A3" w14:textId="77777777" w:rsidR="006615F9" w:rsidRPr="00B30A12" w:rsidRDefault="006615F9" w:rsidP="00537E23">
      <w:pPr>
        <w:widowControl w:val="0"/>
        <w:rPr>
          <w:color w:val="000000"/>
          <w:sz w:val="22"/>
          <w:szCs w:val="22"/>
        </w:rPr>
      </w:pPr>
    </w:p>
    <w:p w14:paraId="15CC8C1A" w14:textId="77777777" w:rsidR="006615F9" w:rsidRPr="00B30A12" w:rsidRDefault="006615F9" w:rsidP="007A26D7">
      <w:pPr>
        <w:keepNext/>
        <w:widowControl w:val="0"/>
        <w:rPr>
          <w:color w:val="000000"/>
          <w:sz w:val="22"/>
          <w:szCs w:val="22"/>
        </w:rPr>
      </w:pPr>
      <w:r w:rsidRPr="00B30A12">
        <w:rPr>
          <w:b/>
          <w:color w:val="000000"/>
          <w:sz w:val="22"/>
          <w:szCs w:val="22"/>
        </w:rPr>
        <w:t>6.5</w:t>
      </w:r>
      <w:r w:rsidRPr="00B30A12">
        <w:rPr>
          <w:b/>
          <w:color w:val="000000"/>
          <w:sz w:val="22"/>
          <w:szCs w:val="22"/>
        </w:rPr>
        <w:tab/>
        <w:t>Art und Inhalt des Behältnisses</w:t>
      </w:r>
    </w:p>
    <w:p w14:paraId="63278CE5" w14:textId="77777777" w:rsidR="006615F9" w:rsidRPr="00B30A12" w:rsidRDefault="006615F9" w:rsidP="007A26D7">
      <w:pPr>
        <w:keepNext/>
        <w:widowControl w:val="0"/>
        <w:rPr>
          <w:color w:val="000000"/>
          <w:sz w:val="22"/>
          <w:szCs w:val="22"/>
        </w:rPr>
      </w:pPr>
    </w:p>
    <w:p w14:paraId="7F552A05" w14:textId="77777777" w:rsidR="006615F9" w:rsidRPr="00B30A12" w:rsidRDefault="006615F9" w:rsidP="00537E23">
      <w:pPr>
        <w:widowControl w:val="0"/>
        <w:rPr>
          <w:color w:val="000000"/>
          <w:sz w:val="22"/>
          <w:szCs w:val="22"/>
        </w:rPr>
      </w:pPr>
      <w:r w:rsidRPr="00B30A12">
        <w:rPr>
          <w:color w:val="000000"/>
          <w:sz w:val="22"/>
          <w:szCs w:val="22"/>
        </w:rPr>
        <w:t>PVC/Aluminium</w:t>
      </w:r>
      <w:r w:rsidR="003F7ABD" w:rsidRPr="00B30A12">
        <w:rPr>
          <w:color w:val="000000"/>
          <w:sz w:val="22"/>
          <w:szCs w:val="22"/>
        </w:rPr>
        <w:t>-</w:t>
      </w:r>
      <w:r w:rsidR="00392E98" w:rsidRPr="00B30A12">
        <w:rPr>
          <w:color w:val="000000"/>
          <w:sz w:val="22"/>
          <w:szCs w:val="22"/>
        </w:rPr>
        <w:t>Blisterpackungen</w:t>
      </w:r>
    </w:p>
    <w:p w14:paraId="0139F330" w14:textId="41AD7DD1" w:rsidR="006615F9" w:rsidRPr="00B30A12" w:rsidRDefault="006615F9" w:rsidP="00537E23">
      <w:pPr>
        <w:widowControl w:val="0"/>
        <w:rPr>
          <w:color w:val="000000"/>
          <w:sz w:val="22"/>
          <w:szCs w:val="22"/>
        </w:rPr>
      </w:pPr>
    </w:p>
    <w:p w14:paraId="64B765A0" w14:textId="77777777" w:rsidR="00C52C6F" w:rsidRPr="00B30A12" w:rsidRDefault="00C52C6F" w:rsidP="00537E23">
      <w:pPr>
        <w:pStyle w:val="Header"/>
        <w:widowControl w:val="0"/>
        <w:tabs>
          <w:tab w:val="clear" w:pos="4320"/>
          <w:tab w:val="clear" w:pos="8640"/>
        </w:tabs>
        <w:rPr>
          <w:color w:val="000000"/>
          <w:szCs w:val="22"/>
        </w:rPr>
      </w:pPr>
      <w:r w:rsidRPr="00B30A12">
        <w:rPr>
          <w:color w:val="000000"/>
          <w:szCs w:val="22"/>
        </w:rPr>
        <w:t>Packungen mit 24, 48, 96, 120 und 180 Kapseln.</w:t>
      </w:r>
    </w:p>
    <w:p w14:paraId="6AC284E3" w14:textId="77777777" w:rsidR="00C52C6F" w:rsidRPr="00B30A12" w:rsidRDefault="00C52C6F" w:rsidP="00537E23">
      <w:pPr>
        <w:pStyle w:val="Header"/>
        <w:widowControl w:val="0"/>
        <w:tabs>
          <w:tab w:val="clear" w:pos="4320"/>
          <w:tab w:val="clear" w:pos="8640"/>
        </w:tabs>
        <w:rPr>
          <w:color w:val="000000"/>
          <w:szCs w:val="22"/>
        </w:rPr>
      </w:pPr>
    </w:p>
    <w:p w14:paraId="4370E988" w14:textId="77777777" w:rsidR="00C52C6F" w:rsidRPr="00B30A12" w:rsidRDefault="00C52C6F" w:rsidP="00537E23">
      <w:pPr>
        <w:pStyle w:val="Header"/>
        <w:widowControl w:val="0"/>
        <w:tabs>
          <w:tab w:val="clear" w:pos="4320"/>
          <w:tab w:val="clear" w:pos="8640"/>
        </w:tabs>
        <w:rPr>
          <w:color w:val="000000"/>
          <w:szCs w:val="22"/>
        </w:rPr>
      </w:pPr>
      <w:r w:rsidRPr="00B30A12">
        <w:rPr>
          <w:color w:val="000000"/>
          <w:szCs w:val="22"/>
        </w:rPr>
        <w:t>Es werden möglicherweise nicht alle Packungsgrößen in den Verkehr gebracht.</w:t>
      </w:r>
    </w:p>
    <w:p w14:paraId="5DBBE3EA" w14:textId="77777777" w:rsidR="00C52C6F" w:rsidRPr="00B30A12" w:rsidRDefault="00C52C6F" w:rsidP="00537E23">
      <w:pPr>
        <w:widowControl w:val="0"/>
        <w:rPr>
          <w:color w:val="000000"/>
          <w:sz w:val="22"/>
          <w:szCs w:val="22"/>
        </w:rPr>
      </w:pPr>
    </w:p>
    <w:p w14:paraId="0C237C3A" w14:textId="77777777" w:rsidR="006615F9" w:rsidRPr="00B30A12" w:rsidRDefault="006615F9" w:rsidP="007A26D7">
      <w:pPr>
        <w:keepNext/>
        <w:widowControl w:val="0"/>
        <w:rPr>
          <w:b/>
          <w:color w:val="000000"/>
          <w:sz w:val="22"/>
          <w:szCs w:val="22"/>
        </w:rPr>
      </w:pPr>
      <w:r w:rsidRPr="00B30A12">
        <w:rPr>
          <w:b/>
          <w:color w:val="000000"/>
          <w:sz w:val="22"/>
          <w:szCs w:val="22"/>
        </w:rPr>
        <w:t>6.6</w:t>
      </w:r>
      <w:r w:rsidRPr="00B30A12">
        <w:rPr>
          <w:b/>
          <w:color w:val="000000"/>
          <w:sz w:val="22"/>
          <w:szCs w:val="22"/>
        </w:rPr>
        <w:tab/>
      </w:r>
      <w:r w:rsidR="00F8593A" w:rsidRPr="00B30A12">
        <w:rPr>
          <w:b/>
          <w:color w:val="000000"/>
          <w:sz w:val="22"/>
          <w:szCs w:val="22"/>
        </w:rPr>
        <w:t>Besondere Vorsichtsmaßnahmen für die Beseitigung</w:t>
      </w:r>
    </w:p>
    <w:p w14:paraId="486165FB" w14:textId="77777777" w:rsidR="006615F9" w:rsidRPr="00B30A12" w:rsidRDefault="006615F9" w:rsidP="007A26D7">
      <w:pPr>
        <w:keepNext/>
        <w:widowControl w:val="0"/>
        <w:rPr>
          <w:color w:val="000000"/>
          <w:sz w:val="22"/>
          <w:szCs w:val="22"/>
        </w:rPr>
      </w:pPr>
    </w:p>
    <w:p w14:paraId="5B922EC4" w14:textId="77777777" w:rsidR="006615F9" w:rsidRPr="00B30A12" w:rsidRDefault="007F463D" w:rsidP="00537E23">
      <w:pPr>
        <w:widowControl w:val="0"/>
        <w:rPr>
          <w:color w:val="000000"/>
          <w:sz w:val="22"/>
          <w:szCs w:val="22"/>
        </w:rPr>
      </w:pPr>
      <w:r w:rsidRPr="00B30A12">
        <w:rPr>
          <w:color w:val="000000"/>
          <w:sz w:val="22"/>
          <w:szCs w:val="22"/>
        </w:rPr>
        <w:t>Nicht verwendetes Arzneimittel oder Abfallmaterial ist entsprechend den nationalen Anforderungen zu beseitigen.</w:t>
      </w:r>
    </w:p>
    <w:p w14:paraId="1218F437" w14:textId="77777777" w:rsidR="006615F9" w:rsidRPr="00B30A12" w:rsidRDefault="006615F9" w:rsidP="00537E23">
      <w:pPr>
        <w:widowControl w:val="0"/>
        <w:rPr>
          <w:color w:val="000000"/>
          <w:sz w:val="22"/>
          <w:szCs w:val="22"/>
        </w:rPr>
      </w:pPr>
    </w:p>
    <w:p w14:paraId="625DA1BE" w14:textId="77777777" w:rsidR="00F8593A" w:rsidRPr="00B30A12" w:rsidRDefault="00F8593A" w:rsidP="00537E23">
      <w:pPr>
        <w:widowControl w:val="0"/>
        <w:rPr>
          <w:color w:val="000000"/>
          <w:sz w:val="22"/>
          <w:szCs w:val="22"/>
        </w:rPr>
      </w:pPr>
    </w:p>
    <w:p w14:paraId="3D12E5F8" w14:textId="77777777" w:rsidR="006615F9" w:rsidRPr="00B30A12" w:rsidRDefault="006615F9" w:rsidP="007A26D7">
      <w:pPr>
        <w:keepNext/>
        <w:widowControl w:val="0"/>
        <w:rPr>
          <w:color w:val="000000"/>
          <w:sz w:val="22"/>
          <w:szCs w:val="22"/>
        </w:rPr>
      </w:pPr>
      <w:r w:rsidRPr="00B30A12">
        <w:rPr>
          <w:b/>
          <w:color w:val="000000"/>
          <w:sz w:val="22"/>
          <w:szCs w:val="22"/>
        </w:rPr>
        <w:t>7.</w:t>
      </w:r>
      <w:r w:rsidRPr="00B30A12">
        <w:rPr>
          <w:b/>
          <w:color w:val="000000"/>
          <w:sz w:val="22"/>
          <w:szCs w:val="22"/>
        </w:rPr>
        <w:tab/>
      </w:r>
      <w:r w:rsidR="00707B86" w:rsidRPr="00B30A12">
        <w:rPr>
          <w:b/>
          <w:color w:val="000000"/>
          <w:sz w:val="22"/>
          <w:szCs w:val="22"/>
        </w:rPr>
        <w:t xml:space="preserve">INHABER </w:t>
      </w:r>
      <w:smartTag w:uri="urn:schemas-microsoft-com:office:smarttags" w:element="stockticker">
        <w:r w:rsidR="00707B86" w:rsidRPr="00B30A12">
          <w:rPr>
            <w:b/>
            <w:color w:val="000000"/>
            <w:sz w:val="22"/>
            <w:szCs w:val="22"/>
          </w:rPr>
          <w:t>DER</w:t>
        </w:r>
      </w:smartTag>
      <w:r w:rsidR="00707B86" w:rsidRPr="00B30A12">
        <w:rPr>
          <w:b/>
          <w:color w:val="000000"/>
          <w:sz w:val="22"/>
          <w:szCs w:val="22"/>
        </w:rPr>
        <w:t xml:space="preserve"> ZULASSUNG</w:t>
      </w:r>
    </w:p>
    <w:p w14:paraId="190D1CCF" w14:textId="77777777" w:rsidR="006615F9" w:rsidRPr="00B30A12" w:rsidRDefault="006615F9" w:rsidP="007A26D7">
      <w:pPr>
        <w:keepNext/>
        <w:widowControl w:val="0"/>
        <w:rPr>
          <w:color w:val="000000"/>
          <w:sz w:val="22"/>
          <w:szCs w:val="22"/>
        </w:rPr>
      </w:pPr>
    </w:p>
    <w:p w14:paraId="2716F024" w14:textId="77777777" w:rsidR="006615F9" w:rsidRPr="00B30A12" w:rsidRDefault="006615F9" w:rsidP="007A26D7">
      <w:pPr>
        <w:keepNext/>
        <w:widowControl w:val="0"/>
        <w:rPr>
          <w:color w:val="000000"/>
          <w:sz w:val="22"/>
          <w:szCs w:val="22"/>
          <w:lang w:val="de-CH"/>
        </w:rPr>
      </w:pPr>
      <w:r w:rsidRPr="00B30A12">
        <w:rPr>
          <w:color w:val="000000"/>
          <w:sz w:val="22"/>
          <w:szCs w:val="22"/>
          <w:lang w:val="de-CH"/>
        </w:rPr>
        <w:t>Novartis Europharm Limited</w:t>
      </w:r>
    </w:p>
    <w:p w14:paraId="36075EBC"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53CA1AFA"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0B79CA01" w14:textId="77777777" w:rsidR="002C158B" w:rsidRPr="002C158B" w:rsidRDefault="002C158B" w:rsidP="002C158B">
      <w:pPr>
        <w:keepNext/>
        <w:widowControl w:val="0"/>
        <w:rPr>
          <w:color w:val="000000"/>
          <w:sz w:val="22"/>
          <w:szCs w:val="22"/>
        </w:rPr>
      </w:pPr>
      <w:r w:rsidRPr="002C158B">
        <w:rPr>
          <w:color w:val="000000"/>
          <w:sz w:val="22"/>
          <w:szCs w:val="22"/>
        </w:rPr>
        <w:t>Dublin 4</w:t>
      </w:r>
    </w:p>
    <w:p w14:paraId="5A475264" w14:textId="77777777" w:rsidR="006615F9" w:rsidRPr="002C158B" w:rsidRDefault="002C158B" w:rsidP="00537E23">
      <w:pPr>
        <w:widowControl w:val="0"/>
        <w:rPr>
          <w:color w:val="000000"/>
          <w:sz w:val="22"/>
          <w:szCs w:val="22"/>
        </w:rPr>
      </w:pPr>
      <w:r w:rsidRPr="002C158B">
        <w:rPr>
          <w:color w:val="000000"/>
          <w:sz w:val="22"/>
          <w:szCs w:val="22"/>
        </w:rPr>
        <w:t>Irland</w:t>
      </w:r>
    </w:p>
    <w:p w14:paraId="7D30B1D9" w14:textId="77777777" w:rsidR="006615F9" w:rsidRPr="00B30A12" w:rsidRDefault="006615F9" w:rsidP="00537E23">
      <w:pPr>
        <w:widowControl w:val="0"/>
        <w:rPr>
          <w:color w:val="000000"/>
          <w:sz w:val="22"/>
          <w:szCs w:val="22"/>
        </w:rPr>
      </w:pPr>
    </w:p>
    <w:p w14:paraId="5023C4C5" w14:textId="77777777" w:rsidR="00EA3FB1" w:rsidRPr="00B30A12" w:rsidRDefault="00EA3FB1" w:rsidP="00537E23">
      <w:pPr>
        <w:widowControl w:val="0"/>
        <w:rPr>
          <w:color w:val="000000"/>
          <w:sz w:val="22"/>
          <w:szCs w:val="22"/>
        </w:rPr>
      </w:pPr>
    </w:p>
    <w:p w14:paraId="0740ABFC" w14:textId="77777777" w:rsidR="00D72F2D" w:rsidRPr="00B30A12" w:rsidRDefault="006615F9" w:rsidP="007A26D7">
      <w:pPr>
        <w:keepNext/>
        <w:widowControl w:val="0"/>
        <w:rPr>
          <w:b/>
          <w:color w:val="000000"/>
          <w:sz w:val="22"/>
          <w:szCs w:val="22"/>
        </w:rPr>
      </w:pPr>
      <w:r w:rsidRPr="00B30A12">
        <w:rPr>
          <w:b/>
          <w:color w:val="000000"/>
          <w:sz w:val="22"/>
          <w:szCs w:val="22"/>
        </w:rPr>
        <w:t>8.</w:t>
      </w:r>
      <w:r w:rsidRPr="00B30A12">
        <w:rPr>
          <w:b/>
          <w:color w:val="000000"/>
          <w:sz w:val="22"/>
          <w:szCs w:val="22"/>
        </w:rPr>
        <w:tab/>
        <w:t>ZULASSUNGSNUMMER</w:t>
      </w:r>
      <w:r w:rsidR="007B001E" w:rsidRPr="00B30A12">
        <w:rPr>
          <w:b/>
          <w:color w:val="000000"/>
          <w:sz w:val="22"/>
          <w:szCs w:val="22"/>
        </w:rPr>
        <w:t>(N)</w:t>
      </w:r>
    </w:p>
    <w:p w14:paraId="5712A408" w14:textId="77777777" w:rsidR="006615F9" w:rsidRPr="00B30A12" w:rsidRDefault="006615F9" w:rsidP="007A26D7">
      <w:pPr>
        <w:keepNext/>
        <w:widowControl w:val="0"/>
        <w:rPr>
          <w:color w:val="000000"/>
          <w:sz w:val="22"/>
          <w:szCs w:val="22"/>
        </w:rPr>
      </w:pPr>
    </w:p>
    <w:p w14:paraId="023D2E3F" w14:textId="77777777" w:rsidR="00C52C6F" w:rsidRPr="00B30A12" w:rsidRDefault="00C52C6F" w:rsidP="00537E23">
      <w:pPr>
        <w:widowControl w:val="0"/>
        <w:rPr>
          <w:color w:val="000000"/>
          <w:sz w:val="22"/>
          <w:szCs w:val="22"/>
        </w:rPr>
      </w:pPr>
      <w:r w:rsidRPr="00B30A12">
        <w:rPr>
          <w:color w:val="000000"/>
          <w:sz w:val="22"/>
          <w:szCs w:val="22"/>
        </w:rPr>
        <w:t>EU/1/01/198/002-006</w:t>
      </w:r>
    </w:p>
    <w:p w14:paraId="0023E947" w14:textId="77777777" w:rsidR="006615F9" w:rsidRPr="00B30A12" w:rsidRDefault="006615F9" w:rsidP="00537E23">
      <w:pPr>
        <w:widowControl w:val="0"/>
        <w:rPr>
          <w:color w:val="000000"/>
          <w:sz w:val="22"/>
          <w:szCs w:val="22"/>
        </w:rPr>
      </w:pPr>
    </w:p>
    <w:p w14:paraId="7CB8F9B8" w14:textId="77777777" w:rsidR="00574E07" w:rsidRPr="00B30A12" w:rsidRDefault="00574E07" w:rsidP="00537E23">
      <w:pPr>
        <w:widowControl w:val="0"/>
        <w:rPr>
          <w:color w:val="000000"/>
          <w:sz w:val="22"/>
          <w:szCs w:val="22"/>
        </w:rPr>
      </w:pPr>
    </w:p>
    <w:p w14:paraId="5F511022" w14:textId="77777777" w:rsidR="006615F9" w:rsidRPr="00B30A12" w:rsidRDefault="006615F9" w:rsidP="001E3D49">
      <w:pPr>
        <w:keepNext/>
        <w:widowControl w:val="0"/>
        <w:ind w:left="567" w:hanging="567"/>
        <w:rPr>
          <w:color w:val="000000"/>
          <w:sz w:val="22"/>
          <w:szCs w:val="22"/>
        </w:rPr>
      </w:pPr>
      <w:r w:rsidRPr="00B30A12">
        <w:rPr>
          <w:b/>
          <w:color w:val="000000"/>
          <w:sz w:val="22"/>
          <w:szCs w:val="22"/>
        </w:rPr>
        <w:t>9.</w:t>
      </w:r>
      <w:r w:rsidRPr="00B30A12">
        <w:rPr>
          <w:b/>
          <w:color w:val="000000"/>
          <w:sz w:val="22"/>
          <w:szCs w:val="22"/>
        </w:rPr>
        <w:tab/>
        <w:t xml:space="preserve">DATUM </w:t>
      </w:r>
      <w:smartTag w:uri="urn:schemas-microsoft-com:office:smarttags" w:element="stockticker">
        <w:r w:rsidRPr="00B30A12">
          <w:rPr>
            <w:b/>
            <w:color w:val="000000"/>
            <w:sz w:val="22"/>
            <w:szCs w:val="22"/>
          </w:rPr>
          <w:t>DER</w:t>
        </w:r>
      </w:smartTag>
      <w:r w:rsidRPr="00B30A12">
        <w:rPr>
          <w:b/>
          <w:color w:val="000000"/>
          <w:sz w:val="22"/>
          <w:szCs w:val="22"/>
        </w:rPr>
        <w:t xml:space="preserve"> </w:t>
      </w:r>
      <w:r w:rsidR="00707B86" w:rsidRPr="00B30A12">
        <w:rPr>
          <w:b/>
          <w:color w:val="000000"/>
          <w:sz w:val="22"/>
          <w:szCs w:val="22"/>
        </w:rPr>
        <w:t xml:space="preserve">ERTEILUNG </w:t>
      </w:r>
      <w:smartTag w:uri="urn:schemas-microsoft-com:office:smarttags" w:element="stockticker">
        <w:r w:rsidR="00707B86" w:rsidRPr="00B30A12">
          <w:rPr>
            <w:b/>
            <w:color w:val="000000"/>
            <w:sz w:val="22"/>
            <w:szCs w:val="22"/>
          </w:rPr>
          <w:t>DER</w:t>
        </w:r>
      </w:smartTag>
      <w:r w:rsidR="00707B86" w:rsidRPr="00B30A12">
        <w:rPr>
          <w:b/>
          <w:color w:val="000000"/>
          <w:sz w:val="22"/>
          <w:szCs w:val="22"/>
        </w:rPr>
        <w:t xml:space="preserve"> </w:t>
      </w:r>
      <w:r w:rsidRPr="00B30A12">
        <w:rPr>
          <w:b/>
          <w:color w:val="000000"/>
          <w:sz w:val="22"/>
          <w:szCs w:val="22"/>
        </w:rPr>
        <w:t xml:space="preserve">ZULASSUNG/VERLÄNGERUNG </w:t>
      </w:r>
      <w:smartTag w:uri="urn:schemas-microsoft-com:office:smarttags" w:element="stockticker">
        <w:r w:rsidRPr="00B30A12">
          <w:rPr>
            <w:b/>
            <w:color w:val="000000"/>
            <w:sz w:val="22"/>
            <w:szCs w:val="22"/>
          </w:rPr>
          <w:t>DER</w:t>
        </w:r>
      </w:smartTag>
      <w:r w:rsidRPr="00B30A12">
        <w:rPr>
          <w:b/>
          <w:color w:val="000000"/>
          <w:sz w:val="22"/>
          <w:szCs w:val="22"/>
        </w:rPr>
        <w:t xml:space="preserve"> ZULASSUNG</w:t>
      </w:r>
    </w:p>
    <w:p w14:paraId="43E4C197" w14:textId="77777777" w:rsidR="006615F9" w:rsidRPr="00B30A12" w:rsidRDefault="006615F9" w:rsidP="007A26D7">
      <w:pPr>
        <w:keepNext/>
        <w:widowControl w:val="0"/>
        <w:rPr>
          <w:color w:val="000000"/>
          <w:sz w:val="22"/>
          <w:szCs w:val="22"/>
          <w:lang w:val="de-CH"/>
        </w:rPr>
      </w:pPr>
    </w:p>
    <w:p w14:paraId="39E3A482" w14:textId="77777777" w:rsidR="006615F9" w:rsidRPr="00B30A12" w:rsidRDefault="003B1A07" w:rsidP="007A26D7">
      <w:pPr>
        <w:keepNext/>
        <w:widowControl w:val="0"/>
        <w:rPr>
          <w:color w:val="000000"/>
          <w:sz w:val="22"/>
          <w:szCs w:val="22"/>
          <w:lang w:val="de-CH"/>
        </w:rPr>
      </w:pPr>
      <w:r w:rsidRPr="00B30A12">
        <w:rPr>
          <w:color w:val="000000"/>
          <w:sz w:val="22"/>
          <w:szCs w:val="22"/>
          <w:lang w:val="de-CH"/>
        </w:rPr>
        <w:t xml:space="preserve">Datum der Erteilung der Zulassung: </w:t>
      </w:r>
      <w:r w:rsidR="006615F9" w:rsidRPr="00B30A12">
        <w:rPr>
          <w:color w:val="000000"/>
          <w:sz w:val="22"/>
          <w:szCs w:val="22"/>
          <w:lang w:val="de-CH"/>
        </w:rPr>
        <w:t>07.</w:t>
      </w:r>
      <w:r w:rsidR="00EA3FB1" w:rsidRPr="00B30A12">
        <w:rPr>
          <w:color w:val="000000"/>
          <w:sz w:val="22"/>
          <w:szCs w:val="22"/>
          <w:lang w:val="de-CH"/>
        </w:rPr>
        <w:t xml:space="preserve"> November </w:t>
      </w:r>
      <w:r w:rsidR="006615F9" w:rsidRPr="00B30A12">
        <w:rPr>
          <w:color w:val="000000"/>
          <w:sz w:val="22"/>
          <w:szCs w:val="22"/>
          <w:lang w:val="de-CH"/>
        </w:rPr>
        <w:t>2001</w:t>
      </w:r>
    </w:p>
    <w:p w14:paraId="6D2AE338" w14:textId="77777777" w:rsidR="003B1A07" w:rsidRPr="00B30A12" w:rsidRDefault="003B1A07" w:rsidP="00537E23">
      <w:pPr>
        <w:widowControl w:val="0"/>
        <w:rPr>
          <w:color w:val="000000"/>
          <w:sz w:val="22"/>
          <w:szCs w:val="22"/>
          <w:lang w:val="de-CH"/>
        </w:rPr>
      </w:pPr>
      <w:r w:rsidRPr="00B30A12">
        <w:rPr>
          <w:color w:val="000000"/>
          <w:sz w:val="22"/>
          <w:szCs w:val="22"/>
          <w:lang w:val="de-CH"/>
        </w:rPr>
        <w:t xml:space="preserve">Datum der </w:t>
      </w:r>
      <w:r w:rsidR="00EA3FB1" w:rsidRPr="00B30A12">
        <w:rPr>
          <w:color w:val="000000"/>
          <w:sz w:val="22"/>
          <w:szCs w:val="22"/>
          <w:lang w:val="de-CH"/>
        </w:rPr>
        <w:t>letzten</w:t>
      </w:r>
      <w:r w:rsidRPr="00B30A12">
        <w:rPr>
          <w:color w:val="000000"/>
          <w:sz w:val="22"/>
          <w:szCs w:val="22"/>
          <w:lang w:val="de-CH"/>
        </w:rPr>
        <w:t xml:space="preserve"> Verlängerung der Zulassung:</w:t>
      </w:r>
      <w:r w:rsidR="00FA3AE5" w:rsidRPr="00B30A12">
        <w:rPr>
          <w:color w:val="000000"/>
          <w:sz w:val="22"/>
          <w:szCs w:val="22"/>
          <w:lang w:val="de-CH"/>
        </w:rPr>
        <w:t xml:space="preserve"> 07.</w:t>
      </w:r>
      <w:r w:rsidR="00EA3FB1" w:rsidRPr="00B30A12">
        <w:rPr>
          <w:color w:val="000000"/>
          <w:sz w:val="22"/>
          <w:szCs w:val="22"/>
          <w:lang w:val="de-CH"/>
        </w:rPr>
        <w:t xml:space="preserve"> November </w:t>
      </w:r>
      <w:r w:rsidR="00FA3AE5" w:rsidRPr="00B30A12">
        <w:rPr>
          <w:color w:val="000000"/>
          <w:sz w:val="22"/>
          <w:szCs w:val="22"/>
          <w:lang w:val="de-CH"/>
        </w:rPr>
        <w:t>2006</w:t>
      </w:r>
    </w:p>
    <w:p w14:paraId="215BCCF0" w14:textId="77777777" w:rsidR="006615F9" w:rsidRPr="00B30A12" w:rsidRDefault="006615F9" w:rsidP="00537E23">
      <w:pPr>
        <w:widowControl w:val="0"/>
        <w:rPr>
          <w:color w:val="000000"/>
          <w:sz w:val="22"/>
          <w:szCs w:val="22"/>
        </w:rPr>
      </w:pPr>
    </w:p>
    <w:p w14:paraId="59D1D4C0" w14:textId="77777777" w:rsidR="006615F9" w:rsidRPr="00B30A12" w:rsidRDefault="006615F9" w:rsidP="00537E23">
      <w:pPr>
        <w:pStyle w:val="Header"/>
        <w:widowControl w:val="0"/>
        <w:tabs>
          <w:tab w:val="clear" w:pos="4320"/>
          <w:tab w:val="clear" w:pos="8640"/>
        </w:tabs>
        <w:rPr>
          <w:color w:val="000000"/>
          <w:szCs w:val="22"/>
        </w:rPr>
      </w:pPr>
    </w:p>
    <w:p w14:paraId="61DBA11D" w14:textId="77777777" w:rsidR="006615F9" w:rsidRPr="00B30A12" w:rsidRDefault="006615F9" w:rsidP="00537E23">
      <w:pPr>
        <w:widowControl w:val="0"/>
        <w:rPr>
          <w:b/>
          <w:color w:val="000000"/>
          <w:sz w:val="22"/>
          <w:szCs w:val="22"/>
        </w:rPr>
      </w:pPr>
      <w:r w:rsidRPr="00B30A12">
        <w:rPr>
          <w:b/>
          <w:color w:val="000000"/>
          <w:sz w:val="22"/>
          <w:szCs w:val="22"/>
        </w:rPr>
        <w:lastRenderedPageBreak/>
        <w:t>10.</w:t>
      </w:r>
      <w:r w:rsidRPr="00B30A12">
        <w:rPr>
          <w:b/>
          <w:color w:val="000000"/>
          <w:sz w:val="22"/>
          <w:szCs w:val="22"/>
        </w:rPr>
        <w:tab/>
        <w:t xml:space="preserve">STAND </w:t>
      </w:r>
      <w:smartTag w:uri="urn:schemas-microsoft-com:office:smarttags" w:element="stockticker">
        <w:r w:rsidRPr="00B30A12">
          <w:rPr>
            <w:b/>
            <w:color w:val="000000"/>
            <w:sz w:val="22"/>
            <w:szCs w:val="22"/>
          </w:rPr>
          <w:t>DER</w:t>
        </w:r>
      </w:smartTag>
      <w:r w:rsidRPr="00B30A12">
        <w:rPr>
          <w:b/>
          <w:color w:val="000000"/>
          <w:sz w:val="22"/>
          <w:szCs w:val="22"/>
        </w:rPr>
        <w:t xml:space="preserve"> INFORMATION</w:t>
      </w:r>
    </w:p>
    <w:p w14:paraId="41C0CDCC" w14:textId="77777777" w:rsidR="00E92437" w:rsidRPr="00B30A12" w:rsidRDefault="00E92437" w:rsidP="00537E23">
      <w:pPr>
        <w:widowControl w:val="0"/>
        <w:rPr>
          <w:color w:val="000000"/>
          <w:sz w:val="22"/>
          <w:szCs w:val="22"/>
        </w:rPr>
      </w:pPr>
    </w:p>
    <w:p w14:paraId="1CA3D30B" w14:textId="77777777" w:rsidR="005024B7" w:rsidRPr="00B30A12" w:rsidRDefault="005024B7" w:rsidP="00537E23">
      <w:pPr>
        <w:widowControl w:val="0"/>
        <w:rPr>
          <w:color w:val="000000"/>
          <w:sz w:val="22"/>
          <w:szCs w:val="22"/>
        </w:rPr>
      </w:pPr>
    </w:p>
    <w:p w14:paraId="53E40EDB" w14:textId="77777777" w:rsidR="00E92437" w:rsidRPr="00B30A12" w:rsidRDefault="00E92437" w:rsidP="00537E23">
      <w:pPr>
        <w:widowControl w:val="0"/>
        <w:rPr>
          <w:color w:val="000000"/>
          <w:sz w:val="22"/>
          <w:szCs w:val="22"/>
        </w:rPr>
      </w:pPr>
      <w:r w:rsidRPr="00B30A12">
        <w:rPr>
          <w:bCs/>
          <w:color w:val="000000"/>
          <w:sz w:val="22"/>
          <w:szCs w:val="22"/>
        </w:rPr>
        <w:t>Ausführliche Informationen zu diesem Arzneimittel sind auf de</w:t>
      </w:r>
      <w:r w:rsidR="00EA3FB1" w:rsidRPr="00B30A12">
        <w:rPr>
          <w:bCs/>
          <w:color w:val="000000"/>
          <w:sz w:val="22"/>
          <w:szCs w:val="22"/>
        </w:rPr>
        <w:t>n Internetseiten</w:t>
      </w:r>
      <w:r w:rsidRPr="00B30A12">
        <w:rPr>
          <w:bCs/>
          <w:color w:val="000000"/>
          <w:sz w:val="22"/>
          <w:szCs w:val="22"/>
        </w:rPr>
        <w:t xml:space="preserve"> der Europäis</w:t>
      </w:r>
      <w:r w:rsidR="004A141B" w:rsidRPr="00B30A12">
        <w:rPr>
          <w:bCs/>
          <w:color w:val="000000"/>
          <w:sz w:val="22"/>
          <w:szCs w:val="22"/>
        </w:rPr>
        <w:t>chen Arzneimittel-Agentur</w:t>
      </w:r>
      <w:r w:rsidRPr="00B30A12">
        <w:rPr>
          <w:bCs/>
          <w:color w:val="000000"/>
          <w:sz w:val="22"/>
          <w:szCs w:val="22"/>
        </w:rPr>
        <w:t xml:space="preserve"> </w:t>
      </w:r>
      <w:r w:rsidR="004A141B" w:rsidRPr="00B30A12">
        <w:rPr>
          <w:bCs/>
          <w:color w:val="000000"/>
          <w:sz w:val="22"/>
          <w:szCs w:val="22"/>
        </w:rPr>
        <w:t>http://www.em</w:t>
      </w:r>
      <w:r w:rsidRPr="00B30A12">
        <w:rPr>
          <w:bCs/>
          <w:color w:val="000000"/>
          <w:sz w:val="22"/>
          <w:szCs w:val="22"/>
        </w:rPr>
        <w:t>a.europa.eu verfügbar.</w:t>
      </w:r>
    </w:p>
    <w:p w14:paraId="6F1ADACC" w14:textId="77777777" w:rsidR="006E656A" w:rsidRPr="00B30A12" w:rsidRDefault="006615F9" w:rsidP="006E656A">
      <w:pPr>
        <w:rPr>
          <w:snapToGrid w:val="0"/>
          <w:sz w:val="22"/>
          <w:szCs w:val="22"/>
        </w:rPr>
      </w:pPr>
      <w:r w:rsidRPr="00B30A12">
        <w:rPr>
          <w:color w:val="000000"/>
          <w:sz w:val="22"/>
          <w:szCs w:val="22"/>
        </w:rPr>
        <w:br w:type="page"/>
      </w:r>
      <w:r w:rsidR="00367B53" w:rsidRPr="00B30A12">
        <w:rPr>
          <w:noProof/>
          <w:sz w:val="22"/>
          <w:lang w:val="en-GB" w:eastAsia="en-GB"/>
        </w:rPr>
        <w:lastRenderedPageBreak/>
        <w:drawing>
          <wp:inline distT="0" distB="0" distL="0" distR="0" wp14:anchorId="73CA1490" wp14:editId="2A83D61E">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E656A" w:rsidRPr="00B30A12">
        <w:rPr>
          <w:noProof/>
          <w:snapToGrid w:val="0"/>
          <w:sz w:val="22"/>
          <w:szCs w:val="22"/>
        </w:rPr>
        <w:t>Dieses Arzneimittel unterliegt einer zusätzlichen Überwachung.</w:t>
      </w:r>
      <w:r w:rsidR="006E656A" w:rsidRPr="00B30A12">
        <w:rPr>
          <w:snapToGrid w:val="0"/>
          <w:sz w:val="22"/>
          <w:szCs w:val="22"/>
        </w:rPr>
        <w:t xml:space="preserve"> </w:t>
      </w:r>
      <w:r w:rsidR="006E656A" w:rsidRPr="00B30A12">
        <w:rPr>
          <w:noProof/>
          <w:snapToGrid w:val="0"/>
          <w:sz w:val="22"/>
          <w:szCs w:val="22"/>
        </w:rPr>
        <w:t xml:space="preserve">Dies ermöglicht eine schnelle Identifizierung neuer </w:t>
      </w:r>
      <w:r w:rsidR="006E656A" w:rsidRPr="00B30A12">
        <w:rPr>
          <w:snapToGrid w:val="0"/>
          <w:sz w:val="22"/>
        </w:rPr>
        <w:t>Erkenntnisse über die Sicherheit</w:t>
      </w:r>
      <w:r w:rsidR="006E656A" w:rsidRPr="00B30A12">
        <w:rPr>
          <w:noProof/>
          <w:snapToGrid w:val="0"/>
          <w:sz w:val="22"/>
          <w:szCs w:val="22"/>
        </w:rPr>
        <w:t>.</w:t>
      </w:r>
      <w:r w:rsidR="006E656A" w:rsidRPr="00B30A12">
        <w:rPr>
          <w:snapToGrid w:val="0"/>
          <w:sz w:val="22"/>
          <w:szCs w:val="22"/>
        </w:rPr>
        <w:t xml:space="preserve"> </w:t>
      </w:r>
      <w:r w:rsidR="006E656A" w:rsidRPr="00B30A12">
        <w:rPr>
          <w:snapToGrid w:val="0"/>
          <w:sz w:val="22"/>
        </w:rPr>
        <w:t>Angehörige von Gesundheitsberufen</w:t>
      </w:r>
      <w:r w:rsidR="006E656A" w:rsidRPr="00B30A12">
        <w:rPr>
          <w:noProof/>
          <w:snapToGrid w:val="0"/>
          <w:sz w:val="22"/>
          <w:szCs w:val="22"/>
        </w:rPr>
        <w:t xml:space="preserve"> sind aufgefordert, jeden Verdachtsfall einer Nebenwirkung</w:t>
      </w:r>
      <w:r w:rsidR="006E656A" w:rsidRPr="00B30A12">
        <w:rPr>
          <w:snapToGrid w:val="0"/>
          <w:sz w:val="22"/>
          <w:szCs w:val="22"/>
        </w:rPr>
        <w:t xml:space="preserve"> zu melden.</w:t>
      </w:r>
      <w:r w:rsidR="006E656A" w:rsidRPr="00B30A12">
        <w:rPr>
          <w:noProof/>
          <w:snapToGrid w:val="0"/>
          <w:sz w:val="22"/>
          <w:szCs w:val="22"/>
        </w:rPr>
        <w:t xml:space="preserve"> Hinweise zur Meldung von Nebenwirkungen, s</w:t>
      </w:r>
      <w:r w:rsidR="006E656A" w:rsidRPr="00B30A12">
        <w:rPr>
          <w:snapToGrid w:val="0"/>
          <w:sz w:val="22"/>
          <w:szCs w:val="22"/>
        </w:rPr>
        <w:t>i</w:t>
      </w:r>
      <w:r w:rsidR="006E656A" w:rsidRPr="00B30A12">
        <w:rPr>
          <w:noProof/>
          <w:snapToGrid w:val="0"/>
          <w:sz w:val="22"/>
          <w:szCs w:val="22"/>
        </w:rPr>
        <w:t>e</w:t>
      </w:r>
      <w:r w:rsidR="006E656A" w:rsidRPr="00B30A12">
        <w:rPr>
          <w:snapToGrid w:val="0"/>
          <w:sz w:val="22"/>
          <w:szCs w:val="22"/>
        </w:rPr>
        <w:t>h</w:t>
      </w:r>
      <w:r w:rsidR="006E656A" w:rsidRPr="00B30A12">
        <w:rPr>
          <w:noProof/>
          <w:snapToGrid w:val="0"/>
          <w:sz w:val="22"/>
          <w:szCs w:val="22"/>
        </w:rPr>
        <w:t xml:space="preserve">e </w:t>
      </w:r>
      <w:r w:rsidR="006E656A" w:rsidRPr="00B30A12">
        <w:rPr>
          <w:snapToGrid w:val="0"/>
          <w:sz w:val="22"/>
          <w:szCs w:val="22"/>
        </w:rPr>
        <w:t>Abschnitt </w:t>
      </w:r>
      <w:r w:rsidR="006E656A" w:rsidRPr="00B30A12">
        <w:rPr>
          <w:noProof/>
          <w:snapToGrid w:val="0"/>
          <w:sz w:val="22"/>
          <w:szCs w:val="22"/>
        </w:rPr>
        <w:t>4.8.</w:t>
      </w:r>
    </w:p>
    <w:p w14:paraId="7448ABE2" w14:textId="77777777" w:rsidR="006E656A" w:rsidRPr="00B30A12" w:rsidRDefault="006E656A" w:rsidP="0054140C">
      <w:pPr>
        <w:widowControl w:val="0"/>
        <w:tabs>
          <w:tab w:val="left" w:pos="567"/>
        </w:tabs>
        <w:spacing w:line="260" w:lineRule="exact"/>
        <w:rPr>
          <w:snapToGrid w:val="0"/>
          <w:sz w:val="22"/>
          <w:szCs w:val="22"/>
        </w:rPr>
      </w:pPr>
    </w:p>
    <w:p w14:paraId="22F6ECF9" w14:textId="77777777" w:rsidR="006E656A" w:rsidRPr="00B30A12" w:rsidRDefault="006E656A" w:rsidP="0054140C">
      <w:pPr>
        <w:widowControl w:val="0"/>
        <w:tabs>
          <w:tab w:val="left" w:pos="567"/>
        </w:tabs>
        <w:spacing w:line="260" w:lineRule="exact"/>
        <w:rPr>
          <w:snapToGrid w:val="0"/>
          <w:sz w:val="22"/>
          <w:szCs w:val="22"/>
        </w:rPr>
      </w:pPr>
    </w:p>
    <w:p w14:paraId="75EDC746" w14:textId="77777777" w:rsidR="00F56A4B" w:rsidRPr="00B30A12" w:rsidRDefault="00F56A4B" w:rsidP="0054140C">
      <w:pPr>
        <w:keepNext/>
        <w:widowControl w:val="0"/>
        <w:ind w:left="567" w:hanging="567"/>
        <w:rPr>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3E02B8D3" w14:textId="77777777" w:rsidR="00F56A4B" w:rsidRPr="00B30A12" w:rsidRDefault="00F56A4B" w:rsidP="0054140C">
      <w:pPr>
        <w:keepNext/>
        <w:widowControl w:val="0"/>
        <w:rPr>
          <w:color w:val="000000"/>
          <w:sz w:val="22"/>
          <w:szCs w:val="22"/>
        </w:rPr>
      </w:pPr>
    </w:p>
    <w:p w14:paraId="09793BD1" w14:textId="77777777" w:rsidR="00F56A4B" w:rsidRPr="00B30A12" w:rsidRDefault="00416119" w:rsidP="0054140C">
      <w:pPr>
        <w:widowControl w:val="0"/>
        <w:rPr>
          <w:color w:val="000000"/>
          <w:sz w:val="22"/>
          <w:szCs w:val="22"/>
        </w:rPr>
      </w:pPr>
      <w:r w:rsidRPr="00B30A12">
        <w:rPr>
          <w:color w:val="000000"/>
          <w:sz w:val="22"/>
          <w:szCs w:val="22"/>
        </w:rPr>
        <w:t xml:space="preserve">Glivec </w:t>
      </w:r>
      <w:r w:rsidR="00F56A4B" w:rsidRPr="00B30A12">
        <w:rPr>
          <w:color w:val="000000"/>
          <w:sz w:val="22"/>
          <w:szCs w:val="22"/>
        </w:rPr>
        <w:t>100</w:t>
      </w:r>
      <w:r w:rsidR="001922B0" w:rsidRPr="00B30A12">
        <w:rPr>
          <w:color w:val="000000"/>
          <w:sz w:val="22"/>
          <w:szCs w:val="22"/>
        </w:rPr>
        <w:t> mg</w:t>
      </w:r>
      <w:r w:rsidR="00F56A4B" w:rsidRPr="00B30A12">
        <w:rPr>
          <w:color w:val="000000"/>
          <w:sz w:val="22"/>
          <w:szCs w:val="22"/>
        </w:rPr>
        <w:t xml:space="preserve"> Filmtabletten</w:t>
      </w:r>
    </w:p>
    <w:p w14:paraId="0AF86725" w14:textId="77777777" w:rsidR="007B0208" w:rsidRPr="00B30A12" w:rsidRDefault="007B0208" w:rsidP="0054140C">
      <w:pPr>
        <w:widowControl w:val="0"/>
        <w:rPr>
          <w:color w:val="000000"/>
          <w:sz w:val="22"/>
          <w:szCs w:val="22"/>
        </w:rPr>
      </w:pPr>
      <w:r w:rsidRPr="00B30A12">
        <w:rPr>
          <w:color w:val="000000"/>
          <w:sz w:val="22"/>
          <w:szCs w:val="22"/>
        </w:rPr>
        <w:t>Glivec 400 mg Filmtabletten</w:t>
      </w:r>
    </w:p>
    <w:p w14:paraId="76999BFA" w14:textId="77777777" w:rsidR="00F56A4B" w:rsidRPr="00B30A12" w:rsidRDefault="00F56A4B" w:rsidP="0054140C">
      <w:pPr>
        <w:widowControl w:val="0"/>
        <w:rPr>
          <w:color w:val="000000"/>
          <w:sz w:val="22"/>
          <w:szCs w:val="22"/>
        </w:rPr>
      </w:pPr>
    </w:p>
    <w:p w14:paraId="7E01C618" w14:textId="77777777" w:rsidR="00F56A4B" w:rsidRPr="00B30A12" w:rsidRDefault="00F56A4B" w:rsidP="0054140C">
      <w:pPr>
        <w:widowControl w:val="0"/>
        <w:rPr>
          <w:color w:val="000000"/>
          <w:sz w:val="22"/>
          <w:szCs w:val="22"/>
        </w:rPr>
      </w:pPr>
    </w:p>
    <w:p w14:paraId="251985B9" w14:textId="77777777" w:rsidR="00F56A4B" w:rsidRPr="00B30A12" w:rsidRDefault="00F56A4B" w:rsidP="0054140C">
      <w:pPr>
        <w:keepNext/>
        <w:widowControl w:val="0"/>
        <w:ind w:left="567" w:hanging="567"/>
        <w:rPr>
          <w:color w:val="000000"/>
          <w:sz w:val="22"/>
          <w:szCs w:val="22"/>
        </w:rPr>
      </w:pPr>
      <w:r w:rsidRPr="00B30A12">
        <w:rPr>
          <w:b/>
          <w:color w:val="000000"/>
          <w:sz w:val="22"/>
          <w:szCs w:val="22"/>
        </w:rPr>
        <w:t>2.</w:t>
      </w:r>
      <w:r w:rsidRPr="00B30A12">
        <w:rPr>
          <w:b/>
          <w:color w:val="000000"/>
          <w:sz w:val="22"/>
          <w:szCs w:val="22"/>
        </w:rPr>
        <w:tab/>
        <w:t>QUALITATIVE UND QUANTITATIVE ZUSAMMENSETZUNG</w:t>
      </w:r>
    </w:p>
    <w:p w14:paraId="5F2BDF8C" w14:textId="77777777" w:rsidR="00F56A4B" w:rsidRPr="00B30A12" w:rsidRDefault="00F56A4B" w:rsidP="0054140C">
      <w:pPr>
        <w:pStyle w:val="Header"/>
        <w:keepNext/>
        <w:widowControl w:val="0"/>
        <w:tabs>
          <w:tab w:val="clear" w:pos="4320"/>
          <w:tab w:val="clear" w:pos="8640"/>
        </w:tabs>
        <w:rPr>
          <w:color w:val="000000"/>
          <w:szCs w:val="22"/>
        </w:rPr>
      </w:pPr>
    </w:p>
    <w:p w14:paraId="312BF9CB" w14:textId="77777777" w:rsidR="007B0208" w:rsidRPr="00B30A12" w:rsidRDefault="007B0208" w:rsidP="0054140C">
      <w:pPr>
        <w:keepNext/>
        <w:widowControl w:val="0"/>
        <w:rPr>
          <w:color w:val="000000"/>
          <w:sz w:val="22"/>
          <w:szCs w:val="22"/>
          <w:u w:val="single"/>
        </w:rPr>
      </w:pPr>
      <w:r w:rsidRPr="00B30A12">
        <w:rPr>
          <w:color w:val="000000"/>
          <w:sz w:val="22"/>
          <w:szCs w:val="22"/>
          <w:u w:val="single"/>
        </w:rPr>
        <w:t>Glivec 100 mg Filmtabletten</w:t>
      </w:r>
    </w:p>
    <w:p w14:paraId="7F1AA4DA" w14:textId="77777777" w:rsidR="00F56A4B" w:rsidRPr="00B30A12" w:rsidRDefault="00F56A4B" w:rsidP="0054140C">
      <w:pPr>
        <w:widowControl w:val="0"/>
        <w:rPr>
          <w:color w:val="000000"/>
          <w:sz w:val="22"/>
          <w:szCs w:val="22"/>
        </w:rPr>
      </w:pPr>
      <w:r w:rsidRPr="00B30A12">
        <w:rPr>
          <w:color w:val="000000"/>
          <w:sz w:val="22"/>
          <w:szCs w:val="22"/>
        </w:rPr>
        <w:t>Jede Filmtablette enthält 100</w:t>
      </w:r>
      <w:r w:rsidR="001922B0" w:rsidRPr="00B30A12">
        <w:rPr>
          <w:color w:val="000000"/>
          <w:sz w:val="22"/>
          <w:szCs w:val="22"/>
        </w:rPr>
        <w:t> mg</w:t>
      </w:r>
      <w:r w:rsidRPr="00B30A12">
        <w:rPr>
          <w:color w:val="000000"/>
          <w:sz w:val="22"/>
          <w:szCs w:val="22"/>
        </w:rPr>
        <w:t xml:space="preserve"> Imatinib (als Mesilat)</w:t>
      </w:r>
      <w:r w:rsidR="0010708C" w:rsidRPr="00B30A12">
        <w:rPr>
          <w:color w:val="000000"/>
          <w:sz w:val="22"/>
          <w:szCs w:val="22"/>
        </w:rPr>
        <w:t>.</w:t>
      </w:r>
    </w:p>
    <w:p w14:paraId="3C3343AB" w14:textId="77777777" w:rsidR="00F56A4B" w:rsidRPr="00B30A12" w:rsidRDefault="00F56A4B" w:rsidP="0054140C">
      <w:pPr>
        <w:widowControl w:val="0"/>
        <w:rPr>
          <w:color w:val="000000"/>
          <w:sz w:val="22"/>
          <w:szCs w:val="22"/>
        </w:rPr>
      </w:pPr>
    </w:p>
    <w:p w14:paraId="15B7D65C" w14:textId="77777777" w:rsidR="007B0208" w:rsidRPr="00B30A12" w:rsidRDefault="007B0208" w:rsidP="0054140C">
      <w:pPr>
        <w:keepNext/>
        <w:widowControl w:val="0"/>
        <w:rPr>
          <w:color w:val="000000"/>
          <w:sz w:val="22"/>
          <w:szCs w:val="22"/>
          <w:u w:val="single"/>
        </w:rPr>
      </w:pPr>
      <w:r w:rsidRPr="00B30A12">
        <w:rPr>
          <w:color w:val="000000"/>
          <w:sz w:val="22"/>
          <w:szCs w:val="22"/>
          <w:u w:val="single"/>
        </w:rPr>
        <w:t>Glivec 400 mg Filmtabletten</w:t>
      </w:r>
    </w:p>
    <w:p w14:paraId="48A735BA" w14:textId="77777777" w:rsidR="007B0208" w:rsidRPr="00B30A12" w:rsidRDefault="007B0208" w:rsidP="0054140C">
      <w:pPr>
        <w:widowControl w:val="0"/>
        <w:rPr>
          <w:color w:val="000000"/>
          <w:sz w:val="22"/>
          <w:szCs w:val="22"/>
        </w:rPr>
      </w:pPr>
      <w:r w:rsidRPr="00B30A12">
        <w:rPr>
          <w:color w:val="000000"/>
          <w:sz w:val="22"/>
          <w:szCs w:val="22"/>
        </w:rPr>
        <w:t>Jede Filmtablette enthält 400 mg Imatinib (als Mesilat).</w:t>
      </w:r>
    </w:p>
    <w:p w14:paraId="51C50426" w14:textId="77777777" w:rsidR="007B0208" w:rsidRPr="00B30A12" w:rsidRDefault="007B0208" w:rsidP="0054140C">
      <w:pPr>
        <w:widowControl w:val="0"/>
        <w:rPr>
          <w:color w:val="000000"/>
          <w:sz w:val="22"/>
          <w:szCs w:val="22"/>
        </w:rPr>
      </w:pPr>
    </w:p>
    <w:p w14:paraId="0E3D0F02" w14:textId="77777777" w:rsidR="00416119" w:rsidRPr="00B30A12" w:rsidRDefault="00C5148D" w:rsidP="0054140C">
      <w:pPr>
        <w:pStyle w:val="BodyText3"/>
        <w:widowControl w:val="0"/>
        <w:rPr>
          <w:color w:val="000000"/>
          <w:szCs w:val="22"/>
        </w:rPr>
      </w:pPr>
      <w:r w:rsidRPr="00B30A12">
        <w:rPr>
          <w:noProof/>
          <w:color w:val="000000"/>
          <w:szCs w:val="22"/>
        </w:rPr>
        <w:t>V</w:t>
      </w:r>
      <w:r w:rsidR="00416119" w:rsidRPr="00B30A12">
        <w:rPr>
          <w:noProof/>
          <w:color w:val="000000"/>
          <w:szCs w:val="22"/>
        </w:rPr>
        <w:t>ollständige Auflistung der sonstigen Bestandteile</w:t>
      </w:r>
      <w:r w:rsidR="00DF2A2E" w:rsidRPr="00B30A12">
        <w:rPr>
          <w:noProof/>
          <w:color w:val="000000"/>
          <w:szCs w:val="22"/>
        </w:rPr>
        <w:t>,</w:t>
      </w:r>
      <w:r w:rsidR="00416119" w:rsidRPr="00B30A12">
        <w:rPr>
          <w:noProof/>
          <w:color w:val="000000"/>
          <w:szCs w:val="22"/>
        </w:rPr>
        <w:t xml:space="preserve"> siehe Abschnitt 6.1.</w:t>
      </w:r>
    </w:p>
    <w:p w14:paraId="5775741A" w14:textId="77777777" w:rsidR="00F56A4B" w:rsidRPr="00B30A12" w:rsidRDefault="00F56A4B" w:rsidP="0054140C">
      <w:pPr>
        <w:widowControl w:val="0"/>
        <w:rPr>
          <w:color w:val="000000"/>
          <w:sz w:val="22"/>
          <w:szCs w:val="22"/>
        </w:rPr>
      </w:pPr>
    </w:p>
    <w:p w14:paraId="4FF3E203" w14:textId="77777777" w:rsidR="00F56A4B" w:rsidRPr="00B30A12" w:rsidRDefault="00F56A4B" w:rsidP="0054140C">
      <w:pPr>
        <w:widowControl w:val="0"/>
        <w:rPr>
          <w:color w:val="000000"/>
          <w:sz w:val="22"/>
          <w:szCs w:val="22"/>
        </w:rPr>
      </w:pPr>
    </w:p>
    <w:p w14:paraId="5A325B63" w14:textId="77777777" w:rsidR="00F56A4B" w:rsidRPr="00B30A12" w:rsidRDefault="00F56A4B" w:rsidP="003D30FF">
      <w:pPr>
        <w:keepNext/>
        <w:widowControl w:val="0"/>
        <w:ind w:left="567" w:hanging="567"/>
        <w:rPr>
          <w:color w:val="000000"/>
          <w:sz w:val="22"/>
          <w:szCs w:val="22"/>
        </w:rPr>
      </w:pPr>
      <w:r w:rsidRPr="00B30A12">
        <w:rPr>
          <w:b/>
          <w:color w:val="000000"/>
          <w:sz w:val="22"/>
          <w:szCs w:val="22"/>
        </w:rPr>
        <w:t>3.</w:t>
      </w:r>
      <w:r w:rsidRPr="00B30A12">
        <w:rPr>
          <w:b/>
          <w:color w:val="000000"/>
          <w:sz w:val="22"/>
          <w:szCs w:val="22"/>
        </w:rPr>
        <w:tab/>
        <w:t>DARREICHUNGSFORM</w:t>
      </w:r>
    </w:p>
    <w:p w14:paraId="58E8DE0C" w14:textId="77777777" w:rsidR="00F56A4B" w:rsidRPr="00B30A12" w:rsidRDefault="00F56A4B" w:rsidP="003D30FF">
      <w:pPr>
        <w:keepNext/>
        <w:widowControl w:val="0"/>
        <w:rPr>
          <w:color w:val="000000"/>
          <w:sz w:val="22"/>
          <w:szCs w:val="22"/>
        </w:rPr>
      </w:pPr>
    </w:p>
    <w:p w14:paraId="789B6093" w14:textId="77777777" w:rsidR="00F56A4B" w:rsidRPr="00B30A12" w:rsidRDefault="00F56A4B" w:rsidP="0054140C">
      <w:pPr>
        <w:widowControl w:val="0"/>
        <w:rPr>
          <w:color w:val="000000"/>
          <w:sz w:val="22"/>
          <w:szCs w:val="22"/>
        </w:rPr>
      </w:pPr>
      <w:r w:rsidRPr="00B30A12">
        <w:rPr>
          <w:color w:val="000000"/>
          <w:sz w:val="22"/>
          <w:szCs w:val="22"/>
        </w:rPr>
        <w:t>Filmtablette</w:t>
      </w:r>
    </w:p>
    <w:p w14:paraId="7BD4EF05" w14:textId="77777777" w:rsidR="00F56A4B" w:rsidRPr="00B30A12" w:rsidRDefault="00F56A4B" w:rsidP="0054140C">
      <w:pPr>
        <w:widowControl w:val="0"/>
        <w:rPr>
          <w:color w:val="000000"/>
          <w:sz w:val="22"/>
          <w:szCs w:val="22"/>
        </w:rPr>
      </w:pPr>
    </w:p>
    <w:p w14:paraId="32E28A54" w14:textId="77777777" w:rsidR="004E0971" w:rsidRPr="00B30A12" w:rsidRDefault="004E0971" w:rsidP="003D30FF">
      <w:pPr>
        <w:keepNext/>
        <w:widowControl w:val="0"/>
        <w:rPr>
          <w:color w:val="000000"/>
          <w:sz w:val="22"/>
          <w:szCs w:val="22"/>
          <w:u w:val="single"/>
        </w:rPr>
      </w:pPr>
      <w:r w:rsidRPr="00B30A12">
        <w:rPr>
          <w:color w:val="000000"/>
          <w:sz w:val="22"/>
          <w:szCs w:val="22"/>
          <w:u w:val="single"/>
        </w:rPr>
        <w:t>Glivec 100 mg Filmtabletten</w:t>
      </w:r>
    </w:p>
    <w:p w14:paraId="37E18791" w14:textId="77777777" w:rsidR="00F56A4B" w:rsidRPr="00B30A12" w:rsidRDefault="00F56A4B" w:rsidP="0054140C">
      <w:pPr>
        <w:widowControl w:val="0"/>
        <w:rPr>
          <w:color w:val="000000"/>
          <w:sz w:val="22"/>
          <w:szCs w:val="22"/>
        </w:rPr>
      </w:pPr>
      <w:r w:rsidRPr="00B30A12">
        <w:rPr>
          <w:color w:val="000000"/>
          <w:sz w:val="22"/>
          <w:szCs w:val="22"/>
        </w:rPr>
        <w:t>Dunkelgelbe bis braun-orange runde Filmtablette, gekennzeichnet mit „</w:t>
      </w:r>
      <w:smartTag w:uri="urn:schemas-microsoft-com:office:smarttags" w:element="stockticker">
        <w:r w:rsidRPr="00B30A12">
          <w:rPr>
            <w:color w:val="000000"/>
            <w:sz w:val="22"/>
            <w:szCs w:val="22"/>
          </w:rPr>
          <w:t>NVR</w:t>
        </w:r>
      </w:smartTag>
      <w:r w:rsidRPr="00B30A12">
        <w:rPr>
          <w:color w:val="000000"/>
          <w:sz w:val="22"/>
          <w:szCs w:val="22"/>
        </w:rPr>
        <w:t>“ auf der einen und „SA“ auf der anderen Seite. Auf der mit „SA“ gekennzeichneten Seite befindet sich zusätzlich ein</w:t>
      </w:r>
      <w:r w:rsidR="00F9359D" w:rsidRPr="00B30A12">
        <w:rPr>
          <w:color w:val="000000"/>
          <w:sz w:val="22"/>
          <w:szCs w:val="22"/>
        </w:rPr>
        <w:t>e</w:t>
      </w:r>
      <w:r w:rsidRPr="00B30A12">
        <w:rPr>
          <w:color w:val="000000"/>
          <w:sz w:val="22"/>
          <w:szCs w:val="22"/>
        </w:rPr>
        <w:t xml:space="preserve"> Bruchkerbe.</w:t>
      </w:r>
    </w:p>
    <w:p w14:paraId="621A915A" w14:textId="77777777" w:rsidR="00F56A4B" w:rsidRPr="00B30A12" w:rsidRDefault="00F56A4B" w:rsidP="0054140C">
      <w:pPr>
        <w:widowControl w:val="0"/>
        <w:rPr>
          <w:color w:val="000000"/>
          <w:sz w:val="22"/>
          <w:szCs w:val="22"/>
        </w:rPr>
      </w:pPr>
    </w:p>
    <w:p w14:paraId="30471512" w14:textId="77777777" w:rsidR="004E0971" w:rsidRPr="00B30A12" w:rsidRDefault="004E0971" w:rsidP="003D30FF">
      <w:pPr>
        <w:keepNext/>
        <w:widowControl w:val="0"/>
        <w:rPr>
          <w:color w:val="000000"/>
          <w:sz w:val="22"/>
          <w:szCs w:val="22"/>
          <w:u w:val="single"/>
        </w:rPr>
      </w:pPr>
      <w:r w:rsidRPr="00B30A12">
        <w:rPr>
          <w:color w:val="000000"/>
          <w:sz w:val="22"/>
          <w:szCs w:val="22"/>
          <w:u w:val="single"/>
        </w:rPr>
        <w:t>Glivec 400 mg Filmtabletten</w:t>
      </w:r>
    </w:p>
    <w:p w14:paraId="3200122E" w14:textId="77777777" w:rsidR="004E0971" w:rsidRPr="00B30A12" w:rsidRDefault="004E0971" w:rsidP="0054140C">
      <w:pPr>
        <w:widowControl w:val="0"/>
        <w:rPr>
          <w:color w:val="000000"/>
          <w:sz w:val="22"/>
          <w:szCs w:val="22"/>
        </w:rPr>
      </w:pPr>
      <w:r w:rsidRPr="00B30A12">
        <w:rPr>
          <w:color w:val="000000"/>
          <w:sz w:val="22"/>
          <w:szCs w:val="22"/>
        </w:rPr>
        <w:t>Dunkelgelbe bis braun-orange ovaloide, bikonvexe Filmtablette mit abgeschrägten Kanten. Auf einer Seite ist „glivec“ eingeprägt.</w:t>
      </w:r>
    </w:p>
    <w:p w14:paraId="47C642DB" w14:textId="77777777" w:rsidR="00F56A4B" w:rsidRPr="00B30A12" w:rsidRDefault="00F56A4B" w:rsidP="0054140C">
      <w:pPr>
        <w:widowControl w:val="0"/>
        <w:rPr>
          <w:color w:val="000000"/>
          <w:sz w:val="22"/>
          <w:szCs w:val="22"/>
        </w:rPr>
      </w:pPr>
    </w:p>
    <w:p w14:paraId="1BFFA4BA" w14:textId="77777777" w:rsidR="000742FC" w:rsidRPr="00B30A12" w:rsidRDefault="000742FC" w:rsidP="003D30FF">
      <w:pPr>
        <w:keepNext/>
        <w:widowControl w:val="0"/>
        <w:ind w:left="567" w:hanging="567"/>
        <w:rPr>
          <w:color w:val="000000"/>
          <w:sz w:val="22"/>
          <w:szCs w:val="22"/>
        </w:rPr>
      </w:pPr>
      <w:r w:rsidRPr="00B30A12">
        <w:rPr>
          <w:b/>
          <w:color w:val="000000"/>
          <w:sz w:val="22"/>
          <w:szCs w:val="22"/>
        </w:rPr>
        <w:t>4.</w:t>
      </w:r>
      <w:r w:rsidRPr="00B30A12">
        <w:rPr>
          <w:b/>
          <w:color w:val="000000"/>
          <w:sz w:val="22"/>
          <w:szCs w:val="22"/>
        </w:rPr>
        <w:tab/>
        <w:t>KLINISCHE ANGABEN</w:t>
      </w:r>
    </w:p>
    <w:p w14:paraId="395F2CE4" w14:textId="77777777" w:rsidR="000742FC" w:rsidRPr="00B30A12" w:rsidRDefault="000742FC" w:rsidP="003D30FF">
      <w:pPr>
        <w:pStyle w:val="Header"/>
        <w:keepNext/>
        <w:widowControl w:val="0"/>
        <w:tabs>
          <w:tab w:val="clear" w:pos="4320"/>
          <w:tab w:val="clear" w:pos="8640"/>
        </w:tabs>
        <w:rPr>
          <w:color w:val="000000"/>
          <w:szCs w:val="22"/>
        </w:rPr>
      </w:pPr>
    </w:p>
    <w:p w14:paraId="1349FEF2" w14:textId="77777777" w:rsidR="000742FC" w:rsidRPr="00B30A12" w:rsidRDefault="000742FC" w:rsidP="003D30FF">
      <w:pPr>
        <w:keepNext/>
        <w:widowControl w:val="0"/>
        <w:ind w:left="567" w:hanging="567"/>
        <w:rPr>
          <w:color w:val="000000"/>
          <w:sz w:val="22"/>
          <w:szCs w:val="22"/>
        </w:rPr>
      </w:pPr>
      <w:r w:rsidRPr="00B30A12">
        <w:rPr>
          <w:b/>
          <w:color w:val="000000"/>
          <w:sz w:val="22"/>
          <w:szCs w:val="22"/>
        </w:rPr>
        <w:t>4.1</w:t>
      </w:r>
      <w:r w:rsidRPr="00B30A12">
        <w:rPr>
          <w:b/>
          <w:color w:val="000000"/>
          <w:sz w:val="22"/>
          <w:szCs w:val="22"/>
        </w:rPr>
        <w:tab/>
        <w:t>Anwendungsgebiete</w:t>
      </w:r>
    </w:p>
    <w:p w14:paraId="18C654C5" w14:textId="77777777" w:rsidR="000742FC" w:rsidRPr="00B30A12" w:rsidRDefault="000742FC" w:rsidP="003D30FF">
      <w:pPr>
        <w:pStyle w:val="BodyTextIndent3"/>
        <w:keepNext/>
        <w:ind w:left="0"/>
        <w:rPr>
          <w:rFonts w:ascii="Times New Roman" w:hAnsi="Times New Roman"/>
          <w:color w:val="000000"/>
          <w:szCs w:val="22"/>
        </w:rPr>
      </w:pPr>
    </w:p>
    <w:p w14:paraId="0BAECEA7" w14:textId="77777777" w:rsidR="000742FC" w:rsidRPr="00B30A12" w:rsidRDefault="000742FC" w:rsidP="003D30FF">
      <w:pPr>
        <w:pStyle w:val="BodyTextIndent3"/>
        <w:keepNext/>
        <w:ind w:left="0"/>
        <w:rPr>
          <w:rFonts w:ascii="Times New Roman" w:hAnsi="Times New Roman"/>
          <w:color w:val="000000"/>
          <w:szCs w:val="22"/>
        </w:rPr>
      </w:pPr>
      <w:r w:rsidRPr="00B30A12">
        <w:rPr>
          <w:rFonts w:ascii="Times New Roman" w:hAnsi="Times New Roman"/>
          <w:color w:val="000000"/>
          <w:szCs w:val="22"/>
        </w:rPr>
        <w:t>Glivec ist angezeigt zur Behandlung von</w:t>
      </w:r>
    </w:p>
    <w:p w14:paraId="4C3AA247"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und Kindern mit neu diagnostizierter Philadelphia-Chromosom (bcr-abl)-positiver (Ph+) chronischer myeloischer Leukämie (CML), für die eine Knochenmarktransplantation als Erstbehandlungsmöglichkeit nicht in Betracht gezogen wird.</w:t>
      </w:r>
    </w:p>
    <w:p w14:paraId="00704DD2"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und Kindern mit Ph+-CML in der chronischen Phase nach Versagen einer Interferon-Alpha-Therapie, in der akzele</w:t>
      </w:r>
      <w:r w:rsidRPr="00B30A12">
        <w:rPr>
          <w:rFonts w:ascii="Times New Roman" w:hAnsi="Times New Roman"/>
          <w:color w:val="000000"/>
          <w:szCs w:val="22"/>
        </w:rPr>
        <w:softHyphen/>
        <w:t>rierten Phase oder in der Blastenkrise.</w:t>
      </w:r>
    </w:p>
    <w:p w14:paraId="6F662476"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 xml:space="preserve">Erwachsenen </w:t>
      </w:r>
      <w:r w:rsidR="009F2D90" w:rsidRPr="00B30A12">
        <w:rPr>
          <w:rFonts w:ascii="Times New Roman" w:hAnsi="Times New Roman"/>
          <w:color w:val="000000"/>
          <w:szCs w:val="22"/>
        </w:rPr>
        <w:t xml:space="preserve">und Kindern </w:t>
      </w:r>
      <w:r w:rsidRPr="00B30A12">
        <w:rPr>
          <w:rFonts w:ascii="Times New Roman" w:hAnsi="Times New Roman"/>
          <w:color w:val="000000"/>
          <w:szCs w:val="22"/>
        </w:rPr>
        <w:t xml:space="preserve">mit neu diagnostizierter Philadelphia-Chromosom-positiver akuter lymphatischer Leukämie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in Kombination mit einer Chemotherapie.</w:t>
      </w:r>
    </w:p>
    <w:p w14:paraId="3C91C565"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 xml:space="preserve">Erwachsenen mit rezidivierter oder refraktärer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als Monotherapie.</w:t>
      </w:r>
    </w:p>
    <w:p w14:paraId="3F4E82BE"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mit myelodysplastischen/myeloproliferativen Erkrankungen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in Verbindung mit Genumlagerungen des PDGF-Rezeptors (platelet-derived growth factor).</w:t>
      </w:r>
    </w:p>
    <w:p w14:paraId="41FA7EB4"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Erwachsenen mit fortgeschrittenem hypereosinophilem Syndrom (HES) und/oder chronischer eosinophiler Leukämie (</w:t>
      </w:r>
      <w:smartTag w:uri="urn:schemas-microsoft-com:office:smarttags" w:element="stockticker">
        <w:r w:rsidRPr="00B30A12">
          <w:rPr>
            <w:rFonts w:ascii="Times New Roman" w:hAnsi="Times New Roman"/>
            <w:color w:val="000000"/>
            <w:szCs w:val="22"/>
          </w:rPr>
          <w:t>CEL</w:t>
        </w:r>
      </w:smartTag>
      <w:r w:rsidRPr="00B30A12">
        <w:rPr>
          <w:rFonts w:ascii="Times New Roman" w:hAnsi="Times New Roman"/>
          <w:color w:val="000000"/>
          <w:szCs w:val="22"/>
        </w:rPr>
        <w:t>) mit FIP1L1-PDGFR</w:t>
      </w:r>
      <w:r w:rsidRPr="00B30A12">
        <w:rPr>
          <w:rFonts w:ascii="Times New Roman" w:hAnsi="Times New Roman"/>
          <w:color w:val="000000"/>
          <w:szCs w:val="22"/>
        </w:rPr>
        <w:sym w:font="Symbol" w:char="F061"/>
      </w:r>
      <w:r w:rsidRPr="00B30A12">
        <w:rPr>
          <w:rFonts w:ascii="Times New Roman" w:hAnsi="Times New Roman"/>
          <w:color w:val="000000"/>
          <w:szCs w:val="22"/>
        </w:rPr>
        <w:t>-Umlagerung.</w:t>
      </w:r>
    </w:p>
    <w:p w14:paraId="41DB8466" w14:textId="77777777" w:rsidR="000742FC" w:rsidRPr="00B30A12" w:rsidRDefault="000742FC" w:rsidP="0054140C">
      <w:pPr>
        <w:pStyle w:val="BodyTextIndent3"/>
        <w:ind w:left="0"/>
        <w:rPr>
          <w:rFonts w:ascii="Times New Roman" w:hAnsi="Times New Roman"/>
          <w:color w:val="000000"/>
          <w:szCs w:val="22"/>
        </w:rPr>
      </w:pPr>
    </w:p>
    <w:p w14:paraId="1D73220F" w14:textId="77777777" w:rsidR="000742FC" w:rsidRPr="00B30A12" w:rsidRDefault="000742FC" w:rsidP="0054140C">
      <w:pPr>
        <w:pStyle w:val="BodyTextIndent3"/>
        <w:ind w:left="0"/>
        <w:rPr>
          <w:rFonts w:ascii="Times New Roman" w:hAnsi="Times New Roman"/>
          <w:color w:val="000000"/>
          <w:szCs w:val="22"/>
        </w:rPr>
      </w:pPr>
      <w:r w:rsidRPr="00B30A12">
        <w:rPr>
          <w:rFonts w:ascii="Times New Roman" w:hAnsi="Times New Roman"/>
          <w:color w:val="000000"/>
          <w:szCs w:val="22"/>
        </w:rPr>
        <w:t>Die Wirkung von Glivec auf das Ergebnis einer Knochenmarktransplantation wurde nicht untersucht.</w:t>
      </w:r>
    </w:p>
    <w:p w14:paraId="64EE6D97" w14:textId="77777777" w:rsidR="000742FC" w:rsidRPr="00B30A12" w:rsidRDefault="000742FC" w:rsidP="0054140C">
      <w:pPr>
        <w:pStyle w:val="BodyTextIndent3"/>
        <w:ind w:left="0"/>
        <w:rPr>
          <w:rFonts w:ascii="Times New Roman" w:hAnsi="Times New Roman"/>
          <w:color w:val="000000"/>
          <w:szCs w:val="22"/>
        </w:rPr>
      </w:pPr>
    </w:p>
    <w:p w14:paraId="29EF3963" w14:textId="77777777" w:rsidR="000742FC" w:rsidRPr="00B30A12" w:rsidRDefault="000742FC" w:rsidP="003D30FF">
      <w:pPr>
        <w:pStyle w:val="BodyTextIndent3"/>
        <w:keepNext/>
        <w:ind w:left="0"/>
        <w:rPr>
          <w:rFonts w:ascii="Times New Roman" w:hAnsi="Times New Roman"/>
          <w:color w:val="000000"/>
          <w:szCs w:val="22"/>
        </w:rPr>
      </w:pPr>
      <w:r w:rsidRPr="00B30A12">
        <w:rPr>
          <w:rFonts w:ascii="Times New Roman" w:hAnsi="Times New Roman"/>
          <w:color w:val="000000"/>
          <w:szCs w:val="22"/>
        </w:rPr>
        <w:lastRenderedPageBreak/>
        <w:t>Glivec ist angezeigt zur</w:t>
      </w:r>
    </w:p>
    <w:p w14:paraId="59794449"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Behandlung c-Kit-(CD 117)-positiver nicht resezierbarer und/oder metastasierter maligner gastrointestinaler Stromatumoren (GIST) bei Erwachsenen.</w:t>
      </w:r>
    </w:p>
    <w:p w14:paraId="1C3D7CA3"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adjuvanten Behandlung Erwachsener mit signif</w:t>
      </w:r>
      <w:r w:rsidR="0054789C" w:rsidRPr="00B30A12">
        <w:rPr>
          <w:rFonts w:ascii="Times New Roman" w:hAnsi="Times New Roman"/>
          <w:color w:val="000000"/>
          <w:szCs w:val="22"/>
        </w:rPr>
        <w:t>i</w:t>
      </w:r>
      <w:r w:rsidRPr="00B30A12">
        <w:rPr>
          <w:rFonts w:ascii="Times New Roman" w:hAnsi="Times New Roman"/>
          <w:color w:val="000000"/>
          <w:szCs w:val="22"/>
        </w:rPr>
        <w:t>kantem Risiko eines Rezidivs nach Resektion c-Kit-(CD 117)-positiver GIST. Patienten mit einem niedrigen oder sehr niedrigen Rezidivrisiko sollten keine adjuvante Behandlung erhalten.</w:t>
      </w:r>
    </w:p>
    <w:p w14:paraId="7DE34411" w14:textId="77777777" w:rsidR="000742FC" w:rsidRPr="00B30A12" w:rsidRDefault="000742FC" w:rsidP="0054140C">
      <w:pPr>
        <w:pStyle w:val="BodyTextIndent3"/>
        <w:numPr>
          <w:ilvl w:val="0"/>
          <w:numId w:val="13"/>
        </w:numPr>
        <w:tabs>
          <w:tab w:val="clear" w:pos="360"/>
        </w:tabs>
        <w:ind w:left="567" w:hanging="567"/>
        <w:rPr>
          <w:rFonts w:ascii="Times New Roman" w:hAnsi="Times New Roman"/>
          <w:color w:val="000000"/>
          <w:szCs w:val="22"/>
        </w:rPr>
      </w:pPr>
      <w:r w:rsidRPr="00B30A12">
        <w:rPr>
          <w:rFonts w:ascii="Times New Roman" w:hAnsi="Times New Roman"/>
          <w:color w:val="000000"/>
          <w:szCs w:val="22"/>
        </w:rPr>
        <w:t>Behandlung Erwachsener mit nicht resezierbarem Dermatofibrosarcoma protuberans (DFSP) und Erwachsener mit rezidivierendem und/oder metastasiertem DFSP, die für eine chirurgische Behandlung nicht in Frage kommen.</w:t>
      </w:r>
    </w:p>
    <w:p w14:paraId="12B72BA0" w14:textId="77777777" w:rsidR="000742FC" w:rsidRPr="00B30A12" w:rsidRDefault="000742FC" w:rsidP="0054140C">
      <w:pPr>
        <w:pStyle w:val="BodyTextIndent3"/>
        <w:ind w:left="0"/>
        <w:rPr>
          <w:rFonts w:ascii="Times New Roman" w:hAnsi="Times New Roman"/>
          <w:color w:val="000000"/>
          <w:szCs w:val="22"/>
        </w:rPr>
      </w:pPr>
    </w:p>
    <w:p w14:paraId="18115EE3" w14:textId="77777777" w:rsidR="000742FC" w:rsidRPr="00B30A12" w:rsidRDefault="000742FC" w:rsidP="0054140C">
      <w:pPr>
        <w:pStyle w:val="BodyTextIndent3"/>
        <w:ind w:left="0"/>
        <w:rPr>
          <w:rFonts w:ascii="Times New Roman" w:hAnsi="Times New Roman"/>
          <w:color w:val="000000"/>
          <w:szCs w:val="22"/>
        </w:rPr>
      </w:pPr>
      <w:r w:rsidRPr="00B30A12">
        <w:rPr>
          <w:rFonts w:ascii="Times New Roman" w:hAnsi="Times New Roman"/>
          <w:color w:val="000000"/>
          <w:szCs w:val="22"/>
        </w:rPr>
        <w:t xml:space="preserve">Bei Erwachsenen und Kindern mit CML basiert die Wirksamkeit von Glivec auf den hämatologischen und zytogenetischen Gesamtansprechraten und auf dem progressionsfreien Überleben, bei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und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auf den hämatologischen und zytogenetischen Gesamtansprechraten, bei HES/</w:t>
      </w:r>
      <w:smartTag w:uri="urn:schemas-microsoft-com:office:smarttags" w:element="stockticker">
        <w:r w:rsidRPr="00B30A12">
          <w:rPr>
            <w:rFonts w:ascii="Times New Roman" w:hAnsi="Times New Roman"/>
            <w:color w:val="000000"/>
            <w:szCs w:val="22"/>
          </w:rPr>
          <w:t>CEL</w:t>
        </w:r>
      </w:smartTag>
      <w:r w:rsidRPr="00B30A12">
        <w:rPr>
          <w:rFonts w:ascii="Times New Roman" w:hAnsi="Times New Roman"/>
          <w:color w:val="000000"/>
          <w:szCs w:val="22"/>
        </w:rPr>
        <w:t xml:space="preserve"> auf der hämatologischen Ansprechrate, bei nicht resezierbaren und/oder metastasierten GIST und DFSP auf den objektiven Ansprechraten und bei adjuvanter Behandlung der GIST auf dem rezidivfreien Überleben. Die Erfahrung mit der Anwendung von Glivec bei Patienten mit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in Verbindung mit PDGFR-Genumlagerungen ist sehr begrenzt (siehe Abschnitt 5.1). Außer für neu diagnostizierte CML in der chronischen Phase liegen keine kontrollierten Studien vor, die einen klinischen Vorteil oder ein verlän</w:t>
      </w:r>
      <w:r w:rsidRPr="00B30A12">
        <w:rPr>
          <w:rFonts w:ascii="Times New Roman" w:hAnsi="Times New Roman"/>
          <w:color w:val="000000"/>
          <w:szCs w:val="22"/>
        </w:rPr>
        <w:softHyphen/>
        <w:t>gertes Überleben bei diesen Erkrankungen belegen.</w:t>
      </w:r>
    </w:p>
    <w:p w14:paraId="6D71E20F" w14:textId="77777777" w:rsidR="000742FC" w:rsidRPr="00B30A12" w:rsidRDefault="000742FC" w:rsidP="0054140C">
      <w:pPr>
        <w:pStyle w:val="Header"/>
        <w:widowControl w:val="0"/>
        <w:tabs>
          <w:tab w:val="clear" w:pos="4320"/>
          <w:tab w:val="clear" w:pos="8640"/>
        </w:tabs>
        <w:rPr>
          <w:color w:val="000000"/>
          <w:szCs w:val="22"/>
        </w:rPr>
      </w:pPr>
    </w:p>
    <w:p w14:paraId="44FA511C" w14:textId="77777777" w:rsidR="000742FC" w:rsidRPr="00B30A12" w:rsidRDefault="000742FC" w:rsidP="003D30FF">
      <w:pPr>
        <w:keepNext/>
        <w:widowControl w:val="0"/>
        <w:ind w:left="567" w:hanging="567"/>
        <w:rPr>
          <w:color w:val="000000"/>
          <w:sz w:val="22"/>
          <w:szCs w:val="22"/>
        </w:rPr>
      </w:pPr>
      <w:r w:rsidRPr="00B30A12">
        <w:rPr>
          <w:b/>
          <w:color w:val="000000"/>
          <w:sz w:val="22"/>
          <w:szCs w:val="22"/>
        </w:rPr>
        <w:t>4.2</w:t>
      </w:r>
      <w:r w:rsidRPr="00B30A12">
        <w:rPr>
          <w:b/>
          <w:color w:val="000000"/>
          <w:sz w:val="22"/>
          <w:szCs w:val="22"/>
        </w:rPr>
        <w:tab/>
        <w:t>Dosierung</w:t>
      </w:r>
      <w:r w:rsidR="00C5148D" w:rsidRPr="00B30A12">
        <w:rPr>
          <w:b/>
          <w:color w:val="000000"/>
          <w:sz w:val="22"/>
          <w:szCs w:val="22"/>
        </w:rPr>
        <w:t xml:space="preserve"> und</w:t>
      </w:r>
      <w:r w:rsidRPr="00B30A12">
        <w:rPr>
          <w:b/>
          <w:color w:val="000000"/>
          <w:sz w:val="22"/>
          <w:szCs w:val="22"/>
        </w:rPr>
        <w:t xml:space="preserve"> Art der Anwendung</w:t>
      </w:r>
    </w:p>
    <w:p w14:paraId="52067C28" w14:textId="77777777" w:rsidR="00F56A4B" w:rsidRPr="00B30A12" w:rsidRDefault="00F56A4B" w:rsidP="003D30FF">
      <w:pPr>
        <w:pStyle w:val="BodyText3"/>
        <w:keepNext/>
        <w:widowControl w:val="0"/>
        <w:rPr>
          <w:color w:val="000000"/>
          <w:szCs w:val="22"/>
        </w:rPr>
      </w:pPr>
    </w:p>
    <w:p w14:paraId="5DD5F454" w14:textId="77777777" w:rsidR="00416119" w:rsidRPr="00B30A12" w:rsidRDefault="00416119" w:rsidP="0054140C">
      <w:pPr>
        <w:pStyle w:val="BodyText3"/>
        <w:widowControl w:val="0"/>
        <w:rPr>
          <w:color w:val="000000"/>
          <w:szCs w:val="22"/>
        </w:rPr>
      </w:pPr>
      <w:r w:rsidRPr="00B30A12">
        <w:rPr>
          <w:color w:val="000000"/>
          <w:szCs w:val="22"/>
        </w:rPr>
        <w:t>Der Beginn der Behandlung sollte von einem Arzt mit Erfahrung in der Behandlung von Patienten mit hämatologischen malignen Erkrankungen und malignen Sarkomen vorgenommen werden, soweit zutreffend.</w:t>
      </w:r>
    </w:p>
    <w:p w14:paraId="740B26A2" w14:textId="77777777" w:rsidR="00F56A4B" w:rsidRPr="00B30A12" w:rsidRDefault="00F56A4B" w:rsidP="0054140C">
      <w:pPr>
        <w:widowControl w:val="0"/>
        <w:rPr>
          <w:color w:val="000000"/>
          <w:sz w:val="22"/>
          <w:szCs w:val="22"/>
        </w:rPr>
      </w:pPr>
    </w:p>
    <w:p w14:paraId="6AD6192C" w14:textId="77777777" w:rsidR="004E0971" w:rsidRPr="00B30A12" w:rsidRDefault="004E0971" w:rsidP="0054140C">
      <w:pPr>
        <w:widowControl w:val="0"/>
        <w:rPr>
          <w:color w:val="000000"/>
          <w:sz w:val="22"/>
          <w:szCs w:val="22"/>
        </w:rPr>
      </w:pPr>
      <w:r w:rsidRPr="00B30A12">
        <w:rPr>
          <w:color w:val="000000"/>
          <w:sz w:val="22"/>
          <w:szCs w:val="22"/>
        </w:rPr>
        <w:t>Für Dosierungen, die von 400 mg und 800 mg abweichen (siehe Dosierungsanleitung unten), stehen teilbare Filmtabletten zu 100 mg zur Verfügung.</w:t>
      </w:r>
    </w:p>
    <w:p w14:paraId="3290A4CC" w14:textId="77777777" w:rsidR="00F56A4B" w:rsidRPr="00B30A12" w:rsidRDefault="00F56A4B" w:rsidP="0054140C">
      <w:pPr>
        <w:widowControl w:val="0"/>
        <w:rPr>
          <w:color w:val="000000"/>
          <w:sz w:val="22"/>
          <w:szCs w:val="22"/>
        </w:rPr>
      </w:pPr>
      <w:r w:rsidRPr="00B30A12">
        <w:rPr>
          <w:color w:val="000000"/>
          <w:sz w:val="22"/>
          <w:szCs w:val="22"/>
        </w:rPr>
        <w:t>Für Dosen ab 400</w:t>
      </w:r>
      <w:r w:rsidR="001922B0" w:rsidRPr="00B30A12">
        <w:rPr>
          <w:color w:val="000000"/>
          <w:sz w:val="22"/>
          <w:szCs w:val="22"/>
        </w:rPr>
        <w:t> mg</w:t>
      </w:r>
      <w:r w:rsidRPr="00B30A12">
        <w:rPr>
          <w:color w:val="000000"/>
          <w:sz w:val="22"/>
          <w:szCs w:val="22"/>
        </w:rPr>
        <w:t xml:space="preserve"> (siehe Dosierungsanleitung unten) stehen (nicht teilbare) Filmtabletten zu 400</w:t>
      </w:r>
      <w:r w:rsidR="001922B0" w:rsidRPr="00B30A12">
        <w:rPr>
          <w:color w:val="000000"/>
          <w:sz w:val="22"/>
          <w:szCs w:val="22"/>
        </w:rPr>
        <w:t> mg</w:t>
      </w:r>
      <w:r w:rsidRPr="00B30A12">
        <w:rPr>
          <w:color w:val="000000"/>
          <w:sz w:val="22"/>
          <w:szCs w:val="22"/>
        </w:rPr>
        <w:t xml:space="preserve"> zur Verfügung.</w:t>
      </w:r>
    </w:p>
    <w:p w14:paraId="720EEAAB" w14:textId="77777777" w:rsidR="00F56A4B" w:rsidRPr="00B30A12" w:rsidRDefault="00F56A4B" w:rsidP="0054140C">
      <w:pPr>
        <w:widowControl w:val="0"/>
        <w:rPr>
          <w:color w:val="000000"/>
          <w:sz w:val="22"/>
          <w:szCs w:val="22"/>
        </w:rPr>
      </w:pPr>
    </w:p>
    <w:p w14:paraId="414D83AE" w14:textId="77777777" w:rsidR="00D72F2D" w:rsidRPr="00B30A12" w:rsidRDefault="00F56A4B" w:rsidP="0054140C">
      <w:pPr>
        <w:widowControl w:val="0"/>
        <w:ind w:firstLine="3"/>
        <w:rPr>
          <w:color w:val="000000"/>
          <w:sz w:val="22"/>
          <w:szCs w:val="22"/>
        </w:rPr>
      </w:pPr>
      <w:r w:rsidRPr="00B30A12">
        <w:rPr>
          <w:color w:val="000000"/>
          <w:sz w:val="22"/>
          <w:szCs w:val="22"/>
        </w:rPr>
        <w:t xml:space="preserve">Die verschriebene Dosis soll oral mit einer Mahlzeit und einem großen Glas Wasser eingenommen werden, um das Risiko gastrointestinaler Irritationen zu minimieren. </w:t>
      </w:r>
      <w:r w:rsidR="00B765B7" w:rsidRPr="00B30A12">
        <w:rPr>
          <w:color w:val="000000"/>
          <w:sz w:val="22"/>
          <w:szCs w:val="22"/>
        </w:rPr>
        <w:t>Dosen von 400 mg oder 600 mg sollten einmal täglich verabreicht werden, während Tagesdosen von 800 mg auf zweimal täglich 400 mg (morgens und abends) aufgeteilt werden sollen.</w:t>
      </w:r>
    </w:p>
    <w:p w14:paraId="55C170DE" w14:textId="77777777" w:rsidR="00F56A4B" w:rsidRPr="00B30A12" w:rsidRDefault="00F56A4B" w:rsidP="0054140C">
      <w:pPr>
        <w:widowControl w:val="0"/>
        <w:ind w:firstLine="3"/>
        <w:rPr>
          <w:color w:val="000000"/>
          <w:sz w:val="22"/>
          <w:szCs w:val="22"/>
        </w:rPr>
      </w:pPr>
    </w:p>
    <w:p w14:paraId="7913D980" w14:textId="77777777" w:rsidR="00F56A4B" w:rsidRPr="00B30A12" w:rsidRDefault="00F56A4B" w:rsidP="0054140C">
      <w:pPr>
        <w:widowControl w:val="0"/>
        <w:ind w:firstLine="3"/>
        <w:rPr>
          <w:color w:val="000000"/>
          <w:sz w:val="22"/>
          <w:szCs w:val="22"/>
        </w:rPr>
      </w:pPr>
      <w:r w:rsidRPr="00B30A12">
        <w:rPr>
          <w:color w:val="000000"/>
          <w:sz w:val="22"/>
          <w:szCs w:val="22"/>
        </w:rPr>
        <w:t xml:space="preserve">Für Patienten, die nicht in der Lage sind, die Filmtabletten zu schlucken, können die Tabletten in einem Glas </w:t>
      </w:r>
      <w:r w:rsidR="006F748B" w:rsidRPr="00B30A12">
        <w:rPr>
          <w:color w:val="000000"/>
          <w:sz w:val="22"/>
          <w:szCs w:val="22"/>
        </w:rPr>
        <w:t>W</w:t>
      </w:r>
      <w:r w:rsidRPr="00B30A12">
        <w:rPr>
          <w:color w:val="000000"/>
          <w:sz w:val="22"/>
          <w:szCs w:val="22"/>
        </w:rPr>
        <w:t>asser</w:t>
      </w:r>
      <w:r w:rsidR="006F748B" w:rsidRPr="00B30A12">
        <w:rPr>
          <w:color w:val="000000"/>
          <w:sz w:val="22"/>
          <w:szCs w:val="22"/>
        </w:rPr>
        <w:t xml:space="preserve"> ohne Kohlensäure</w:t>
      </w:r>
      <w:r w:rsidRPr="00B30A12">
        <w:rPr>
          <w:color w:val="000000"/>
          <w:sz w:val="22"/>
          <w:szCs w:val="22"/>
        </w:rPr>
        <w:t xml:space="preserve"> oder Apfelsaft suspendiert werden. Die erforderliche Anzahl Tabletten sollte in eine angemessene Menge des Getränks (etwa 50</w:t>
      </w:r>
      <w:r w:rsidR="001922B0" w:rsidRPr="00B30A12">
        <w:rPr>
          <w:color w:val="000000"/>
          <w:sz w:val="22"/>
          <w:szCs w:val="22"/>
        </w:rPr>
        <w:t> ml</w:t>
      </w:r>
      <w:r w:rsidRPr="00B30A12">
        <w:rPr>
          <w:color w:val="000000"/>
          <w:sz w:val="22"/>
          <w:szCs w:val="22"/>
        </w:rPr>
        <w:t xml:space="preserve"> für eine 100</w:t>
      </w:r>
      <w:r w:rsidR="001922B0" w:rsidRPr="00B30A12">
        <w:rPr>
          <w:color w:val="000000"/>
          <w:sz w:val="22"/>
          <w:szCs w:val="22"/>
        </w:rPr>
        <w:t> mg</w:t>
      </w:r>
      <w:r w:rsidRPr="00B30A12">
        <w:rPr>
          <w:color w:val="000000"/>
          <w:sz w:val="22"/>
          <w:szCs w:val="22"/>
        </w:rPr>
        <w:t>-Tablette und 200</w:t>
      </w:r>
      <w:r w:rsidR="001922B0" w:rsidRPr="00B30A12">
        <w:rPr>
          <w:color w:val="000000"/>
          <w:sz w:val="22"/>
          <w:szCs w:val="22"/>
        </w:rPr>
        <w:t> ml</w:t>
      </w:r>
      <w:r w:rsidRPr="00B30A12">
        <w:rPr>
          <w:color w:val="000000"/>
          <w:sz w:val="22"/>
          <w:szCs w:val="22"/>
        </w:rPr>
        <w:t xml:space="preserve"> für eine 400</w:t>
      </w:r>
      <w:r w:rsidR="001922B0" w:rsidRPr="00B30A12">
        <w:rPr>
          <w:color w:val="000000"/>
          <w:sz w:val="22"/>
          <w:szCs w:val="22"/>
        </w:rPr>
        <w:t> mg</w:t>
      </w:r>
      <w:r w:rsidRPr="00B30A12">
        <w:rPr>
          <w:color w:val="000000"/>
          <w:sz w:val="22"/>
          <w:szCs w:val="22"/>
        </w:rPr>
        <w:t>-Tablette) gegeben und die Mischung mit einem Löffel umgerührt werden. Die Suspension soll unmittelbar nach dem vollständigen Zerfall der Tablette(n) eingenommen werden.</w:t>
      </w:r>
    </w:p>
    <w:p w14:paraId="098BF013" w14:textId="77777777" w:rsidR="00F56A4B" w:rsidRPr="00B30A12" w:rsidRDefault="00F56A4B" w:rsidP="0054140C">
      <w:pPr>
        <w:widowControl w:val="0"/>
        <w:ind w:firstLine="3"/>
        <w:rPr>
          <w:color w:val="000000"/>
          <w:sz w:val="22"/>
          <w:szCs w:val="22"/>
        </w:rPr>
      </w:pPr>
    </w:p>
    <w:p w14:paraId="5885C405" w14:textId="77777777" w:rsidR="000742FC" w:rsidRPr="00B30A12" w:rsidRDefault="000742FC" w:rsidP="003D30FF">
      <w:pPr>
        <w:keepNext/>
        <w:widowControl w:val="0"/>
        <w:ind w:firstLine="6"/>
        <w:rPr>
          <w:color w:val="000000"/>
          <w:sz w:val="22"/>
          <w:szCs w:val="22"/>
          <w:u w:val="single"/>
        </w:rPr>
      </w:pPr>
      <w:r w:rsidRPr="00B30A12">
        <w:rPr>
          <w:color w:val="000000"/>
          <w:sz w:val="22"/>
          <w:szCs w:val="22"/>
          <w:u w:val="single"/>
        </w:rPr>
        <w:t>Dosierung bei Erwachsenen mit CML</w:t>
      </w:r>
    </w:p>
    <w:p w14:paraId="1EBDD9B9" w14:textId="77777777" w:rsidR="000742FC" w:rsidRPr="00B30A12" w:rsidRDefault="000742FC" w:rsidP="0054140C">
      <w:pPr>
        <w:widowControl w:val="0"/>
        <w:ind w:firstLine="3"/>
        <w:rPr>
          <w:color w:val="000000"/>
          <w:sz w:val="22"/>
          <w:szCs w:val="22"/>
        </w:rPr>
      </w:pPr>
      <w:r w:rsidRPr="00B30A12">
        <w:rPr>
          <w:color w:val="000000"/>
          <w:sz w:val="22"/>
          <w:szCs w:val="22"/>
        </w:rPr>
        <w:t xml:space="preserve">Die empfohlene Dosierung von Glivec beträgt bei </w:t>
      </w:r>
      <w:r w:rsidR="00330D46" w:rsidRPr="00B30A12">
        <w:rPr>
          <w:color w:val="000000"/>
          <w:sz w:val="22"/>
          <w:szCs w:val="22"/>
        </w:rPr>
        <w:t xml:space="preserve">erwachsenen </w:t>
      </w:r>
      <w:r w:rsidRPr="00B30A12">
        <w:rPr>
          <w:color w:val="000000"/>
          <w:sz w:val="22"/>
          <w:szCs w:val="22"/>
        </w:rPr>
        <w:t>Patienten in der chronischen Phase der CML 400 mg/Tag. Die chronische Phase der CML liegt vor, wenn alle der folgenden Kriterien erfüllt sind: Blasten &lt; 15% im Blut und Knochenmark, Basophile im peripheren Blut &lt; 20%, Thrombozyten &gt; 100 x 10</w:t>
      </w:r>
      <w:r w:rsidRPr="00B30A12">
        <w:rPr>
          <w:color w:val="000000"/>
          <w:sz w:val="22"/>
          <w:szCs w:val="22"/>
          <w:vertAlign w:val="superscript"/>
        </w:rPr>
        <w:t>9</w:t>
      </w:r>
      <w:r w:rsidRPr="00B30A12">
        <w:rPr>
          <w:color w:val="000000"/>
          <w:sz w:val="22"/>
          <w:szCs w:val="22"/>
        </w:rPr>
        <w:t>/l.</w:t>
      </w:r>
    </w:p>
    <w:p w14:paraId="745642E1" w14:textId="77777777" w:rsidR="000742FC" w:rsidRPr="00B30A12" w:rsidRDefault="000742FC" w:rsidP="0054140C">
      <w:pPr>
        <w:widowControl w:val="0"/>
        <w:ind w:firstLine="3"/>
        <w:rPr>
          <w:color w:val="000000"/>
          <w:sz w:val="22"/>
          <w:szCs w:val="22"/>
        </w:rPr>
      </w:pPr>
    </w:p>
    <w:p w14:paraId="2C50A62E" w14:textId="77777777" w:rsidR="000742FC" w:rsidRPr="00B30A12" w:rsidRDefault="000742FC" w:rsidP="0054140C">
      <w:pPr>
        <w:widowControl w:val="0"/>
        <w:ind w:firstLine="3"/>
        <w:rPr>
          <w:color w:val="000000"/>
          <w:sz w:val="22"/>
          <w:szCs w:val="22"/>
        </w:rPr>
      </w:pPr>
      <w:r w:rsidRPr="00B30A12">
        <w:rPr>
          <w:color w:val="000000"/>
          <w:sz w:val="22"/>
          <w:szCs w:val="22"/>
        </w:rPr>
        <w:t xml:space="preserve">Die empfohlene Dosierung von Glivec beträgt bei </w:t>
      </w:r>
      <w:r w:rsidR="00330D46" w:rsidRPr="00B30A12">
        <w:rPr>
          <w:color w:val="000000"/>
          <w:sz w:val="22"/>
          <w:szCs w:val="22"/>
        </w:rPr>
        <w:t xml:space="preserve">erwachsenen </w:t>
      </w:r>
      <w:r w:rsidRPr="00B30A12">
        <w:rPr>
          <w:color w:val="000000"/>
          <w:sz w:val="22"/>
          <w:szCs w:val="22"/>
        </w:rPr>
        <w:t xml:space="preserve">Patienten in der akzelerierten Phase 600 mg/Tag. Die akzelerierte Phase liegt vor, wenn eines der folgenden Kriterien erfüllt ist: Blasten </w:t>
      </w:r>
      <w:r w:rsidRPr="00B30A12">
        <w:rPr>
          <w:snapToGrid w:val="0"/>
          <w:color w:val="000000"/>
          <w:sz w:val="22"/>
          <w:szCs w:val="22"/>
          <w:lang w:val="it-IT"/>
        </w:rPr>
        <w:sym w:font="Symbol" w:char="F0B3"/>
      </w:r>
      <w:r w:rsidRPr="00B30A12">
        <w:rPr>
          <w:snapToGrid w:val="0"/>
          <w:color w:val="000000"/>
          <w:sz w:val="22"/>
          <w:szCs w:val="22"/>
        </w:rPr>
        <w:t> </w:t>
      </w:r>
      <w:r w:rsidRPr="00B30A12">
        <w:rPr>
          <w:color w:val="000000"/>
          <w:sz w:val="22"/>
          <w:szCs w:val="22"/>
        </w:rPr>
        <w:t xml:space="preserve">15%, aber &lt; 30% im Blut oder Knochenmark, Blasten + Promyelozyten </w:t>
      </w:r>
      <w:r w:rsidRPr="00B30A12">
        <w:rPr>
          <w:snapToGrid w:val="0"/>
          <w:color w:val="000000"/>
          <w:sz w:val="22"/>
          <w:szCs w:val="22"/>
          <w:lang w:val="it-IT"/>
        </w:rPr>
        <w:sym w:font="Symbol" w:char="F0B3"/>
      </w:r>
      <w:r w:rsidRPr="00B30A12">
        <w:rPr>
          <w:snapToGrid w:val="0"/>
          <w:color w:val="000000"/>
          <w:sz w:val="22"/>
          <w:szCs w:val="22"/>
        </w:rPr>
        <w:t> </w:t>
      </w:r>
      <w:r w:rsidRPr="00B30A12">
        <w:rPr>
          <w:color w:val="000000"/>
          <w:sz w:val="22"/>
          <w:szCs w:val="22"/>
        </w:rPr>
        <w:t xml:space="preserve">30% im Blut oder Knochenmark (vorausgesetzt &lt; 30% Blasten), Basophile im peripheren Blut </w:t>
      </w:r>
      <w:r w:rsidRPr="00B30A12">
        <w:rPr>
          <w:snapToGrid w:val="0"/>
          <w:color w:val="000000"/>
          <w:sz w:val="22"/>
          <w:szCs w:val="22"/>
          <w:lang w:val="it-IT"/>
        </w:rPr>
        <w:sym w:font="Symbol" w:char="F0B3"/>
      </w:r>
      <w:r w:rsidRPr="00B30A12">
        <w:rPr>
          <w:snapToGrid w:val="0"/>
          <w:color w:val="000000"/>
          <w:sz w:val="22"/>
          <w:szCs w:val="22"/>
        </w:rPr>
        <w:t> </w:t>
      </w:r>
      <w:r w:rsidRPr="00B30A12">
        <w:rPr>
          <w:color w:val="000000"/>
          <w:sz w:val="22"/>
          <w:szCs w:val="22"/>
        </w:rPr>
        <w:t>20%, Thrombozyten &lt; 100 x 10</w:t>
      </w:r>
      <w:r w:rsidRPr="00B30A12">
        <w:rPr>
          <w:color w:val="000000"/>
          <w:sz w:val="22"/>
          <w:szCs w:val="22"/>
          <w:vertAlign w:val="superscript"/>
        </w:rPr>
        <w:t>9</w:t>
      </w:r>
      <w:r w:rsidRPr="00B30A12">
        <w:rPr>
          <w:color w:val="000000"/>
          <w:sz w:val="22"/>
          <w:szCs w:val="22"/>
        </w:rPr>
        <w:t>/l unabhängig von der Therapie.</w:t>
      </w:r>
    </w:p>
    <w:p w14:paraId="2D03F0AE" w14:textId="77777777" w:rsidR="000742FC" w:rsidRPr="00B30A12" w:rsidRDefault="000742FC" w:rsidP="0054140C">
      <w:pPr>
        <w:widowControl w:val="0"/>
        <w:ind w:firstLine="3"/>
        <w:rPr>
          <w:color w:val="000000"/>
          <w:sz w:val="22"/>
          <w:szCs w:val="22"/>
        </w:rPr>
      </w:pPr>
    </w:p>
    <w:p w14:paraId="0B34FF02" w14:textId="77777777" w:rsidR="000742FC" w:rsidRPr="00B30A12" w:rsidRDefault="000742FC" w:rsidP="0054140C">
      <w:pPr>
        <w:widowControl w:val="0"/>
        <w:ind w:firstLine="3"/>
        <w:rPr>
          <w:color w:val="000000"/>
          <w:sz w:val="22"/>
          <w:szCs w:val="22"/>
        </w:rPr>
      </w:pPr>
      <w:r w:rsidRPr="00B30A12">
        <w:rPr>
          <w:color w:val="000000"/>
          <w:sz w:val="22"/>
          <w:szCs w:val="22"/>
        </w:rPr>
        <w:t xml:space="preserve">Die empfohlene Dosierung von Glivec beträgt bei </w:t>
      </w:r>
      <w:r w:rsidR="00330D46" w:rsidRPr="00B30A12">
        <w:rPr>
          <w:color w:val="000000"/>
          <w:sz w:val="22"/>
          <w:szCs w:val="22"/>
        </w:rPr>
        <w:t xml:space="preserve">erwachsenen </w:t>
      </w:r>
      <w:r w:rsidRPr="00B30A12">
        <w:rPr>
          <w:color w:val="000000"/>
          <w:sz w:val="22"/>
          <w:szCs w:val="22"/>
        </w:rPr>
        <w:t xml:space="preserve">Patienten in der Blastenkrise 600 mg/Tag. Die Blastenkrise ist definiert als </w:t>
      </w:r>
      <w:r w:rsidRPr="00B30A12">
        <w:rPr>
          <w:snapToGrid w:val="0"/>
          <w:color w:val="000000"/>
          <w:sz w:val="22"/>
          <w:szCs w:val="22"/>
          <w:lang w:val="it-IT"/>
        </w:rPr>
        <w:sym w:font="Symbol" w:char="F0B3"/>
      </w:r>
      <w:r w:rsidRPr="00B30A12">
        <w:rPr>
          <w:snapToGrid w:val="0"/>
          <w:color w:val="000000"/>
          <w:sz w:val="22"/>
          <w:szCs w:val="22"/>
        </w:rPr>
        <w:t> </w:t>
      </w:r>
      <w:r w:rsidRPr="00B30A12">
        <w:rPr>
          <w:color w:val="000000"/>
          <w:sz w:val="22"/>
          <w:szCs w:val="22"/>
        </w:rPr>
        <w:t>30% Blasten im Blut oder Knochenmark oder dem Vorliegen einer extra</w:t>
      </w:r>
      <w:r w:rsidRPr="00B30A12">
        <w:rPr>
          <w:color w:val="000000"/>
          <w:sz w:val="22"/>
          <w:szCs w:val="22"/>
        </w:rPr>
        <w:softHyphen/>
        <w:t>medullären Erkrankung außer einer Hepatosplenomegalie.</w:t>
      </w:r>
    </w:p>
    <w:p w14:paraId="0B27A142" w14:textId="77777777" w:rsidR="000742FC" w:rsidRPr="00B30A12" w:rsidRDefault="000742FC" w:rsidP="0054140C">
      <w:pPr>
        <w:widowControl w:val="0"/>
        <w:ind w:firstLine="3"/>
        <w:rPr>
          <w:color w:val="000000"/>
          <w:sz w:val="22"/>
          <w:szCs w:val="22"/>
        </w:rPr>
      </w:pPr>
    </w:p>
    <w:p w14:paraId="0A6216EE" w14:textId="77777777" w:rsidR="000742FC" w:rsidRPr="00B30A12" w:rsidRDefault="000742FC" w:rsidP="0054140C">
      <w:pPr>
        <w:pStyle w:val="BodyTextIndent2"/>
        <w:rPr>
          <w:color w:val="000000"/>
          <w:szCs w:val="22"/>
        </w:rPr>
      </w:pPr>
      <w:r w:rsidRPr="00B30A12">
        <w:rPr>
          <w:color w:val="000000"/>
          <w:szCs w:val="22"/>
        </w:rPr>
        <w:t>Dauer der Behandlung: In klinischen Studien wurde die Behandlung mit Glivec bis zum Auftreten einer Progression der Erkrankung fortgeführt. Der Effekt eines Behandlungsstopps nach Erreichen einer kompletten zytogenetischen Remission wurde nicht untersucht.</w:t>
      </w:r>
    </w:p>
    <w:p w14:paraId="7016538B" w14:textId="77777777" w:rsidR="000742FC" w:rsidRPr="00B30A12" w:rsidRDefault="000742FC" w:rsidP="0054140C">
      <w:pPr>
        <w:widowControl w:val="0"/>
        <w:ind w:firstLine="3"/>
        <w:rPr>
          <w:color w:val="000000"/>
          <w:sz w:val="22"/>
          <w:szCs w:val="22"/>
        </w:rPr>
      </w:pPr>
    </w:p>
    <w:p w14:paraId="238FE659" w14:textId="77777777" w:rsidR="000742FC" w:rsidRPr="00B30A12" w:rsidRDefault="000742FC" w:rsidP="0054140C">
      <w:pPr>
        <w:widowControl w:val="0"/>
        <w:ind w:firstLine="3"/>
        <w:rPr>
          <w:color w:val="000000"/>
          <w:sz w:val="22"/>
          <w:szCs w:val="22"/>
        </w:rPr>
      </w:pPr>
      <w:r w:rsidRPr="00B30A12">
        <w:rPr>
          <w:color w:val="000000"/>
          <w:sz w:val="22"/>
          <w:szCs w:val="22"/>
        </w:rPr>
        <w:t>Eine Dosiserhöhung von 400 mg auf 600 mg oder 800 mg bei Patienten in der chronischen Phase der Erkrankung oder von 600 mg auf maximal 800 mg (2-mal 400 mg täglich) bei Patienten in der akzelerierten Phase oder der Blastenkrise kann bei Abwesenheit schwerer Nebenwirkungen des Arzneimittels und bei Fehlen nicht Leukämie bedingter Neutropenie oder Thrombozytopenie unter folgenden Umständen in Betracht gezogen werden: Progression der Erkrankung (zu jeder Zeit), keine zufrieden stellende hämatologische Remission nach mindestens 3 Monaten Behandlung, fehlende zytogenetische Remission nach 12 Monaten Behandlung oder Verlust einer vorher erreichten hämatologi</w:t>
      </w:r>
      <w:r w:rsidRPr="00B30A12">
        <w:rPr>
          <w:color w:val="000000"/>
          <w:sz w:val="22"/>
          <w:szCs w:val="22"/>
        </w:rPr>
        <w:softHyphen/>
        <w:t>schen und/oder zytogenetischen Remission. Die Patienten müssen nach einer Dosiserhöhung engmaschig überwacht werden, weil die Wahrscheinlichkeit für das Auftreten von Nebenwirkungen bei höheren Dosierungen ansteigt.</w:t>
      </w:r>
    </w:p>
    <w:p w14:paraId="628498B5" w14:textId="77777777" w:rsidR="000742FC" w:rsidRPr="00B30A12" w:rsidRDefault="000742FC" w:rsidP="0054140C">
      <w:pPr>
        <w:widowControl w:val="0"/>
        <w:rPr>
          <w:color w:val="000000"/>
          <w:sz w:val="22"/>
          <w:szCs w:val="22"/>
        </w:rPr>
      </w:pPr>
    </w:p>
    <w:p w14:paraId="13E33052"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t>Dosierung bei Kindern mit CML</w:t>
      </w:r>
    </w:p>
    <w:p w14:paraId="0DC18818" w14:textId="77777777" w:rsidR="000742FC" w:rsidRPr="00B30A12" w:rsidRDefault="000742FC" w:rsidP="0054140C">
      <w:pPr>
        <w:widowControl w:val="0"/>
        <w:rPr>
          <w:color w:val="000000"/>
          <w:sz w:val="22"/>
          <w:szCs w:val="22"/>
        </w:rPr>
      </w:pPr>
      <w:r w:rsidRPr="00B30A12">
        <w:rPr>
          <w:color w:val="000000"/>
          <w:sz w:val="22"/>
          <w:szCs w:val="22"/>
        </w:rPr>
        <w:t>Die Dosierung bei Kindern sollte auf Basis der Körperoberfläche vorgenommen werden (mg/m</w:t>
      </w:r>
      <w:r w:rsidRPr="00B30A12">
        <w:rPr>
          <w:color w:val="000000"/>
          <w:sz w:val="22"/>
          <w:szCs w:val="22"/>
          <w:vertAlign w:val="superscript"/>
        </w:rPr>
        <w:t>2</w:t>
      </w:r>
      <w:r w:rsidRPr="00B30A12">
        <w:rPr>
          <w:color w:val="000000"/>
          <w:sz w:val="22"/>
          <w:szCs w:val="22"/>
        </w:rPr>
        <w:t>). Für Kinder in der chronischen Phase der CML bzw. weiter fortgeschrittenen Stadien der CML wird eine tägliche Dosis von 340 mg/m</w:t>
      </w:r>
      <w:r w:rsidRPr="00B30A12">
        <w:rPr>
          <w:color w:val="000000"/>
          <w:sz w:val="22"/>
          <w:szCs w:val="22"/>
          <w:vertAlign w:val="superscript"/>
        </w:rPr>
        <w:t>2</w:t>
      </w:r>
      <w:r w:rsidRPr="00B30A12">
        <w:rPr>
          <w:color w:val="000000"/>
          <w:sz w:val="22"/>
          <w:szCs w:val="22"/>
        </w:rPr>
        <w:t xml:space="preserve"> empfohlen (eine Gesamtdosis von 800 mg darf nicht überschritten werden). Die Gesamtdosis kann als tägliche Einmaldosis oder alternativ aufgeteilt auf zwei Applikationen – eine morgens und eine abends – gegeben werden. Die Dosierungsempfehlung beruht zum gegenwärtigen Zeitpunkt auf einer kleinen Zahl pädiatrischer Patienten (siehe Abschnitte 5.1 und 5.2). Erfahrungen mit der Behandlung von Kindern unter 2 Jahren liegen nicht vor.</w:t>
      </w:r>
    </w:p>
    <w:p w14:paraId="548EAD13" w14:textId="77777777" w:rsidR="000742FC" w:rsidRPr="00B30A12" w:rsidRDefault="000742FC" w:rsidP="0054140C">
      <w:pPr>
        <w:widowControl w:val="0"/>
        <w:rPr>
          <w:color w:val="000000"/>
          <w:sz w:val="22"/>
          <w:szCs w:val="22"/>
        </w:rPr>
      </w:pPr>
    </w:p>
    <w:p w14:paraId="0092A020" w14:textId="77777777" w:rsidR="000742FC" w:rsidRPr="00B30A12" w:rsidRDefault="000742FC" w:rsidP="0054140C">
      <w:pPr>
        <w:widowControl w:val="0"/>
        <w:ind w:firstLine="3"/>
        <w:rPr>
          <w:color w:val="000000"/>
          <w:sz w:val="22"/>
          <w:szCs w:val="22"/>
        </w:rPr>
      </w:pPr>
      <w:r w:rsidRPr="00B30A12">
        <w:rPr>
          <w:color w:val="000000"/>
          <w:sz w:val="22"/>
          <w:szCs w:val="22"/>
        </w:rPr>
        <w:t>Eine Dosiserhöhung von täglich 340 mg/m</w:t>
      </w:r>
      <w:r w:rsidRPr="00B30A12">
        <w:rPr>
          <w:color w:val="000000"/>
          <w:sz w:val="22"/>
          <w:szCs w:val="22"/>
          <w:vertAlign w:val="superscript"/>
        </w:rPr>
        <w:t>2</w:t>
      </w:r>
      <w:r w:rsidRPr="00B30A12">
        <w:rPr>
          <w:color w:val="000000"/>
          <w:sz w:val="22"/>
          <w:szCs w:val="22"/>
        </w:rPr>
        <w:t xml:space="preserve"> auf täglich 570 mg/m</w:t>
      </w:r>
      <w:r w:rsidRPr="00B30A12">
        <w:rPr>
          <w:color w:val="000000"/>
          <w:sz w:val="22"/>
          <w:szCs w:val="22"/>
          <w:vertAlign w:val="superscript"/>
        </w:rPr>
        <w:t>2</w:t>
      </w:r>
      <w:r w:rsidRPr="00B30A12">
        <w:rPr>
          <w:color w:val="000000"/>
          <w:sz w:val="22"/>
          <w:szCs w:val="22"/>
        </w:rPr>
        <w:t xml:space="preserve"> (eine Gesamtdosis von 800 mg darf nicht überschritten werden) bei Kindern kann bei Abwesenheit schwerer Nebenwirkungen des Arzneimittels und bei Fehlen nicht-Leukämie-bedingter Neutropenie oder Thrombozytopenie unter folgenden Umständen in Betracht gezogen werden: Progression der Erkrankung (zu jeder Zeit), keine zufriedenstellende hämatologische Remission nach mindestens 3 Monaten Behandlung, fehlende zytogenetische Remission nach 12 Monaten Behandlung oder Verschwinden einer vorher erreichten hämatologi</w:t>
      </w:r>
      <w:r w:rsidRPr="00B30A12">
        <w:rPr>
          <w:color w:val="000000"/>
          <w:sz w:val="22"/>
          <w:szCs w:val="22"/>
        </w:rPr>
        <w:softHyphen/>
        <w:t>schen und/oder zytogenetischen Remission. Die Patienten müssen nach einer Dosiserhöhung engmaschig überwacht werden, weil die Wahrscheinlichkeit für das Auftreten von Nebenwirkungen bei höheren Dosierungen ansteigt.</w:t>
      </w:r>
    </w:p>
    <w:p w14:paraId="1415A686" w14:textId="77777777" w:rsidR="000742FC" w:rsidRPr="00B30A12" w:rsidRDefault="000742FC" w:rsidP="0054140C">
      <w:pPr>
        <w:widowControl w:val="0"/>
        <w:rPr>
          <w:color w:val="000000"/>
          <w:sz w:val="22"/>
          <w:szCs w:val="22"/>
          <w:u w:val="single"/>
        </w:rPr>
      </w:pPr>
    </w:p>
    <w:p w14:paraId="1DA20D51"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t xml:space="preserve">Dosierung bei </w:t>
      </w:r>
      <w:r w:rsidR="009F2D90" w:rsidRPr="00B30A12">
        <w:rPr>
          <w:color w:val="000000"/>
          <w:sz w:val="22"/>
          <w:szCs w:val="22"/>
          <w:u w:val="single"/>
        </w:rPr>
        <w:t xml:space="preserve">Erwachsenen mit </w:t>
      </w:r>
      <w:r w:rsidRPr="00B30A12">
        <w:rPr>
          <w:color w:val="000000"/>
          <w:sz w:val="22"/>
          <w:szCs w:val="22"/>
          <w:u w:val="single"/>
        </w:rPr>
        <w:t xml:space="preserve">Ph+ </w:t>
      </w:r>
      <w:smartTag w:uri="urn:schemas-microsoft-com:office:smarttags" w:element="stockticker">
        <w:r w:rsidRPr="00B30A12">
          <w:rPr>
            <w:color w:val="000000"/>
            <w:sz w:val="22"/>
            <w:szCs w:val="22"/>
            <w:u w:val="single"/>
          </w:rPr>
          <w:t>ALL</w:t>
        </w:r>
      </w:smartTag>
    </w:p>
    <w:p w14:paraId="6CE5A8F6"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bei </w:t>
      </w:r>
      <w:r w:rsidR="00330D46" w:rsidRPr="00B30A12">
        <w:rPr>
          <w:color w:val="000000"/>
          <w:sz w:val="22"/>
          <w:szCs w:val="22"/>
        </w:rPr>
        <w:t xml:space="preserve">erwachsenen </w:t>
      </w:r>
      <w:r w:rsidRPr="00B30A12">
        <w:rPr>
          <w:color w:val="000000"/>
          <w:sz w:val="22"/>
          <w:szCs w:val="22"/>
        </w:rPr>
        <w:t xml:space="preserve">Patienten mit Ph+ </w:t>
      </w:r>
      <w:smartTag w:uri="urn:schemas-microsoft-com:office:smarttags" w:element="stockticker">
        <w:r w:rsidRPr="00B30A12">
          <w:rPr>
            <w:color w:val="000000"/>
            <w:sz w:val="22"/>
            <w:szCs w:val="22"/>
          </w:rPr>
          <w:t>ALL</w:t>
        </w:r>
      </w:smartTag>
      <w:r w:rsidRPr="00B30A12">
        <w:rPr>
          <w:color w:val="000000"/>
          <w:sz w:val="22"/>
          <w:szCs w:val="22"/>
        </w:rPr>
        <w:t xml:space="preserve"> beträgt 600 mg/Tag. Hämatologen, die in der Behandlung dieser Erkrankung erfahren sind, sollten die Therapie in allen Phasen überwachen.</w:t>
      </w:r>
    </w:p>
    <w:p w14:paraId="418FE755" w14:textId="77777777" w:rsidR="000742FC" w:rsidRPr="00B30A12" w:rsidRDefault="000742FC" w:rsidP="0054140C">
      <w:pPr>
        <w:widowControl w:val="0"/>
        <w:rPr>
          <w:color w:val="000000"/>
          <w:sz w:val="22"/>
          <w:szCs w:val="22"/>
        </w:rPr>
      </w:pPr>
    </w:p>
    <w:p w14:paraId="48AA70C9" w14:textId="77777777" w:rsidR="000742FC" w:rsidRPr="00B30A12" w:rsidRDefault="000742FC" w:rsidP="0054140C">
      <w:pPr>
        <w:widowControl w:val="0"/>
        <w:rPr>
          <w:color w:val="000000"/>
          <w:sz w:val="22"/>
          <w:szCs w:val="22"/>
        </w:rPr>
      </w:pPr>
      <w:r w:rsidRPr="00B30A12">
        <w:rPr>
          <w:color w:val="000000"/>
          <w:sz w:val="22"/>
          <w:szCs w:val="22"/>
        </w:rPr>
        <w:t xml:space="preserve">Behandlungsschema: Auf Basis der vorliegenden Daten wurde gezeigt, dass Glivec wirksam und sicher ist, wenn es in Kombination mit Chemotherapie in einer Dosierung von 600 mg/Tag in der Induktionsphase sowie in der Konsolidierungs- und Erhaltungsphase der Chemotherapie bei Erwachsenen mit neu diagnostizierter Ph+ </w:t>
      </w:r>
      <w:smartTag w:uri="urn:schemas-microsoft-com:office:smarttags" w:element="stockticker">
        <w:r w:rsidRPr="00B30A12">
          <w:rPr>
            <w:color w:val="000000"/>
            <w:sz w:val="22"/>
            <w:szCs w:val="22"/>
          </w:rPr>
          <w:t>ALL</w:t>
        </w:r>
      </w:smartTag>
      <w:r w:rsidRPr="00B30A12">
        <w:rPr>
          <w:color w:val="000000"/>
          <w:sz w:val="22"/>
          <w:szCs w:val="22"/>
        </w:rPr>
        <w:t xml:space="preserve"> angewendet wird (siehe Abschnitt 5.1). Die Dauer der Glivec-Therapie kann je nach dem ausgewählten Behandlungsschema variieren, aber längere Expositionen von Glivec haben im Allgemeinen bessere Ergebnisse erbracht.</w:t>
      </w:r>
    </w:p>
    <w:p w14:paraId="4DB59EBE" w14:textId="77777777" w:rsidR="000742FC" w:rsidRPr="00B30A12" w:rsidRDefault="000742FC" w:rsidP="0054140C">
      <w:pPr>
        <w:widowControl w:val="0"/>
        <w:rPr>
          <w:color w:val="000000"/>
          <w:sz w:val="22"/>
          <w:szCs w:val="22"/>
        </w:rPr>
      </w:pPr>
    </w:p>
    <w:p w14:paraId="4B97C30D" w14:textId="77777777" w:rsidR="009F2D90" w:rsidRPr="00B30A12" w:rsidRDefault="000742FC" w:rsidP="0054140C">
      <w:pPr>
        <w:widowControl w:val="0"/>
        <w:rPr>
          <w:color w:val="000000"/>
          <w:sz w:val="22"/>
          <w:szCs w:val="22"/>
        </w:rPr>
      </w:pPr>
      <w:r w:rsidRPr="00B30A12">
        <w:rPr>
          <w:color w:val="000000"/>
          <w:sz w:val="22"/>
          <w:szCs w:val="22"/>
        </w:rPr>
        <w:t xml:space="preserve">Für Erwachsene mit rezidivierter oder refraktärer Ph+ </w:t>
      </w:r>
      <w:smartTag w:uri="urn:schemas-microsoft-com:office:smarttags" w:element="stockticker">
        <w:r w:rsidRPr="00B30A12">
          <w:rPr>
            <w:color w:val="000000"/>
            <w:sz w:val="22"/>
            <w:szCs w:val="22"/>
          </w:rPr>
          <w:t>ALL</w:t>
        </w:r>
      </w:smartTag>
      <w:r w:rsidRPr="00B30A12">
        <w:rPr>
          <w:color w:val="000000"/>
          <w:sz w:val="22"/>
          <w:szCs w:val="22"/>
        </w:rPr>
        <w:t xml:space="preserve"> ist eine Glivec-Monotherapie mit 600 mg/Tag sicher und wirksam und kann gegeben werden, bis eine Progression der Erkrankung auftritt.</w:t>
      </w:r>
      <w:r w:rsidR="009F2D90" w:rsidRPr="00B30A12">
        <w:rPr>
          <w:color w:val="000000"/>
          <w:sz w:val="22"/>
          <w:szCs w:val="22"/>
        </w:rPr>
        <w:t xml:space="preserve"> </w:t>
      </w:r>
    </w:p>
    <w:p w14:paraId="1822B65F" w14:textId="77777777" w:rsidR="009F2D90" w:rsidRPr="00B30A12" w:rsidRDefault="009F2D90" w:rsidP="0054140C">
      <w:pPr>
        <w:widowControl w:val="0"/>
        <w:rPr>
          <w:color w:val="000000"/>
          <w:sz w:val="22"/>
          <w:szCs w:val="22"/>
        </w:rPr>
      </w:pPr>
    </w:p>
    <w:p w14:paraId="06BB1C87" w14:textId="77777777" w:rsidR="009F2D90" w:rsidRPr="00B30A12" w:rsidRDefault="009F2D90" w:rsidP="003D30FF">
      <w:pPr>
        <w:keepNext/>
        <w:widowControl w:val="0"/>
        <w:rPr>
          <w:color w:val="000000"/>
          <w:sz w:val="22"/>
          <w:szCs w:val="22"/>
          <w:u w:val="single"/>
        </w:rPr>
      </w:pPr>
      <w:r w:rsidRPr="00B30A12">
        <w:rPr>
          <w:color w:val="000000"/>
          <w:sz w:val="22"/>
          <w:szCs w:val="22"/>
          <w:u w:val="single"/>
        </w:rPr>
        <w:t>Dosierung bei Kindern mit Ph+ ALL</w:t>
      </w:r>
    </w:p>
    <w:p w14:paraId="53421B7E" w14:textId="77777777" w:rsidR="000742FC" w:rsidRPr="00B30A12" w:rsidRDefault="009F2D90" w:rsidP="0054140C">
      <w:pPr>
        <w:widowControl w:val="0"/>
        <w:rPr>
          <w:color w:val="000000"/>
          <w:sz w:val="22"/>
          <w:szCs w:val="22"/>
        </w:rPr>
      </w:pPr>
      <w:r w:rsidRPr="00B30A12">
        <w:rPr>
          <w:color w:val="000000"/>
          <w:sz w:val="22"/>
          <w:szCs w:val="22"/>
        </w:rPr>
        <w:t>Bei Kindern sollte die Dosierung auf der Basis der Körperoberfläche (mg/m²) erfolgen. Eine Dosis von 340 mg/m² täglich wird bei Kindern mit Ph+ ALL empfohlen (eine Gesamtdosis von 600 mg darf nicht überschritten werden).</w:t>
      </w:r>
    </w:p>
    <w:p w14:paraId="2A25904F" w14:textId="77777777" w:rsidR="000742FC" w:rsidRPr="00B30A12" w:rsidRDefault="000742FC" w:rsidP="0054140C">
      <w:pPr>
        <w:widowControl w:val="0"/>
        <w:rPr>
          <w:color w:val="000000"/>
          <w:sz w:val="22"/>
          <w:szCs w:val="22"/>
        </w:rPr>
      </w:pPr>
    </w:p>
    <w:p w14:paraId="7E1DF0E0"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lastRenderedPageBreak/>
        <w:t xml:space="preserve">Dosierung bei </w:t>
      </w:r>
      <w:smartTag w:uri="urn:schemas-microsoft-com:office:smarttags" w:element="stockticker">
        <w:r w:rsidRPr="00B30A12">
          <w:rPr>
            <w:color w:val="000000"/>
            <w:sz w:val="22"/>
            <w:szCs w:val="22"/>
            <w:u w:val="single"/>
          </w:rPr>
          <w:t>MDS</w:t>
        </w:r>
      </w:smartTag>
      <w:r w:rsidRPr="00B30A12">
        <w:rPr>
          <w:color w:val="000000"/>
          <w:sz w:val="22"/>
          <w:szCs w:val="22"/>
          <w:u w:val="single"/>
        </w:rPr>
        <w:t>/MPD</w:t>
      </w:r>
    </w:p>
    <w:p w14:paraId="5DAEBAD5"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bei </w:t>
      </w:r>
      <w:r w:rsidR="00330D46" w:rsidRPr="00B30A12">
        <w:rPr>
          <w:color w:val="000000"/>
          <w:sz w:val="22"/>
          <w:szCs w:val="22"/>
        </w:rPr>
        <w:t xml:space="preserve">erwachsenen </w:t>
      </w:r>
      <w:r w:rsidRPr="00B30A12">
        <w:rPr>
          <w:color w:val="000000"/>
          <w:sz w:val="22"/>
          <w:szCs w:val="22"/>
        </w:rPr>
        <w:t xml:space="preserve">Patienten mit </w:t>
      </w:r>
      <w:smartTag w:uri="urn:schemas-microsoft-com:office:smarttags" w:element="stockticker">
        <w:r w:rsidRPr="00B30A12">
          <w:rPr>
            <w:color w:val="000000"/>
            <w:sz w:val="22"/>
            <w:szCs w:val="22"/>
          </w:rPr>
          <w:t>MDS</w:t>
        </w:r>
      </w:smartTag>
      <w:r w:rsidRPr="00B30A12">
        <w:rPr>
          <w:color w:val="000000"/>
          <w:sz w:val="22"/>
          <w:szCs w:val="22"/>
        </w:rPr>
        <w:t>/MPD beträgt 400 mg/Tag.</w:t>
      </w:r>
    </w:p>
    <w:p w14:paraId="13426828" w14:textId="77777777" w:rsidR="000742FC" w:rsidRPr="00B30A12" w:rsidRDefault="000742FC" w:rsidP="0054140C">
      <w:pPr>
        <w:widowControl w:val="0"/>
        <w:rPr>
          <w:color w:val="000000"/>
          <w:sz w:val="22"/>
          <w:szCs w:val="22"/>
        </w:rPr>
      </w:pPr>
    </w:p>
    <w:p w14:paraId="75A273C9" w14:textId="77777777" w:rsidR="000742FC" w:rsidRPr="00B30A12" w:rsidRDefault="000742FC" w:rsidP="0054140C">
      <w:pPr>
        <w:widowControl w:val="0"/>
        <w:rPr>
          <w:color w:val="000000"/>
          <w:sz w:val="22"/>
          <w:szCs w:val="22"/>
        </w:rPr>
      </w:pPr>
      <w:r w:rsidRPr="00B30A12">
        <w:rPr>
          <w:color w:val="000000"/>
          <w:sz w:val="22"/>
          <w:szCs w:val="22"/>
        </w:rPr>
        <w:t>Dauer der Behandlung: In der einzigen bisher durchgeführten klinischen Studie wurde die Behandlung mit Glivec bis zur Progression der Erkrankung fortgeführt (siehe Abschnitt 5.1). Zum Zeitpunkt der Auswertung betrug die mediane Behandlungsdauer 47 Monate (24 Tage bis 60 Monate).</w:t>
      </w:r>
    </w:p>
    <w:p w14:paraId="7440DB21" w14:textId="77777777" w:rsidR="000742FC" w:rsidRPr="00B30A12" w:rsidRDefault="000742FC" w:rsidP="0054140C">
      <w:pPr>
        <w:widowControl w:val="0"/>
        <w:rPr>
          <w:color w:val="000000"/>
          <w:sz w:val="22"/>
          <w:szCs w:val="22"/>
          <w:u w:val="single"/>
        </w:rPr>
      </w:pPr>
    </w:p>
    <w:p w14:paraId="77237D97"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t>Dosierung bei HES/</w:t>
      </w:r>
      <w:smartTag w:uri="urn:schemas-microsoft-com:office:smarttags" w:element="stockticker">
        <w:r w:rsidRPr="00B30A12">
          <w:rPr>
            <w:color w:val="000000"/>
            <w:sz w:val="22"/>
            <w:szCs w:val="22"/>
            <w:u w:val="single"/>
          </w:rPr>
          <w:t>CEL</w:t>
        </w:r>
      </w:smartTag>
    </w:p>
    <w:p w14:paraId="27960CC2"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bei </w:t>
      </w:r>
      <w:r w:rsidR="00330D46" w:rsidRPr="00B30A12">
        <w:rPr>
          <w:color w:val="000000"/>
          <w:sz w:val="22"/>
          <w:szCs w:val="22"/>
        </w:rPr>
        <w:t xml:space="preserve">erwachsenen </w:t>
      </w:r>
      <w:r w:rsidRPr="00B30A12">
        <w:rPr>
          <w:color w:val="000000"/>
          <w:sz w:val="22"/>
          <w:szCs w:val="22"/>
        </w:rPr>
        <w:t>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beträgt 100 mg/Tag.</w:t>
      </w:r>
    </w:p>
    <w:p w14:paraId="42742E8A" w14:textId="77777777" w:rsidR="000742FC" w:rsidRPr="00B30A12" w:rsidRDefault="000742FC" w:rsidP="0054140C">
      <w:pPr>
        <w:widowControl w:val="0"/>
        <w:rPr>
          <w:color w:val="000000"/>
          <w:sz w:val="22"/>
          <w:szCs w:val="22"/>
        </w:rPr>
      </w:pPr>
    </w:p>
    <w:p w14:paraId="7E2A4995" w14:textId="77777777" w:rsidR="000742FC" w:rsidRPr="00B30A12" w:rsidRDefault="000742FC" w:rsidP="0054140C">
      <w:pPr>
        <w:widowControl w:val="0"/>
        <w:rPr>
          <w:color w:val="000000"/>
          <w:sz w:val="22"/>
          <w:szCs w:val="22"/>
        </w:rPr>
      </w:pPr>
      <w:r w:rsidRPr="00B30A12">
        <w:rPr>
          <w:color w:val="000000"/>
          <w:sz w:val="22"/>
          <w:szCs w:val="22"/>
        </w:rPr>
        <w:t>Bei Abwesenheit von Nebenwirkungen kann eine Dosissteigerung von 100 mg auf 400 mg erwogen werden, wenn Untersuchungen ein unzureichendes Ansprechen auf die Therapie zeigen.</w:t>
      </w:r>
    </w:p>
    <w:p w14:paraId="3755D716" w14:textId="77777777" w:rsidR="000742FC" w:rsidRPr="00B30A12" w:rsidRDefault="000742FC" w:rsidP="0054140C">
      <w:pPr>
        <w:widowControl w:val="0"/>
        <w:rPr>
          <w:color w:val="000000"/>
          <w:sz w:val="22"/>
          <w:szCs w:val="22"/>
        </w:rPr>
      </w:pPr>
    </w:p>
    <w:p w14:paraId="73292781" w14:textId="77777777" w:rsidR="000742FC" w:rsidRPr="00B30A12" w:rsidRDefault="000742FC" w:rsidP="0054140C">
      <w:pPr>
        <w:widowControl w:val="0"/>
        <w:rPr>
          <w:color w:val="000000"/>
          <w:sz w:val="22"/>
          <w:szCs w:val="22"/>
        </w:rPr>
      </w:pPr>
      <w:r w:rsidRPr="00B30A12">
        <w:rPr>
          <w:color w:val="000000"/>
          <w:sz w:val="22"/>
          <w:szCs w:val="22"/>
        </w:rPr>
        <w:t>Die Behandlung sollte fortgesetzt werden, solange der Nutzen für den Patienten andauert.</w:t>
      </w:r>
    </w:p>
    <w:p w14:paraId="0CDD68C4" w14:textId="77777777" w:rsidR="000742FC" w:rsidRPr="00B30A12" w:rsidRDefault="000742FC" w:rsidP="0054140C">
      <w:pPr>
        <w:widowControl w:val="0"/>
        <w:rPr>
          <w:color w:val="000000"/>
          <w:sz w:val="22"/>
          <w:szCs w:val="22"/>
        </w:rPr>
      </w:pPr>
    </w:p>
    <w:p w14:paraId="2508E612"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t>Dosierung bei GIST</w:t>
      </w:r>
    </w:p>
    <w:p w14:paraId="616F0339"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bei </w:t>
      </w:r>
      <w:r w:rsidR="00330D46" w:rsidRPr="00B30A12">
        <w:rPr>
          <w:color w:val="000000"/>
          <w:sz w:val="22"/>
          <w:szCs w:val="22"/>
        </w:rPr>
        <w:t xml:space="preserve">erwachsenen </w:t>
      </w:r>
      <w:r w:rsidRPr="00B30A12">
        <w:rPr>
          <w:color w:val="000000"/>
          <w:sz w:val="22"/>
          <w:szCs w:val="22"/>
        </w:rPr>
        <w:t>Patienten mit nicht resezierbaren und/oder metastasierten malignen GIST beträgt 400 mg/Tag.</w:t>
      </w:r>
    </w:p>
    <w:p w14:paraId="7ADB94DE" w14:textId="77777777" w:rsidR="000742FC" w:rsidRPr="00B30A12" w:rsidRDefault="000742FC" w:rsidP="0054140C">
      <w:pPr>
        <w:widowControl w:val="0"/>
        <w:rPr>
          <w:color w:val="000000"/>
          <w:sz w:val="22"/>
          <w:szCs w:val="22"/>
        </w:rPr>
      </w:pPr>
    </w:p>
    <w:p w14:paraId="54EB0FD1" w14:textId="77777777" w:rsidR="000742FC" w:rsidRPr="00B30A12" w:rsidRDefault="000742FC" w:rsidP="0054140C">
      <w:pPr>
        <w:widowControl w:val="0"/>
        <w:rPr>
          <w:color w:val="000000"/>
          <w:sz w:val="22"/>
          <w:szCs w:val="22"/>
        </w:rPr>
      </w:pPr>
      <w:r w:rsidRPr="00B30A12">
        <w:rPr>
          <w:color w:val="000000"/>
          <w:sz w:val="22"/>
          <w:szCs w:val="22"/>
        </w:rPr>
        <w:t>Es liegen nur begrenzte Daten für den Effekt einer Dosiserhöhung von 400 mg auf 600 mg oder 800 mg vor bei Patienten, deren Erkrankung unter der niedrigeren Dosierung fortschreitet (siehe Abschnitt 5.1).</w:t>
      </w:r>
    </w:p>
    <w:p w14:paraId="58CAB8D7" w14:textId="77777777" w:rsidR="000742FC" w:rsidRPr="00B30A12" w:rsidRDefault="000742FC" w:rsidP="0054140C">
      <w:pPr>
        <w:pStyle w:val="Header"/>
        <w:widowControl w:val="0"/>
        <w:tabs>
          <w:tab w:val="clear" w:pos="4320"/>
          <w:tab w:val="clear" w:pos="8640"/>
        </w:tabs>
        <w:rPr>
          <w:color w:val="000000"/>
          <w:szCs w:val="22"/>
        </w:rPr>
      </w:pPr>
    </w:p>
    <w:p w14:paraId="7421E9DE" w14:textId="77777777" w:rsidR="000742FC" w:rsidRPr="00B30A12" w:rsidRDefault="000742FC" w:rsidP="0054140C">
      <w:pPr>
        <w:pStyle w:val="Heading6"/>
        <w:keepNext w:val="0"/>
        <w:widowControl w:val="0"/>
        <w:numPr>
          <w:ilvl w:val="0"/>
          <w:numId w:val="0"/>
        </w:numPr>
        <w:tabs>
          <w:tab w:val="clear" w:pos="-720"/>
          <w:tab w:val="clear" w:pos="567"/>
          <w:tab w:val="clear" w:pos="4536"/>
        </w:tabs>
        <w:suppressAutoHyphens w:val="0"/>
        <w:spacing w:line="240" w:lineRule="auto"/>
        <w:rPr>
          <w:i w:val="0"/>
          <w:color w:val="000000"/>
          <w:szCs w:val="22"/>
          <w:lang w:val="de-DE"/>
        </w:rPr>
      </w:pPr>
      <w:r w:rsidRPr="00B30A12">
        <w:rPr>
          <w:i w:val="0"/>
          <w:color w:val="000000"/>
          <w:szCs w:val="22"/>
          <w:lang w:val="de-DE"/>
        </w:rPr>
        <w:t>Dauer der Behandlung: In klinischen Studien bei GIST-Patienten wurde Glivec bis zur Progression der Erkrankung gegeben. Zum Zeitpunkt der Auswertung betrug die mediane Behandlungsdauer 7 Monate (7 Tage bis 13 Monate). Der Effekt eines Behandlungsstopps nach Erreichen einer Remission wurde nicht untersucht.</w:t>
      </w:r>
    </w:p>
    <w:p w14:paraId="5415DAB7" w14:textId="77777777" w:rsidR="000742FC" w:rsidRPr="00B30A12" w:rsidRDefault="000742FC" w:rsidP="0054140C">
      <w:pPr>
        <w:widowControl w:val="0"/>
        <w:rPr>
          <w:color w:val="000000"/>
          <w:sz w:val="22"/>
          <w:szCs w:val="22"/>
        </w:rPr>
      </w:pPr>
    </w:p>
    <w:p w14:paraId="65747C10"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zur adjuvanten Behandlung Erwachsener nach GIST-Resektion beträgt 400 mg/Tag. Die optimale Behandlungsdauer ist noch nicht festgelegt. Die Dauer der Behandlung in der klinischen Studie zur Unterstützung dieser Indikation betrug </w:t>
      </w:r>
      <w:r w:rsidR="00BA680D" w:rsidRPr="00B30A12">
        <w:rPr>
          <w:color w:val="000000"/>
          <w:sz w:val="22"/>
          <w:szCs w:val="22"/>
        </w:rPr>
        <w:t>36</w:t>
      </w:r>
      <w:r w:rsidRPr="00B30A12">
        <w:rPr>
          <w:color w:val="000000"/>
          <w:sz w:val="22"/>
          <w:szCs w:val="22"/>
        </w:rPr>
        <w:t> Monate</w:t>
      </w:r>
      <w:r w:rsidR="00BA680D" w:rsidRPr="00B30A12">
        <w:rPr>
          <w:color w:val="000000"/>
          <w:sz w:val="22"/>
          <w:szCs w:val="22"/>
        </w:rPr>
        <w:t xml:space="preserve"> (siehe Abschnitt 5.1)</w:t>
      </w:r>
      <w:r w:rsidRPr="00B30A12">
        <w:rPr>
          <w:color w:val="000000"/>
          <w:sz w:val="22"/>
          <w:szCs w:val="22"/>
        </w:rPr>
        <w:t>.</w:t>
      </w:r>
    </w:p>
    <w:p w14:paraId="40C86CFF" w14:textId="77777777" w:rsidR="000742FC" w:rsidRPr="00B30A12" w:rsidRDefault="000742FC" w:rsidP="0054140C">
      <w:pPr>
        <w:widowControl w:val="0"/>
        <w:rPr>
          <w:color w:val="000000"/>
          <w:sz w:val="22"/>
          <w:szCs w:val="22"/>
        </w:rPr>
      </w:pPr>
    </w:p>
    <w:p w14:paraId="640A3DCA" w14:textId="77777777" w:rsidR="000742FC" w:rsidRPr="00B30A12" w:rsidRDefault="000742FC" w:rsidP="003D30FF">
      <w:pPr>
        <w:keepNext/>
        <w:widowControl w:val="0"/>
        <w:rPr>
          <w:color w:val="000000"/>
          <w:sz w:val="22"/>
          <w:szCs w:val="22"/>
          <w:u w:val="single"/>
        </w:rPr>
      </w:pPr>
      <w:r w:rsidRPr="00B30A12">
        <w:rPr>
          <w:color w:val="000000"/>
          <w:sz w:val="22"/>
          <w:szCs w:val="22"/>
          <w:u w:val="single"/>
        </w:rPr>
        <w:t>Dosierung bei DFSP</w:t>
      </w:r>
    </w:p>
    <w:p w14:paraId="77F14F56" w14:textId="77777777" w:rsidR="000742FC" w:rsidRPr="00B30A12" w:rsidRDefault="000742FC" w:rsidP="0054140C">
      <w:pPr>
        <w:widowControl w:val="0"/>
        <w:rPr>
          <w:color w:val="000000"/>
          <w:sz w:val="22"/>
          <w:szCs w:val="22"/>
        </w:rPr>
      </w:pPr>
      <w:r w:rsidRPr="00B30A12">
        <w:rPr>
          <w:color w:val="000000"/>
          <w:sz w:val="22"/>
          <w:szCs w:val="22"/>
        </w:rPr>
        <w:t xml:space="preserve">Die empfohlene Dosierung von Glivec bei </w:t>
      </w:r>
      <w:r w:rsidR="00330D46" w:rsidRPr="00B30A12">
        <w:rPr>
          <w:color w:val="000000"/>
          <w:sz w:val="22"/>
          <w:szCs w:val="22"/>
        </w:rPr>
        <w:t xml:space="preserve">erwachsenen </w:t>
      </w:r>
      <w:r w:rsidRPr="00B30A12">
        <w:rPr>
          <w:color w:val="000000"/>
          <w:sz w:val="22"/>
          <w:szCs w:val="22"/>
        </w:rPr>
        <w:t>Patienten mit DFSP beträgt 800 mg/Tag.</w:t>
      </w:r>
    </w:p>
    <w:p w14:paraId="7F7D9817" w14:textId="77777777" w:rsidR="000742FC" w:rsidRPr="00B30A12" w:rsidRDefault="000742FC" w:rsidP="0054140C">
      <w:pPr>
        <w:pStyle w:val="Header"/>
        <w:widowControl w:val="0"/>
        <w:tabs>
          <w:tab w:val="clear" w:pos="4320"/>
          <w:tab w:val="clear" w:pos="8640"/>
        </w:tabs>
        <w:rPr>
          <w:color w:val="000000"/>
          <w:szCs w:val="22"/>
        </w:rPr>
      </w:pPr>
    </w:p>
    <w:p w14:paraId="1040A252" w14:textId="77777777" w:rsidR="000742FC" w:rsidRPr="00B30A12" w:rsidRDefault="000742FC" w:rsidP="003D30FF">
      <w:pPr>
        <w:keepNext/>
        <w:widowControl w:val="0"/>
        <w:rPr>
          <w:color w:val="000000"/>
          <w:sz w:val="22"/>
          <w:szCs w:val="22"/>
        </w:rPr>
      </w:pPr>
      <w:r w:rsidRPr="00B30A12">
        <w:rPr>
          <w:color w:val="000000"/>
          <w:sz w:val="22"/>
          <w:szCs w:val="22"/>
          <w:u w:val="single"/>
        </w:rPr>
        <w:t>Dosisanpassung auf Grund von Nebenwirkungen</w:t>
      </w:r>
    </w:p>
    <w:p w14:paraId="1A9FCFED" w14:textId="77777777" w:rsidR="000742FC" w:rsidRPr="00B30A12" w:rsidRDefault="000742FC" w:rsidP="0054140C">
      <w:pPr>
        <w:widowControl w:val="0"/>
        <w:ind w:firstLine="3"/>
        <w:rPr>
          <w:i/>
          <w:color w:val="000000"/>
          <w:sz w:val="22"/>
          <w:szCs w:val="22"/>
        </w:rPr>
      </w:pPr>
      <w:r w:rsidRPr="00B30A12">
        <w:rPr>
          <w:i/>
          <w:color w:val="000000"/>
          <w:sz w:val="22"/>
          <w:szCs w:val="22"/>
        </w:rPr>
        <w:t>Nichthämatologische Nebenwirkungen</w:t>
      </w:r>
    </w:p>
    <w:p w14:paraId="7FF86A0C" w14:textId="77777777" w:rsidR="000742FC" w:rsidRPr="00B30A12" w:rsidRDefault="000742FC" w:rsidP="0054140C">
      <w:pPr>
        <w:widowControl w:val="0"/>
        <w:ind w:firstLine="3"/>
        <w:rPr>
          <w:color w:val="000000"/>
          <w:sz w:val="22"/>
          <w:szCs w:val="22"/>
        </w:rPr>
      </w:pPr>
      <w:r w:rsidRPr="00B30A12">
        <w:rPr>
          <w:color w:val="000000"/>
          <w:sz w:val="22"/>
          <w:szCs w:val="22"/>
        </w:rPr>
        <w:t>Wenn sich mit Glivec schwere nicht-hämatologische Nebenwirkungen entwickeln, muss die Behandlung so lange unterbrochen werden, bis das Ereignis abgeklungen ist. Danach kann die Behandlung abhängig von der anfänglichen Stärke der Nebenwirkung wieder aufgenommen werden.</w:t>
      </w:r>
    </w:p>
    <w:p w14:paraId="78093BFA" w14:textId="77777777" w:rsidR="000742FC" w:rsidRPr="00B30A12" w:rsidRDefault="000742FC" w:rsidP="0054140C">
      <w:pPr>
        <w:widowControl w:val="0"/>
        <w:ind w:firstLine="3"/>
        <w:rPr>
          <w:color w:val="000000"/>
          <w:sz w:val="22"/>
          <w:szCs w:val="22"/>
        </w:rPr>
      </w:pPr>
    </w:p>
    <w:p w14:paraId="154EDC23" w14:textId="77777777" w:rsidR="000742FC" w:rsidRPr="00B30A12" w:rsidRDefault="000742FC" w:rsidP="0054140C">
      <w:pPr>
        <w:widowControl w:val="0"/>
        <w:ind w:firstLine="3"/>
        <w:rPr>
          <w:color w:val="000000"/>
          <w:sz w:val="22"/>
          <w:szCs w:val="22"/>
        </w:rPr>
      </w:pPr>
      <w:r w:rsidRPr="00B30A12">
        <w:rPr>
          <w:color w:val="000000"/>
          <w:sz w:val="22"/>
          <w:szCs w:val="22"/>
        </w:rPr>
        <w:t>Wenn Bilirubinerhöhungen den laborspezifischen oberen Normwert um mehr als das Dreifache oder wenn Erhöhungen der Lebertransaminasen diesen Wert um mehr als das Fünffache überschreiten, muss Glivec solange abgesetzt werden, bis die Bilirubinwerte auf weniger als das 1,5fache und die Transami</w:t>
      </w:r>
      <w:r w:rsidRPr="00B30A12">
        <w:rPr>
          <w:color w:val="000000"/>
          <w:sz w:val="22"/>
          <w:szCs w:val="22"/>
        </w:rPr>
        <w:softHyphen/>
        <w:t>nasenwerte auf weniger als das 2,5fache der laborspezifischen oberen Normwerte zurückgegangen sind. Danach kann die Behandlung mit Glivec mit einer reduzierten täglichen Dosis fortgeführt werden. Bei Erwachsenen sollte die Dosis von 400 mg auf 300 mg bzw. von 600 mg auf 400 mg bzw. von 800 mg auf 600 mg und bei Kindern von 340 auf 260 mg/m</w:t>
      </w:r>
      <w:r w:rsidRPr="00B30A12">
        <w:rPr>
          <w:color w:val="000000"/>
          <w:sz w:val="22"/>
          <w:szCs w:val="22"/>
          <w:vertAlign w:val="superscript"/>
        </w:rPr>
        <w:t>2</w:t>
      </w:r>
      <w:r w:rsidRPr="00B30A12">
        <w:rPr>
          <w:color w:val="000000"/>
          <w:sz w:val="22"/>
          <w:szCs w:val="22"/>
        </w:rPr>
        <w:t>/Tag redu</w:t>
      </w:r>
      <w:r w:rsidRPr="00B30A12">
        <w:rPr>
          <w:color w:val="000000"/>
          <w:sz w:val="22"/>
          <w:szCs w:val="22"/>
        </w:rPr>
        <w:softHyphen/>
        <w:t>ziert werden.</w:t>
      </w:r>
    </w:p>
    <w:p w14:paraId="0D5FD700" w14:textId="77777777" w:rsidR="000742FC" w:rsidRPr="00B30A12" w:rsidRDefault="000742FC" w:rsidP="0054140C">
      <w:pPr>
        <w:widowControl w:val="0"/>
        <w:ind w:firstLine="3"/>
        <w:rPr>
          <w:color w:val="000000"/>
          <w:sz w:val="22"/>
          <w:szCs w:val="22"/>
        </w:rPr>
      </w:pPr>
    </w:p>
    <w:p w14:paraId="30C7DBE4" w14:textId="77777777" w:rsidR="000742FC" w:rsidRPr="00B30A12" w:rsidRDefault="000742FC" w:rsidP="00DA7B0B">
      <w:pPr>
        <w:keepNext/>
        <w:widowControl w:val="0"/>
        <w:ind w:firstLine="6"/>
        <w:rPr>
          <w:i/>
          <w:color w:val="000000"/>
          <w:sz w:val="22"/>
          <w:szCs w:val="22"/>
        </w:rPr>
      </w:pPr>
      <w:r w:rsidRPr="00B30A12">
        <w:rPr>
          <w:i/>
          <w:color w:val="000000"/>
          <w:sz w:val="22"/>
          <w:szCs w:val="22"/>
        </w:rPr>
        <w:lastRenderedPageBreak/>
        <w:t>Hämatologische Nebenwirkungen</w:t>
      </w:r>
    </w:p>
    <w:p w14:paraId="7E4B78D7" w14:textId="77777777" w:rsidR="000742FC" w:rsidRPr="00B30A12" w:rsidRDefault="000742FC" w:rsidP="00DA7B0B">
      <w:pPr>
        <w:keepNext/>
        <w:keepLines/>
        <w:widowControl w:val="0"/>
        <w:ind w:firstLine="6"/>
        <w:rPr>
          <w:color w:val="000000"/>
          <w:sz w:val="22"/>
          <w:szCs w:val="22"/>
        </w:rPr>
      </w:pPr>
      <w:r w:rsidRPr="00B30A12">
        <w:rPr>
          <w:color w:val="000000"/>
          <w:sz w:val="22"/>
          <w:szCs w:val="22"/>
        </w:rPr>
        <w:t>Bei schwerer Neutropenie und Thrombozytopenie werden eine Dosisreduktion oder eine Unterbrechung der Behandlung entsprechend folgender Tabelle empfohlen:</w:t>
      </w:r>
    </w:p>
    <w:p w14:paraId="3067C718" w14:textId="77777777" w:rsidR="000742FC" w:rsidRPr="00B30A12" w:rsidRDefault="000742FC" w:rsidP="00DA7B0B">
      <w:pPr>
        <w:keepNext/>
        <w:widowControl w:val="0"/>
        <w:ind w:firstLine="3"/>
        <w:rPr>
          <w:color w:val="000000"/>
          <w:sz w:val="22"/>
          <w:szCs w:val="22"/>
        </w:rPr>
      </w:pPr>
    </w:p>
    <w:p w14:paraId="184DA848" w14:textId="77777777" w:rsidR="000742FC" w:rsidRPr="00B30A12" w:rsidRDefault="000742FC" w:rsidP="00DA7B0B">
      <w:pPr>
        <w:keepNext/>
        <w:widowControl w:val="0"/>
        <w:ind w:firstLine="6"/>
        <w:rPr>
          <w:color w:val="000000"/>
          <w:sz w:val="22"/>
          <w:szCs w:val="22"/>
        </w:rPr>
      </w:pPr>
      <w:r w:rsidRPr="00B30A12">
        <w:rPr>
          <w:color w:val="000000"/>
          <w:sz w:val="22"/>
          <w:szCs w:val="22"/>
        </w:rPr>
        <w:t>Dosisanpassung bei Neutropenie oder Thrombozytopenie:</w:t>
      </w:r>
    </w:p>
    <w:p w14:paraId="763D8D59" w14:textId="77777777" w:rsidR="000742FC" w:rsidRPr="00B30A12" w:rsidRDefault="000742FC" w:rsidP="00DA7B0B">
      <w:pPr>
        <w:keepNext/>
        <w:widowControl w:val="0"/>
        <w:ind w:firstLine="6"/>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118"/>
        <w:gridCol w:w="3969"/>
        <w:gridCol w:w="25"/>
      </w:tblGrid>
      <w:tr w:rsidR="000742FC" w:rsidRPr="00B30A12" w14:paraId="458CDC58" w14:textId="77777777" w:rsidTr="00DA7B0B">
        <w:trPr>
          <w:cantSplit/>
        </w:trPr>
        <w:tc>
          <w:tcPr>
            <w:tcW w:w="2093" w:type="dxa"/>
          </w:tcPr>
          <w:p w14:paraId="32647C34" w14:textId="77777777" w:rsidR="000742FC" w:rsidRPr="00B30A12" w:rsidRDefault="000742FC" w:rsidP="00DA7B0B">
            <w:pPr>
              <w:pStyle w:val="Header"/>
              <w:keepNext/>
              <w:widowControl w:val="0"/>
              <w:tabs>
                <w:tab w:val="clear" w:pos="4320"/>
                <w:tab w:val="clear" w:pos="8640"/>
              </w:tabs>
              <w:rPr>
                <w:color w:val="000000"/>
                <w:szCs w:val="22"/>
              </w:rPr>
            </w:pPr>
            <w:r w:rsidRPr="00B30A12">
              <w:rPr>
                <w:color w:val="000000"/>
                <w:szCs w:val="22"/>
              </w:rPr>
              <w:t>HES/</w:t>
            </w:r>
            <w:smartTag w:uri="urn:schemas-microsoft-com:office:smarttags" w:element="stockticker">
              <w:r w:rsidRPr="00B30A12">
                <w:rPr>
                  <w:color w:val="000000"/>
                  <w:szCs w:val="22"/>
                </w:rPr>
                <w:t>CEL</w:t>
              </w:r>
            </w:smartTag>
            <w:r w:rsidRPr="00B30A12">
              <w:rPr>
                <w:color w:val="000000"/>
                <w:szCs w:val="22"/>
              </w:rPr>
              <w:t xml:space="preserve"> (Startdosis 100 mg)</w:t>
            </w:r>
          </w:p>
        </w:tc>
        <w:tc>
          <w:tcPr>
            <w:tcW w:w="3118" w:type="dxa"/>
          </w:tcPr>
          <w:p w14:paraId="53FDADE2" w14:textId="77777777" w:rsidR="000742FC" w:rsidRPr="00B30A12" w:rsidRDefault="000742FC" w:rsidP="00DA7B0B">
            <w:pPr>
              <w:keepNext/>
              <w:widowControl w:val="0"/>
              <w:rPr>
                <w:color w:val="000000"/>
                <w:sz w:val="22"/>
                <w:szCs w:val="22"/>
              </w:rPr>
            </w:pPr>
            <w:r w:rsidRPr="00B30A12">
              <w:rPr>
                <w:color w:val="000000"/>
                <w:sz w:val="22"/>
                <w:szCs w:val="22"/>
              </w:rPr>
              <w:t>Absolute Zahl der neutrophilen Leukozyten (ANC) &lt; 1,0 x 10</w:t>
            </w:r>
            <w:r w:rsidRPr="00B30A12">
              <w:rPr>
                <w:color w:val="000000"/>
                <w:sz w:val="22"/>
                <w:szCs w:val="22"/>
                <w:vertAlign w:val="superscript"/>
              </w:rPr>
              <w:t>9</w:t>
            </w:r>
            <w:r w:rsidRPr="00B30A12">
              <w:rPr>
                <w:color w:val="000000"/>
                <w:sz w:val="22"/>
                <w:szCs w:val="22"/>
              </w:rPr>
              <w:t>/l und / oder</w:t>
            </w:r>
          </w:p>
          <w:p w14:paraId="46048C85" w14:textId="77777777" w:rsidR="000742FC" w:rsidRPr="00B30A12" w:rsidRDefault="000742FC" w:rsidP="00DA7B0B">
            <w:pPr>
              <w:keepNext/>
              <w:widowControl w:val="0"/>
              <w:rPr>
                <w:color w:val="000000"/>
                <w:sz w:val="22"/>
                <w:szCs w:val="22"/>
              </w:rPr>
            </w:pPr>
            <w:r w:rsidRPr="00B30A12">
              <w:rPr>
                <w:color w:val="000000"/>
                <w:sz w:val="22"/>
                <w:szCs w:val="22"/>
              </w:rPr>
              <w:t>Thrombozyten &lt; 50 x 10</w:t>
            </w:r>
            <w:r w:rsidRPr="00B30A12">
              <w:rPr>
                <w:color w:val="000000"/>
                <w:sz w:val="22"/>
                <w:szCs w:val="22"/>
                <w:vertAlign w:val="superscript"/>
              </w:rPr>
              <w:t>9</w:t>
            </w:r>
            <w:r w:rsidRPr="00B30A12">
              <w:rPr>
                <w:color w:val="000000"/>
                <w:sz w:val="22"/>
                <w:szCs w:val="22"/>
              </w:rPr>
              <w:t>/l</w:t>
            </w:r>
          </w:p>
        </w:tc>
        <w:tc>
          <w:tcPr>
            <w:tcW w:w="3994" w:type="dxa"/>
            <w:gridSpan w:val="2"/>
          </w:tcPr>
          <w:p w14:paraId="378FA6DB" w14:textId="77777777" w:rsidR="000742FC" w:rsidRPr="00B30A12" w:rsidRDefault="000742FC" w:rsidP="00DA7B0B">
            <w:pPr>
              <w:keepNext/>
              <w:widowControl w:val="0"/>
              <w:ind w:left="361" w:hanging="361"/>
              <w:rPr>
                <w:color w:val="000000"/>
                <w:sz w:val="22"/>
                <w:szCs w:val="22"/>
              </w:rPr>
            </w:pPr>
            <w:r w:rsidRPr="00B30A12">
              <w:rPr>
                <w:color w:val="000000"/>
                <w:sz w:val="22"/>
                <w:szCs w:val="22"/>
              </w:rPr>
              <w:t>1.</w:t>
            </w:r>
            <w:r w:rsidRPr="00B30A12">
              <w:rPr>
                <w:color w:val="000000"/>
                <w:sz w:val="22"/>
                <w:szCs w:val="22"/>
              </w:rPr>
              <w:tab/>
              <w:t>Stopp der Behandlung mit Glivec bis ANC ≥ 1,5 x 10</w:t>
            </w:r>
            <w:r w:rsidRPr="00B30A12">
              <w:rPr>
                <w:color w:val="000000"/>
                <w:sz w:val="22"/>
                <w:szCs w:val="22"/>
                <w:vertAlign w:val="superscript"/>
              </w:rPr>
              <w:t>9</w:t>
            </w:r>
            <w:r w:rsidRPr="00B30A12">
              <w:rPr>
                <w:color w:val="000000"/>
                <w:sz w:val="22"/>
                <w:szCs w:val="22"/>
              </w:rPr>
              <w:t>/l und Thrombozyten ≥ 75 x 10</w:t>
            </w:r>
            <w:r w:rsidRPr="00B30A12">
              <w:rPr>
                <w:color w:val="000000"/>
                <w:sz w:val="22"/>
                <w:szCs w:val="22"/>
                <w:vertAlign w:val="superscript"/>
              </w:rPr>
              <w:t>9</w:t>
            </w:r>
            <w:r w:rsidRPr="00B30A12">
              <w:rPr>
                <w:color w:val="000000"/>
                <w:sz w:val="22"/>
                <w:szCs w:val="22"/>
              </w:rPr>
              <w:t>/l.</w:t>
            </w:r>
          </w:p>
          <w:p w14:paraId="1D00DF8D" w14:textId="77777777" w:rsidR="000742FC" w:rsidRPr="00B30A12" w:rsidRDefault="000742FC" w:rsidP="00DA7B0B">
            <w:pPr>
              <w:keepNext/>
              <w:widowControl w:val="0"/>
              <w:ind w:left="361" w:hanging="361"/>
              <w:rPr>
                <w:color w:val="000000"/>
                <w:sz w:val="22"/>
                <w:szCs w:val="22"/>
              </w:rPr>
            </w:pPr>
            <w:r w:rsidRPr="00B30A12">
              <w:rPr>
                <w:color w:val="000000"/>
                <w:sz w:val="22"/>
                <w:szCs w:val="22"/>
              </w:rPr>
              <w:t>2.</w:t>
            </w:r>
            <w:r w:rsidRPr="00B30A12">
              <w:rPr>
                <w:color w:val="000000"/>
                <w:sz w:val="22"/>
                <w:szCs w:val="22"/>
              </w:rPr>
              <w:tab/>
              <w:t>Wiederaufnahme der Behandlung mit Glivec in der vorherigen Dosierung (d. h. vor dem Auftreten der schweren Nebenwirkung).</w:t>
            </w:r>
          </w:p>
        </w:tc>
      </w:tr>
      <w:tr w:rsidR="000742FC" w:rsidRPr="00B30A12" w14:paraId="12581B78" w14:textId="77777777" w:rsidTr="00DA7B0B">
        <w:trPr>
          <w:cantSplit/>
        </w:trPr>
        <w:tc>
          <w:tcPr>
            <w:tcW w:w="2093" w:type="dxa"/>
          </w:tcPr>
          <w:p w14:paraId="47EDF7AE"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CML in der chroni</w:t>
            </w:r>
            <w:r w:rsidRPr="00B30A12">
              <w:rPr>
                <w:color w:val="000000"/>
                <w:szCs w:val="22"/>
              </w:rPr>
              <w:softHyphen/>
              <w:t xml:space="preserve">schen Phase, </w:t>
            </w:r>
            <w:smartTag w:uri="urn:schemas-microsoft-com:office:smarttags" w:element="stockticker">
              <w:r w:rsidRPr="00B30A12">
                <w:rPr>
                  <w:color w:val="000000"/>
                  <w:szCs w:val="22"/>
                </w:rPr>
                <w:t>MDS</w:t>
              </w:r>
            </w:smartTag>
            <w:r w:rsidRPr="00B30A12">
              <w:rPr>
                <w:color w:val="000000"/>
                <w:szCs w:val="22"/>
              </w:rPr>
              <w:t>/MPD und GIST (Startdosis 400 mg)</w:t>
            </w:r>
          </w:p>
          <w:p w14:paraId="0F43B4A4"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HES/</w:t>
            </w:r>
            <w:smartTag w:uri="urn:schemas-microsoft-com:office:smarttags" w:element="stockticker">
              <w:r w:rsidRPr="00B30A12">
                <w:rPr>
                  <w:color w:val="000000"/>
                  <w:szCs w:val="22"/>
                </w:rPr>
                <w:t>CEL</w:t>
              </w:r>
            </w:smartTag>
            <w:r w:rsidRPr="00B30A12">
              <w:rPr>
                <w:color w:val="000000"/>
                <w:szCs w:val="22"/>
              </w:rPr>
              <w:t xml:space="preserve"> (bei einer Dosis von 400 mg)</w:t>
            </w:r>
          </w:p>
        </w:tc>
        <w:tc>
          <w:tcPr>
            <w:tcW w:w="3118" w:type="dxa"/>
          </w:tcPr>
          <w:p w14:paraId="3375B6AB" w14:textId="77777777" w:rsidR="000742FC" w:rsidRPr="00B30A12" w:rsidRDefault="000742FC" w:rsidP="0054140C">
            <w:pPr>
              <w:widowControl w:val="0"/>
              <w:rPr>
                <w:color w:val="000000"/>
                <w:sz w:val="22"/>
                <w:szCs w:val="22"/>
              </w:rPr>
            </w:pPr>
            <w:r w:rsidRPr="00B30A12">
              <w:rPr>
                <w:color w:val="000000"/>
                <w:sz w:val="22"/>
                <w:szCs w:val="22"/>
              </w:rPr>
              <w:t>Absolute Zahl der neutrophilen Leukozyten (ANC) &lt; 1,0 x 10</w:t>
            </w:r>
            <w:r w:rsidRPr="00B30A12">
              <w:rPr>
                <w:color w:val="000000"/>
                <w:sz w:val="22"/>
                <w:szCs w:val="22"/>
                <w:vertAlign w:val="superscript"/>
              </w:rPr>
              <w:t>9</w:t>
            </w:r>
            <w:r w:rsidRPr="00B30A12">
              <w:rPr>
                <w:color w:val="000000"/>
                <w:sz w:val="22"/>
                <w:szCs w:val="22"/>
              </w:rPr>
              <w:t>/l und / oder</w:t>
            </w:r>
          </w:p>
          <w:p w14:paraId="45ED95B6" w14:textId="77777777" w:rsidR="000742FC" w:rsidRPr="00B30A12" w:rsidRDefault="000742FC" w:rsidP="0054140C">
            <w:pPr>
              <w:widowControl w:val="0"/>
              <w:rPr>
                <w:color w:val="000000"/>
                <w:sz w:val="22"/>
                <w:szCs w:val="22"/>
              </w:rPr>
            </w:pPr>
            <w:r w:rsidRPr="00B30A12">
              <w:rPr>
                <w:color w:val="000000"/>
                <w:sz w:val="22"/>
                <w:szCs w:val="22"/>
              </w:rPr>
              <w:t>Thrombozyten &lt; 50 x 10</w:t>
            </w:r>
            <w:r w:rsidRPr="00B30A12">
              <w:rPr>
                <w:color w:val="000000"/>
                <w:sz w:val="22"/>
                <w:szCs w:val="22"/>
                <w:vertAlign w:val="superscript"/>
              </w:rPr>
              <w:t>9</w:t>
            </w:r>
            <w:r w:rsidRPr="00B30A12">
              <w:rPr>
                <w:color w:val="000000"/>
                <w:sz w:val="22"/>
                <w:szCs w:val="22"/>
              </w:rPr>
              <w:t>/l</w:t>
            </w:r>
          </w:p>
        </w:tc>
        <w:tc>
          <w:tcPr>
            <w:tcW w:w="3994" w:type="dxa"/>
            <w:gridSpan w:val="2"/>
          </w:tcPr>
          <w:p w14:paraId="46954DEB" w14:textId="77777777" w:rsidR="000742FC" w:rsidRPr="00B30A12" w:rsidRDefault="00964770" w:rsidP="0054140C">
            <w:pPr>
              <w:widowControl w:val="0"/>
              <w:ind w:left="361" w:hanging="361"/>
              <w:rPr>
                <w:color w:val="000000"/>
                <w:sz w:val="22"/>
                <w:szCs w:val="22"/>
              </w:rPr>
            </w:pPr>
            <w:r w:rsidRPr="00B30A12">
              <w:rPr>
                <w:color w:val="000000"/>
                <w:sz w:val="22"/>
                <w:szCs w:val="22"/>
              </w:rPr>
              <w:t>1</w:t>
            </w:r>
            <w:r w:rsidR="000742FC" w:rsidRPr="00B30A12">
              <w:rPr>
                <w:color w:val="000000"/>
                <w:sz w:val="22"/>
                <w:szCs w:val="22"/>
              </w:rPr>
              <w:t>.</w:t>
            </w:r>
            <w:r w:rsidR="000742FC" w:rsidRPr="00B30A12">
              <w:rPr>
                <w:color w:val="000000"/>
                <w:sz w:val="22"/>
                <w:szCs w:val="22"/>
              </w:rPr>
              <w:tab/>
              <w:t>Stopp der Behandlung mit Glivec bis ANC ≥ 1,5 x 10</w:t>
            </w:r>
            <w:r w:rsidR="000742FC" w:rsidRPr="00B30A12">
              <w:rPr>
                <w:color w:val="000000"/>
                <w:sz w:val="22"/>
                <w:szCs w:val="22"/>
                <w:vertAlign w:val="superscript"/>
              </w:rPr>
              <w:t>9</w:t>
            </w:r>
            <w:r w:rsidR="000742FC" w:rsidRPr="00B30A12">
              <w:rPr>
                <w:color w:val="000000"/>
                <w:sz w:val="22"/>
                <w:szCs w:val="22"/>
              </w:rPr>
              <w:t>/l und Thrombozyten ≥ 75 x 10</w:t>
            </w:r>
            <w:r w:rsidR="000742FC" w:rsidRPr="00B30A12">
              <w:rPr>
                <w:color w:val="000000"/>
                <w:sz w:val="22"/>
                <w:szCs w:val="22"/>
                <w:vertAlign w:val="superscript"/>
              </w:rPr>
              <w:t>9</w:t>
            </w:r>
            <w:r w:rsidR="000742FC" w:rsidRPr="00B30A12">
              <w:rPr>
                <w:color w:val="000000"/>
                <w:sz w:val="22"/>
                <w:szCs w:val="22"/>
              </w:rPr>
              <w:t>/l.</w:t>
            </w:r>
          </w:p>
          <w:p w14:paraId="68DB124D" w14:textId="77777777" w:rsidR="000742FC" w:rsidRPr="00B30A12" w:rsidRDefault="00964770" w:rsidP="0054140C">
            <w:pPr>
              <w:widowControl w:val="0"/>
              <w:ind w:left="361" w:hanging="361"/>
              <w:rPr>
                <w:color w:val="000000"/>
                <w:sz w:val="22"/>
                <w:szCs w:val="22"/>
              </w:rPr>
            </w:pPr>
            <w:r w:rsidRPr="00B30A12">
              <w:rPr>
                <w:color w:val="000000"/>
                <w:sz w:val="22"/>
                <w:szCs w:val="22"/>
              </w:rPr>
              <w:t>2</w:t>
            </w:r>
            <w:r w:rsidR="000742FC" w:rsidRPr="00B30A12">
              <w:rPr>
                <w:color w:val="000000"/>
                <w:sz w:val="22"/>
                <w:szCs w:val="22"/>
              </w:rPr>
              <w:t>.</w:t>
            </w:r>
            <w:r w:rsidR="000742FC" w:rsidRPr="00B30A12">
              <w:rPr>
                <w:color w:val="000000"/>
                <w:sz w:val="22"/>
                <w:szCs w:val="22"/>
              </w:rPr>
              <w:tab/>
              <w:t>Wiederaufnahme der Behandlung mit Glivec in der vorherigen Dosierung (d. h. vor dem Auftreten der schweren Nebenwirkung).</w:t>
            </w:r>
          </w:p>
          <w:p w14:paraId="3759FD53" w14:textId="77777777" w:rsidR="000742FC" w:rsidRPr="00B30A12" w:rsidRDefault="00964770" w:rsidP="0054140C">
            <w:pPr>
              <w:widowControl w:val="0"/>
              <w:ind w:left="361" w:hanging="361"/>
              <w:rPr>
                <w:color w:val="000000"/>
                <w:sz w:val="22"/>
                <w:szCs w:val="22"/>
              </w:rPr>
            </w:pPr>
            <w:r w:rsidRPr="00B30A12">
              <w:rPr>
                <w:color w:val="000000"/>
                <w:sz w:val="22"/>
                <w:szCs w:val="22"/>
              </w:rPr>
              <w:t>3</w:t>
            </w:r>
            <w:r w:rsidR="000742FC" w:rsidRPr="00B30A12">
              <w:rPr>
                <w:color w:val="000000"/>
                <w:sz w:val="22"/>
                <w:szCs w:val="22"/>
              </w:rPr>
              <w:t>.</w:t>
            </w:r>
            <w:r w:rsidR="000742FC" w:rsidRPr="00B30A12">
              <w:rPr>
                <w:color w:val="000000"/>
                <w:sz w:val="22"/>
                <w:szCs w:val="22"/>
              </w:rPr>
              <w:tab/>
              <w:t>Bei Wiederauftreten von ANC &lt; 1,0 x 10</w:t>
            </w:r>
            <w:r w:rsidR="000742FC" w:rsidRPr="00B30A12">
              <w:rPr>
                <w:color w:val="000000"/>
                <w:sz w:val="22"/>
                <w:szCs w:val="22"/>
                <w:vertAlign w:val="superscript"/>
              </w:rPr>
              <w:t>9</w:t>
            </w:r>
            <w:r w:rsidR="000742FC" w:rsidRPr="00B30A12">
              <w:rPr>
                <w:color w:val="000000"/>
                <w:sz w:val="22"/>
                <w:szCs w:val="22"/>
              </w:rPr>
              <w:t>/l und / oder Thrombozyten &lt; 50 x 10</w:t>
            </w:r>
            <w:r w:rsidR="000742FC" w:rsidRPr="00B30A12">
              <w:rPr>
                <w:color w:val="000000"/>
                <w:sz w:val="22"/>
                <w:szCs w:val="22"/>
                <w:vertAlign w:val="superscript"/>
              </w:rPr>
              <w:t>9</w:t>
            </w:r>
            <w:r w:rsidR="000742FC" w:rsidRPr="00B30A12">
              <w:rPr>
                <w:color w:val="000000"/>
                <w:sz w:val="22"/>
                <w:szCs w:val="22"/>
              </w:rPr>
              <w:t>/l Schritt 1 wiederholen und die Be</w:t>
            </w:r>
            <w:r w:rsidR="000742FC" w:rsidRPr="00B30A12">
              <w:rPr>
                <w:color w:val="000000"/>
                <w:sz w:val="22"/>
                <w:szCs w:val="22"/>
              </w:rPr>
              <w:softHyphen/>
              <w:t>handlung mit der reduzierten Dosis von 300 mg Glivec wieder aufnehmen.</w:t>
            </w:r>
          </w:p>
        </w:tc>
      </w:tr>
      <w:tr w:rsidR="000742FC" w:rsidRPr="00B30A12" w14:paraId="003199DB" w14:textId="77777777" w:rsidTr="00DA7B0B">
        <w:trPr>
          <w:gridAfter w:val="1"/>
          <w:wAfter w:w="25" w:type="dxa"/>
          <w:cantSplit/>
        </w:trPr>
        <w:tc>
          <w:tcPr>
            <w:tcW w:w="2093" w:type="dxa"/>
          </w:tcPr>
          <w:p w14:paraId="5922748D"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CML in der chronischen Phase bei Kindern (bei Dosen von 340 mg/m</w:t>
            </w:r>
            <w:r w:rsidRPr="00B30A12">
              <w:rPr>
                <w:color w:val="000000"/>
                <w:szCs w:val="22"/>
                <w:vertAlign w:val="superscript"/>
              </w:rPr>
              <w:t>2</w:t>
            </w:r>
            <w:r w:rsidRPr="00B30A12">
              <w:rPr>
                <w:color w:val="000000"/>
                <w:szCs w:val="22"/>
              </w:rPr>
              <w:t>)</w:t>
            </w:r>
          </w:p>
        </w:tc>
        <w:tc>
          <w:tcPr>
            <w:tcW w:w="3118" w:type="dxa"/>
          </w:tcPr>
          <w:p w14:paraId="19DE3AA3"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ANC &lt; 1,0 x 10</w:t>
            </w:r>
            <w:r w:rsidRPr="00B30A12">
              <w:rPr>
                <w:color w:val="000000"/>
                <w:szCs w:val="22"/>
                <w:vertAlign w:val="superscript"/>
              </w:rPr>
              <w:t>9</w:t>
            </w:r>
            <w:r w:rsidRPr="00B30A12">
              <w:rPr>
                <w:color w:val="000000"/>
                <w:szCs w:val="22"/>
              </w:rPr>
              <w:t>/l</w:t>
            </w:r>
          </w:p>
          <w:p w14:paraId="7D7C4AE4"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und / oder</w:t>
            </w:r>
          </w:p>
          <w:p w14:paraId="2451F834"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Thrombozyten &lt; 50 x 10</w:t>
            </w:r>
            <w:r w:rsidRPr="00B30A12">
              <w:rPr>
                <w:color w:val="000000"/>
                <w:szCs w:val="22"/>
                <w:vertAlign w:val="superscript"/>
              </w:rPr>
              <w:t>9</w:t>
            </w:r>
            <w:r w:rsidRPr="00B30A12">
              <w:rPr>
                <w:color w:val="000000"/>
                <w:szCs w:val="22"/>
              </w:rPr>
              <w:t>/l</w:t>
            </w:r>
          </w:p>
        </w:tc>
        <w:tc>
          <w:tcPr>
            <w:tcW w:w="3969" w:type="dxa"/>
          </w:tcPr>
          <w:p w14:paraId="77ABA19A" w14:textId="77777777" w:rsidR="000742FC" w:rsidRPr="00B30A12" w:rsidRDefault="000742FC" w:rsidP="0054140C">
            <w:pPr>
              <w:widowControl w:val="0"/>
              <w:ind w:left="361" w:hanging="361"/>
              <w:rPr>
                <w:color w:val="000000"/>
                <w:sz w:val="22"/>
                <w:szCs w:val="22"/>
              </w:rPr>
            </w:pPr>
            <w:r w:rsidRPr="00B30A12">
              <w:rPr>
                <w:color w:val="000000"/>
                <w:sz w:val="22"/>
                <w:szCs w:val="22"/>
              </w:rPr>
              <w:t>1.</w:t>
            </w:r>
            <w:r w:rsidRPr="00B30A12">
              <w:rPr>
                <w:color w:val="000000"/>
                <w:sz w:val="22"/>
                <w:szCs w:val="22"/>
              </w:rPr>
              <w:tab/>
              <w:t>Stopp der Behandlung mit Glivec bis ANC ≥ 1,5 x 10</w:t>
            </w:r>
            <w:r w:rsidRPr="00B30A12">
              <w:rPr>
                <w:color w:val="000000"/>
                <w:sz w:val="22"/>
                <w:szCs w:val="22"/>
                <w:vertAlign w:val="superscript"/>
              </w:rPr>
              <w:t>9</w:t>
            </w:r>
            <w:r w:rsidRPr="00B30A12">
              <w:rPr>
                <w:color w:val="000000"/>
                <w:sz w:val="22"/>
                <w:szCs w:val="22"/>
              </w:rPr>
              <w:t>/l und Thrombozyten ≥ 75 x 10</w:t>
            </w:r>
            <w:r w:rsidRPr="00B30A12">
              <w:rPr>
                <w:color w:val="000000"/>
                <w:sz w:val="22"/>
                <w:szCs w:val="22"/>
                <w:vertAlign w:val="superscript"/>
              </w:rPr>
              <w:t>9</w:t>
            </w:r>
            <w:r w:rsidRPr="00B30A12">
              <w:rPr>
                <w:color w:val="000000"/>
                <w:sz w:val="22"/>
                <w:szCs w:val="22"/>
              </w:rPr>
              <w:t>/l.</w:t>
            </w:r>
          </w:p>
          <w:p w14:paraId="0E63926D" w14:textId="77777777" w:rsidR="000742FC" w:rsidRPr="00B30A12" w:rsidRDefault="000742FC" w:rsidP="0054140C">
            <w:pPr>
              <w:widowControl w:val="0"/>
              <w:ind w:left="361" w:hanging="361"/>
              <w:rPr>
                <w:color w:val="000000"/>
                <w:sz w:val="22"/>
                <w:szCs w:val="22"/>
              </w:rPr>
            </w:pPr>
            <w:r w:rsidRPr="00B30A12">
              <w:rPr>
                <w:color w:val="000000"/>
                <w:sz w:val="22"/>
                <w:szCs w:val="22"/>
              </w:rPr>
              <w:t>2.</w:t>
            </w:r>
            <w:r w:rsidRPr="00B30A12">
              <w:rPr>
                <w:color w:val="000000"/>
                <w:sz w:val="22"/>
                <w:szCs w:val="22"/>
              </w:rPr>
              <w:tab/>
              <w:t>Wiederaufnahme der Behandlung mit Glivec in der vorherigen Dosierung (d. h. vor dem Auftreten der schweren Nebenwirkung).</w:t>
            </w:r>
          </w:p>
          <w:p w14:paraId="1CF50E48" w14:textId="77777777" w:rsidR="000742FC" w:rsidRPr="00B30A12" w:rsidRDefault="000742FC" w:rsidP="0054140C">
            <w:pPr>
              <w:widowControl w:val="0"/>
              <w:ind w:left="361" w:hanging="361"/>
              <w:rPr>
                <w:color w:val="000000"/>
                <w:sz w:val="22"/>
                <w:szCs w:val="22"/>
              </w:rPr>
            </w:pPr>
            <w:r w:rsidRPr="00B30A12">
              <w:rPr>
                <w:color w:val="000000"/>
                <w:sz w:val="22"/>
                <w:szCs w:val="22"/>
              </w:rPr>
              <w:t>3.</w:t>
            </w:r>
            <w:r w:rsidRPr="00B30A12">
              <w:rPr>
                <w:color w:val="000000"/>
                <w:sz w:val="22"/>
                <w:szCs w:val="22"/>
              </w:rPr>
              <w:tab/>
              <w:t>Bei Wiederauftreten von ANC &lt; 1,0 x 10</w:t>
            </w:r>
            <w:r w:rsidRPr="00B30A12">
              <w:rPr>
                <w:color w:val="000000"/>
                <w:sz w:val="22"/>
                <w:szCs w:val="22"/>
                <w:vertAlign w:val="superscript"/>
              </w:rPr>
              <w:t>9</w:t>
            </w:r>
            <w:r w:rsidRPr="00B30A12">
              <w:rPr>
                <w:color w:val="000000"/>
                <w:sz w:val="22"/>
                <w:szCs w:val="22"/>
              </w:rPr>
              <w:t>/l und / oder Thrombozyten &lt; 50 x 10</w:t>
            </w:r>
            <w:r w:rsidRPr="00B30A12">
              <w:rPr>
                <w:color w:val="000000"/>
                <w:sz w:val="22"/>
                <w:szCs w:val="22"/>
                <w:vertAlign w:val="superscript"/>
              </w:rPr>
              <w:t>9</w:t>
            </w:r>
            <w:r w:rsidRPr="00B30A12">
              <w:rPr>
                <w:color w:val="000000"/>
                <w:sz w:val="22"/>
                <w:szCs w:val="22"/>
              </w:rPr>
              <w:t>/l Schritt 1 wiederholen und die Be</w:t>
            </w:r>
            <w:r w:rsidRPr="00B30A12">
              <w:rPr>
                <w:color w:val="000000"/>
                <w:sz w:val="22"/>
                <w:szCs w:val="22"/>
              </w:rPr>
              <w:softHyphen/>
              <w:t>handlung mit der reduzierten Dosis von 260 mg/m</w:t>
            </w:r>
            <w:r w:rsidRPr="00B30A12">
              <w:rPr>
                <w:color w:val="000000"/>
                <w:sz w:val="22"/>
                <w:szCs w:val="22"/>
                <w:vertAlign w:val="superscript"/>
              </w:rPr>
              <w:t>2</w:t>
            </w:r>
            <w:r w:rsidRPr="00B30A12">
              <w:rPr>
                <w:color w:val="000000"/>
                <w:sz w:val="22"/>
                <w:szCs w:val="22"/>
              </w:rPr>
              <w:t xml:space="preserve"> Glivec wieder aufnehmen.</w:t>
            </w:r>
          </w:p>
        </w:tc>
      </w:tr>
      <w:tr w:rsidR="000742FC" w:rsidRPr="00B30A12" w14:paraId="263F9FEC" w14:textId="77777777" w:rsidTr="00DA7B0B">
        <w:trPr>
          <w:cantSplit/>
        </w:trPr>
        <w:tc>
          <w:tcPr>
            <w:tcW w:w="2093" w:type="dxa"/>
          </w:tcPr>
          <w:p w14:paraId="09E814CB"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CML in der akzele</w:t>
            </w:r>
            <w:r w:rsidRPr="00B30A12">
              <w:rPr>
                <w:color w:val="000000"/>
                <w:szCs w:val="22"/>
              </w:rPr>
              <w:softHyphen/>
              <w:t>rierten Phase und in der Blastenkrise und Ph+ </w:t>
            </w:r>
            <w:smartTag w:uri="urn:schemas-microsoft-com:office:smarttags" w:element="stockticker">
              <w:r w:rsidRPr="00B30A12">
                <w:rPr>
                  <w:color w:val="000000"/>
                  <w:szCs w:val="22"/>
                </w:rPr>
                <w:t>ALL</w:t>
              </w:r>
            </w:smartTag>
            <w:r w:rsidRPr="00B30A12">
              <w:rPr>
                <w:color w:val="000000"/>
                <w:szCs w:val="22"/>
              </w:rPr>
              <w:t xml:space="preserve"> (Startdosis 600 mg)</w:t>
            </w:r>
          </w:p>
        </w:tc>
        <w:tc>
          <w:tcPr>
            <w:tcW w:w="3118" w:type="dxa"/>
          </w:tcPr>
          <w:p w14:paraId="277265FF" w14:textId="77777777" w:rsidR="000742FC" w:rsidRPr="00B30A12" w:rsidRDefault="003D30FF" w:rsidP="0054140C">
            <w:pPr>
              <w:pStyle w:val="Header"/>
              <w:widowControl w:val="0"/>
              <w:tabs>
                <w:tab w:val="clear" w:pos="4320"/>
                <w:tab w:val="clear" w:pos="8640"/>
              </w:tabs>
              <w:rPr>
                <w:color w:val="000000"/>
                <w:szCs w:val="22"/>
              </w:rPr>
            </w:pPr>
            <w:r w:rsidRPr="00B30A12">
              <w:rPr>
                <w:color w:val="000000"/>
                <w:szCs w:val="22"/>
                <w:vertAlign w:val="superscript"/>
              </w:rPr>
              <w:t>a</w:t>
            </w:r>
            <w:r w:rsidR="000742FC" w:rsidRPr="00B30A12">
              <w:rPr>
                <w:color w:val="000000"/>
                <w:szCs w:val="22"/>
              </w:rPr>
              <w:t>ANC &lt; 0,5 x 10</w:t>
            </w:r>
            <w:r w:rsidR="000742FC" w:rsidRPr="00B30A12">
              <w:rPr>
                <w:color w:val="000000"/>
                <w:szCs w:val="22"/>
                <w:vertAlign w:val="superscript"/>
              </w:rPr>
              <w:t>9</w:t>
            </w:r>
            <w:r w:rsidR="000742FC" w:rsidRPr="00B30A12">
              <w:rPr>
                <w:color w:val="000000"/>
                <w:szCs w:val="22"/>
              </w:rPr>
              <w:t>/l</w:t>
            </w:r>
          </w:p>
          <w:p w14:paraId="6ABFBCF8" w14:textId="77777777" w:rsidR="000742FC" w:rsidRPr="00B30A12" w:rsidRDefault="000742FC" w:rsidP="0054140C">
            <w:pPr>
              <w:widowControl w:val="0"/>
              <w:rPr>
                <w:color w:val="000000"/>
                <w:sz w:val="22"/>
                <w:szCs w:val="22"/>
              </w:rPr>
            </w:pPr>
            <w:r w:rsidRPr="00B30A12">
              <w:rPr>
                <w:color w:val="000000"/>
                <w:sz w:val="22"/>
                <w:szCs w:val="22"/>
              </w:rPr>
              <w:t>und / oder</w:t>
            </w:r>
          </w:p>
          <w:p w14:paraId="58C162C7"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rPr>
              <w:t>Thrombozyten &lt; 10 x 10</w:t>
            </w:r>
            <w:r w:rsidRPr="00B30A12">
              <w:rPr>
                <w:color w:val="000000"/>
                <w:szCs w:val="22"/>
                <w:vertAlign w:val="superscript"/>
              </w:rPr>
              <w:t>9</w:t>
            </w:r>
            <w:r w:rsidRPr="00B30A12">
              <w:rPr>
                <w:color w:val="000000"/>
                <w:szCs w:val="22"/>
              </w:rPr>
              <w:t>/l</w:t>
            </w:r>
          </w:p>
        </w:tc>
        <w:tc>
          <w:tcPr>
            <w:tcW w:w="3994" w:type="dxa"/>
            <w:gridSpan w:val="2"/>
          </w:tcPr>
          <w:p w14:paraId="0DF74503" w14:textId="77777777" w:rsidR="000742FC" w:rsidRPr="00B30A12" w:rsidRDefault="000742FC" w:rsidP="0054140C">
            <w:pPr>
              <w:widowControl w:val="0"/>
              <w:ind w:left="361" w:hanging="361"/>
              <w:rPr>
                <w:color w:val="000000"/>
                <w:sz w:val="22"/>
                <w:szCs w:val="22"/>
              </w:rPr>
            </w:pPr>
            <w:r w:rsidRPr="00B30A12">
              <w:rPr>
                <w:color w:val="000000"/>
                <w:sz w:val="22"/>
                <w:szCs w:val="22"/>
              </w:rPr>
              <w:t>1.</w:t>
            </w:r>
            <w:r w:rsidRPr="00B30A12">
              <w:rPr>
                <w:color w:val="000000"/>
                <w:sz w:val="22"/>
                <w:szCs w:val="22"/>
              </w:rPr>
              <w:tab/>
              <w:t>Überprüfung, ob die Zytopenie im Zu</w:t>
            </w:r>
            <w:r w:rsidRPr="00B30A12">
              <w:rPr>
                <w:color w:val="000000"/>
                <w:sz w:val="22"/>
                <w:szCs w:val="22"/>
              </w:rPr>
              <w:softHyphen/>
              <w:t>sammenhang mit der Leukämie steht (Knochenmarksaspiration oder Bi</w:t>
            </w:r>
            <w:r w:rsidRPr="00B30A12">
              <w:rPr>
                <w:color w:val="000000"/>
                <w:sz w:val="22"/>
                <w:szCs w:val="22"/>
              </w:rPr>
              <w:softHyphen/>
              <w:t>opsie).</w:t>
            </w:r>
          </w:p>
          <w:p w14:paraId="621F39F6" w14:textId="77777777" w:rsidR="000742FC" w:rsidRPr="00B30A12" w:rsidRDefault="000742FC" w:rsidP="0054140C">
            <w:pPr>
              <w:widowControl w:val="0"/>
              <w:ind w:left="361" w:hanging="361"/>
              <w:rPr>
                <w:color w:val="000000"/>
                <w:sz w:val="22"/>
                <w:szCs w:val="22"/>
              </w:rPr>
            </w:pPr>
            <w:r w:rsidRPr="00B30A12">
              <w:rPr>
                <w:color w:val="000000"/>
                <w:sz w:val="22"/>
                <w:szCs w:val="22"/>
              </w:rPr>
              <w:t>2.</w:t>
            </w:r>
            <w:r w:rsidRPr="00B30A12">
              <w:rPr>
                <w:color w:val="000000"/>
                <w:sz w:val="22"/>
                <w:szCs w:val="22"/>
              </w:rPr>
              <w:tab/>
              <w:t>Wenn kein Zusammenhang zwischen Zytopenie und Leukämie besteht, Re</w:t>
            </w:r>
            <w:r w:rsidRPr="00B30A12">
              <w:rPr>
                <w:color w:val="000000"/>
                <w:sz w:val="22"/>
                <w:szCs w:val="22"/>
              </w:rPr>
              <w:softHyphen/>
              <w:t>duktion der Glivec Dosis auf 400 mg.</w:t>
            </w:r>
          </w:p>
          <w:p w14:paraId="62FF8335" w14:textId="77777777" w:rsidR="000742FC" w:rsidRPr="00B30A12" w:rsidRDefault="000742FC" w:rsidP="0054140C">
            <w:pPr>
              <w:pStyle w:val="BodyText3"/>
              <w:widowControl w:val="0"/>
              <w:ind w:left="361" w:hanging="361"/>
              <w:rPr>
                <w:color w:val="000000"/>
                <w:szCs w:val="22"/>
              </w:rPr>
            </w:pPr>
            <w:r w:rsidRPr="00B30A12">
              <w:rPr>
                <w:color w:val="000000"/>
                <w:szCs w:val="22"/>
              </w:rPr>
              <w:t>3.</w:t>
            </w:r>
            <w:r w:rsidRPr="00B30A12">
              <w:rPr>
                <w:color w:val="000000"/>
                <w:szCs w:val="22"/>
              </w:rPr>
              <w:tab/>
              <w:t>Bei Andauern der Zytopenie über 2 Wochen weitere Dosisreduktion auf 300 mg.</w:t>
            </w:r>
          </w:p>
          <w:p w14:paraId="7F597738" w14:textId="77777777" w:rsidR="000742FC" w:rsidRPr="00B30A12" w:rsidRDefault="000742FC" w:rsidP="0054140C">
            <w:pPr>
              <w:widowControl w:val="0"/>
              <w:ind w:left="361" w:hanging="361"/>
              <w:rPr>
                <w:color w:val="000000"/>
                <w:sz w:val="22"/>
                <w:szCs w:val="22"/>
              </w:rPr>
            </w:pPr>
            <w:r w:rsidRPr="00B30A12">
              <w:rPr>
                <w:color w:val="000000"/>
                <w:sz w:val="22"/>
                <w:szCs w:val="22"/>
              </w:rPr>
              <w:t>4.</w:t>
            </w:r>
            <w:r w:rsidRPr="00B30A12">
              <w:rPr>
                <w:color w:val="000000"/>
                <w:sz w:val="22"/>
                <w:szCs w:val="22"/>
              </w:rPr>
              <w:tab/>
              <w:t>Bei Andauern der Zytopenie über 4 Wochen und weiterhin keinem Zu</w:t>
            </w:r>
            <w:r w:rsidRPr="00B30A12">
              <w:rPr>
                <w:color w:val="000000"/>
                <w:sz w:val="22"/>
                <w:szCs w:val="22"/>
              </w:rPr>
              <w:softHyphen/>
              <w:t>sammenhang mit der Leukämie die Behandlung mit Glivec so lange unter</w:t>
            </w:r>
            <w:r w:rsidRPr="00B30A12">
              <w:rPr>
                <w:color w:val="000000"/>
                <w:sz w:val="22"/>
                <w:szCs w:val="22"/>
              </w:rPr>
              <w:softHyphen/>
              <w:t xml:space="preserve">brechen, bis ANC </w:t>
            </w:r>
            <w:r w:rsidRPr="00B30A12">
              <w:rPr>
                <w:color w:val="000000"/>
                <w:sz w:val="22"/>
                <w:szCs w:val="22"/>
              </w:rPr>
              <w:sym w:font="Symbol" w:char="F0B3"/>
            </w:r>
            <w:r w:rsidRPr="00B30A12">
              <w:rPr>
                <w:color w:val="000000"/>
                <w:sz w:val="22"/>
                <w:szCs w:val="22"/>
              </w:rPr>
              <w:t> 1 x 10</w:t>
            </w:r>
            <w:r w:rsidRPr="00B30A12">
              <w:rPr>
                <w:color w:val="000000"/>
                <w:sz w:val="22"/>
                <w:szCs w:val="22"/>
                <w:vertAlign w:val="superscript"/>
              </w:rPr>
              <w:t>9</w:t>
            </w:r>
            <w:r w:rsidRPr="00B30A12">
              <w:rPr>
                <w:color w:val="000000"/>
                <w:sz w:val="22"/>
                <w:szCs w:val="22"/>
              </w:rPr>
              <w:t xml:space="preserve">/l und Thrombozyten </w:t>
            </w:r>
            <w:r w:rsidRPr="00B30A12">
              <w:rPr>
                <w:color w:val="000000"/>
                <w:sz w:val="22"/>
                <w:szCs w:val="22"/>
              </w:rPr>
              <w:sym w:font="Symbol" w:char="F0B3"/>
            </w:r>
            <w:r w:rsidRPr="00B30A12">
              <w:rPr>
                <w:color w:val="000000"/>
                <w:sz w:val="22"/>
                <w:szCs w:val="22"/>
              </w:rPr>
              <w:t> 20 x 10</w:t>
            </w:r>
            <w:r w:rsidRPr="00B30A12">
              <w:rPr>
                <w:color w:val="000000"/>
                <w:sz w:val="22"/>
                <w:szCs w:val="22"/>
                <w:vertAlign w:val="superscript"/>
              </w:rPr>
              <w:t>9</w:t>
            </w:r>
            <w:r w:rsidRPr="00B30A12">
              <w:rPr>
                <w:color w:val="000000"/>
                <w:sz w:val="22"/>
                <w:szCs w:val="22"/>
              </w:rPr>
              <w:t>/l, und dann die Behandlung mit 300 mg wieder aufnehmen.</w:t>
            </w:r>
          </w:p>
        </w:tc>
      </w:tr>
      <w:tr w:rsidR="000742FC" w:rsidRPr="00B30A12" w14:paraId="0BF69968" w14:textId="77777777" w:rsidTr="00DA7B0B">
        <w:trPr>
          <w:gridAfter w:val="1"/>
          <w:wAfter w:w="25" w:type="dxa"/>
          <w:cantSplit/>
        </w:trPr>
        <w:tc>
          <w:tcPr>
            <w:tcW w:w="2093" w:type="dxa"/>
          </w:tcPr>
          <w:p w14:paraId="71E6EEE2" w14:textId="77777777" w:rsidR="000742FC" w:rsidRPr="00B30A12" w:rsidRDefault="000742FC" w:rsidP="0054140C">
            <w:pPr>
              <w:widowControl w:val="0"/>
              <w:rPr>
                <w:color w:val="000000"/>
                <w:sz w:val="22"/>
                <w:szCs w:val="22"/>
                <w:vertAlign w:val="superscript"/>
              </w:rPr>
            </w:pPr>
            <w:r w:rsidRPr="00B30A12">
              <w:rPr>
                <w:color w:val="000000"/>
                <w:sz w:val="22"/>
                <w:szCs w:val="22"/>
              </w:rPr>
              <w:lastRenderedPageBreak/>
              <w:t>CML in der akzele</w:t>
            </w:r>
            <w:r w:rsidRPr="00B30A12">
              <w:rPr>
                <w:color w:val="000000"/>
                <w:sz w:val="22"/>
                <w:szCs w:val="22"/>
              </w:rPr>
              <w:softHyphen/>
              <w:t>rierten Phase und in der Blastenkrise bei Kindern (Startdosis 340 mg/m</w:t>
            </w:r>
            <w:r w:rsidRPr="00B30A12">
              <w:rPr>
                <w:color w:val="000000"/>
                <w:sz w:val="22"/>
                <w:szCs w:val="22"/>
                <w:vertAlign w:val="superscript"/>
              </w:rPr>
              <w:t>2</w:t>
            </w:r>
            <w:r w:rsidRPr="00B30A12">
              <w:rPr>
                <w:color w:val="000000"/>
                <w:sz w:val="22"/>
                <w:szCs w:val="22"/>
              </w:rPr>
              <w:t>)</w:t>
            </w:r>
          </w:p>
        </w:tc>
        <w:tc>
          <w:tcPr>
            <w:tcW w:w="3118" w:type="dxa"/>
          </w:tcPr>
          <w:p w14:paraId="43673F40" w14:textId="77777777" w:rsidR="000742FC" w:rsidRPr="00B30A12" w:rsidRDefault="000742FC" w:rsidP="0054140C">
            <w:pPr>
              <w:pStyle w:val="Header"/>
              <w:widowControl w:val="0"/>
              <w:tabs>
                <w:tab w:val="clear" w:pos="4320"/>
                <w:tab w:val="clear" w:pos="8640"/>
              </w:tabs>
              <w:rPr>
                <w:color w:val="000000"/>
                <w:szCs w:val="22"/>
              </w:rPr>
            </w:pPr>
            <w:r w:rsidRPr="00B30A12">
              <w:rPr>
                <w:color w:val="000000"/>
                <w:szCs w:val="22"/>
                <w:vertAlign w:val="superscript"/>
              </w:rPr>
              <w:t>a</w:t>
            </w:r>
            <w:r w:rsidRPr="00B30A12">
              <w:rPr>
                <w:color w:val="000000"/>
                <w:szCs w:val="22"/>
              </w:rPr>
              <w:t>ANC &lt; 0,5 x 10</w:t>
            </w:r>
            <w:r w:rsidRPr="00B30A12">
              <w:rPr>
                <w:color w:val="000000"/>
                <w:szCs w:val="22"/>
                <w:vertAlign w:val="superscript"/>
              </w:rPr>
              <w:t>9</w:t>
            </w:r>
            <w:r w:rsidRPr="00B30A12">
              <w:rPr>
                <w:color w:val="000000"/>
                <w:szCs w:val="22"/>
              </w:rPr>
              <w:t>/l</w:t>
            </w:r>
          </w:p>
          <w:p w14:paraId="6AF24A7F" w14:textId="77777777" w:rsidR="000742FC" w:rsidRPr="00B30A12" w:rsidRDefault="000742FC" w:rsidP="0054140C">
            <w:pPr>
              <w:widowControl w:val="0"/>
              <w:rPr>
                <w:color w:val="000000"/>
                <w:sz w:val="22"/>
                <w:szCs w:val="22"/>
              </w:rPr>
            </w:pPr>
            <w:r w:rsidRPr="00B30A12">
              <w:rPr>
                <w:color w:val="000000"/>
                <w:sz w:val="22"/>
                <w:szCs w:val="22"/>
              </w:rPr>
              <w:t>und / oder</w:t>
            </w:r>
          </w:p>
          <w:p w14:paraId="6C20D894" w14:textId="77777777" w:rsidR="000742FC" w:rsidRPr="00B30A12" w:rsidRDefault="000742FC" w:rsidP="0054140C">
            <w:pPr>
              <w:widowControl w:val="0"/>
              <w:rPr>
                <w:color w:val="000000"/>
                <w:sz w:val="22"/>
                <w:szCs w:val="22"/>
                <w:vertAlign w:val="superscript"/>
              </w:rPr>
            </w:pPr>
            <w:r w:rsidRPr="00B30A12">
              <w:rPr>
                <w:color w:val="000000"/>
                <w:sz w:val="22"/>
                <w:szCs w:val="22"/>
              </w:rPr>
              <w:t>Thrombozyten &lt; 10 x 10</w:t>
            </w:r>
            <w:r w:rsidRPr="00B30A12">
              <w:rPr>
                <w:color w:val="000000"/>
                <w:sz w:val="22"/>
                <w:szCs w:val="22"/>
                <w:vertAlign w:val="superscript"/>
              </w:rPr>
              <w:t>9</w:t>
            </w:r>
            <w:r w:rsidRPr="00B30A12">
              <w:rPr>
                <w:color w:val="000000"/>
                <w:sz w:val="22"/>
                <w:szCs w:val="22"/>
              </w:rPr>
              <w:t>/l</w:t>
            </w:r>
          </w:p>
        </w:tc>
        <w:tc>
          <w:tcPr>
            <w:tcW w:w="3969" w:type="dxa"/>
          </w:tcPr>
          <w:p w14:paraId="43219C14" w14:textId="77777777" w:rsidR="000742FC" w:rsidRPr="00B30A12" w:rsidRDefault="000742FC" w:rsidP="0054140C">
            <w:pPr>
              <w:widowControl w:val="0"/>
              <w:ind w:left="361" w:hanging="361"/>
              <w:rPr>
                <w:color w:val="000000"/>
                <w:sz w:val="22"/>
                <w:szCs w:val="22"/>
              </w:rPr>
            </w:pPr>
            <w:r w:rsidRPr="00B30A12">
              <w:rPr>
                <w:color w:val="000000"/>
                <w:sz w:val="22"/>
                <w:szCs w:val="22"/>
              </w:rPr>
              <w:t>1.</w:t>
            </w:r>
            <w:r w:rsidRPr="00B30A12">
              <w:rPr>
                <w:color w:val="000000"/>
                <w:sz w:val="22"/>
                <w:szCs w:val="22"/>
              </w:rPr>
              <w:tab/>
              <w:t>Überprüfung, ob die Zytopenie im Zu</w:t>
            </w:r>
            <w:r w:rsidRPr="00B30A12">
              <w:rPr>
                <w:color w:val="000000"/>
                <w:sz w:val="22"/>
                <w:szCs w:val="22"/>
              </w:rPr>
              <w:softHyphen/>
              <w:t>sammenhang mit der Leukämie steht (Knochenmarksaspiration oder Bi</w:t>
            </w:r>
            <w:r w:rsidRPr="00B30A12">
              <w:rPr>
                <w:color w:val="000000"/>
                <w:sz w:val="22"/>
                <w:szCs w:val="22"/>
              </w:rPr>
              <w:softHyphen/>
              <w:t>opsie).</w:t>
            </w:r>
          </w:p>
          <w:p w14:paraId="7B6D7DE9" w14:textId="77777777" w:rsidR="000742FC" w:rsidRPr="00B30A12" w:rsidRDefault="000742FC" w:rsidP="0054140C">
            <w:pPr>
              <w:widowControl w:val="0"/>
              <w:ind w:left="361" w:hanging="361"/>
              <w:rPr>
                <w:color w:val="000000"/>
                <w:sz w:val="22"/>
                <w:szCs w:val="22"/>
              </w:rPr>
            </w:pPr>
            <w:r w:rsidRPr="00B30A12">
              <w:rPr>
                <w:color w:val="000000"/>
                <w:sz w:val="22"/>
                <w:szCs w:val="22"/>
              </w:rPr>
              <w:t>2.</w:t>
            </w:r>
            <w:r w:rsidRPr="00B30A12">
              <w:rPr>
                <w:color w:val="000000"/>
                <w:sz w:val="22"/>
                <w:szCs w:val="22"/>
              </w:rPr>
              <w:tab/>
              <w:t>Wenn kein Zusammenhang zwischen Zytopenie und Leukämie besteht, Re</w:t>
            </w:r>
            <w:r w:rsidRPr="00B30A12">
              <w:rPr>
                <w:color w:val="000000"/>
                <w:sz w:val="22"/>
                <w:szCs w:val="22"/>
              </w:rPr>
              <w:softHyphen/>
              <w:t>duktion der Glivec-Dosis auf 260 mg/m</w:t>
            </w:r>
            <w:r w:rsidRPr="00B30A12">
              <w:rPr>
                <w:color w:val="000000"/>
                <w:sz w:val="22"/>
                <w:szCs w:val="22"/>
                <w:vertAlign w:val="superscript"/>
              </w:rPr>
              <w:t>2</w:t>
            </w:r>
            <w:r w:rsidRPr="00B30A12">
              <w:rPr>
                <w:color w:val="000000"/>
                <w:sz w:val="22"/>
                <w:szCs w:val="22"/>
              </w:rPr>
              <w:t>.</w:t>
            </w:r>
          </w:p>
          <w:p w14:paraId="32843AE6" w14:textId="77777777" w:rsidR="000742FC" w:rsidRPr="00B30A12" w:rsidRDefault="000742FC" w:rsidP="0054140C">
            <w:pPr>
              <w:pStyle w:val="BodyText3"/>
              <w:widowControl w:val="0"/>
              <w:ind w:left="361" w:hanging="361"/>
              <w:rPr>
                <w:color w:val="000000"/>
                <w:szCs w:val="22"/>
              </w:rPr>
            </w:pPr>
            <w:r w:rsidRPr="00B30A12">
              <w:rPr>
                <w:color w:val="000000"/>
                <w:szCs w:val="22"/>
              </w:rPr>
              <w:t>3.</w:t>
            </w:r>
            <w:r w:rsidRPr="00B30A12">
              <w:rPr>
                <w:color w:val="000000"/>
                <w:szCs w:val="22"/>
              </w:rPr>
              <w:tab/>
              <w:t>Bei Andauern der Zytopenie über 2 Wochen weitere Dosisreduktion auf 200 mg/m</w:t>
            </w:r>
            <w:r w:rsidRPr="00B30A12">
              <w:rPr>
                <w:color w:val="000000"/>
                <w:szCs w:val="22"/>
                <w:vertAlign w:val="superscript"/>
              </w:rPr>
              <w:t>2</w:t>
            </w:r>
            <w:r w:rsidRPr="00B30A12">
              <w:rPr>
                <w:color w:val="000000"/>
                <w:szCs w:val="22"/>
              </w:rPr>
              <w:t>.</w:t>
            </w:r>
          </w:p>
          <w:p w14:paraId="15D448B9" w14:textId="77777777" w:rsidR="000742FC" w:rsidRPr="00B30A12" w:rsidRDefault="000742FC" w:rsidP="0054140C">
            <w:pPr>
              <w:pStyle w:val="BodyText3"/>
              <w:widowControl w:val="0"/>
              <w:ind w:left="361" w:hanging="361"/>
              <w:rPr>
                <w:color w:val="000000"/>
                <w:szCs w:val="22"/>
                <w:vertAlign w:val="superscript"/>
              </w:rPr>
            </w:pPr>
            <w:r w:rsidRPr="00B30A12">
              <w:rPr>
                <w:color w:val="000000"/>
                <w:szCs w:val="22"/>
              </w:rPr>
              <w:t>4.</w:t>
            </w:r>
            <w:r w:rsidRPr="00B30A12">
              <w:rPr>
                <w:color w:val="000000"/>
                <w:szCs w:val="22"/>
              </w:rPr>
              <w:tab/>
              <w:t>Bei Andauern der Zytopenie über 4 Wochen und weiterhin keinem Zu</w:t>
            </w:r>
            <w:r w:rsidRPr="00B30A12">
              <w:rPr>
                <w:color w:val="000000"/>
                <w:szCs w:val="22"/>
              </w:rPr>
              <w:softHyphen/>
              <w:t>sammenhang mit der Leukämie die Behandlung mit Glivec so lange unter</w:t>
            </w:r>
            <w:r w:rsidRPr="00B30A12">
              <w:rPr>
                <w:color w:val="000000"/>
                <w:szCs w:val="22"/>
              </w:rPr>
              <w:softHyphen/>
              <w:t xml:space="preserve">brechen, bis ANC </w:t>
            </w:r>
            <w:r w:rsidRPr="00B30A12">
              <w:rPr>
                <w:color w:val="000000"/>
                <w:szCs w:val="22"/>
              </w:rPr>
              <w:sym w:font="Symbol" w:char="F0B3"/>
            </w:r>
            <w:r w:rsidRPr="00B30A12">
              <w:rPr>
                <w:color w:val="000000"/>
                <w:szCs w:val="22"/>
              </w:rPr>
              <w:t> 1 x 10</w:t>
            </w:r>
            <w:r w:rsidRPr="00B30A12">
              <w:rPr>
                <w:color w:val="000000"/>
                <w:szCs w:val="22"/>
                <w:vertAlign w:val="superscript"/>
              </w:rPr>
              <w:t>9</w:t>
            </w:r>
            <w:r w:rsidRPr="00B30A12">
              <w:rPr>
                <w:color w:val="000000"/>
                <w:szCs w:val="22"/>
              </w:rPr>
              <w:t xml:space="preserve">/l und Thrombozyten </w:t>
            </w:r>
            <w:r w:rsidRPr="00B30A12">
              <w:rPr>
                <w:color w:val="000000"/>
                <w:szCs w:val="22"/>
              </w:rPr>
              <w:sym w:font="Symbol" w:char="F0B3"/>
            </w:r>
            <w:r w:rsidRPr="00B30A12">
              <w:rPr>
                <w:color w:val="000000"/>
                <w:szCs w:val="22"/>
              </w:rPr>
              <w:t> 20 x 10</w:t>
            </w:r>
            <w:r w:rsidRPr="00B30A12">
              <w:rPr>
                <w:color w:val="000000"/>
                <w:szCs w:val="22"/>
                <w:vertAlign w:val="superscript"/>
              </w:rPr>
              <w:t>9</w:t>
            </w:r>
            <w:r w:rsidRPr="00B30A12">
              <w:rPr>
                <w:color w:val="000000"/>
                <w:szCs w:val="22"/>
              </w:rPr>
              <w:t>/l, und dann die Behandlung mit 200 mg/m</w:t>
            </w:r>
            <w:r w:rsidRPr="00B30A12">
              <w:rPr>
                <w:color w:val="000000"/>
                <w:szCs w:val="22"/>
                <w:vertAlign w:val="superscript"/>
              </w:rPr>
              <w:t>2</w:t>
            </w:r>
            <w:r w:rsidRPr="00B30A12">
              <w:rPr>
                <w:color w:val="000000"/>
                <w:szCs w:val="22"/>
              </w:rPr>
              <w:t xml:space="preserve"> wieder aufnehmen.</w:t>
            </w:r>
          </w:p>
        </w:tc>
      </w:tr>
      <w:tr w:rsidR="000742FC" w:rsidRPr="00B30A12" w14:paraId="62457BBF" w14:textId="77777777" w:rsidTr="00DA7B0B">
        <w:trPr>
          <w:cantSplit/>
        </w:trPr>
        <w:tc>
          <w:tcPr>
            <w:tcW w:w="2093" w:type="dxa"/>
          </w:tcPr>
          <w:p w14:paraId="0E67E71A" w14:textId="77777777" w:rsidR="000742FC" w:rsidRPr="00B30A12" w:rsidRDefault="000742FC" w:rsidP="00DA7B0B">
            <w:pPr>
              <w:pStyle w:val="Header"/>
              <w:keepNext/>
              <w:widowControl w:val="0"/>
              <w:tabs>
                <w:tab w:val="clear" w:pos="4320"/>
                <w:tab w:val="clear" w:pos="8640"/>
              </w:tabs>
              <w:rPr>
                <w:color w:val="000000"/>
                <w:szCs w:val="22"/>
              </w:rPr>
            </w:pPr>
            <w:r w:rsidRPr="00B30A12">
              <w:rPr>
                <w:color w:val="000000"/>
                <w:szCs w:val="22"/>
              </w:rPr>
              <w:t>DFSP (Dosierung 800 mg)</w:t>
            </w:r>
          </w:p>
        </w:tc>
        <w:tc>
          <w:tcPr>
            <w:tcW w:w="3118" w:type="dxa"/>
          </w:tcPr>
          <w:p w14:paraId="43198C63" w14:textId="77777777" w:rsidR="000742FC" w:rsidRPr="00B30A12" w:rsidRDefault="000742FC" w:rsidP="00DA7B0B">
            <w:pPr>
              <w:pStyle w:val="Header"/>
              <w:keepNext/>
              <w:widowControl w:val="0"/>
              <w:tabs>
                <w:tab w:val="clear" w:pos="4320"/>
                <w:tab w:val="clear" w:pos="8640"/>
              </w:tabs>
              <w:rPr>
                <w:color w:val="000000"/>
                <w:szCs w:val="22"/>
              </w:rPr>
            </w:pPr>
            <w:r w:rsidRPr="00B30A12">
              <w:rPr>
                <w:color w:val="000000"/>
                <w:szCs w:val="22"/>
              </w:rPr>
              <w:t>ANC &lt; 1,0 x 10</w:t>
            </w:r>
            <w:r w:rsidRPr="00B30A12">
              <w:rPr>
                <w:color w:val="000000"/>
                <w:szCs w:val="22"/>
                <w:vertAlign w:val="superscript"/>
              </w:rPr>
              <w:t>9</w:t>
            </w:r>
            <w:r w:rsidRPr="00B30A12">
              <w:rPr>
                <w:color w:val="000000"/>
                <w:szCs w:val="22"/>
              </w:rPr>
              <w:t>/l</w:t>
            </w:r>
          </w:p>
          <w:p w14:paraId="462B97CB" w14:textId="77777777" w:rsidR="000742FC" w:rsidRPr="00B30A12" w:rsidRDefault="000742FC" w:rsidP="00DA7B0B">
            <w:pPr>
              <w:keepNext/>
              <w:widowControl w:val="0"/>
              <w:rPr>
                <w:color w:val="000000"/>
                <w:sz w:val="22"/>
                <w:szCs w:val="22"/>
              </w:rPr>
            </w:pPr>
            <w:r w:rsidRPr="00B30A12">
              <w:rPr>
                <w:color w:val="000000"/>
                <w:sz w:val="22"/>
                <w:szCs w:val="22"/>
              </w:rPr>
              <w:t>und / oder</w:t>
            </w:r>
          </w:p>
          <w:p w14:paraId="116B1AD2" w14:textId="77777777" w:rsidR="000742FC" w:rsidRPr="00B30A12" w:rsidDel="003474B5" w:rsidRDefault="000742FC" w:rsidP="00DA7B0B">
            <w:pPr>
              <w:pStyle w:val="Header"/>
              <w:keepNext/>
              <w:widowControl w:val="0"/>
              <w:tabs>
                <w:tab w:val="clear" w:pos="4320"/>
                <w:tab w:val="clear" w:pos="8640"/>
              </w:tabs>
              <w:rPr>
                <w:color w:val="000000"/>
                <w:szCs w:val="22"/>
              </w:rPr>
            </w:pPr>
            <w:r w:rsidRPr="00B30A12">
              <w:rPr>
                <w:color w:val="000000"/>
                <w:szCs w:val="22"/>
              </w:rPr>
              <w:t>Thrombozyten &lt; 50 x 10</w:t>
            </w:r>
            <w:r w:rsidRPr="00B30A12">
              <w:rPr>
                <w:color w:val="000000"/>
                <w:szCs w:val="22"/>
                <w:vertAlign w:val="superscript"/>
              </w:rPr>
              <w:t>9</w:t>
            </w:r>
            <w:r w:rsidRPr="00B30A12">
              <w:rPr>
                <w:color w:val="000000"/>
                <w:szCs w:val="22"/>
              </w:rPr>
              <w:t>/l</w:t>
            </w:r>
          </w:p>
        </w:tc>
        <w:tc>
          <w:tcPr>
            <w:tcW w:w="3994" w:type="dxa"/>
            <w:gridSpan w:val="2"/>
          </w:tcPr>
          <w:p w14:paraId="54F0961F" w14:textId="77777777" w:rsidR="000742FC" w:rsidRPr="00B30A12" w:rsidRDefault="000742FC" w:rsidP="00DA7B0B">
            <w:pPr>
              <w:keepNext/>
              <w:widowControl w:val="0"/>
              <w:ind w:left="361" w:hanging="361"/>
              <w:rPr>
                <w:color w:val="000000"/>
                <w:sz w:val="22"/>
                <w:szCs w:val="22"/>
              </w:rPr>
            </w:pPr>
            <w:r w:rsidRPr="00B30A12">
              <w:rPr>
                <w:color w:val="000000"/>
                <w:sz w:val="22"/>
                <w:szCs w:val="22"/>
              </w:rPr>
              <w:t>1.</w:t>
            </w:r>
            <w:r w:rsidRPr="00B30A12">
              <w:rPr>
                <w:color w:val="000000"/>
                <w:sz w:val="22"/>
                <w:szCs w:val="22"/>
              </w:rPr>
              <w:tab/>
              <w:t>Stopp der Behandlung mit Glivec bis ANC ≥ 1,5 x 10</w:t>
            </w:r>
            <w:r w:rsidRPr="00B30A12">
              <w:rPr>
                <w:color w:val="000000"/>
                <w:sz w:val="22"/>
                <w:szCs w:val="22"/>
                <w:vertAlign w:val="superscript"/>
              </w:rPr>
              <w:t>9</w:t>
            </w:r>
            <w:r w:rsidRPr="00B30A12">
              <w:rPr>
                <w:color w:val="000000"/>
                <w:sz w:val="22"/>
                <w:szCs w:val="22"/>
              </w:rPr>
              <w:t>/l und Thrombozyten ≥ 75 x 10</w:t>
            </w:r>
            <w:r w:rsidRPr="00B30A12">
              <w:rPr>
                <w:color w:val="000000"/>
                <w:sz w:val="22"/>
                <w:szCs w:val="22"/>
                <w:vertAlign w:val="superscript"/>
              </w:rPr>
              <w:t>9</w:t>
            </w:r>
            <w:r w:rsidRPr="00B30A12">
              <w:rPr>
                <w:color w:val="000000"/>
                <w:sz w:val="22"/>
                <w:szCs w:val="22"/>
              </w:rPr>
              <w:t>/l.</w:t>
            </w:r>
          </w:p>
          <w:p w14:paraId="2CBC0711" w14:textId="77777777" w:rsidR="000742FC" w:rsidRPr="00B30A12" w:rsidRDefault="000742FC" w:rsidP="00DA7B0B">
            <w:pPr>
              <w:keepNext/>
              <w:widowControl w:val="0"/>
              <w:ind w:left="361" w:hanging="361"/>
              <w:rPr>
                <w:color w:val="000000"/>
                <w:sz w:val="22"/>
                <w:szCs w:val="22"/>
              </w:rPr>
            </w:pPr>
            <w:r w:rsidRPr="00B30A12">
              <w:rPr>
                <w:color w:val="000000"/>
                <w:sz w:val="22"/>
                <w:szCs w:val="22"/>
              </w:rPr>
              <w:t>2.</w:t>
            </w:r>
            <w:r w:rsidRPr="00B30A12">
              <w:rPr>
                <w:color w:val="000000"/>
                <w:sz w:val="22"/>
                <w:szCs w:val="22"/>
              </w:rPr>
              <w:tab/>
              <w:t>Wiederaufnahme der Behandlung mit 600 mg Glivec.</w:t>
            </w:r>
          </w:p>
          <w:p w14:paraId="4467EEEB" w14:textId="77777777" w:rsidR="000742FC" w:rsidRPr="00B30A12" w:rsidRDefault="000742FC" w:rsidP="00DA7B0B">
            <w:pPr>
              <w:keepNext/>
              <w:widowControl w:val="0"/>
              <w:ind w:left="361" w:hanging="361"/>
              <w:rPr>
                <w:color w:val="000000"/>
                <w:sz w:val="22"/>
                <w:szCs w:val="22"/>
              </w:rPr>
            </w:pPr>
            <w:r w:rsidRPr="00B30A12">
              <w:rPr>
                <w:color w:val="000000"/>
                <w:sz w:val="22"/>
                <w:szCs w:val="22"/>
              </w:rPr>
              <w:t>3.</w:t>
            </w:r>
            <w:r w:rsidRPr="00B30A12">
              <w:rPr>
                <w:color w:val="000000"/>
                <w:sz w:val="22"/>
                <w:szCs w:val="22"/>
              </w:rPr>
              <w:tab/>
              <w:t>Bei Wiederauftreten von ANC &lt; 1,0 x 10</w:t>
            </w:r>
            <w:r w:rsidRPr="00B30A12">
              <w:rPr>
                <w:color w:val="000000"/>
                <w:sz w:val="22"/>
                <w:szCs w:val="22"/>
                <w:vertAlign w:val="superscript"/>
              </w:rPr>
              <w:t>9</w:t>
            </w:r>
            <w:r w:rsidRPr="00B30A12">
              <w:rPr>
                <w:color w:val="000000"/>
                <w:sz w:val="22"/>
                <w:szCs w:val="22"/>
              </w:rPr>
              <w:t>/l und / oder Thrombozyten &lt; 50 x 10</w:t>
            </w:r>
            <w:r w:rsidRPr="00B30A12">
              <w:rPr>
                <w:color w:val="000000"/>
                <w:sz w:val="22"/>
                <w:szCs w:val="22"/>
                <w:vertAlign w:val="superscript"/>
              </w:rPr>
              <w:t>9</w:t>
            </w:r>
            <w:r w:rsidRPr="00B30A12">
              <w:rPr>
                <w:color w:val="000000"/>
                <w:sz w:val="22"/>
                <w:szCs w:val="22"/>
              </w:rPr>
              <w:t>/l Schritt 1 wiederholen und die Be</w:t>
            </w:r>
            <w:r w:rsidRPr="00B30A12">
              <w:rPr>
                <w:color w:val="000000"/>
                <w:sz w:val="22"/>
                <w:szCs w:val="22"/>
              </w:rPr>
              <w:softHyphen/>
              <w:t>handlung mit der reduzierten Dosis von 400 mg Glivec wieder aufnehmen.</w:t>
            </w:r>
          </w:p>
        </w:tc>
      </w:tr>
      <w:tr w:rsidR="000742FC" w:rsidRPr="00B30A12" w14:paraId="5A734B00" w14:textId="77777777" w:rsidTr="00DA7B0B">
        <w:trPr>
          <w:cantSplit/>
        </w:trPr>
        <w:tc>
          <w:tcPr>
            <w:tcW w:w="9205" w:type="dxa"/>
            <w:gridSpan w:val="4"/>
          </w:tcPr>
          <w:p w14:paraId="1EA92814" w14:textId="77777777" w:rsidR="000742FC" w:rsidRPr="00B30A12" w:rsidRDefault="000742FC" w:rsidP="0054140C">
            <w:pPr>
              <w:widowControl w:val="0"/>
              <w:rPr>
                <w:color w:val="000000"/>
                <w:sz w:val="22"/>
                <w:szCs w:val="22"/>
              </w:rPr>
            </w:pPr>
            <w:r w:rsidRPr="00B30A12">
              <w:rPr>
                <w:color w:val="000000"/>
                <w:sz w:val="22"/>
                <w:szCs w:val="22"/>
                <w:vertAlign w:val="superscript"/>
              </w:rPr>
              <w:t>a</w:t>
            </w:r>
            <w:r w:rsidRPr="00B30A12">
              <w:rPr>
                <w:color w:val="000000"/>
                <w:sz w:val="22"/>
                <w:szCs w:val="22"/>
              </w:rPr>
              <w:t xml:space="preserve"> Auftreten nach mindestens 1-monatiger Behandlung</w:t>
            </w:r>
            <w:r w:rsidRPr="00B30A12">
              <w:rPr>
                <w:color w:val="000000"/>
                <w:sz w:val="22"/>
                <w:szCs w:val="22"/>
                <w:vertAlign w:val="superscript"/>
              </w:rPr>
              <w:t xml:space="preserve"> </w:t>
            </w:r>
          </w:p>
        </w:tc>
      </w:tr>
    </w:tbl>
    <w:p w14:paraId="141120A2" w14:textId="77777777" w:rsidR="002C37A4" w:rsidRPr="00B30A12" w:rsidRDefault="002C37A4" w:rsidP="0054140C">
      <w:pPr>
        <w:widowControl w:val="0"/>
        <w:ind w:firstLine="3"/>
        <w:rPr>
          <w:color w:val="000000"/>
          <w:sz w:val="22"/>
          <w:szCs w:val="22"/>
        </w:rPr>
      </w:pPr>
    </w:p>
    <w:p w14:paraId="701DB453" w14:textId="77777777" w:rsidR="002C37A4" w:rsidRPr="00B30A12" w:rsidRDefault="002C37A4" w:rsidP="003D30FF">
      <w:pPr>
        <w:pStyle w:val="BodyTextIndent2"/>
        <w:keepNext/>
        <w:ind w:firstLine="6"/>
        <w:rPr>
          <w:color w:val="000000"/>
          <w:szCs w:val="22"/>
          <w:u w:val="single"/>
        </w:rPr>
      </w:pPr>
      <w:r w:rsidRPr="00B30A12">
        <w:rPr>
          <w:color w:val="000000"/>
          <w:szCs w:val="22"/>
          <w:u w:val="single"/>
        </w:rPr>
        <w:t>Besondere Patientenpopulationen</w:t>
      </w:r>
    </w:p>
    <w:p w14:paraId="3E9BCD50" w14:textId="77777777" w:rsidR="00906B6C" w:rsidRPr="00B30A12" w:rsidRDefault="002C37A4" w:rsidP="0054140C">
      <w:pPr>
        <w:widowControl w:val="0"/>
        <w:ind w:firstLine="3"/>
        <w:rPr>
          <w:color w:val="000000"/>
          <w:sz w:val="22"/>
          <w:szCs w:val="22"/>
        </w:rPr>
      </w:pPr>
      <w:r w:rsidRPr="00B30A12">
        <w:rPr>
          <w:i/>
          <w:color w:val="000000"/>
          <w:sz w:val="22"/>
          <w:szCs w:val="22"/>
        </w:rPr>
        <w:t>Behandlung von Kindern:</w:t>
      </w:r>
      <w:r w:rsidRPr="00B30A12">
        <w:rPr>
          <w:color w:val="000000"/>
          <w:sz w:val="22"/>
          <w:szCs w:val="22"/>
        </w:rPr>
        <w:t xml:space="preserve"> </w:t>
      </w:r>
      <w:r w:rsidRPr="00B30A12">
        <w:rPr>
          <w:noProof/>
          <w:color w:val="000000"/>
          <w:sz w:val="22"/>
          <w:szCs w:val="22"/>
        </w:rPr>
        <w:t xml:space="preserve">Es gibt keine Erfahrungen bei Kindern unter 2 Jahren mit CML </w:t>
      </w:r>
      <w:r w:rsidR="009F2D90" w:rsidRPr="00B30A12">
        <w:rPr>
          <w:noProof/>
          <w:color w:val="000000"/>
          <w:sz w:val="22"/>
          <w:szCs w:val="22"/>
        </w:rPr>
        <w:t xml:space="preserve">und bei Kindern unter 1 Jahr mit Ph+ ALL </w:t>
      </w:r>
      <w:r w:rsidRPr="00B30A12">
        <w:rPr>
          <w:noProof/>
          <w:color w:val="000000"/>
          <w:sz w:val="22"/>
          <w:szCs w:val="22"/>
        </w:rPr>
        <w:t>(siehe Abschnitt 5.1). Die Erfahrung bei Kindern mit MDS/MPD</w:t>
      </w:r>
      <w:r w:rsidR="00906B6C" w:rsidRPr="00B30A12">
        <w:rPr>
          <w:noProof/>
          <w:color w:val="000000"/>
          <w:sz w:val="22"/>
          <w:szCs w:val="22"/>
        </w:rPr>
        <w:t>,</w:t>
      </w:r>
      <w:r w:rsidRPr="00B30A12">
        <w:rPr>
          <w:noProof/>
          <w:color w:val="000000"/>
          <w:sz w:val="22"/>
          <w:szCs w:val="22"/>
        </w:rPr>
        <w:t xml:space="preserve"> DFSP</w:t>
      </w:r>
      <w:r w:rsidR="00906B6C" w:rsidRPr="00B30A12">
        <w:rPr>
          <w:noProof/>
          <w:color w:val="000000"/>
          <w:sz w:val="22"/>
          <w:szCs w:val="22"/>
        </w:rPr>
        <w:t>, GIST und HES/CEL</w:t>
      </w:r>
      <w:r w:rsidR="009F2D90" w:rsidRPr="00B30A12">
        <w:rPr>
          <w:noProof/>
          <w:color w:val="000000"/>
          <w:sz w:val="22"/>
          <w:szCs w:val="22"/>
        </w:rPr>
        <w:t xml:space="preserve"> ist</w:t>
      </w:r>
      <w:r w:rsidRPr="00B30A12">
        <w:rPr>
          <w:noProof/>
          <w:color w:val="000000"/>
          <w:sz w:val="22"/>
          <w:szCs w:val="22"/>
        </w:rPr>
        <w:t xml:space="preserve"> sehr begrenzt.</w:t>
      </w:r>
    </w:p>
    <w:p w14:paraId="7A2044F5" w14:textId="77777777" w:rsidR="00906B6C" w:rsidRPr="00B30A12" w:rsidRDefault="00906B6C" w:rsidP="0054140C">
      <w:pPr>
        <w:widowControl w:val="0"/>
        <w:ind w:firstLine="3"/>
        <w:rPr>
          <w:color w:val="000000"/>
          <w:sz w:val="22"/>
          <w:szCs w:val="22"/>
        </w:rPr>
      </w:pPr>
    </w:p>
    <w:p w14:paraId="43027579" w14:textId="77777777" w:rsidR="002C37A4" w:rsidRPr="00B30A12" w:rsidRDefault="00906B6C" w:rsidP="0054140C">
      <w:pPr>
        <w:widowControl w:val="0"/>
        <w:ind w:firstLine="3"/>
        <w:rPr>
          <w:color w:val="000000"/>
          <w:szCs w:val="22"/>
        </w:rPr>
      </w:pPr>
      <w:r w:rsidRPr="00B30A12">
        <w:rPr>
          <w:color w:val="000000"/>
          <w:sz w:val="22"/>
          <w:szCs w:val="22"/>
        </w:rPr>
        <w:t>Die Sicherheit und Wirksamkeit von Imatinib bei Kindern unter 18 Jahren mit MDS/MPD, DFSP, GIST und HES/CEL wurden in klinischen Studien nicht erwiesen. Zurzeit vorliegende, publizierte Daten werden in Abschnitt 5.1 zusammengefasst, eine Dosierungsempfehlung kann jedoch nicht gegeben werden.</w:t>
      </w:r>
    </w:p>
    <w:p w14:paraId="50617035" w14:textId="77777777" w:rsidR="002C37A4" w:rsidRPr="00B30A12" w:rsidRDefault="002C37A4" w:rsidP="0054140C">
      <w:pPr>
        <w:widowControl w:val="0"/>
        <w:ind w:firstLine="3"/>
        <w:rPr>
          <w:color w:val="000000"/>
          <w:sz w:val="22"/>
          <w:szCs w:val="22"/>
        </w:rPr>
      </w:pPr>
    </w:p>
    <w:p w14:paraId="451A8582" w14:textId="77777777" w:rsidR="002C37A4" w:rsidRPr="00B30A12" w:rsidRDefault="002C37A4" w:rsidP="0054140C">
      <w:pPr>
        <w:widowControl w:val="0"/>
        <w:ind w:firstLine="3"/>
        <w:rPr>
          <w:color w:val="000000"/>
          <w:sz w:val="22"/>
          <w:szCs w:val="22"/>
        </w:rPr>
      </w:pPr>
      <w:r w:rsidRPr="00B30A12">
        <w:rPr>
          <w:i/>
          <w:color w:val="000000"/>
          <w:sz w:val="22"/>
          <w:szCs w:val="22"/>
        </w:rPr>
        <w:t>Leberinsuffizienz:</w:t>
      </w:r>
      <w:r w:rsidRPr="00B30A12">
        <w:rPr>
          <w:color w:val="000000"/>
          <w:sz w:val="22"/>
          <w:szCs w:val="22"/>
        </w:rPr>
        <w:t xml:space="preserve"> Imatinib wird hauptsächlich in der Leber metabolisiert. Patienten mit leichten, mäßigen oder schweren Leberfunktionsstörungen sollte die niedrigste empfohlene Dosis von 400 mg täglich gegeben werden. Die Dosis kann reduziert werden, wenn sie nicht vertragen wird (siehe Abschnitte 4.4, 4.8 und 5.2).</w:t>
      </w:r>
    </w:p>
    <w:p w14:paraId="2580A76B" w14:textId="77777777" w:rsidR="002C37A4" w:rsidRPr="00B30A12" w:rsidRDefault="002C37A4" w:rsidP="0054140C">
      <w:pPr>
        <w:widowControl w:val="0"/>
        <w:ind w:firstLine="3"/>
        <w:rPr>
          <w:color w:val="000000"/>
          <w:sz w:val="22"/>
          <w:szCs w:val="22"/>
        </w:rPr>
      </w:pPr>
    </w:p>
    <w:p w14:paraId="53A36985" w14:textId="77777777" w:rsidR="002C37A4" w:rsidRPr="00B30A12" w:rsidRDefault="002C37A4" w:rsidP="003D30FF">
      <w:pPr>
        <w:keepNext/>
        <w:widowControl w:val="0"/>
        <w:ind w:firstLine="3"/>
        <w:rPr>
          <w:color w:val="000000"/>
          <w:sz w:val="22"/>
          <w:szCs w:val="22"/>
        </w:rPr>
      </w:pPr>
      <w:r w:rsidRPr="00B30A12">
        <w:rPr>
          <w:color w:val="000000"/>
          <w:sz w:val="22"/>
          <w:szCs w:val="22"/>
        </w:rPr>
        <w:lastRenderedPageBreak/>
        <w:t>Klassifizierung der Leberfunktionsstörungen:</w:t>
      </w:r>
    </w:p>
    <w:p w14:paraId="3F13EF41" w14:textId="77777777" w:rsidR="002C37A4" w:rsidRPr="00B30A12" w:rsidRDefault="002C37A4" w:rsidP="003D30FF">
      <w:pPr>
        <w:keepNext/>
        <w:widowControl w:val="0"/>
        <w:ind w:firstLine="3"/>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9"/>
        <w:gridCol w:w="5736"/>
      </w:tblGrid>
      <w:tr w:rsidR="002C37A4" w:rsidRPr="00B30A12" w14:paraId="5728E322" w14:textId="77777777" w:rsidTr="00DA7B0B">
        <w:trPr>
          <w:cantSplit/>
        </w:trPr>
        <w:tc>
          <w:tcPr>
            <w:tcW w:w="3369" w:type="dxa"/>
          </w:tcPr>
          <w:p w14:paraId="7ACE6594" w14:textId="77777777" w:rsidR="002C37A4" w:rsidRPr="00B30A12" w:rsidRDefault="002C37A4" w:rsidP="003D30FF">
            <w:pPr>
              <w:keepNext/>
              <w:widowControl w:val="0"/>
              <w:rPr>
                <w:color w:val="000000"/>
                <w:sz w:val="22"/>
                <w:szCs w:val="22"/>
              </w:rPr>
            </w:pPr>
            <w:r w:rsidRPr="00B30A12">
              <w:rPr>
                <w:color w:val="000000"/>
                <w:sz w:val="22"/>
                <w:szCs w:val="22"/>
              </w:rPr>
              <w:t>Leberfunktionsstörung</w:t>
            </w:r>
          </w:p>
        </w:tc>
        <w:tc>
          <w:tcPr>
            <w:tcW w:w="5912" w:type="dxa"/>
          </w:tcPr>
          <w:p w14:paraId="5B1BDE38" w14:textId="77777777" w:rsidR="002C37A4" w:rsidRPr="00B30A12" w:rsidRDefault="002C37A4" w:rsidP="003D30FF">
            <w:pPr>
              <w:keepNext/>
              <w:widowControl w:val="0"/>
              <w:rPr>
                <w:color w:val="000000"/>
                <w:sz w:val="22"/>
                <w:szCs w:val="22"/>
              </w:rPr>
            </w:pPr>
            <w:r w:rsidRPr="00B30A12">
              <w:rPr>
                <w:color w:val="000000"/>
                <w:sz w:val="22"/>
                <w:szCs w:val="22"/>
              </w:rPr>
              <w:t>Leberfunktionstest</w:t>
            </w:r>
          </w:p>
        </w:tc>
      </w:tr>
      <w:tr w:rsidR="002C37A4" w:rsidRPr="00B30A12" w14:paraId="6519BAE7" w14:textId="77777777" w:rsidTr="00DA7B0B">
        <w:trPr>
          <w:cantSplit/>
        </w:trPr>
        <w:tc>
          <w:tcPr>
            <w:tcW w:w="3369" w:type="dxa"/>
          </w:tcPr>
          <w:p w14:paraId="569E728E" w14:textId="77777777" w:rsidR="002C37A4" w:rsidRPr="00B30A12" w:rsidRDefault="002C37A4" w:rsidP="003D30FF">
            <w:pPr>
              <w:keepNext/>
              <w:widowControl w:val="0"/>
              <w:rPr>
                <w:color w:val="000000"/>
                <w:sz w:val="22"/>
                <w:szCs w:val="22"/>
              </w:rPr>
            </w:pPr>
            <w:r w:rsidRPr="00B30A12">
              <w:rPr>
                <w:color w:val="000000"/>
                <w:sz w:val="22"/>
                <w:szCs w:val="22"/>
              </w:rPr>
              <w:t>Leicht</w:t>
            </w:r>
          </w:p>
        </w:tc>
        <w:tc>
          <w:tcPr>
            <w:tcW w:w="5912" w:type="dxa"/>
          </w:tcPr>
          <w:p w14:paraId="179D9E4F" w14:textId="77777777" w:rsidR="002C37A4" w:rsidRPr="00B30A12" w:rsidRDefault="002C37A4" w:rsidP="003D30FF">
            <w:pPr>
              <w:keepNext/>
              <w:widowControl w:val="0"/>
              <w:rPr>
                <w:color w:val="000000"/>
                <w:sz w:val="22"/>
                <w:szCs w:val="22"/>
              </w:rPr>
            </w:pPr>
            <w:r w:rsidRPr="00B30A12">
              <w:rPr>
                <w:color w:val="000000"/>
                <w:sz w:val="22"/>
                <w:szCs w:val="22"/>
              </w:rPr>
              <w:t>Gesamtbilirubin = 1,5 ULN</w:t>
            </w:r>
          </w:p>
          <w:p w14:paraId="14CF05AF" w14:textId="77777777" w:rsidR="002C37A4" w:rsidRPr="00B30A12" w:rsidRDefault="002C37A4" w:rsidP="003D30FF">
            <w:pPr>
              <w:keepNext/>
              <w:widowControl w:val="0"/>
              <w:rPr>
                <w:color w:val="000000"/>
                <w:sz w:val="22"/>
                <w:szCs w:val="22"/>
              </w:rPr>
            </w:pPr>
            <w:r w:rsidRPr="00B30A12">
              <w:rPr>
                <w:color w:val="000000"/>
                <w:sz w:val="22"/>
                <w:szCs w:val="22"/>
              </w:rPr>
              <w:t>ASAT &gt; ULN (kann normal oder &lt; ULN sein, wenn Gesamtbilirubin &gt; ULN ist)</w:t>
            </w:r>
          </w:p>
        </w:tc>
      </w:tr>
      <w:tr w:rsidR="002C37A4" w:rsidRPr="00B30A12" w14:paraId="6F8C5CD0" w14:textId="77777777" w:rsidTr="00DA7B0B">
        <w:trPr>
          <w:cantSplit/>
        </w:trPr>
        <w:tc>
          <w:tcPr>
            <w:tcW w:w="3369" w:type="dxa"/>
          </w:tcPr>
          <w:p w14:paraId="27240FD4" w14:textId="77777777" w:rsidR="002C37A4" w:rsidRPr="00B30A12" w:rsidRDefault="002C37A4" w:rsidP="003D30FF">
            <w:pPr>
              <w:keepNext/>
              <w:widowControl w:val="0"/>
              <w:rPr>
                <w:color w:val="000000"/>
                <w:sz w:val="22"/>
                <w:szCs w:val="22"/>
              </w:rPr>
            </w:pPr>
            <w:r w:rsidRPr="00B30A12">
              <w:rPr>
                <w:color w:val="000000"/>
                <w:sz w:val="22"/>
                <w:szCs w:val="22"/>
              </w:rPr>
              <w:t>Mäßig</w:t>
            </w:r>
          </w:p>
        </w:tc>
        <w:tc>
          <w:tcPr>
            <w:tcW w:w="5912" w:type="dxa"/>
          </w:tcPr>
          <w:p w14:paraId="2D7FFEAD" w14:textId="77777777" w:rsidR="002C37A4" w:rsidRPr="00B30A12" w:rsidRDefault="002C37A4" w:rsidP="003D30FF">
            <w:pPr>
              <w:keepNext/>
              <w:widowControl w:val="0"/>
              <w:rPr>
                <w:color w:val="000000"/>
                <w:sz w:val="22"/>
                <w:szCs w:val="22"/>
              </w:rPr>
            </w:pPr>
            <w:r w:rsidRPr="00B30A12">
              <w:rPr>
                <w:color w:val="000000"/>
                <w:sz w:val="22"/>
                <w:szCs w:val="22"/>
              </w:rPr>
              <w:t>Gesamtbilirubin &gt; 1,5–3,0 ULN</w:t>
            </w:r>
          </w:p>
          <w:p w14:paraId="2259F157" w14:textId="77777777" w:rsidR="002C37A4" w:rsidRPr="00B30A12" w:rsidRDefault="002C37A4" w:rsidP="003D30FF">
            <w:pPr>
              <w:keepNext/>
              <w:widowControl w:val="0"/>
              <w:rPr>
                <w:color w:val="000000"/>
                <w:sz w:val="22"/>
                <w:szCs w:val="22"/>
              </w:rPr>
            </w:pPr>
            <w:r w:rsidRPr="00B30A12">
              <w:rPr>
                <w:color w:val="000000"/>
                <w:sz w:val="22"/>
                <w:szCs w:val="22"/>
              </w:rPr>
              <w:t>ASAT: beliebig</w:t>
            </w:r>
          </w:p>
        </w:tc>
      </w:tr>
      <w:tr w:rsidR="002C37A4" w:rsidRPr="00B30A12" w14:paraId="61E06EF6" w14:textId="77777777" w:rsidTr="00DA7B0B">
        <w:trPr>
          <w:cantSplit/>
        </w:trPr>
        <w:tc>
          <w:tcPr>
            <w:tcW w:w="3369" w:type="dxa"/>
          </w:tcPr>
          <w:p w14:paraId="76D178F7" w14:textId="77777777" w:rsidR="002C37A4" w:rsidRPr="00B30A12" w:rsidRDefault="002C37A4" w:rsidP="003D30FF">
            <w:pPr>
              <w:keepNext/>
              <w:widowControl w:val="0"/>
              <w:rPr>
                <w:color w:val="000000"/>
                <w:sz w:val="22"/>
                <w:szCs w:val="22"/>
              </w:rPr>
            </w:pPr>
            <w:r w:rsidRPr="00B30A12">
              <w:rPr>
                <w:color w:val="000000"/>
                <w:sz w:val="22"/>
                <w:szCs w:val="22"/>
              </w:rPr>
              <w:t>Schwer</w:t>
            </w:r>
          </w:p>
        </w:tc>
        <w:tc>
          <w:tcPr>
            <w:tcW w:w="5912" w:type="dxa"/>
          </w:tcPr>
          <w:p w14:paraId="5D1AA107" w14:textId="77777777" w:rsidR="002C37A4" w:rsidRPr="00B30A12" w:rsidRDefault="002C37A4" w:rsidP="003D30FF">
            <w:pPr>
              <w:keepNext/>
              <w:widowControl w:val="0"/>
              <w:rPr>
                <w:color w:val="000000"/>
                <w:sz w:val="22"/>
                <w:szCs w:val="22"/>
              </w:rPr>
            </w:pPr>
            <w:r w:rsidRPr="00B30A12">
              <w:rPr>
                <w:color w:val="000000"/>
                <w:sz w:val="22"/>
                <w:szCs w:val="22"/>
              </w:rPr>
              <w:t>Gesamtbilirubin &gt; 3–10 ULN</w:t>
            </w:r>
          </w:p>
          <w:p w14:paraId="61A068C6" w14:textId="77777777" w:rsidR="002C37A4" w:rsidRPr="00B30A12" w:rsidRDefault="002C37A4" w:rsidP="003D30FF">
            <w:pPr>
              <w:keepNext/>
              <w:widowControl w:val="0"/>
              <w:rPr>
                <w:color w:val="000000"/>
                <w:sz w:val="22"/>
                <w:szCs w:val="22"/>
              </w:rPr>
            </w:pPr>
            <w:r w:rsidRPr="00B30A12">
              <w:rPr>
                <w:color w:val="000000"/>
                <w:sz w:val="22"/>
                <w:szCs w:val="22"/>
              </w:rPr>
              <w:t>ASAT: beliebig</w:t>
            </w:r>
          </w:p>
        </w:tc>
      </w:tr>
    </w:tbl>
    <w:p w14:paraId="7A0DB6F2" w14:textId="77777777" w:rsidR="002C37A4" w:rsidRPr="00B30A12" w:rsidRDefault="002C37A4" w:rsidP="003D30FF">
      <w:pPr>
        <w:keepNext/>
        <w:widowControl w:val="0"/>
        <w:ind w:firstLine="3"/>
        <w:rPr>
          <w:color w:val="000000"/>
          <w:sz w:val="22"/>
          <w:szCs w:val="22"/>
        </w:rPr>
      </w:pPr>
      <w:r w:rsidRPr="00B30A12">
        <w:rPr>
          <w:color w:val="000000"/>
          <w:sz w:val="22"/>
          <w:szCs w:val="22"/>
        </w:rPr>
        <w:t>ULN: Oberer Normwert für das Labor (Upper Limit of Normal)</w:t>
      </w:r>
    </w:p>
    <w:p w14:paraId="7B304B1C" w14:textId="77777777" w:rsidR="002C37A4" w:rsidRPr="00B30A12" w:rsidRDefault="002C37A4" w:rsidP="0054140C">
      <w:pPr>
        <w:widowControl w:val="0"/>
        <w:ind w:firstLine="3"/>
        <w:rPr>
          <w:color w:val="000000"/>
          <w:sz w:val="22"/>
          <w:szCs w:val="22"/>
        </w:rPr>
      </w:pPr>
      <w:r w:rsidRPr="00B30A12">
        <w:rPr>
          <w:color w:val="000000"/>
          <w:sz w:val="22"/>
          <w:szCs w:val="22"/>
        </w:rPr>
        <w:t>ASAT: Aspartataminotransferase</w:t>
      </w:r>
    </w:p>
    <w:p w14:paraId="06BE7247" w14:textId="77777777" w:rsidR="002C37A4" w:rsidRPr="00B30A12" w:rsidRDefault="002C37A4" w:rsidP="0054140C">
      <w:pPr>
        <w:widowControl w:val="0"/>
        <w:ind w:firstLine="3"/>
        <w:rPr>
          <w:color w:val="000000"/>
          <w:sz w:val="22"/>
          <w:szCs w:val="22"/>
        </w:rPr>
      </w:pPr>
    </w:p>
    <w:p w14:paraId="5332C012" w14:textId="77777777" w:rsidR="002C37A4" w:rsidRPr="00B30A12" w:rsidRDefault="002C37A4" w:rsidP="0054140C">
      <w:pPr>
        <w:widowControl w:val="0"/>
        <w:ind w:firstLine="3"/>
        <w:rPr>
          <w:color w:val="000000"/>
          <w:sz w:val="22"/>
          <w:szCs w:val="22"/>
        </w:rPr>
      </w:pPr>
      <w:r w:rsidRPr="00B30A12">
        <w:rPr>
          <w:i/>
          <w:color w:val="000000"/>
          <w:sz w:val="22"/>
          <w:szCs w:val="22"/>
        </w:rPr>
        <w:t>Niereninsuffizienz:</w:t>
      </w:r>
      <w:r w:rsidRPr="00B30A12">
        <w:rPr>
          <w:color w:val="000000"/>
          <w:sz w:val="22"/>
          <w:szCs w:val="22"/>
        </w:rPr>
        <w:t xml:space="preserve"> Patienten mit Niereninsuffizienz oder dialysepflichtigen Patienten sollte die empfohlene Mindestdosis von 400 mg als Anfangsdosis gegeben werden. Bei diesen Patienten ist jedoch Vorsicht geboten. Die Dosis kann reduziert werden, falls sie nicht vertragen wird. Falls sie vertragen wird, kann die Dosis im Falle fehlender Wirksamkeit erhöht werden (siehe Abschnitte 4.4 und 5.2).</w:t>
      </w:r>
    </w:p>
    <w:p w14:paraId="5CFF47CE" w14:textId="77777777" w:rsidR="002C37A4" w:rsidRPr="00B30A12" w:rsidRDefault="002C37A4" w:rsidP="0054140C">
      <w:pPr>
        <w:widowControl w:val="0"/>
        <w:ind w:firstLine="3"/>
        <w:rPr>
          <w:color w:val="000000"/>
          <w:sz w:val="22"/>
          <w:szCs w:val="22"/>
        </w:rPr>
      </w:pPr>
    </w:p>
    <w:p w14:paraId="48729ECC" w14:textId="77777777" w:rsidR="002C37A4" w:rsidRPr="00B30A12" w:rsidRDefault="002C37A4" w:rsidP="0054140C">
      <w:pPr>
        <w:pStyle w:val="BodyTextIndent2"/>
        <w:rPr>
          <w:color w:val="000000"/>
          <w:szCs w:val="22"/>
        </w:rPr>
      </w:pPr>
      <w:r w:rsidRPr="00B30A12">
        <w:rPr>
          <w:i/>
          <w:color w:val="000000"/>
          <w:szCs w:val="22"/>
        </w:rPr>
        <w:t>Ältere P</w:t>
      </w:r>
      <w:r w:rsidR="003D5CBD" w:rsidRPr="00B30A12">
        <w:rPr>
          <w:i/>
          <w:color w:val="000000"/>
          <w:szCs w:val="22"/>
        </w:rPr>
        <w:t>ersonen</w:t>
      </w:r>
      <w:r w:rsidRPr="00B30A12">
        <w:rPr>
          <w:i/>
          <w:color w:val="000000"/>
          <w:szCs w:val="22"/>
        </w:rPr>
        <w:t>:</w:t>
      </w:r>
      <w:r w:rsidRPr="00B30A12">
        <w:rPr>
          <w:color w:val="000000"/>
          <w:szCs w:val="22"/>
        </w:rPr>
        <w:t xml:space="preserve"> Die Pharmakokinetik von Imatinib wurde bei älteren P</w:t>
      </w:r>
      <w:r w:rsidR="003D5CBD" w:rsidRPr="00B30A12">
        <w:rPr>
          <w:color w:val="000000"/>
          <w:szCs w:val="22"/>
        </w:rPr>
        <w:t>ersonen</w:t>
      </w:r>
      <w:r w:rsidRPr="00B30A12">
        <w:rPr>
          <w:color w:val="000000"/>
          <w:szCs w:val="22"/>
        </w:rPr>
        <w:t xml:space="preserve"> nicht im Einzelnen untersucht. Bei Erwachsenen wurden keine signifikanten altersspezifischen Unterschiede der Pharmakokinetik in klinischen Studien beobachtet, in denen mehr als 20% der Patienten 65 Jahre und älter waren. Bei älteren P</w:t>
      </w:r>
      <w:r w:rsidR="003D5CBD" w:rsidRPr="00B30A12">
        <w:rPr>
          <w:color w:val="000000"/>
          <w:szCs w:val="22"/>
        </w:rPr>
        <w:t>ersonen</w:t>
      </w:r>
      <w:r w:rsidRPr="00B30A12">
        <w:rPr>
          <w:color w:val="000000"/>
          <w:szCs w:val="22"/>
        </w:rPr>
        <w:t xml:space="preserve"> ist keine spezielle Dosisempfehlung notwendig.</w:t>
      </w:r>
    </w:p>
    <w:p w14:paraId="7042E6B3" w14:textId="77777777" w:rsidR="002C37A4" w:rsidRPr="00B30A12" w:rsidRDefault="002C37A4" w:rsidP="0054140C">
      <w:pPr>
        <w:pStyle w:val="Header"/>
        <w:widowControl w:val="0"/>
        <w:tabs>
          <w:tab w:val="clear" w:pos="4320"/>
          <w:tab w:val="clear" w:pos="8640"/>
        </w:tabs>
        <w:rPr>
          <w:color w:val="000000"/>
          <w:szCs w:val="22"/>
        </w:rPr>
      </w:pPr>
    </w:p>
    <w:p w14:paraId="51996520" w14:textId="77777777" w:rsidR="003A33A6" w:rsidRPr="00B30A12" w:rsidRDefault="003A33A6" w:rsidP="003D30FF">
      <w:pPr>
        <w:keepNext/>
        <w:widowControl w:val="0"/>
        <w:ind w:left="567" w:hanging="567"/>
        <w:rPr>
          <w:color w:val="000000"/>
          <w:sz w:val="22"/>
          <w:szCs w:val="22"/>
        </w:rPr>
      </w:pPr>
      <w:r w:rsidRPr="00B30A12">
        <w:rPr>
          <w:b/>
          <w:color w:val="000000"/>
          <w:sz w:val="22"/>
          <w:szCs w:val="22"/>
        </w:rPr>
        <w:t>4.3</w:t>
      </w:r>
      <w:r w:rsidRPr="00B30A12">
        <w:rPr>
          <w:b/>
          <w:color w:val="000000"/>
          <w:sz w:val="22"/>
          <w:szCs w:val="22"/>
        </w:rPr>
        <w:tab/>
        <w:t>Gegenanzeigen</w:t>
      </w:r>
    </w:p>
    <w:p w14:paraId="04C95F76" w14:textId="77777777" w:rsidR="003A33A6" w:rsidRPr="00B30A12" w:rsidRDefault="003A33A6" w:rsidP="003D30FF">
      <w:pPr>
        <w:pStyle w:val="BodyText3"/>
        <w:keepNext/>
        <w:widowControl w:val="0"/>
        <w:rPr>
          <w:color w:val="000000"/>
          <w:szCs w:val="22"/>
        </w:rPr>
      </w:pPr>
    </w:p>
    <w:p w14:paraId="3C5FD562" w14:textId="77777777" w:rsidR="003A33A6" w:rsidRPr="00B30A12" w:rsidRDefault="003A33A6" w:rsidP="0054140C">
      <w:pPr>
        <w:pStyle w:val="BodyText3"/>
        <w:widowControl w:val="0"/>
        <w:rPr>
          <w:color w:val="000000"/>
          <w:szCs w:val="22"/>
        </w:rPr>
      </w:pPr>
      <w:r w:rsidRPr="00B30A12">
        <w:rPr>
          <w:color w:val="000000"/>
          <w:szCs w:val="22"/>
        </w:rPr>
        <w:t>Überempfindlichkeit gegen den Wirkstoff oder einen der in Abschnitt 6.1 genannten sonstigen Bestandteile.</w:t>
      </w:r>
    </w:p>
    <w:p w14:paraId="4389EE30" w14:textId="77777777" w:rsidR="003A33A6" w:rsidRPr="00B30A12" w:rsidRDefault="003A33A6" w:rsidP="0054140C">
      <w:pPr>
        <w:widowControl w:val="0"/>
        <w:rPr>
          <w:color w:val="000000"/>
          <w:sz w:val="22"/>
          <w:szCs w:val="22"/>
        </w:rPr>
      </w:pPr>
    </w:p>
    <w:p w14:paraId="1D837C42" w14:textId="77777777" w:rsidR="003A33A6" w:rsidRPr="00B30A12" w:rsidRDefault="003A33A6" w:rsidP="003D30FF">
      <w:pPr>
        <w:keepNext/>
        <w:widowControl w:val="0"/>
        <w:ind w:left="567" w:hanging="567"/>
        <w:rPr>
          <w:color w:val="000000"/>
          <w:sz w:val="22"/>
          <w:szCs w:val="22"/>
        </w:rPr>
      </w:pPr>
      <w:r w:rsidRPr="00B30A12">
        <w:rPr>
          <w:b/>
          <w:color w:val="000000"/>
          <w:sz w:val="22"/>
          <w:szCs w:val="22"/>
        </w:rPr>
        <w:t>4.4</w:t>
      </w:r>
      <w:r w:rsidRPr="00B30A12">
        <w:rPr>
          <w:b/>
          <w:color w:val="000000"/>
          <w:sz w:val="22"/>
          <w:szCs w:val="22"/>
        </w:rPr>
        <w:tab/>
        <w:t>Besondere Warnhinweise und Vorsichtsmaßnahmen für die Anwendung</w:t>
      </w:r>
    </w:p>
    <w:p w14:paraId="5842BB21" w14:textId="77777777" w:rsidR="003A33A6" w:rsidRPr="00B30A12" w:rsidRDefault="003A33A6" w:rsidP="003D30FF">
      <w:pPr>
        <w:keepNext/>
        <w:widowControl w:val="0"/>
        <w:rPr>
          <w:color w:val="000000"/>
          <w:sz w:val="22"/>
          <w:szCs w:val="22"/>
        </w:rPr>
      </w:pPr>
    </w:p>
    <w:p w14:paraId="1311C1F3" w14:textId="77777777" w:rsidR="003A33A6" w:rsidRPr="00B30A12" w:rsidRDefault="003A33A6" w:rsidP="0054140C">
      <w:pPr>
        <w:widowControl w:val="0"/>
        <w:rPr>
          <w:color w:val="000000"/>
          <w:sz w:val="22"/>
          <w:szCs w:val="22"/>
        </w:rPr>
      </w:pPr>
      <w:r w:rsidRPr="00B30A12">
        <w:rPr>
          <w:color w:val="000000"/>
          <w:sz w:val="22"/>
          <w:szCs w:val="22"/>
        </w:rPr>
        <w:t>Wenn Glivec gemeinsam mit anderen Arzneimitteln gegeben wird, können Wechselwirkungen auftreten. Vorsicht ist geboten bei der Einnahme von Glivec mit Proteaseinhibitoren, Azol-Antimykotika, bestimmten Makroliden (siehe Abschnitt 4.5), Substraten von CYP3A4 mit einer engen therapeutischen Breite (z. B. Ciclosporin, Pimozid, Tacrolimus, Sirolimus, Ergotamin, Diergotamin, Fentanyl, Alfentanil, Terfenadin, Bortezomib, Docetaxel, Chinidin) oder Warfarin und anderen Cumarin-Derivaten</w:t>
      </w:r>
      <w:r w:rsidRPr="00B30A12" w:rsidDel="004A29F3">
        <w:rPr>
          <w:color w:val="000000"/>
          <w:sz w:val="22"/>
          <w:szCs w:val="22"/>
        </w:rPr>
        <w:t xml:space="preserve"> </w:t>
      </w:r>
      <w:r w:rsidRPr="00B30A12">
        <w:rPr>
          <w:color w:val="000000"/>
          <w:sz w:val="22"/>
          <w:szCs w:val="22"/>
        </w:rPr>
        <w:t>(siehe Abschnitt 4.5).</w:t>
      </w:r>
    </w:p>
    <w:p w14:paraId="2B4A3C67" w14:textId="77777777" w:rsidR="003A33A6" w:rsidRPr="00B30A12" w:rsidRDefault="003A33A6" w:rsidP="0054140C">
      <w:pPr>
        <w:widowControl w:val="0"/>
        <w:rPr>
          <w:color w:val="000000"/>
          <w:sz w:val="22"/>
          <w:szCs w:val="22"/>
        </w:rPr>
      </w:pPr>
    </w:p>
    <w:p w14:paraId="59FC0CF0" w14:textId="77777777" w:rsidR="003A33A6" w:rsidRPr="00B30A12" w:rsidRDefault="003A33A6" w:rsidP="0054140C">
      <w:pPr>
        <w:widowControl w:val="0"/>
        <w:rPr>
          <w:color w:val="000000"/>
          <w:sz w:val="22"/>
          <w:szCs w:val="22"/>
        </w:rPr>
      </w:pPr>
      <w:r w:rsidRPr="00B30A12">
        <w:rPr>
          <w:color w:val="000000"/>
          <w:sz w:val="22"/>
          <w:szCs w:val="22"/>
        </w:rPr>
        <w:t>Bei gleichzeitiger Anwendung von Imatinib und Arzneimitteln, die die Aktivität von CYP3A4 induzieren (z. B. Dexamethason, Phenytoin, Carbamazepin, Rifampicin, Phenobarbital oder Johanniskraut), kann die Imatinib-Konzentration signifikant verringert werden. Dadurch kann möglicherweise das Risiko eines Therapieversagens erhöht werden. Daher soll die gleichzeitige Anwendung von starken CYP3A4-Induktoren und Imatinib vermieden werden (siehe Abschnitt 4.5).</w:t>
      </w:r>
    </w:p>
    <w:p w14:paraId="35894501" w14:textId="77777777" w:rsidR="003A33A6" w:rsidRPr="00B30A12" w:rsidRDefault="003A33A6" w:rsidP="0054140C">
      <w:pPr>
        <w:widowControl w:val="0"/>
        <w:rPr>
          <w:color w:val="000000"/>
          <w:sz w:val="22"/>
          <w:szCs w:val="22"/>
        </w:rPr>
      </w:pPr>
    </w:p>
    <w:p w14:paraId="6E290DD4"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Hypothyreoidismus</w:t>
      </w:r>
    </w:p>
    <w:p w14:paraId="38046F62" w14:textId="77777777" w:rsidR="003A33A6" w:rsidRPr="00B30A12" w:rsidRDefault="003A33A6" w:rsidP="0054140C">
      <w:pPr>
        <w:widowControl w:val="0"/>
        <w:rPr>
          <w:color w:val="000000"/>
          <w:sz w:val="22"/>
          <w:szCs w:val="22"/>
        </w:rPr>
      </w:pPr>
      <w:r w:rsidRPr="00B30A12">
        <w:rPr>
          <w:color w:val="000000"/>
          <w:sz w:val="22"/>
          <w:szCs w:val="22"/>
        </w:rPr>
        <w:t>Es wurden klinische Fälle von Hypothyreoidismus berichtet bei Patienten nach Thyreoidektomie, die während der Behandlung mit Glivec eine Levothyroxin-Ersatztherapie erhielten (siehe Abschnitt 4.5). Bei diesen Patienten sollten die TSH-Werte (Thyreoid-stimulierendes Hormon) engmaschig überwacht werden.</w:t>
      </w:r>
    </w:p>
    <w:p w14:paraId="1D31D5B3" w14:textId="77777777" w:rsidR="003A33A6" w:rsidRPr="00B30A12" w:rsidRDefault="003A33A6" w:rsidP="0054140C">
      <w:pPr>
        <w:widowControl w:val="0"/>
        <w:rPr>
          <w:color w:val="000000"/>
          <w:sz w:val="22"/>
          <w:szCs w:val="22"/>
        </w:rPr>
      </w:pPr>
    </w:p>
    <w:p w14:paraId="1BDFF85D"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Hepatotoxizität</w:t>
      </w:r>
    </w:p>
    <w:p w14:paraId="7A47D46F" w14:textId="77777777" w:rsidR="003A33A6" w:rsidRPr="00B30A12" w:rsidRDefault="003A33A6" w:rsidP="0054140C">
      <w:pPr>
        <w:widowControl w:val="0"/>
        <w:rPr>
          <w:color w:val="000000"/>
          <w:sz w:val="22"/>
          <w:szCs w:val="22"/>
        </w:rPr>
      </w:pPr>
      <w:r w:rsidRPr="00B30A12">
        <w:rPr>
          <w:color w:val="000000"/>
          <w:sz w:val="22"/>
          <w:szCs w:val="22"/>
        </w:rPr>
        <w:t>Glivec wird hauptsächlich über die Leber metabolisiert und nur 13% werden über die Nieren ausgeschieden. Bei Patienten mit Leberfunktionsstörungen (leicht, mäßig oder schwer) müssen das periphere Blutbild und die Leberen</w:t>
      </w:r>
      <w:r w:rsidRPr="00B30A12">
        <w:rPr>
          <w:color w:val="000000"/>
          <w:sz w:val="22"/>
          <w:szCs w:val="22"/>
        </w:rPr>
        <w:softHyphen/>
        <w:t>zyme sorgfältig überwacht werden (siehe Abschnitte 4.2, 4.8 und 5.2). Es sollte beachtet werden, dass GIST-Patienten Lebermetastasen haben können, die zu einer Funktionseinschränkung der Leber führen können.</w:t>
      </w:r>
    </w:p>
    <w:p w14:paraId="30AD9F8F" w14:textId="77777777" w:rsidR="003A33A6" w:rsidRPr="00B30A12" w:rsidRDefault="003A33A6" w:rsidP="0054140C">
      <w:pPr>
        <w:widowControl w:val="0"/>
        <w:rPr>
          <w:color w:val="000000"/>
          <w:sz w:val="22"/>
          <w:szCs w:val="22"/>
        </w:rPr>
      </w:pPr>
    </w:p>
    <w:p w14:paraId="0FCF06E5" w14:textId="77777777" w:rsidR="003A33A6" w:rsidRPr="00B30A12" w:rsidRDefault="003A33A6" w:rsidP="0054140C">
      <w:pPr>
        <w:widowControl w:val="0"/>
        <w:rPr>
          <w:color w:val="000000"/>
          <w:sz w:val="22"/>
          <w:szCs w:val="22"/>
        </w:rPr>
      </w:pPr>
      <w:r w:rsidRPr="00B30A12">
        <w:rPr>
          <w:color w:val="000000"/>
          <w:sz w:val="22"/>
          <w:szCs w:val="22"/>
        </w:rPr>
        <w:lastRenderedPageBreak/>
        <w:t>Es wurden Fälle von Leberschäden, einschließlich Leberversagen und Lebernekrosen berichtet. Bei der Kombination von Imatinib mit hoch dosierten Chemotherapieschemata wurde ein Anstieg an schwerwiegenden Leberreaktionen festgestellt. Die Leberfunktion sollte sorgfältig überwacht werden, wenn Imatinib mit Chemotherapieschemata kombiniert wird, die bekanntermaßen eine Leberfunktionsstörung hervorrufen können (siehe Abschnitte 4.5 und 4.8).</w:t>
      </w:r>
    </w:p>
    <w:p w14:paraId="14483FC8" w14:textId="77777777" w:rsidR="003A33A6" w:rsidRPr="00B30A12" w:rsidRDefault="003A33A6" w:rsidP="0054140C">
      <w:pPr>
        <w:widowControl w:val="0"/>
        <w:rPr>
          <w:color w:val="000000"/>
          <w:sz w:val="22"/>
          <w:szCs w:val="22"/>
        </w:rPr>
      </w:pPr>
    </w:p>
    <w:p w14:paraId="32C3A529"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Flüssigkeitsretention</w:t>
      </w:r>
    </w:p>
    <w:p w14:paraId="16A3F701" w14:textId="77777777" w:rsidR="003A33A6" w:rsidRPr="00B30A12" w:rsidRDefault="003A33A6" w:rsidP="0054140C">
      <w:pPr>
        <w:widowControl w:val="0"/>
        <w:rPr>
          <w:color w:val="000000"/>
          <w:sz w:val="22"/>
          <w:szCs w:val="22"/>
        </w:rPr>
      </w:pPr>
      <w:r w:rsidRPr="00B30A12">
        <w:rPr>
          <w:color w:val="000000"/>
          <w:sz w:val="22"/>
          <w:szCs w:val="22"/>
        </w:rPr>
        <w:t>Bei etwa 2,5% der Patienten mit neu diagnostizierter CML wurde nach Einnahme von Glivec über das Auftreten einer schweren Flüssigkeitsretention (Pleuraerguss, Ödem, Lungenödem, Aszites, oberflächliches Ödem) berichtet. Es wird daher das regelmä</w:t>
      </w:r>
      <w:r w:rsidRPr="00B30A12">
        <w:rPr>
          <w:color w:val="000000"/>
          <w:sz w:val="22"/>
          <w:szCs w:val="22"/>
        </w:rPr>
        <w:softHyphen/>
        <w:t>ßige Wiegen der Patienten dringend empfohlen. Eine unerwartete schnelle Gewichtszunahme muss sorg</w:t>
      </w:r>
      <w:r w:rsidRPr="00B30A12">
        <w:rPr>
          <w:color w:val="000000"/>
          <w:sz w:val="22"/>
          <w:szCs w:val="22"/>
        </w:rPr>
        <w:softHyphen/>
        <w:t>fältig untersucht und soweit erforderlich müssen eine geeignete unterstützende Behandlung und thera</w:t>
      </w:r>
      <w:r w:rsidRPr="00B30A12">
        <w:rPr>
          <w:color w:val="000000"/>
          <w:sz w:val="22"/>
          <w:szCs w:val="22"/>
        </w:rPr>
        <w:softHyphen/>
        <w:t>peutische Maßnahmen eingeleitet werden. In klinischen Studien war die Häufigkeit dieser Ereignisse bei älteren Personen und bei Patienten mit Herzerkrankungen in der Vorgeschichte erhöht. Daher ist bei Patienten mit kardialen Funktionsstörungen Vorsicht angezeigt.</w:t>
      </w:r>
    </w:p>
    <w:p w14:paraId="2B47A46D" w14:textId="77777777" w:rsidR="003A33A6" w:rsidRPr="00B30A12" w:rsidRDefault="003A33A6" w:rsidP="0054140C">
      <w:pPr>
        <w:widowControl w:val="0"/>
        <w:rPr>
          <w:color w:val="000000"/>
          <w:sz w:val="22"/>
          <w:szCs w:val="22"/>
        </w:rPr>
      </w:pPr>
    </w:p>
    <w:p w14:paraId="767BB2E0"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Patienten mit Herzerkrankungen</w:t>
      </w:r>
    </w:p>
    <w:p w14:paraId="028A2DF2" w14:textId="77777777" w:rsidR="003A33A6" w:rsidRPr="00B30A12" w:rsidRDefault="003A33A6" w:rsidP="0054140C">
      <w:pPr>
        <w:widowControl w:val="0"/>
        <w:rPr>
          <w:color w:val="000000"/>
          <w:sz w:val="22"/>
          <w:szCs w:val="22"/>
        </w:rPr>
      </w:pPr>
      <w:r w:rsidRPr="00B30A12">
        <w:rPr>
          <w:color w:val="000000"/>
          <w:sz w:val="22"/>
          <w:szCs w:val="22"/>
        </w:rPr>
        <w:t>Patienten mit Herzerkrankungen, Risikofaktoren für eine Herzinsuffizienz oder mit Niereninsuffizienz in der Vorgeschichte sollten sorgfältig überwacht werden. Alle Patienten mit Anzeichen oder Symptomen, die auf eine Herz-oder Niereninsuffizienz hindeuten, sollten untersucht und entsprechend behandelt werden.</w:t>
      </w:r>
    </w:p>
    <w:p w14:paraId="0A11460E" w14:textId="77777777" w:rsidR="003A33A6" w:rsidRPr="00B30A12" w:rsidRDefault="003A33A6" w:rsidP="0054140C">
      <w:pPr>
        <w:widowControl w:val="0"/>
        <w:rPr>
          <w:color w:val="000000"/>
          <w:sz w:val="22"/>
          <w:szCs w:val="22"/>
        </w:rPr>
      </w:pPr>
    </w:p>
    <w:p w14:paraId="53B92FD9" w14:textId="77777777" w:rsidR="003A33A6" w:rsidRPr="00B30A12" w:rsidRDefault="003A33A6" w:rsidP="0054140C">
      <w:pPr>
        <w:widowControl w:val="0"/>
        <w:rPr>
          <w:color w:val="000000"/>
          <w:sz w:val="22"/>
          <w:szCs w:val="22"/>
        </w:rPr>
      </w:pPr>
      <w:r w:rsidRPr="00B30A12">
        <w:rPr>
          <w:color w:val="000000"/>
          <w:sz w:val="22"/>
          <w:szCs w:val="22"/>
        </w:rPr>
        <w:t>Bei Patienten mit hypereosinophilem Syndrom (HES) mit okkulter Infiltration von HES-Zellen innerhalb des Myokards wurden Einzelfälle von kardiogenem Schock/Linksherzinsuffizienz mit einer HES-Zelldegranulation nach dem Beginn der Imatinib-Therapie in Verbindung gebracht. Es wurde berichtet, dass der Zustand durch Gabe systemischer Steroide, kreislaufstützende Maßnahmen und vorübergehendes Absetzen von Imatinib reversibel war. Da gelegentlich kardiale Nebenwirkungen im Zusammenhang mit Imatinib berichtet wurden, sollte bei HES/</w:t>
      </w:r>
      <w:smartTag w:uri="urn:schemas-microsoft-com:office:smarttags" w:element="stockticker">
        <w:r w:rsidRPr="00B30A12">
          <w:rPr>
            <w:color w:val="000000"/>
            <w:sz w:val="22"/>
            <w:szCs w:val="22"/>
          </w:rPr>
          <w:t>CEL</w:t>
        </w:r>
      </w:smartTag>
      <w:r w:rsidRPr="00B30A12">
        <w:rPr>
          <w:color w:val="000000"/>
          <w:sz w:val="22"/>
          <w:szCs w:val="22"/>
        </w:rPr>
        <w:t>-Patienten vor Beginn der Behandlung eine sorgfältige Nutzen-Risiko-Abschätzung erwogen werden.</w:t>
      </w:r>
    </w:p>
    <w:p w14:paraId="026D817A" w14:textId="77777777" w:rsidR="003A33A6" w:rsidRPr="00B30A12" w:rsidRDefault="003A33A6" w:rsidP="0054140C">
      <w:pPr>
        <w:widowControl w:val="0"/>
        <w:rPr>
          <w:color w:val="000000"/>
          <w:sz w:val="22"/>
          <w:szCs w:val="22"/>
        </w:rPr>
      </w:pPr>
    </w:p>
    <w:p w14:paraId="3E0CCDDB" w14:textId="77777777" w:rsidR="003A33A6" w:rsidRPr="00B30A12" w:rsidRDefault="003A33A6" w:rsidP="0054140C">
      <w:pPr>
        <w:widowControl w:val="0"/>
        <w:rPr>
          <w:color w:val="000000"/>
          <w:sz w:val="22"/>
          <w:szCs w:val="22"/>
        </w:rPr>
      </w:pPr>
      <w:r w:rsidRPr="00B30A12">
        <w:rPr>
          <w:color w:val="000000"/>
          <w:sz w:val="22"/>
          <w:szCs w:val="22"/>
        </w:rPr>
        <w:t>Myelodysplastische/myeloproliferative Erkrankungen mit PDGFR-Genumlagerungen können von hohen Werten eosinophiler Granulozyten begleitet sein. Daher sollten vor der Gabe von Imatinib die Untersuchung durch einen Kardiologen, die Aufnahme eines Echokardiogramms und die Bestimmung von Serum-Troponin bei 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sowie mit </w:t>
      </w:r>
      <w:smartTag w:uri="urn:schemas-microsoft-com:office:smarttags" w:element="stockticker">
        <w:r w:rsidRPr="00B30A12">
          <w:rPr>
            <w:color w:val="000000"/>
            <w:sz w:val="22"/>
            <w:szCs w:val="22"/>
          </w:rPr>
          <w:t>MDS</w:t>
        </w:r>
      </w:smartTag>
      <w:r w:rsidRPr="00B30A12">
        <w:rPr>
          <w:color w:val="000000"/>
          <w:sz w:val="22"/>
          <w:szCs w:val="22"/>
        </w:rPr>
        <w:t>/MPD in Verbindung mit hohen Eosinophilen-Werten erwogen werden. Wenn einer der Befunde anormal ist, sollten eine weitere Untersuchung durch einen Kardiologen sowie zu Beginn der Therapie prophylaktisch die gleichzeitige Gabe von systemischen Steroiden (1</w:t>
      </w:r>
      <w:r w:rsidRPr="00B30A12">
        <w:rPr>
          <w:color w:val="000000"/>
          <w:sz w:val="22"/>
          <w:szCs w:val="22"/>
        </w:rPr>
        <w:noBreakHyphen/>
        <w:t>2 mg/kg) über ein bis zwei Wochen gemeinsam mit Imatinib erwogen werden.</w:t>
      </w:r>
    </w:p>
    <w:p w14:paraId="0C422EAB" w14:textId="77777777" w:rsidR="003A33A6" w:rsidRPr="00B30A12" w:rsidRDefault="003A33A6" w:rsidP="0054140C">
      <w:pPr>
        <w:widowControl w:val="0"/>
        <w:rPr>
          <w:color w:val="000000"/>
          <w:sz w:val="22"/>
          <w:szCs w:val="22"/>
        </w:rPr>
      </w:pPr>
    </w:p>
    <w:p w14:paraId="62051403"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Gastrointestinale Blutungen</w:t>
      </w:r>
    </w:p>
    <w:p w14:paraId="77DD9246" w14:textId="77777777" w:rsidR="003A33A6" w:rsidRPr="00B30A12" w:rsidRDefault="003A33A6" w:rsidP="0054140C">
      <w:pPr>
        <w:widowControl w:val="0"/>
        <w:rPr>
          <w:color w:val="000000"/>
          <w:sz w:val="22"/>
          <w:szCs w:val="22"/>
        </w:rPr>
      </w:pPr>
      <w:r w:rsidRPr="00B30A12">
        <w:rPr>
          <w:color w:val="000000"/>
          <w:sz w:val="22"/>
          <w:szCs w:val="22"/>
        </w:rPr>
        <w:t>In der Studie an Patienten mit nicht-resezierbaren und/oder metastasierten GIST wurden sowohl gastrointestinale als auch intratumorale Blutungen beobachtet (siehe Abschnitt 4.8). Ausgehend von den verfügbaren Daten wurden keine Risikofaktoren (z. B. Tumorgröße, Tumorlokalisation, Gerinnungsstörungen) dafür gefunden, dass Patienten mit GIST einem höheren Risiko für eine der beiden Blutungsarten ausgesetzt sind. Da eine erhöhte Gefäßversor</w:t>
      </w:r>
      <w:r w:rsidRPr="00B30A12">
        <w:rPr>
          <w:color w:val="000000"/>
          <w:sz w:val="22"/>
          <w:szCs w:val="22"/>
        </w:rPr>
        <w:softHyphen/>
        <w:t>gung und Blutungswahrscheinlichkeit Teil der Eigenschaften und des klinischen Verlaufs von GIST sind, sollten bei allen Patienten Standardvorgehensweisen und Maßnahmen für die Überwachung und Behandlung von Blutungen angewendet werden.</w:t>
      </w:r>
    </w:p>
    <w:p w14:paraId="0A4189CF" w14:textId="77777777" w:rsidR="006E656A" w:rsidRPr="00B30A12" w:rsidRDefault="006E656A" w:rsidP="0054140C">
      <w:pPr>
        <w:widowControl w:val="0"/>
        <w:rPr>
          <w:color w:val="000000"/>
          <w:sz w:val="22"/>
          <w:szCs w:val="22"/>
        </w:rPr>
      </w:pPr>
    </w:p>
    <w:p w14:paraId="0F507FC7" w14:textId="77777777" w:rsidR="006E656A" w:rsidRPr="00B30A12" w:rsidRDefault="006E656A" w:rsidP="0054140C">
      <w:pPr>
        <w:widowControl w:val="0"/>
        <w:rPr>
          <w:color w:val="000000"/>
          <w:sz w:val="22"/>
          <w:szCs w:val="22"/>
        </w:rPr>
      </w:pPr>
      <w:r w:rsidRPr="00B30A12">
        <w:rPr>
          <w:color w:val="000000"/>
          <w:sz w:val="22"/>
          <w:szCs w:val="22"/>
        </w:rPr>
        <w:t>Zusätzlich wurde aufgrund von Erfahrungen nach Markteinführung über gastral-antrale vaskuläre Ektasie (GAVE), eine seltene Ursache für gastrointestinale Blutungen, bei Patienten mit CML, ALL und anderen Erkrankungen berichtet (siehe Abschnitt 4.8).Falls notwendig, kann ein Abbruch der Behandlung mit Glivec in Betracht gezogen werden.</w:t>
      </w:r>
    </w:p>
    <w:p w14:paraId="1E42A3E7" w14:textId="77777777" w:rsidR="003A33A6" w:rsidRPr="00B30A12" w:rsidRDefault="003A33A6" w:rsidP="0054140C">
      <w:pPr>
        <w:widowControl w:val="0"/>
        <w:rPr>
          <w:color w:val="000000"/>
          <w:sz w:val="22"/>
          <w:szCs w:val="22"/>
        </w:rPr>
      </w:pPr>
    </w:p>
    <w:p w14:paraId="7D9687A4"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Tumor-Lyse-Syndrom</w:t>
      </w:r>
    </w:p>
    <w:p w14:paraId="12DE9DA9" w14:textId="77777777" w:rsidR="003A33A6" w:rsidRPr="00B30A12" w:rsidRDefault="003A33A6" w:rsidP="0054140C">
      <w:pPr>
        <w:widowControl w:val="0"/>
        <w:rPr>
          <w:color w:val="000000"/>
          <w:sz w:val="22"/>
          <w:szCs w:val="22"/>
        </w:rPr>
      </w:pPr>
      <w:r w:rsidRPr="00B30A12">
        <w:rPr>
          <w:color w:val="000000"/>
          <w:sz w:val="22"/>
          <w:szCs w:val="22"/>
        </w:rPr>
        <w:t xml:space="preserve">Wegen des möglichen Auftretens eines Tumor-Lyse-Syndroms (TLS) wird vor dem Therapiebeginn mit Glivec die Korrektur einer klinisch relevanten Dehydratation und die Behandlung hoher </w:t>
      </w:r>
      <w:r w:rsidRPr="00B30A12">
        <w:rPr>
          <w:color w:val="000000"/>
          <w:sz w:val="22"/>
          <w:szCs w:val="22"/>
        </w:rPr>
        <w:lastRenderedPageBreak/>
        <w:t>Harnsäurespiegel empfohlen (siehe Abschnitt 4.8).</w:t>
      </w:r>
    </w:p>
    <w:p w14:paraId="01531246" w14:textId="77777777" w:rsidR="003A33A6" w:rsidRPr="00B30A12" w:rsidRDefault="003A33A6" w:rsidP="0054140C">
      <w:pPr>
        <w:widowControl w:val="0"/>
        <w:rPr>
          <w:color w:val="000000"/>
          <w:sz w:val="22"/>
          <w:szCs w:val="22"/>
        </w:rPr>
      </w:pPr>
    </w:p>
    <w:p w14:paraId="6AF0AB8B" w14:textId="77777777" w:rsidR="00777B24" w:rsidRPr="00B30A12" w:rsidRDefault="00777B24" w:rsidP="003D30FF">
      <w:pPr>
        <w:keepNext/>
        <w:widowControl w:val="0"/>
        <w:rPr>
          <w:color w:val="000000"/>
          <w:sz w:val="22"/>
          <w:szCs w:val="22"/>
          <w:u w:val="single"/>
        </w:rPr>
      </w:pPr>
      <w:r w:rsidRPr="00B30A12">
        <w:rPr>
          <w:color w:val="000000"/>
          <w:sz w:val="22"/>
          <w:szCs w:val="22"/>
          <w:u w:val="single"/>
        </w:rPr>
        <w:t>Hepatitis-B-Reaktivierung</w:t>
      </w:r>
    </w:p>
    <w:p w14:paraId="2DF1E278" w14:textId="77777777" w:rsidR="00777B24" w:rsidRPr="00B30A12" w:rsidRDefault="00777B24" w:rsidP="0054140C">
      <w:pPr>
        <w:widowControl w:val="0"/>
        <w:rPr>
          <w:color w:val="000000"/>
          <w:sz w:val="22"/>
          <w:szCs w:val="22"/>
        </w:rPr>
      </w:pPr>
      <w:r w:rsidRPr="00B30A12">
        <w:rPr>
          <w:color w:val="000000"/>
          <w:sz w:val="22"/>
          <w:szCs w:val="22"/>
        </w:rPr>
        <w:t>Bei Patienten, die chronische Träger dieses Virus sind, ist eine Hepatitis-B-Reaktivierung aufgetreten, nachdem sie BCR-ABL-Tyrosinkinase-Inhibitoren erhalten hatten. Einige Fälle führten zu akutem Leberversagen oder zu fulminanter Hepatitis, die eine Lebertransplantation notwendig machten oder zum Tod führten.</w:t>
      </w:r>
    </w:p>
    <w:p w14:paraId="3389D50F" w14:textId="77777777" w:rsidR="00777B24" w:rsidRPr="00B30A12" w:rsidRDefault="00777B24" w:rsidP="0054140C">
      <w:pPr>
        <w:widowControl w:val="0"/>
        <w:rPr>
          <w:color w:val="000000"/>
          <w:sz w:val="22"/>
          <w:szCs w:val="22"/>
        </w:rPr>
      </w:pPr>
    </w:p>
    <w:p w14:paraId="49BF7485" w14:textId="77777777" w:rsidR="00777B24" w:rsidRPr="00B30A12" w:rsidRDefault="00777B24" w:rsidP="0054140C">
      <w:pPr>
        <w:widowControl w:val="0"/>
        <w:rPr>
          <w:color w:val="000000"/>
          <w:sz w:val="22"/>
          <w:szCs w:val="22"/>
        </w:rPr>
      </w:pPr>
      <w:r w:rsidRPr="00B30A12">
        <w:rPr>
          <w:color w:val="000000"/>
          <w:sz w:val="22"/>
          <w:szCs w:val="22"/>
        </w:rPr>
        <w:t>Patienten sollten vor Beginn der Behandlung mit Glivec auf eine HBV-Infektion hin untersucht werden. Vor Einleitung der Behandlung bei Patienten mit positiver Hepatitis-B-Serologie (einschließlich jener mit aktiver Erkrankung) sollten Experten für Lebererkrankungen und für die Behandlung von Hepatitis B zurate gezogen werden; dies sollte auch bei Patienten erfolgen, die während der Behandlung positiv auf eine HBV-Infektion getestet werden. HBV-Träger, die mit Glivec behandelt werden, sollten während der Behandlung und über einige Monate nach Ende der Therapie engmaschig bezüglich der Anzeichen und Symptome einer aktiven HBV-Infektion überwacht werden (siehe Abschnitt</w:t>
      </w:r>
      <w:r w:rsidR="00EB60E4" w:rsidRPr="00B30A12">
        <w:rPr>
          <w:color w:val="000000"/>
          <w:sz w:val="22"/>
          <w:szCs w:val="22"/>
        </w:rPr>
        <w:t> </w:t>
      </w:r>
      <w:r w:rsidRPr="00B30A12">
        <w:rPr>
          <w:color w:val="000000"/>
          <w:sz w:val="22"/>
          <w:szCs w:val="22"/>
        </w:rPr>
        <w:t>4.8).</w:t>
      </w:r>
    </w:p>
    <w:p w14:paraId="50E5E483" w14:textId="77777777" w:rsidR="00244DD2" w:rsidRPr="002A051A" w:rsidRDefault="00244DD2" w:rsidP="00244DD2">
      <w:pPr>
        <w:widowControl w:val="0"/>
        <w:rPr>
          <w:sz w:val="22"/>
          <w:szCs w:val="22"/>
        </w:rPr>
      </w:pPr>
    </w:p>
    <w:p w14:paraId="1E7C5966" w14:textId="77777777" w:rsidR="00547136" w:rsidRPr="00547136" w:rsidRDefault="00547136" w:rsidP="00547136">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547136">
        <w:rPr>
          <w:i w:val="0"/>
          <w:color w:val="000000"/>
          <w:szCs w:val="22"/>
          <w:u w:val="single"/>
          <w:lang w:val="de-DE"/>
        </w:rPr>
        <w:t>Phototoxizität</w:t>
      </w:r>
    </w:p>
    <w:p w14:paraId="237E4F6F" w14:textId="77777777" w:rsidR="00547136" w:rsidRPr="00816CCA" w:rsidRDefault="00547136" w:rsidP="00547136">
      <w:pPr>
        <w:widowControl w:val="0"/>
        <w:rPr>
          <w:sz w:val="22"/>
          <w:szCs w:val="22"/>
        </w:rPr>
      </w:pPr>
      <w:r w:rsidRPr="00547136">
        <w:rPr>
          <w:sz w:val="22"/>
          <w:szCs w:val="22"/>
        </w:rPr>
        <w:t>Die Exposition gegenüber direktem Sonnenlicht sollte vermieden oder auf ein Minimum reduziert werden, da das Risiko einer Phototoxizität im Zusammenhang mit der Imatinib-Behandlung besteht. Patienten sollten angewiesen werden, Maßnahmen zu ergreifen, wie das Tragen vor Sonnenlicht schützender Kleidung und die Verwendung eines Sonnenschutzmittels mit hohem Lichtschutzfaktor (LSF).</w:t>
      </w:r>
    </w:p>
    <w:p w14:paraId="3FBA23B3" w14:textId="77777777" w:rsidR="006B3D38" w:rsidRPr="002A051A" w:rsidRDefault="006B3D38" w:rsidP="006B3D38">
      <w:pPr>
        <w:widowControl w:val="0"/>
        <w:rPr>
          <w:sz w:val="22"/>
          <w:szCs w:val="22"/>
        </w:rPr>
      </w:pPr>
    </w:p>
    <w:p w14:paraId="62F863B7" w14:textId="77777777" w:rsidR="006B3D38" w:rsidRPr="00547136" w:rsidRDefault="006B3D38" w:rsidP="006B3D38">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A52EA6">
        <w:rPr>
          <w:i w:val="0"/>
          <w:color w:val="000000"/>
          <w:szCs w:val="22"/>
          <w:u w:val="single"/>
          <w:lang w:val="de-DE"/>
        </w:rPr>
        <w:t>Thrombotische Mikroangiopathie</w:t>
      </w:r>
    </w:p>
    <w:p w14:paraId="6E164D94" w14:textId="77777777" w:rsidR="000E22AA" w:rsidRPr="00816CCA" w:rsidRDefault="000E22AA" w:rsidP="000E22AA">
      <w:pPr>
        <w:widowControl w:val="0"/>
        <w:rPr>
          <w:sz w:val="22"/>
          <w:szCs w:val="22"/>
        </w:rPr>
      </w:pPr>
      <w:r w:rsidRPr="00B30A12">
        <w:rPr>
          <w:color w:val="000000"/>
          <w:sz w:val="22"/>
          <w:szCs w:val="22"/>
        </w:rPr>
        <w:t xml:space="preserve">BCR-ABL-Tyrosinkinase-Inhibitoren </w:t>
      </w:r>
      <w:r w:rsidRPr="00A52EA6">
        <w:rPr>
          <w:sz w:val="22"/>
          <w:szCs w:val="22"/>
        </w:rPr>
        <w:t xml:space="preserve">(TKIs) wurden mit der thrombotischen Mikroangiopathie (TMA) in </w:t>
      </w:r>
      <w:r>
        <w:rPr>
          <w:sz w:val="22"/>
          <w:szCs w:val="22"/>
        </w:rPr>
        <w:t>Zusammenhang</w:t>
      </w:r>
      <w:r w:rsidRPr="00A52EA6">
        <w:rPr>
          <w:sz w:val="22"/>
          <w:szCs w:val="22"/>
        </w:rPr>
        <w:t xml:space="preserve"> gebracht, </w:t>
      </w:r>
      <w:r>
        <w:rPr>
          <w:sz w:val="22"/>
          <w:szCs w:val="22"/>
        </w:rPr>
        <w:t xml:space="preserve">unter anderem in </w:t>
      </w:r>
      <w:r w:rsidRPr="00A52EA6">
        <w:rPr>
          <w:sz w:val="22"/>
          <w:szCs w:val="22"/>
        </w:rPr>
        <w:t xml:space="preserve">Einzelfallberichten </w:t>
      </w:r>
      <w:r>
        <w:rPr>
          <w:sz w:val="22"/>
          <w:szCs w:val="22"/>
        </w:rPr>
        <w:t>zu Glivec (siehe Abschnitt </w:t>
      </w:r>
      <w:r w:rsidRPr="00A52EA6">
        <w:rPr>
          <w:sz w:val="22"/>
          <w:szCs w:val="22"/>
        </w:rPr>
        <w:t xml:space="preserve">4.8). Treten bei einem Patienten, der Glivec </w:t>
      </w:r>
      <w:r>
        <w:rPr>
          <w:sz w:val="22"/>
          <w:szCs w:val="22"/>
        </w:rPr>
        <w:t>einnimmt</w:t>
      </w:r>
      <w:r w:rsidRPr="00A52EA6">
        <w:rPr>
          <w:sz w:val="22"/>
          <w:szCs w:val="22"/>
        </w:rPr>
        <w:t xml:space="preserve">, Labor- oder klinische Befunde </w:t>
      </w:r>
      <w:r>
        <w:rPr>
          <w:sz w:val="22"/>
          <w:szCs w:val="22"/>
        </w:rPr>
        <w:t>auf, die</w:t>
      </w:r>
      <w:r w:rsidRPr="00A52EA6">
        <w:rPr>
          <w:sz w:val="22"/>
          <w:szCs w:val="22"/>
        </w:rPr>
        <w:t xml:space="preserve"> mit TMA </w:t>
      </w:r>
      <w:r>
        <w:rPr>
          <w:sz w:val="22"/>
          <w:szCs w:val="22"/>
        </w:rPr>
        <w:t>zusammenhängen</w:t>
      </w:r>
      <w:r w:rsidRPr="00A52EA6">
        <w:rPr>
          <w:sz w:val="22"/>
          <w:szCs w:val="22"/>
        </w:rPr>
        <w:t xml:space="preserve">, sollte die Behandlung abgebrochen und eine gründliche </w:t>
      </w:r>
      <w:r>
        <w:rPr>
          <w:sz w:val="22"/>
          <w:szCs w:val="22"/>
        </w:rPr>
        <w:t>Untersuchung auf</w:t>
      </w:r>
      <w:r w:rsidRPr="00A52EA6">
        <w:rPr>
          <w:sz w:val="22"/>
          <w:szCs w:val="22"/>
        </w:rPr>
        <w:t xml:space="preserve"> TMA, einschließlich </w:t>
      </w:r>
      <w:r>
        <w:rPr>
          <w:sz w:val="22"/>
          <w:szCs w:val="22"/>
        </w:rPr>
        <w:t xml:space="preserve">der Bestimmung der </w:t>
      </w:r>
      <w:r w:rsidRPr="00A52EA6">
        <w:rPr>
          <w:sz w:val="22"/>
          <w:szCs w:val="22"/>
        </w:rPr>
        <w:t xml:space="preserve">ADAMTS13-Aktivität und </w:t>
      </w:r>
      <w:r>
        <w:rPr>
          <w:sz w:val="22"/>
          <w:szCs w:val="22"/>
        </w:rPr>
        <w:t xml:space="preserve">von </w:t>
      </w:r>
      <w:r w:rsidRPr="00A52EA6">
        <w:rPr>
          <w:sz w:val="22"/>
          <w:szCs w:val="22"/>
        </w:rPr>
        <w:t>A</w:t>
      </w:r>
      <w:r>
        <w:rPr>
          <w:sz w:val="22"/>
          <w:szCs w:val="22"/>
        </w:rPr>
        <w:t>nti</w:t>
      </w:r>
      <w:r>
        <w:rPr>
          <w:sz w:val="22"/>
          <w:szCs w:val="22"/>
        </w:rPr>
        <w:noBreakHyphen/>
        <w:t>ADAMTS13-Antikörper</w:t>
      </w:r>
      <w:r w:rsidR="00A14A5C">
        <w:rPr>
          <w:sz w:val="22"/>
          <w:szCs w:val="22"/>
        </w:rPr>
        <w:t>n</w:t>
      </w:r>
      <w:r w:rsidRPr="00A52EA6">
        <w:rPr>
          <w:sz w:val="22"/>
          <w:szCs w:val="22"/>
        </w:rPr>
        <w:t xml:space="preserve">, </w:t>
      </w:r>
      <w:r>
        <w:rPr>
          <w:sz w:val="22"/>
          <w:szCs w:val="22"/>
        </w:rPr>
        <w:t>durchgeführt werden. Wenn Anti</w:t>
      </w:r>
      <w:r>
        <w:rPr>
          <w:sz w:val="22"/>
          <w:szCs w:val="22"/>
        </w:rPr>
        <w:noBreakHyphen/>
      </w:r>
      <w:r w:rsidRPr="00A52EA6">
        <w:rPr>
          <w:sz w:val="22"/>
          <w:szCs w:val="22"/>
        </w:rPr>
        <w:t xml:space="preserve">ADAMTS13-Antikörper in </w:t>
      </w:r>
      <w:r>
        <w:rPr>
          <w:sz w:val="22"/>
          <w:szCs w:val="22"/>
        </w:rPr>
        <w:t>Verbindung</w:t>
      </w:r>
      <w:r w:rsidRPr="00A52EA6">
        <w:rPr>
          <w:sz w:val="22"/>
          <w:szCs w:val="22"/>
        </w:rPr>
        <w:t xml:space="preserve"> mit einer geringen AD</w:t>
      </w:r>
      <w:r>
        <w:rPr>
          <w:sz w:val="22"/>
          <w:szCs w:val="22"/>
        </w:rPr>
        <w:t>AMTS13-Aktivität erhöht sind</w:t>
      </w:r>
      <w:r w:rsidRPr="00A52EA6">
        <w:rPr>
          <w:sz w:val="22"/>
          <w:szCs w:val="22"/>
        </w:rPr>
        <w:t>, sollte die Behandlung mit Glivec nicht wieder aufgenommen werden.</w:t>
      </w:r>
    </w:p>
    <w:p w14:paraId="68AB0865" w14:textId="77777777" w:rsidR="00777B24" w:rsidRPr="00B30A12" w:rsidRDefault="00777B24" w:rsidP="0054140C">
      <w:pPr>
        <w:widowControl w:val="0"/>
        <w:rPr>
          <w:color w:val="000000"/>
          <w:sz w:val="22"/>
          <w:szCs w:val="22"/>
        </w:rPr>
      </w:pPr>
    </w:p>
    <w:p w14:paraId="046DFE9C" w14:textId="77777777" w:rsidR="003A33A6" w:rsidRPr="00B30A12" w:rsidRDefault="003A33A6" w:rsidP="003D30FF">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B30A12">
        <w:rPr>
          <w:i w:val="0"/>
          <w:color w:val="000000"/>
          <w:szCs w:val="22"/>
          <w:u w:val="single"/>
          <w:lang w:val="de-DE"/>
        </w:rPr>
        <w:t>Laboruntersuchungen</w:t>
      </w:r>
    </w:p>
    <w:p w14:paraId="0ACD5A14" w14:textId="77777777" w:rsidR="003A33A6" w:rsidRPr="00B30A12" w:rsidRDefault="003A33A6" w:rsidP="0054140C">
      <w:pPr>
        <w:widowControl w:val="0"/>
        <w:rPr>
          <w:color w:val="000000"/>
          <w:sz w:val="22"/>
          <w:szCs w:val="22"/>
        </w:rPr>
      </w:pPr>
      <w:r w:rsidRPr="00B30A12">
        <w:rPr>
          <w:color w:val="000000"/>
          <w:sz w:val="22"/>
          <w:szCs w:val="22"/>
        </w:rPr>
        <w:t>Ein vollständiges Blutbild muss während der Therapie mit Glivec regelmäßig durchgeführt werden. Bei der Behandlung von Patienten mit einer CML mit Glivec können eine Neutropenie oder eine Thrombo</w:t>
      </w:r>
      <w:r w:rsidRPr="00B30A12">
        <w:rPr>
          <w:color w:val="000000"/>
          <w:sz w:val="22"/>
          <w:szCs w:val="22"/>
        </w:rPr>
        <w:softHyphen/>
        <w:t>zytopenie auftreten. Das Auftreten dieser Zytopenien im Blut ist jedoch wahrscheinlich vom Stadium der behandelten Erkrankung abhängig und trat häufiger bei Patienten in der akzelerierten Phase der CML oder der Blastenkrise auf als bei Patienten in der chronischen Phase der CML. Wie in Abschnitt 4.2 empfohlen, kann die Behandlung mit Glivec unterbro</w:t>
      </w:r>
      <w:r w:rsidRPr="00B30A12">
        <w:rPr>
          <w:color w:val="000000"/>
          <w:sz w:val="22"/>
          <w:szCs w:val="22"/>
        </w:rPr>
        <w:softHyphen/>
        <w:t>chen oder die Dosis reduziert werden.</w:t>
      </w:r>
    </w:p>
    <w:p w14:paraId="0305559C" w14:textId="77777777" w:rsidR="003A33A6" w:rsidRPr="00B30A12" w:rsidRDefault="003A33A6" w:rsidP="0054140C">
      <w:pPr>
        <w:widowControl w:val="0"/>
        <w:rPr>
          <w:color w:val="000000"/>
          <w:sz w:val="22"/>
          <w:szCs w:val="22"/>
        </w:rPr>
      </w:pPr>
    </w:p>
    <w:p w14:paraId="7EB1F8D1" w14:textId="77777777" w:rsidR="003A33A6" w:rsidRPr="00B30A12" w:rsidRDefault="003A33A6" w:rsidP="0054140C">
      <w:pPr>
        <w:widowControl w:val="0"/>
        <w:rPr>
          <w:color w:val="000000"/>
          <w:sz w:val="22"/>
          <w:szCs w:val="22"/>
        </w:rPr>
      </w:pPr>
      <w:r w:rsidRPr="00B30A12">
        <w:rPr>
          <w:color w:val="000000"/>
          <w:sz w:val="22"/>
          <w:szCs w:val="22"/>
        </w:rPr>
        <w:t>Bei Patienten, die Glivec erhalten, muss die Leberfunktion (Transaminasen, Bilirubin, alkalische Phosphatase) in regelmäßigen Abständen untersucht werden.</w:t>
      </w:r>
    </w:p>
    <w:p w14:paraId="0CA35E25" w14:textId="77777777" w:rsidR="003A33A6" w:rsidRPr="00B30A12" w:rsidRDefault="003A33A6" w:rsidP="0054140C">
      <w:pPr>
        <w:widowControl w:val="0"/>
        <w:rPr>
          <w:color w:val="000000"/>
          <w:sz w:val="22"/>
          <w:szCs w:val="22"/>
        </w:rPr>
      </w:pPr>
    </w:p>
    <w:p w14:paraId="725F715A" w14:textId="77777777" w:rsidR="003A33A6" w:rsidRPr="00B30A12" w:rsidRDefault="003A33A6" w:rsidP="0054140C">
      <w:pPr>
        <w:widowControl w:val="0"/>
        <w:rPr>
          <w:color w:val="000000"/>
          <w:sz w:val="22"/>
          <w:szCs w:val="22"/>
        </w:rPr>
      </w:pPr>
      <w:r w:rsidRPr="00B30A12">
        <w:rPr>
          <w:color w:val="000000"/>
          <w:sz w:val="22"/>
          <w:szCs w:val="22"/>
        </w:rPr>
        <w:t>Bei Patienten mit beeinträchtigter Nierenfunktion scheint die Plasmaexposition von Imatinib höher zu sein als bei Patienten mit normaler Nierenfunktion, möglicherweise auf Grund eines erhöhten Plasmaspiegels von alphasaurem Glycoprotein (AGP), einem Imatinib-bindenden Protein, bei diesen Patienten. Patienten mit Niereninsuffizienz sollten die minimale Anfangsdosis erhalten. Patienten mit schwerer Niereninsuffizienz sollten mit Vorsicht behandelt werden. Die Dosis kann bei Unverträglichkeit reduziert werden (siehe Abschnitte 4.2 und 5.2).</w:t>
      </w:r>
    </w:p>
    <w:p w14:paraId="528C8793" w14:textId="77777777" w:rsidR="0016334E" w:rsidRPr="00B30A12" w:rsidRDefault="0016334E" w:rsidP="0054140C">
      <w:pPr>
        <w:widowControl w:val="0"/>
        <w:rPr>
          <w:color w:val="000000"/>
          <w:sz w:val="22"/>
          <w:szCs w:val="22"/>
        </w:rPr>
      </w:pPr>
    </w:p>
    <w:p w14:paraId="7439F23C" w14:textId="77777777" w:rsidR="0016334E" w:rsidRPr="00B30A12" w:rsidRDefault="009F44AC" w:rsidP="0054140C">
      <w:pPr>
        <w:widowControl w:val="0"/>
        <w:rPr>
          <w:color w:val="000000"/>
          <w:sz w:val="22"/>
          <w:szCs w:val="22"/>
        </w:rPr>
      </w:pPr>
      <w:r w:rsidRPr="00B30A12">
        <w:rPr>
          <w:color w:val="000000"/>
          <w:sz w:val="22"/>
          <w:szCs w:val="22"/>
        </w:rPr>
        <w:t xml:space="preserve">Eine Langzeitbehandlung mit Imatinib kann mit einer klinisch signifikanten Verschlechterung der Nierenfunktion einhergehen. Die Nierenfunktion sollte daher vor Beginn der Imatinib-Therapie bestimmt und während der Therapie engmaschig überwacht werden, wobei besonders auf Patienten geachtet werden muss, die Risikofaktoren für eine Niereninsuffizienz aufweisen. Wird eine </w:t>
      </w:r>
      <w:r w:rsidRPr="00B30A12">
        <w:rPr>
          <w:color w:val="000000"/>
          <w:sz w:val="22"/>
          <w:szCs w:val="22"/>
        </w:rPr>
        <w:lastRenderedPageBreak/>
        <w:t>Niereninsuffizienz festgestellt, sollten entsprechend der standardisierten Leitlinien geeignete Maßnahmen ergriffen und eine geeignete Behandlung eingeleitet werden.</w:t>
      </w:r>
    </w:p>
    <w:p w14:paraId="6E0ECDD9" w14:textId="77777777" w:rsidR="003A33A6" w:rsidRPr="00B30A12" w:rsidRDefault="003A33A6" w:rsidP="0054140C">
      <w:pPr>
        <w:widowControl w:val="0"/>
        <w:rPr>
          <w:color w:val="000000"/>
          <w:sz w:val="22"/>
          <w:szCs w:val="22"/>
        </w:rPr>
      </w:pPr>
    </w:p>
    <w:p w14:paraId="48FBE6F5"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Kinder und Jugendliche</w:t>
      </w:r>
    </w:p>
    <w:p w14:paraId="02D818DA" w14:textId="77777777" w:rsidR="003A33A6" w:rsidRPr="00B30A12" w:rsidRDefault="003A33A6" w:rsidP="0054140C">
      <w:pPr>
        <w:widowControl w:val="0"/>
        <w:rPr>
          <w:color w:val="000000"/>
          <w:sz w:val="22"/>
          <w:szCs w:val="22"/>
        </w:rPr>
      </w:pPr>
      <w:r w:rsidRPr="00B30A12">
        <w:rPr>
          <w:color w:val="000000"/>
          <w:sz w:val="22"/>
          <w:szCs w:val="22"/>
        </w:rPr>
        <w:t xml:space="preserve">Es gibt Fallberichte über Wachstumsverzögerung bei Kindern und Jugendlichen vor der Pubertät unter Imatinib. </w:t>
      </w:r>
      <w:r w:rsidR="00EE08FE" w:rsidRPr="009D78AA">
        <w:rPr>
          <w:color w:val="000000"/>
          <w:sz w:val="22"/>
          <w:szCs w:val="22"/>
        </w:rPr>
        <w:t xml:space="preserve">In einer Beobachtungsstudie bei Kindern und Jugendlichen mit CML wurde </w:t>
      </w:r>
      <w:r w:rsidR="00442653" w:rsidRPr="009D78AA">
        <w:rPr>
          <w:color w:val="000000"/>
          <w:sz w:val="22"/>
          <w:szCs w:val="22"/>
        </w:rPr>
        <w:t>ein statistisch signifikanter Rückgang (jedoch mit un</w:t>
      </w:r>
      <w:r w:rsidR="00094B8D" w:rsidRPr="009D78AA">
        <w:rPr>
          <w:color w:val="000000"/>
          <w:sz w:val="22"/>
          <w:szCs w:val="22"/>
        </w:rPr>
        <w:t>klarer</w:t>
      </w:r>
      <w:r w:rsidR="00442653" w:rsidRPr="009D78AA">
        <w:rPr>
          <w:color w:val="000000"/>
          <w:sz w:val="22"/>
          <w:szCs w:val="22"/>
        </w:rPr>
        <w:t xml:space="preserve"> klinischer Relevanz) </w:t>
      </w:r>
      <w:r w:rsidR="00C92052" w:rsidRPr="009D78AA">
        <w:rPr>
          <w:color w:val="000000"/>
          <w:sz w:val="22"/>
          <w:szCs w:val="22"/>
        </w:rPr>
        <w:t>der SDS-Werte</w:t>
      </w:r>
      <w:r w:rsidR="00EE08FE" w:rsidRPr="009D78AA">
        <w:rPr>
          <w:color w:val="000000"/>
          <w:sz w:val="22"/>
          <w:szCs w:val="22"/>
        </w:rPr>
        <w:t xml:space="preserve"> (</w:t>
      </w:r>
      <w:r w:rsidR="00EE08FE" w:rsidRPr="008F71F0">
        <w:rPr>
          <w:i/>
          <w:color w:val="000000"/>
          <w:sz w:val="22"/>
          <w:szCs w:val="22"/>
        </w:rPr>
        <w:t>standard deviation scores</w:t>
      </w:r>
      <w:r w:rsidR="00EE08FE" w:rsidRPr="00B0401D">
        <w:rPr>
          <w:color w:val="000000"/>
          <w:sz w:val="22"/>
          <w:szCs w:val="22"/>
        </w:rPr>
        <w:t>) der medianen Körpergröße nach 12 und 24 Behandlungsmonaten für zwei kleine Untergruppen unabhängig vom Pubertätsstatus oder Geschlecht berichtet.</w:t>
      </w:r>
      <w:r w:rsidR="00EE08FE">
        <w:rPr>
          <w:color w:val="000000"/>
          <w:sz w:val="22"/>
          <w:szCs w:val="22"/>
        </w:rPr>
        <w:t xml:space="preserve"> E</w:t>
      </w:r>
      <w:r w:rsidRPr="00B30A12">
        <w:rPr>
          <w:color w:val="000000"/>
          <w:sz w:val="22"/>
          <w:szCs w:val="22"/>
        </w:rPr>
        <w:t xml:space="preserve">ine enge Überwachung des Wachstums bei Kindern während der Imatinib-Behandlung </w:t>
      </w:r>
      <w:r w:rsidR="00EE08FE">
        <w:rPr>
          <w:color w:val="000000"/>
          <w:sz w:val="22"/>
          <w:szCs w:val="22"/>
        </w:rPr>
        <w:t xml:space="preserve">wird </w:t>
      </w:r>
      <w:r w:rsidRPr="00B30A12">
        <w:rPr>
          <w:color w:val="000000"/>
          <w:sz w:val="22"/>
          <w:szCs w:val="22"/>
        </w:rPr>
        <w:t>empfohlen (siehe Abschnitt 4.8).</w:t>
      </w:r>
    </w:p>
    <w:p w14:paraId="373E207D" w14:textId="77777777" w:rsidR="003A33A6" w:rsidRPr="00B30A12" w:rsidRDefault="003A33A6" w:rsidP="0054140C">
      <w:pPr>
        <w:pStyle w:val="Header"/>
        <w:widowControl w:val="0"/>
        <w:tabs>
          <w:tab w:val="clear" w:pos="4320"/>
          <w:tab w:val="clear" w:pos="8640"/>
        </w:tabs>
        <w:rPr>
          <w:color w:val="000000"/>
          <w:szCs w:val="22"/>
        </w:rPr>
      </w:pPr>
    </w:p>
    <w:p w14:paraId="65712537" w14:textId="77777777" w:rsidR="003A33A6" w:rsidRPr="00B30A12" w:rsidRDefault="003A33A6" w:rsidP="003D30FF">
      <w:pPr>
        <w:keepNext/>
        <w:widowControl w:val="0"/>
        <w:ind w:left="567" w:hanging="567"/>
        <w:rPr>
          <w:b/>
          <w:color w:val="000000"/>
          <w:sz w:val="22"/>
          <w:szCs w:val="22"/>
        </w:rPr>
      </w:pPr>
      <w:r w:rsidRPr="00B30A12">
        <w:rPr>
          <w:b/>
          <w:color w:val="000000"/>
          <w:sz w:val="22"/>
          <w:szCs w:val="22"/>
        </w:rPr>
        <w:t>4.5</w:t>
      </w:r>
      <w:r w:rsidRPr="00B30A12">
        <w:rPr>
          <w:b/>
          <w:color w:val="000000"/>
          <w:sz w:val="22"/>
          <w:szCs w:val="22"/>
        </w:rPr>
        <w:tab/>
        <w:t>Wechselwirkungen mit anderen Arzneimitteln und sonstige Wechselwirkungen</w:t>
      </w:r>
    </w:p>
    <w:p w14:paraId="40AD9C9A" w14:textId="77777777" w:rsidR="003A33A6" w:rsidRPr="00B30A12" w:rsidRDefault="003A33A6" w:rsidP="003D30FF">
      <w:pPr>
        <w:pStyle w:val="Header"/>
        <w:keepNext/>
        <w:widowControl w:val="0"/>
        <w:tabs>
          <w:tab w:val="clear" w:pos="4320"/>
          <w:tab w:val="clear" w:pos="8640"/>
        </w:tabs>
        <w:rPr>
          <w:color w:val="000000"/>
          <w:szCs w:val="22"/>
        </w:rPr>
      </w:pPr>
    </w:p>
    <w:p w14:paraId="5F5D8FD1"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 xml:space="preserve">Wirkstoffe, welche die Plasmakonzentrationen von Imatinib </w:t>
      </w:r>
      <w:r w:rsidRPr="00B30A12">
        <w:rPr>
          <w:b/>
          <w:color w:val="000000"/>
          <w:sz w:val="22"/>
          <w:szCs w:val="22"/>
          <w:u w:val="single"/>
        </w:rPr>
        <w:t xml:space="preserve">erhöhen </w:t>
      </w:r>
      <w:r w:rsidRPr="00B30A12">
        <w:rPr>
          <w:color w:val="000000"/>
          <w:sz w:val="22"/>
          <w:szCs w:val="22"/>
          <w:u w:val="single"/>
        </w:rPr>
        <w:t>können:</w:t>
      </w:r>
    </w:p>
    <w:p w14:paraId="236336E5" w14:textId="77777777" w:rsidR="003A33A6" w:rsidRPr="00B30A12" w:rsidRDefault="003A33A6" w:rsidP="0054140C">
      <w:pPr>
        <w:widowControl w:val="0"/>
        <w:rPr>
          <w:color w:val="000000"/>
          <w:sz w:val="22"/>
          <w:szCs w:val="22"/>
        </w:rPr>
      </w:pPr>
      <w:r w:rsidRPr="00B30A12">
        <w:rPr>
          <w:color w:val="000000"/>
          <w:sz w:val="22"/>
          <w:szCs w:val="22"/>
        </w:rPr>
        <w:t>Substanzen, welche die Aktivität des Cytochrom-P450-Isoenzyms CYP3A4 hemmen (z. B. Proteaseinhibitoren wie Indinavir, Lopinavir/Ritonavir, Ritonavir, Saquinavir, Telaprevir, Nelfinavir, Boceprevir; Azol-Antimykotika einschließlich Ketoconazol, Itraconazol, Posaconazol, Voriconazol; bestimmte Makrolide wie Erythromycin, Clarithromycin und Telithromycin), können den Metabolismus von Imatinib vermindern und die Konzentrationen von Imatinib erhöhen. Bei gleichzeitiger Einmalgabe von Ketoconazol (ein CYP3A4-Inhibitor) zeigte sich bei Probanden eine signifikante Erhöhung der Imatinib-Konzentration (Zunahme der mittleren C</w:t>
      </w:r>
      <w:r w:rsidRPr="00B30A12">
        <w:rPr>
          <w:color w:val="000000"/>
          <w:sz w:val="22"/>
          <w:szCs w:val="22"/>
          <w:vertAlign w:val="subscript"/>
        </w:rPr>
        <w:t>max</w:t>
      </w:r>
      <w:r w:rsidRPr="00B30A12">
        <w:rPr>
          <w:color w:val="000000"/>
          <w:sz w:val="22"/>
          <w:szCs w:val="22"/>
        </w:rPr>
        <w:t xml:space="preserve"> und AUC [Area Under the Curve = Fläche unter der Kurve] von Imatinib um 26% bzw. 40%). Vorsicht ist geboten bei gleichzeitiger Gabe von Glivec mit Inhibitoren der CYP3A4-Fami</w:t>
      </w:r>
      <w:r w:rsidRPr="00B30A12">
        <w:rPr>
          <w:color w:val="000000"/>
          <w:sz w:val="22"/>
          <w:szCs w:val="22"/>
        </w:rPr>
        <w:softHyphen/>
        <w:t>lie.</w:t>
      </w:r>
    </w:p>
    <w:p w14:paraId="303DAD3C" w14:textId="77777777" w:rsidR="003A33A6" w:rsidRPr="00B30A12" w:rsidRDefault="003A33A6" w:rsidP="0054140C">
      <w:pPr>
        <w:widowControl w:val="0"/>
        <w:rPr>
          <w:color w:val="000000"/>
          <w:sz w:val="22"/>
          <w:szCs w:val="22"/>
          <w:u w:val="single"/>
        </w:rPr>
      </w:pPr>
    </w:p>
    <w:p w14:paraId="492B998F"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 xml:space="preserve">Wirkstoffe, welche die Plasmakonzentrationen von Imatinib </w:t>
      </w:r>
      <w:r w:rsidRPr="00B30A12">
        <w:rPr>
          <w:b/>
          <w:color w:val="000000"/>
          <w:sz w:val="22"/>
          <w:szCs w:val="22"/>
          <w:u w:val="single"/>
        </w:rPr>
        <w:t xml:space="preserve">vermindern </w:t>
      </w:r>
      <w:r w:rsidRPr="00B30A12">
        <w:rPr>
          <w:color w:val="000000"/>
          <w:sz w:val="22"/>
          <w:szCs w:val="22"/>
          <w:u w:val="single"/>
        </w:rPr>
        <w:t>können:</w:t>
      </w:r>
    </w:p>
    <w:p w14:paraId="28AED6B9"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Substanzen, welche die Cytochrom-CYP3A4-Aktivität induzieren (z. B. Dexamethason, Phenytoin, Carbamazepin, Rifampicin, Phenobarbital, Fosphenytoin, Primidon oder Johannis</w:t>
      </w:r>
      <w:r w:rsidRPr="00B30A12">
        <w:rPr>
          <w:rFonts w:ascii="Times New Roman" w:hAnsi="Times New Roman"/>
          <w:color w:val="000000"/>
          <w:szCs w:val="22"/>
        </w:rPr>
        <w:softHyphen/>
        <w:t>kraut), können die Imatinib-Konzentration signifikant vermindern. Dadurch kann möglicherweise das Risiko eines Therapieversagens erhöht werden. Die Vorbehandlung mit Mehrfachdosen von 600 mg Rifampicin, gefolgt von einer Einzeldo</w:t>
      </w:r>
      <w:r w:rsidRPr="00B30A12">
        <w:rPr>
          <w:rFonts w:ascii="Times New Roman" w:hAnsi="Times New Roman"/>
          <w:color w:val="000000"/>
          <w:szCs w:val="22"/>
        </w:rPr>
        <w:softHyphen/>
        <w:t>sis von 400 mg Glivec, führte zu einer Abnahme von C</w:t>
      </w:r>
      <w:r w:rsidRPr="00B30A12">
        <w:rPr>
          <w:rFonts w:ascii="Times New Roman" w:hAnsi="Times New Roman"/>
          <w:color w:val="000000"/>
          <w:szCs w:val="22"/>
          <w:vertAlign w:val="subscript"/>
        </w:rPr>
        <w:t>max</w:t>
      </w:r>
      <w:r w:rsidRPr="00B30A12">
        <w:rPr>
          <w:rFonts w:ascii="Times New Roman" w:hAnsi="Times New Roman"/>
          <w:color w:val="000000"/>
          <w:szCs w:val="22"/>
        </w:rPr>
        <w:t xml:space="preserve"> und AUC</w:t>
      </w:r>
      <w:r w:rsidRPr="00B30A12">
        <w:rPr>
          <w:rFonts w:ascii="Times New Roman" w:hAnsi="Times New Roman"/>
          <w:color w:val="000000"/>
          <w:szCs w:val="22"/>
          <w:vertAlign w:val="subscript"/>
        </w:rPr>
        <w:t>(0-∞)</w:t>
      </w:r>
      <w:r w:rsidRPr="00B30A12">
        <w:rPr>
          <w:rFonts w:ascii="Times New Roman" w:hAnsi="Times New Roman"/>
          <w:color w:val="000000"/>
          <w:szCs w:val="22"/>
        </w:rPr>
        <w:t xml:space="preserve"> um mindestens 54% und 74% der entsprechenden Werte ohne Rifampicin-Behandlung. Vergleichbare Ergebnisse wurden bei Patienten mit malignen Gliomen beobachtet, die während der Glivec-Behandlung enzyminduzierende antiepileptische Substanzen (EIAEDs) wie Carbamazepin, Oxcarbazepin und Phenytoin angewendet haben. Die AUC von Imatinib im Plasma nahm im Vergleich mit Patienten, die nicht mit EIAEDs behandelt wurden, um 73% ab. Die gleichzeitige Anwendung von Rifampicin oder anderen starken CYP3A4-Induktoren und Imatinib sollte vermieden werden.</w:t>
      </w:r>
    </w:p>
    <w:p w14:paraId="56702D87" w14:textId="77777777" w:rsidR="003A33A6" w:rsidRPr="00B30A12" w:rsidRDefault="003A33A6" w:rsidP="0054140C">
      <w:pPr>
        <w:pStyle w:val="BodyTextIndent3"/>
        <w:ind w:left="0"/>
        <w:rPr>
          <w:rFonts w:ascii="Times New Roman" w:hAnsi="Times New Roman"/>
          <w:color w:val="000000"/>
          <w:szCs w:val="22"/>
        </w:rPr>
      </w:pPr>
    </w:p>
    <w:p w14:paraId="288F8855" w14:textId="77777777" w:rsidR="003A33A6" w:rsidRPr="00B30A12" w:rsidRDefault="003A33A6" w:rsidP="003D30FF">
      <w:pPr>
        <w:pStyle w:val="BodyTextIndent3"/>
        <w:keepNext/>
        <w:ind w:left="0"/>
        <w:rPr>
          <w:rFonts w:ascii="Times New Roman" w:hAnsi="Times New Roman"/>
          <w:b/>
          <w:color w:val="000000"/>
          <w:szCs w:val="22"/>
        </w:rPr>
      </w:pPr>
      <w:r w:rsidRPr="00B30A12">
        <w:rPr>
          <w:rFonts w:ascii="Times New Roman" w:hAnsi="Times New Roman"/>
          <w:b/>
          <w:color w:val="000000"/>
          <w:szCs w:val="22"/>
        </w:rPr>
        <w:t>Wirkstoffe, deren Plasmakonzentrationen durch Glivec verändert werden können</w:t>
      </w:r>
    </w:p>
    <w:p w14:paraId="256DFB20"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Imatinib erhöht die mittlere C</w:t>
      </w:r>
      <w:r w:rsidRPr="00B30A12">
        <w:rPr>
          <w:rFonts w:ascii="Times New Roman" w:hAnsi="Times New Roman"/>
          <w:color w:val="000000"/>
          <w:szCs w:val="22"/>
          <w:vertAlign w:val="subscript"/>
        </w:rPr>
        <w:t>max</w:t>
      </w:r>
      <w:r w:rsidRPr="00B30A12">
        <w:rPr>
          <w:rFonts w:ascii="Times New Roman" w:hAnsi="Times New Roman"/>
          <w:color w:val="000000"/>
          <w:szCs w:val="22"/>
        </w:rPr>
        <w:t xml:space="preserve"> und AUC von Simvastatin (CYP3A4-Substrat) 2- bzw. 3,5fach, ein Hinweis auf die Inhibition von CYP3A4 durch Imatinib. Die Anwendung von Glivec mit CYP3A4-Sub</w:t>
      </w:r>
      <w:r w:rsidRPr="00B30A12">
        <w:rPr>
          <w:rFonts w:ascii="Times New Roman" w:hAnsi="Times New Roman"/>
          <w:color w:val="000000"/>
          <w:szCs w:val="22"/>
        </w:rPr>
        <w:softHyphen/>
        <w:t>straten mit einer engen therapeutischen Breite (z. B. Ciclosporin, Pimozid, Tacrolimus, Sirolimus, Ergotamin, Diergotamin, Fentanyl, Alfentanil, Terfenadin, Bortezomib, Docetaxel und Chinidin) muss daher mit Vorsicht erfolgen. Glivec kann die Plasmakonzentration von anderen Substanzen, die über CYP3A4 metaboli</w:t>
      </w:r>
      <w:r w:rsidRPr="00B30A12">
        <w:rPr>
          <w:rFonts w:ascii="Times New Roman" w:hAnsi="Times New Roman"/>
          <w:color w:val="000000"/>
          <w:szCs w:val="22"/>
        </w:rPr>
        <w:softHyphen/>
        <w:t>siert werden, erhöhen (z. B. Triazol-Benzodiazepine, Kalziumkanalblocker vom Dihydropyridintyp, be</w:t>
      </w:r>
      <w:r w:rsidRPr="00B30A12">
        <w:rPr>
          <w:rFonts w:ascii="Times New Roman" w:hAnsi="Times New Roman"/>
          <w:color w:val="000000"/>
          <w:szCs w:val="22"/>
        </w:rPr>
        <w:softHyphen/>
        <w:t xml:space="preserve">stimmte </w:t>
      </w:r>
      <w:smartTag w:uri="urn:schemas-microsoft-com:office:smarttags" w:element="stockticker">
        <w:r w:rsidRPr="00B30A12">
          <w:rPr>
            <w:rFonts w:ascii="Times New Roman" w:hAnsi="Times New Roman"/>
            <w:color w:val="000000"/>
            <w:szCs w:val="22"/>
          </w:rPr>
          <w:t>HMG</w:t>
        </w:r>
      </w:smartTag>
      <w:r w:rsidRPr="00B30A12">
        <w:rPr>
          <w:rFonts w:ascii="Times New Roman" w:hAnsi="Times New Roman"/>
          <w:color w:val="000000"/>
          <w:szCs w:val="22"/>
        </w:rPr>
        <w:t>-CoA-Reduktase-Inhibitoren wie die Statine etc.).</w:t>
      </w:r>
    </w:p>
    <w:p w14:paraId="0747B0BA" w14:textId="77777777" w:rsidR="003A33A6" w:rsidRPr="00B30A12" w:rsidRDefault="003A33A6" w:rsidP="0054140C">
      <w:pPr>
        <w:pStyle w:val="BodyTextIndent3"/>
        <w:ind w:left="0"/>
        <w:rPr>
          <w:rFonts w:ascii="Times New Roman" w:hAnsi="Times New Roman"/>
          <w:color w:val="000000"/>
          <w:szCs w:val="22"/>
        </w:rPr>
      </w:pPr>
    </w:p>
    <w:p w14:paraId="64538897"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Aufgrund des bekannten erhöhten Risikos für Blutungen in Verbindung mit der Anwendung von Imatinib (z. B. Hämorrhagie) sollten Patienten, die eine Antikoagulation benötigen, niedermolekulares oder Standardheparin anstelle von Cumarin-Derivaten wie Warfarin erhalten.</w:t>
      </w:r>
    </w:p>
    <w:p w14:paraId="73ABEB75" w14:textId="77777777" w:rsidR="003A33A6" w:rsidRPr="00B30A12" w:rsidRDefault="003A33A6" w:rsidP="0054140C">
      <w:pPr>
        <w:pStyle w:val="BodyTextIndent3"/>
        <w:ind w:left="0"/>
        <w:rPr>
          <w:rFonts w:ascii="Times New Roman" w:hAnsi="Times New Roman"/>
          <w:color w:val="000000"/>
          <w:szCs w:val="22"/>
        </w:rPr>
      </w:pPr>
    </w:p>
    <w:p w14:paraId="2574E935"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i/>
          <w:color w:val="000000"/>
          <w:szCs w:val="22"/>
        </w:rPr>
        <w:t>In vitro</w:t>
      </w:r>
      <w:r w:rsidRPr="00B30A12">
        <w:rPr>
          <w:rFonts w:ascii="Times New Roman" w:hAnsi="Times New Roman"/>
          <w:color w:val="000000"/>
          <w:szCs w:val="22"/>
        </w:rPr>
        <w:t xml:space="preserve"> inhibiert Glivec die Aktivität des Cytochrom-P450-Isoenzyms CYP2D6 bei den gleichen Konzentrationen, die auch die CYP3A4-Aktivität hemmen. Imatinib in einer Dosierung von zweimal täglich 400 mg hatte einen inhibitorischen Effekt auf die CYP2D6-vermittelte Metabolisierung von Metoprolol, wobei C</w:t>
      </w:r>
      <w:r w:rsidRPr="00B30A12">
        <w:rPr>
          <w:rFonts w:ascii="Times New Roman" w:hAnsi="Times New Roman"/>
          <w:color w:val="000000"/>
          <w:szCs w:val="22"/>
          <w:vertAlign w:val="subscript"/>
        </w:rPr>
        <w:t>max</w:t>
      </w:r>
      <w:r w:rsidRPr="00B30A12">
        <w:rPr>
          <w:rFonts w:ascii="Times New Roman" w:hAnsi="Times New Roman"/>
          <w:color w:val="000000"/>
          <w:szCs w:val="22"/>
        </w:rPr>
        <w:t xml:space="preserve"> und AUC von Metoprolol um etwa 23% (90% Konfidenzintervall [1,16</w:t>
      </w:r>
      <w:r w:rsidRPr="00B30A12">
        <w:rPr>
          <w:rFonts w:ascii="Times New Roman" w:hAnsi="Times New Roman"/>
          <w:color w:val="000000"/>
          <w:szCs w:val="22"/>
        </w:rPr>
        <w:noBreakHyphen/>
        <w:t xml:space="preserve">1,30]) angehoben wurden. Dosisanpassungen scheinen nicht erforderlich zu sein, wenn Imatinib gleichzeitig mit CYP2D6-Substraten verabreicht wird. Bei CYP2D6-Substraten mit engem therapeutischem </w:t>
      </w:r>
      <w:r w:rsidRPr="00B30A12">
        <w:rPr>
          <w:rFonts w:ascii="Times New Roman" w:hAnsi="Times New Roman"/>
          <w:color w:val="000000"/>
          <w:szCs w:val="22"/>
        </w:rPr>
        <w:lastRenderedPageBreak/>
        <w:t>Fenster wie Metoprolol ist jedoch Vorsicht geboten. Bei Patienten, die mit Metoprolol behandelt werden, sollte eine klinische Überwachung in Erwägung gezogen werden.</w:t>
      </w:r>
    </w:p>
    <w:p w14:paraId="112359EB" w14:textId="77777777" w:rsidR="003A33A6" w:rsidRPr="00B30A12" w:rsidRDefault="003A33A6" w:rsidP="0054140C">
      <w:pPr>
        <w:pStyle w:val="BodyTextIndent3"/>
        <w:ind w:left="0"/>
        <w:rPr>
          <w:rFonts w:ascii="Times New Roman" w:hAnsi="Times New Roman"/>
          <w:color w:val="000000"/>
          <w:szCs w:val="22"/>
        </w:rPr>
      </w:pPr>
    </w:p>
    <w:p w14:paraId="143D40AD"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i/>
          <w:color w:val="000000"/>
          <w:szCs w:val="22"/>
        </w:rPr>
        <w:t>In vitro</w:t>
      </w:r>
      <w:r w:rsidRPr="00B30A12">
        <w:rPr>
          <w:rFonts w:ascii="Times New Roman" w:hAnsi="Times New Roman"/>
          <w:color w:val="000000"/>
          <w:szCs w:val="22"/>
        </w:rPr>
        <w:t xml:space="preserve"> inhibiert Glivec die O-Glukuronidierung von Paracetamol mit einem K</w:t>
      </w:r>
      <w:r w:rsidRPr="00B30A12">
        <w:rPr>
          <w:rFonts w:ascii="Times New Roman" w:hAnsi="Times New Roman"/>
          <w:color w:val="000000"/>
          <w:szCs w:val="22"/>
          <w:vertAlign w:val="subscript"/>
        </w:rPr>
        <w:t>i</w:t>
      </w:r>
      <w:r w:rsidRPr="00B30A12">
        <w:rPr>
          <w:rFonts w:ascii="Times New Roman" w:hAnsi="Times New Roman"/>
          <w:color w:val="000000"/>
          <w:szCs w:val="22"/>
        </w:rPr>
        <w:t xml:space="preserve">-Wert von 58,5 Mikromol/l. </w:t>
      </w:r>
      <w:r w:rsidRPr="00B30A12">
        <w:rPr>
          <w:rFonts w:ascii="Times New Roman" w:hAnsi="Times New Roman"/>
          <w:i/>
          <w:color w:val="000000"/>
          <w:szCs w:val="22"/>
        </w:rPr>
        <w:t>In vivo</w:t>
      </w:r>
      <w:r w:rsidRPr="00B30A12">
        <w:rPr>
          <w:rFonts w:ascii="Times New Roman" w:hAnsi="Times New Roman"/>
          <w:color w:val="000000"/>
          <w:szCs w:val="22"/>
        </w:rPr>
        <w:t xml:space="preserve"> wurde diese Hemmung nach der Anwendung von 400 mg Glivec und 1000 mg Paracetamol nicht beobachtet. Höhere Dosen von Glivec und Paracetamol wurden nicht untersucht.</w:t>
      </w:r>
    </w:p>
    <w:p w14:paraId="0CE6D816" w14:textId="77777777" w:rsidR="003A33A6" w:rsidRPr="00B30A12" w:rsidRDefault="003A33A6" w:rsidP="0054140C">
      <w:pPr>
        <w:pStyle w:val="BodyTextIndent3"/>
        <w:ind w:left="0"/>
        <w:rPr>
          <w:rFonts w:ascii="Times New Roman" w:hAnsi="Times New Roman"/>
          <w:color w:val="000000"/>
          <w:szCs w:val="22"/>
        </w:rPr>
      </w:pPr>
    </w:p>
    <w:p w14:paraId="0EFC700E"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Daher ist Vorsicht geboten, wenn Glivec und Paracetamol gleichzeitig in hohen Dosen gegeben werden.</w:t>
      </w:r>
    </w:p>
    <w:p w14:paraId="05637513" w14:textId="77777777" w:rsidR="003A33A6" w:rsidRPr="00B30A12" w:rsidRDefault="003A33A6" w:rsidP="0054140C">
      <w:pPr>
        <w:pStyle w:val="BodyTextIndent3"/>
        <w:ind w:left="0"/>
        <w:rPr>
          <w:rFonts w:ascii="Times New Roman" w:hAnsi="Times New Roman"/>
          <w:color w:val="000000"/>
          <w:szCs w:val="22"/>
        </w:rPr>
      </w:pPr>
    </w:p>
    <w:p w14:paraId="538EFEEB" w14:textId="77777777" w:rsidR="003A33A6" w:rsidRPr="00B30A12" w:rsidRDefault="003A33A6" w:rsidP="0054140C">
      <w:pPr>
        <w:widowControl w:val="0"/>
        <w:rPr>
          <w:color w:val="000000"/>
          <w:sz w:val="22"/>
          <w:szCs w:val="22"/>
        </w:rPr>
      </w:pPr>
      <w:r w:rsidRPr="00B30A12">
        <w:rPr>
          <w:color w:val="000000"/>
          <w:sz w:val="22"/>
          <w:szCs w:val="22"/>
        </w:rPr>
        <w:t>Bei Patienten, die nach Thyreoidektomie Levothyroxin erhalten, kann die Plasmakonzentration von Levothyroxin bei gleichzeitiger Gabe von Glivec herabgesetzt sein (siehe Abschnitt 4.4). Daher ist Vorsicht geboten. Der Mechanismus dieser beobachteten Wechselwirkung ist jedoch gegenwärtig nicht bekannt.</w:t>
      </w:r>
    </w:p>
    <w:p w14:paraId="2FD64CDF" w14:textId="77777777" w:rsidR="003A33A6" w:rsidRPr="00B30A12" w:rsidRDefault="003A33A6" w:rsidP="0054140C">
      <w:pPr>
        <w:pStyle w:val="BodyTextIndent3"/>
        <w:ind w:left="0"/>
        <w:rPr>
          <w:rFonts w:ascii="Times New Roman" w:hAnsi="Times New Roman"/>
          <w:color w:val="000000"/>
          <w:szCs w:val="22"/>
        </w:rPr>
      </w:pPr>
    </w:p>
    <w:p w14:paraId="4B4FD623"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Bei Patienten mit Ph+ </w:t>
      </w:r>
      <w:smartTag w:uri="urn:schemas-microsoft-com:office:smarttags" w:element="stockticker">
        <w:r w:rsidRPr="00B30A12">
          <w:rPr>
            <w:rFonts w:ascii="Times New Roman" w:hAnsi="Times New Roman"/>
            <w:color w:val="000000"/>
            <w:szCs w:val="22"/>
          </w:rPr>
          <w:t>ALL</w:t>
        </w:r>
      </w:smartTag>
      <w:r w:rsidRPr="00B30A12">
        <w:rPr>
          <w:rFonts w:ascii="Times New Roman" w:hAnsi="Times New Roman"/>
          <w:color w:val="000000"/>
          <w:szCs w:val="22"/>
        </w:rPr>
        <w:t xml:space="preserve"> liegen klinische Erfahrungen mit der gleichzeitigen Gabe von Glivec und Chemotherapeutika vor (siehe Abschnitt 5.1), jedoch sind Arzneimittelwechselwirkungen zwischen Imatinib und Chemotherapie-Schemata nicht gut beschrieben. Unerwünschte Wirkungen von Imatinib, d. h. Hepatotoxizität, Myelosuppression oder andere Nebenwirkungen, können verstärkt werden. Es wurde berichtet, dass die gleichzeitige Anwendung von L-Asparaginase mit einer erhöhten Lebertoxizität verbunden sein kann (siehe Abschnitt 4.8). Daher erfordert die Anwendung von Glivec in Kombinationen besondere Vorsicht.</w:t>
      </w:r>
    </w:p>
    <w:p w14:paraId="50D6CF5C" w14:textId="77777777" w:rsidR="003A33A6" w:rsidRPr="00B30A12" w:rsidRDefault="003A33A6" w:rsidP="0054140C">
      <w:pPr>
        <w:widowControl w:val="0"/>
        <w:rPr>
          <w:color w:val="000000"/>
          <w:sz w:val="22"/>
          <w:szCs w:val="22"/>
        </w:rPr>
      </w:pPr>
    </w:p>
    <w:p w14:paraId="5BDDE3AC" w14:textId="77777777" w:rsidR="003A33A6" w:rsidRPr="00B30A12" w:rsidRDefault="003A33A6" w:rsidP="003D30FF">
      <w:pPr>
        <w:keepNext/>
        <w:widowControl w:val="0"/>
        <w:ind w:left="567" w:hanging="567"/>
        <w:rPr>
          <w:color w:val="000000"/>
          <w:sz w:val="22"/>
          <w:szCs w:val="22"/>
        </w:rPr>
      </w:pPr>
      <w:r w:rsidRPr="00B30A12">
        <w:rPr>
          <w:b/>
          <w:color w:val="000000"/>
          <w:sz w:val="22"/>
          <w:szCs w:val="22"/>
        </w:rPr>
        <w:t>4.6</w:t>
      </w:r>
      <w:r w:rsidRPr="00B30A12">
        <w:rPr>
          <w:b/>
          <w:color w:val="000000"/>
          <w:sz w:val="22"/>
          <w:szCs w:val="22"/>
        </w:rPr>
        <w:tab/>
        <w:t>Fertilität, Schwangerschaft und Stillzeit</w:t>
      </w:r>
    </w:p>
    <w:p w14:paraId="6A7422DC" w14:textId="77777777" w:rsidR="003A33A6" w:rsidRPr="00B30A12" w:rsidRDefault="003A33A6" w:rsidP="003D30FF">
      <w:pPr>
        <w:keepNext/>
        <w:widowControl w:val="0"/>
        <w:rPr>
          <w:color w:val="000000"/>
          <w:sz w:val="22"/>
          <w:szCs w:val="22"/>
          <w:u w:val="single"/>
        </w:rPr>
      </w:pPr>
    </w:p>
    <w:p w14:paraId="046A48E9" w14:textId="77777777" w:rsidR="003A33A6" w:rsidRPr="00B30A12" w:rsidRDefault="003A33A6" w:rsidP="003D30FF">
      <w:pPr>
        <w:pStyle w:val="Text"/>
        <w:keepNext/>
        <w:widowControl w:val="0"/>
        <w:spacing w:before="0"/>
        <w:jc w:val="left"/>
        <w:rPr>
          <w:sz w:val="22"/>
          <w:szCs w:val="22"/>
          <w:u w:val="single"/>
          <w:lang w:val="de-DE"/>
        </w:rPr>
      </w:pPr>
      <w:r w:rsidRPr="00B30A12">
        <w:rPr>
          <w:sz w:val="22"/>
          <w:szCs w:val="22"/>
          <w:u w:val="single"/>
          <w:lang w:val="de-DE"/>
        </w:rPr>
        <w:t>Frauen im gebärfähigen Alter</w:t>
      </w:r>
    </w:p>
    <w:p w14:paraId="7C7BD733" w14:textId="043AB44A" w:rsidR="003A33A6" w:rsidRPr="00B30A12" w:rsidRDefault="003A33A6" w:rsidP="0054140C">
      <w:pPr>
        <w:pStyle w:val="Text"/>
        <w:widowControl w:val="0"/>
        <w:spacing w:before="0"/>
        <w:jc w:val="left"/>
        <w:rPr>
          <w:sz w:val="22"/>
          <w:szCs w:val="22"/>
          <w:lang w:val="de-DE"/>
        </w:rPr>
      </w:pPr>
      <w:r w:rsidRPr="00B30A12">
        <w:rPr>
          <w:sz w:val="22"/>
          <w:szCs w:val="22"/>
          <w:lang w:val="de-DE"/>
        </w:rPr>
        <w:t xml:space="preserve">Frauen im gebärfähigen Alter müssen darüber aufgeklärt werden, während der Behandlung </w:t>
      </w:r>
      <w:r w:rsidR="007E0152" w:rsidRPr="007E0152">
        <w:rPr>
          <w:sz w:val="22"/>
          <w:szCs w:val="22"/>
          <w:lang w:val="de-DE"/>
        </w:rPr>
        <w:t>und für mindestens 15</w:t>
      </w:r>
      <w:r w:rsidR="003B3786">
        <w:rPr>
          <w:sz w:val="22"/>
          <w:szCs w:val="22"/>
          <w:lang w:val="de-DE"/>
        </w:rPr>
        <w:t> </w:t>
      </w:r>
      <w:r w:rsidR="007E0152" w:rsidRPr="007E0152">
        <w:rPr>
          <w:sz w:val="22"/>
          <w:szCs w:val="22"/>
          <w:lang w:val="de-DE"/>
        </w:rPr>
        <w:t xml:space="preserve">Tage nach Beendigung der Behandlung mit Glivec </w:t>
      </w:r>
      <w:r w:rsidRPr="00B30A12">
        <w:rPr>
          <w:sz w:val="22"/>
          <w:szCs w:val="22"/>
          <w:lang w:val="de-DE"/>
        </w:rPr>
        <w:t>eine zuverlässige Verhütungsmethode anzuwenden.</w:t>
      </w:r>
    </w:p>
    <w:p w14:paraId="35FBC773" w14:textId="77777777" w:rsidR="003A33A6" w:rsidRPr="00B30A12" w:rsidRDefault="003A33A6" w:rsidP="0054140C">
      <w:pPr>
        <w:widowControl w:val="0"/>
        <w:rPr>
          <w:color w:val="000000"/>
          <w:sz w:val="22"/>
          <w:szCs w:val="22"/>
          <w:u w:val="single"/>
        </w:rPr>
      </w:pPr>
    </w:p>
    <w:p w14:paraId="171F4D70"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Schwangerschaft</w:t>
      </w:r>
    </w:p>
    <w:p w14:paraId="26EA802E" w14:textId="77777777" w:rsidR="003A33A6" w:rsidRPr="00B30A12" w:rsidRDefault="003A33A6" w:rsidP="0054140C">
      <w:pPr>
        <w:widowControl w:val="0"/>
        <w:rPr>
          <w:color w:val="000000"/>
          <w:sz w:val="22"/>
          <w:szCs w:val="22"/>
        </w:rPr>
      </w:pPr>
      <w:r w:rsidRPr="00B30A12">
        <w:rPr>
          <w:color w:val="000000"/>
          <w:sz w:val="22"/>
          <w:szCs w:val="22"/>
        </w:rPr>
        <w:t xml:space="preserve">Es liegen begrenzte Daten für die Verwendung von Imatinib bei Schwangeren vor. </w:t>
      </w:r>
      <w:r w:rsidR="00C36708" w:rsidRPr="00B30A12">
        <w:rPr>
          <w:color w:val="000000"/>
          <w:sz w:val="22"/>
          <w:szCs w:val="22"/>
        </w:rPr>
        <w:t xml:space="preserve">Wie Berichte nach Markteinführung zeigten, kann Imatinib Fehlgeburten oder Geburtsfehler verursachen, wenn es bei schwangeren Frauen angewendet wird. </w:t>
      </w:r>
      <w:r w:rsidRPr="00B30A12">
        <w:rPr>
          <w:color w:val="000000"/>
          <w:sz w:val="22"/>
          <w:szCs w:val="22"/>
        </w:rPr>
        <w:t>Tierexperimentelle Studien haben jedoch eine Reproduktionstoxizität gezeigt (siehe Abschnitt 5.3) und das potenzielle Risiko für den Fetus ist nicht bekannt. Glivec darf während der Schwangerschaft nicht angewendet werden, es sei denn, dies ist eindeutig erforderlich. Wenn es während einer Schwangerschaft angewendet wird, muss die Patientin über ein mögliches Risiko für den Fetus informiert werden.</w:t>
      </w:r>
    </w:p>
    <w:p w14:paraId="0D442AEC" w14:textId="77777777" w:rsidR="003A33A6" w:rsidRPr="00B30A12" w:rsidRDefault="003A33A6" w:rsidP="0054140C">
      <w:pPr>
        <w:pStyle w:val="Header"/>
        <w:widowControl w:val="0"/>
        <w:tabs>
          <w:tab w:val="clear" w:pos="4320"/>
          <w:tab w:val="clear" w:pos="8640"/>
        </w:tabs>
        <w:rPr>
          <w:color w:val="000000"/>
          <w:szCs w:val="22"/>
        </w:rPr>
      </w:pPr>
    </w:p>
    <w:p w14:paraId="0B2F5AC8" w14:textId="77777777" w:rsidR="003A33A6" w:rsidRPr="00B30A12" w:rsidRDefault="003A33A6" w:rsidP="003D30FF">
      <w:pPr>
        <w:keepNext/>
        <w:widowControl w:val="0"/>
        <w:rPr>
          <w:color w:val="000000"/>
          <w:sz w:val="22"/>
          <w:szCs w:val="22"/>
          <w:u w:val="single"/>
        </w:rPr>
      </w:pPr>
      <w:r w:rsidRPr="00B30A12">
        <w:rPr>
          <w:color w:val="000000"/>
          <w:sz w:val="22"/>
          <w:szCs w:val="22"/>
          <w:u w:val="single"/>
        </w:rPr>
        <w:t>Stillzeit</w:t>
      </w:r>
    </w:p>
    <w:p w14:paraId="32BA633A" w14:textId="1CFE64C0" w:rsidR="003A33A6" w:rsidRPr="00B30A12" w:rsidRDefault="003A33A6" w:rsidP="0054140C">
      <w:pPr>
        <w:widowControl w:val="0"/>
        <w:rPr>
          <w:color w:val="000000"/>
          <w:sz w:val="22"/>
          <w:szCs w:val="22"/>
        </w:rPr>
      </w:pPr>
      <w:r w:rsidRPr="00B30A12">
        <w:rPr>
          <w:color w:val="000000"/>
          <w:sz w:val="22"/>
          <w:szCs w:val="22"/>
        </w:rPr>
        <w:t>Es liegen begrenzte Informationen zum Übergang von Imatinib in die Muttermilch vor. Studien mit zwei stillenden Frauen haben gezeigt, dass sowohl Imatinib als auch sein aktiver Metabolit in die Muttermilch übergehen können. Der Milch-Plasma-Quotient für Imatinib wurde bei einer einzelnen Patientin mit 0,5 und für den Metaboliten mit 0,9 bestimmt, was auf eine größere Verteilung des Metaboliten in die Muttermilch schließen lässt. Bezüglich der Gesamtkonzentration von Imatinib und dem Metaboliten sowie der maximalen täglichen Milchaufnahme von Kindern kann von einer geringen Gesamtexposition ausgegangen werden (</w:t>
      </w:r>
      <w:r w:rsidRPr="00B30A12">
        <w:rPr>
          <w:color w:val="000000"/>
          <w:sz w:val="22"/>
          <w:szCs w:val="22"/>
        </w:rPr>
        <w:sym w:font="Symbol" w:char="F07E"/>
      </w:r>
      <w:r w:rsidRPr="00B30A12">
        <w:rPr>
          <w:color w:val="000000"/>
          <w:sz w:val="22"/>
          <w:szCs w:val="22"/>
        </w:rPr>
        <w:t xml:space="preserve">10% einer therapeutischen Dosis). Da allerdings die Wirkungen einer niedrig dosierten Exposition eines Kindes mit Imatinib nicht bekannt sind, dürfen Frauen </w:t>
      </w:r>
      <w:r w:rsidR="007E0152" w:rsidRPr="00B30A12">
        <w:rPr>
          <w:sz w:val="22"/>
          <w:szCs w:val="22"/>
        </w:rPr>
        <w:t xml:space="preserve">während der Behandlung </w:t>
      </w:r>
      <w:r w:rsidR="007E0152" w:rsidRPr="002A051A">
        <w:rPr>
          <w:sz w:val="22"/>
          <w:szCs w:val="22"/>
        </w:rPr>
        <w:t xml:space="preserve">und </w:t>
      </w:r>
      <w:r w:rsidR="007E0152">
        <w:rPr>
          <w:sz w:val="22"/>
          <w:szCs w:val="22"/>
        </w:rPr>
        <w:t>für mindestens 15 Tage</w:t>
      </w:r>
      <w:r w:rsidR="007E0152" w:rsidRPr="002A051A">
        <w:rPr>
          <w:sz w:val="22"/>
          <w:szCs w:val="22"/>
        </w:rPr>
        <w:t xml:space="preserve"> nach Beendigung der Behandlung </w:t>
      </w:r>
      <w:r w:rsidR="007E0152">
        <w:rPr>
          <w:sz w:val="22"/>
          <w:szCs w:val="22"/>
        </w:rPr>
        <w:t xml:space="preserve">mit Glivec </w:t>
      </w:r>
      <w:r w:rsidRPr="00B30A12">
        <w:rPr>
          <w:color w:val="000000"/>
          <w:sz w:val="22"/>
          <w:szCs w:val="22"/>
        </w:rPr>
        <w:t>nicht stillen.</w:t>
      </w:r>
    </w:p>
    <w:p w14:paraId="337D873B" w14:textId="77777777" w:rsidR="003A33A6" w:rsidRPr="00B30A12" w:rsidRDefault="003A33A6" w:rsidP="0054140C">
      <w:pPr>
        <w:widowControl w:val="0"/>
        <w:rPr>
          <w:color w:val="000000"/>
          <w:sz w:val="22"/>
          <w:szCs w:val="22"/>
        </w:rPr>
      </w:pPr>
    </w:p>
    <w:p w14:paraId="71B9B022" w14:textId="77777777" w:rsidR="003A33A6" w:rsidRPr="00B30A12" w:rsidRDefault="003A33A6" w:rsidP="00F35CB5">
      <w:pPr>
        <w:keepNext/>
        <w:widowControl w:val="0"/>
        <w:rPr>
          <w:color w:val="000000"/>
          <w:sz w:val="22"/>
          <w:szCs w:val="22"/>
          <w:u w:val="single"/>
        </w:rPr>
      </w:pPr>
      <w:r w:rsidRPr="00B30A12">
        <w:rPr>
          <w:color w:val="000000"/>
          <w:sz w:val="22"/>
          <w:szCs w:val="22"/>
          <w:u w:val="single"/>
        </w:rPr>
        <w:t>Fertilität</w:t>
      </w:r>
    </w:p>
    <w:p w14:paraId="7BA6F00D" w14:textId="77777777" w:rsidR="003A33A6" w:rsidRPr="00B30A12" w:rsidRDefault="003A33A6" w:rsidP="0054140C">
      <w:pPr>
        <w:pStyle w:val="Header"/>
        <w:widowControl w:val="0"/>
        <w:tabs>
          <w:tab w:val="clear" w:pos="4320"/>
          <w:tab w:val="clear" w:pos="8640"/>
        </w:tabs>
        <w:rPr>
          <w:color w:val="000000"/>
          <w:szCs w:val="22"/>
        </w:rPr>
      </w:pPr>
      <w:r w:rsidRPr="00B30A12">
        <w:rPr>
          <w:color w:val="000000"/>
          <w:szCs w:val="22"/>
        </w:rPr>
        <w:t>In nicht-klinischen Studien war die Fertilität von männlichen und weiblichen Ratten nicht beeinträchtigt</w:t>
      </w:r>
      <w:r w:rsidR="007E0152">
        <w:rPr>
          <w:color w:val="000000"/>
          <w:szCs w:val="22"/>
        </w:rPr>
        <w:t>,</w:t>
      </w:r>
      <w:r w:rsidR="007E0152" w:rsidRPr="00131F7A">
        <w:t xml:space="preserve"> </w:t>
      </w:r>
      <w:r w:rsidR="007E0152">
        <w:rPr>
          <w:color w:val="000000"/>
          <w:szCs w:val="22"/>
        </w:rPr>
        <w:t>wobei jedoch</w:t>
      </w:r>
      <w:r w:rsidR="007E0152" w:rsidRPr="00131F7A">
        <w:rPr>
          <w:color w:val="000000"/>
          <w:szCs w:val="22"/>
        </w:rPr>
        <w:t xml:space="preserve"> Auswirkungen auf die Reproduktionsparameter beobachtet wurden</w:t>
      </w:r>
      <w:r w:rsidRPr="00B30A12">
        <w:rPr>
          <w:color w:val="000000"/>
          <w:szCs w:val="22"/>
        </w:rPr>
        <w:t xml:space="preserve"> (siehe Abschnitt 5.3). Studien mit Patienten, die Glivec erhalten, und die den Effekt auf die Fertilität und die Gametogenese untersuchen, wurden nicht durchgeführt. Patienten, die während der Behandlung mit </w:t>
      </w:r>
      <w:r w:rsidRPr="00B30A12">
        <w:rPr>
          <w:color w:val="000000"/>
          <w:szCs w:val="22"/>
        </w:rPr>
        <w:lastRenderedPageBreak/>
        <w:t>Glivec um ihre Fertilität besorgt sind, sollten dies mit ihrem Arzt besprechen.</w:t>
      </w:r>
    </w:p>
    <w:p w14:paraId="4E540B8C" w14:textId="77777777" w:rsidR="003A33A6" w:rsidRPr="00B30A12" w:rsidRDefault="003A33A6" w:rsidP="0054140C">
      <w:pPr>
        <w:pStyle w:val="Header"/>
        <w:widowControl w:val="0"/>
        <w:tabs>
          <w:tab w:val="clear" w:pos="4320"/>
          <w:tab w:val="clear" w:pos="8640"/>
        </w:tabs>
        <w:rPr>
          <w:color w:val="000000"/>
          <w:szCs w:val="22"/>
        </w:rPr>
      </w:pPr>
    </w:p>
    <w:p w14:paraId="094BD833" w14:textId="77777777" w:rsidR="003A33A6" w:rsidRPr="00B30A12" w:rsidRDefault="003A33A6" w:rsidP="00DA7B0B">
      <w:pPr>
        <w:keepNext/>
        <w:keepLines/>
        <w:widowControl w:val="0"/>
        <w:ind w:left="567" w:hanging="567"/>
        <w:rPr>
          <w:color w:val="000000"/>
          <w:sz w:val="22"/>
          <w:szCs w:val="22"/>
        </w:rPr>
      </w:pPr>
      <w:r w:rsidRPr="00B30A12">
        <w:rPr>
          <w:b/>
          <w:color w:val="000000"/>
          <w:sz w:val="22"/>
          <w:szCs w:val="22"/>
        </w:rPr>
        <w:t>4.7</w:t>
      </w:r>
      <w:r w:rsidRPr="00B30A12">
        <w:rPr>
          <w:b/>
          <w:color w:val="000000"/>
          <w:sz w:val="22"/>
          <w:szCs w:val="22"/>
        </w:rPr>
        <w:tab/>
        <w:t>Auswirkungen auf die Verkehrstüchtigkeit und die Fähigkeit zum Bedienen von Maschinen</w:t>
      </w:r>
    </w:p>
    <w:p w14:paraId="3DB1C3F1" w14:textId="77777777" w:rsidR="003A33A6" w:rsidRPr="00B30A12" w:rsidRDefault="003A33A6" w:rsidP="00F35CB5">
      <w:pPr>
        <w:keepNext/>
        <w:widowControl w:val="0"/>
        <w:rPr>
          <w:color w:val="000000"/>
          <w:sz w:val="22"/>
          <w:szCs w:val="22"/>
        </w:rPr>
      </w:pPr>
    </w:p>
    <w:p w14:paraId="67B6BCDB" w14:textId="77777777" w:rsidR="003A33A6" w:rsidRPr="00B30A12" w:rsidRDefault="003A33A6" w:rsidP="0054140C">
      <w:pPr>
        <w:widowControl w:val="0"/>
        <w:rPr>
          <w:color w:val="000000"/>
          <w:sz w:val="22"/>
          <w:szCs w:val="22"/>
        </w:rPr>
      </w:pPr>
      <w:r w:rsidRPr="00B30A12">
        <w:rPr>
          <w:snapToGrid w:val="0"/>
          <w:color w:val="000000"/>
          <w:sz w:val="22"/>
          <w:szCs w:val="22"/>
        </w:rPr>
        <w:t>Patienten müssen darüber informiert werden, dass bei ih</w:t>
      </w:r>
      <w:r w:rsidRPr="00B30A12">
        <w:rPr>
          <w:snapToGrid w:val="0"/>
          <w:color w:val="000000"/>
          <w:sz w:val="22"/>
          <w:szCs w:val="22"/>
        </w:rPr>
        <w:softHyphen/>
        <w:t>nen unerwünschte Wirkungen wie Schwindel, verschwommenes Sehen oder Schläfrigkeit während der Behandlung mit Imatinib auftreten können. Daher sollte das Autofahren oder das Bedienen von Maschinen mit Vorsicht erfolgen.</w:t>
      </w:r>
    </w:p>
    <w:p w14:paraId="68780243" w14:textId="77777777" w:rsidR="003A33A6" w:rsidRPr="00B30A12" w:rsidRDefault="003A33A6" w:rsidP="0054140C">
      <w:pPr>
        <w:widowControl w:val="0"/>
        <w:rPr>
          <w:color w:val="000000"/>
          <w:sz w:val="22"/>
          <w:szCs w:val="22"/>
        </w:rPr>
      </w:pPr>
    </w:p>
    <w:p w14:paraId="5EFBA2F9" w14:textId="77777777" w:rsidR="003A33A6" w:rsidRPr="00B30A12" w:rsidRDefault="003A33A6" w:rsidP="00F35CB5">
      <w:pPr>
        <w:keepNext/>
        <w:widowControl w:val="0"/>
        <w:ind w:left="567" w:hanging="567"/>
        <w:rPr>
          <w:b/>
          <w:color w:val="000000"/>
          <w:sz w:val="22"/>
          <w:szCs w:val="22"/>
        </w:rPr>
      </w:pPr>
      <w:r w:rsidRPr="00B30A12">
        <w:rPr>
          <w:b/>
          <w:color w:val="000000"/>
          <w:sz w:val="22"/>
          <w:szCs w:val="22"/>
        </w:rPr>
        <w:t>4.8</w:t>
      </w:r>
      <w:r w:rsidRPr="00B30A12">
        <w:rPr>
          <w:b/>
          <w:color w:val="000000"/>
          <w:sz w:val="22"/>
          <w:szCs w:val="22"/>
        </w:rPr>
        <w:tab/>
        <w:t>Nebenwirkungen</w:t>
      </w:r>
    </w:p>
    <w:p w14:paraId="76A8141A" w14:textId="77777777" w:rsidR="003A33A6" w:rsidRPr="00B30A12" w:rsidRDefault="003A33A6" w:rsidP="00F35CB5">
      <w:pPr>
        <w:keepNext/>
        <w:widowControl w:val="0"/>
        <w:rPr>
          <w:color w:val="000000"/>
          <w:sz w:val="22"/>
          <w:szCs w:val="22"/>
        </w:rPr>
      </w:pPr>
    </w:p>
    <w:p w14:paraId="29182DFF" w14:textId="77777777" w:rsidR="003A33A6" w:rsidRPr="00B30A12" w:rsidRDefault="003A33A6" w:rsidP="0054140C">
      <w:pPr>
        <w:widowControl w:val="0"/>
        <w:rPr>
          <w:color w:val="000000"/>
          <w:sz w:val="22"/>
          <w:szCs w:val="22"/>
        </w:rPr>
      </w:pPr>
      <w:r w:rsidRPr="00B30A12">
        <w:rPr>
          <w:color w:val="000000"/>
          <w:sz w:val="22"/>
          <w:szCs w:val="22"/>
        </w:rPr>
        <w:t>Patienten im fortgeschrittenen Stadium maligner Erkrankungen können zahlreiche und teilweise überlappende medizinische Befunde aufweisen, die eine Kausalitätsbewertung unerwünschter Er</w:t>
      </w:r>
      <w:r w:rsidRPr="00B30A12">
        <w:rPr>
          <w:color w:val="000000"/>
          <w:sz w:val="22"/>
          <w:szCs w:val="22"/>
        </w:rPr>
        <w:softHyphen/>
        <w:t>eignisse wegen der Symptomvielfalt der Grunderkrankung, deren Progression und der gleichzeitigen Gabe zahlreicher anderer Arzneimittel erschweren.</w:t>
      </w:r>
    </w:p>
    <w:p w14:paraId="1FA94F8E" w14:textId="77777777" w:rsidR="003A33A6" w:rsidRPr="00B30A12" w:rsidRDefault="003A33A6" w:rsidP="0054140C">
      <w:pPr>
        <w:widowControl w:val="0"/>
        <w:rPr>
          <w:color w:val="000000"/>
          <w:sz w:val="22"/>
          <w:szCs w:val="22"/>
        </w:rPr>
      </w:pPr>
    </w:p>
    <w:p w14:paraId="3D5DABBD" w14:textId="77777777" w:rsidR="003A33A6" w:rsidRPr="00B30A12" w:rsidRDefault="003A33A6" w:rsidP="0054140C">
      <w:pPr>
        <w:widowControl w:val="0"/>
        <w:rPr>
          <w:color w:val="000000"/>
          <w:sz w:val="22"/>
          <w:szCs w:val="22"/>
        </w:rPr>
      </w:pPr>
      <w:r w:rsidRPr="00B30A12">
        <w:rPr>
          <w:color w:val="000000"/>
          <w:sz w:val="22"/>
          <w:szCs w:val="22"/>
        </w:rPr>
        <w:t>In den klinischen Studien bei CML wurde ein Behandlungsabbruch auf Grund arzneimittelbedingter Nebenwirkungen bei 2,4% der neu diagnostizierten Patienten, bei 4% der Patienten in der späten chronischen Phase nach Versagen von Interferon, bei 4% der Patienten in der akzelerierten Phase nach Versagen von Interferon und bei 5% der Patienten in der Blastenkrise nach Versagen von Interferon beobachtet. Bei GIST wurde die Gabe der Studien</w:t>
      </w:r>
      <w:r w:rsidRPr="00B30A12">
        <w:rPr>
          <w:color w:val="000000"/>
          <w:sz w:val="22"/>
          <w:szCs w:val="22"/>
        </w:rPr>
        <w:softHyphen/>
        <w:t>medikation bei 4% der Patienten auf Grund von arzneimittelbedingten Nebenwirkungen unterbro</w:t>
      </w:r>
      <w:r w:rsidRPr="00B30A12">
        <w:rPr>
          <w:color w:val="000000"/>
          <w:sz w:val="22"/>
          <w:szCs w:val="22"/>
        </w:rPr>
        <w:softHyphen/>
        <w:t>chen.</w:t>
      </w:r>
    </w:p>
    <w:p w14:paraId="4D92517E" w14:textId="77777777" w:rsidR="003A33A6" w:rsidRPr="00B30A12" w:rsidRDefault="003A33A6" w:rsidP="0054140C">
      <w:pPr>
        <w:widowControl w:val="0"/>
        <w:rPr>
          <w:color w:val="000000"/>
          <w:sz w:val="22"/>
          <w:szCs w:val="22"/>
        </w:rPr>
      </w:pPr>
    </w:p>
    <w:p w14:paraId="014D34D4" w14:textId="77777777" w:rsidR="003A33A6" w:rsidRPr="00B30A12" w:rsidRDefault="003A33A6" w:rsidP="0054140C">
      <w:pPr>
        <w:widowControl w:val="0"/>
        <w:rPr>
          <w:color w:val="000000"/>
          <w:sz w:val="22"/>
          <w:szCs w:val="22"/>
        </w:rPr>
      </w:pPr>
      <w:r w:rsidRPr="00B30A12">
        <w:rPr>
          <w:color w:val="000000"/>
          <w:sz w:val="22"/>
          <w:szCs w:val="22"/>
        </w:rPr>
        <w:t>Die Nebenwirkungen waren bei allen Indikationen mit zwei Ausnahmen vergleichbar. Myelo</w:t>
      </w:r>
      <w:r w:rsidRPr="00B30A12">
        <w:rPr>
          <w:color w:val="000000"/>
          <w:sz w:val="22"/>
          <w:szCs w:val="22"/>
        </w:rPr>
        <w:softHyphen/>
        <w:t>suppression trat bei CML-Patienten häufiger auf als bei GIST. Dies ist wahrscheinlich auf die Grund</w:t>
      </w:r>
      <w:r w:rsidRPr="00B30A12">
        <w:rPr>
          <w:color w:val="000000"/>
          <w:sz w:val="22"/>
          <w:szCs w:val="22"/>
        </w:rPr>
        <w:softHyphen/>
        <w:t xml:space="preserve">erkrankung zurückzuführen. In der Studie an Patienten mit nicht-resezierbaren und/oder metastasierten GIST wiesen 7 Patienten (5%) Blutungen auf, davon 3 Patienten GI-Blutungen Grad 3/4 nach </w:t>
      </w:r>
      <w:smartTag w:uri="urn:schemas-microsoft-com:office:smarttags" w:element="stockticker">
        <w:r w:rsidRPr="00B30A12">
          <w:rPr>
            <w:color w:val="000000"/>
            <w:sz w:val="22"/>
            <w:szCs w:val="22"/>
          </w:rPr>
          <w:t>CTC</w:t>
        </w:r>
      </w:smartTag>
      <w:r w:rsidRPr="00B30A12">
        <w:rPr>
          <w:color w:val="000000"/>
          <w:sz w:val="22"/>
          <w:szCs w:val="22"/>
        </w:rPr>
        <w:t xml:space="preserve"> (Common Toxicity Criteria), 3 Patienten intratu</w:t>
      </w:r>
      <w:r w:rsidRPr="00B30A12">
        <w:rPr>
          <w:color w:val="000000"/>
          <w:sz w:val="22"/>
          <w:szCs w:val="22"/>
        </w:rPr>
        <w:softHyphen/>
        <w:t>morale Blutungen und 1 Patient beide Blutungsarten. GI-Tumoren können auch die Ursache für GI-Blutungen gewesen sein (siehe Abschnitt 4.4). GI- und Tumorblutungen können schwerwiegend sein und manchmal tödlich verlaufen. Die am häufigsten berichteten behandlungsbedingten Nebenwirkungen (</w:t>
      </w:r>
      <w:r w:rsidRPr="00B30A12">
        <w:rPr>
          <w:color w:val="000000"/>
          <w:sz w:val="22"/>
          <w:szCs w:val="22"/>
        </w:rPr>
        <w:sym w:font="Symbol" w:char="F0B3"/>
      </w:r>
      <w:r w:rsidRPr="00B30A12">
        <w:rPr>
          <w:color w:val="000000"/>
          <w:sz w:val="22"/>
          <w:szCs w:val="22"/>
        </w:rPr>
        <w:t> 10%) in beiden Indikationen waren leichte Übelkeit, Erbrechen, Durchfall, Abdominalschmerzen, Ermüdung, Myalgie, Muskelkrämpfe und Hautrötung. Oberflächenödeme wurden in allen Studien ge</w:t>
      </w:r>
      <w:r w:rsidRPr="00B30A12">
        <w:rPr>
          <w:color w:val="000000"/>
          <w:sz w:val="22"/>
          <w:szCs w:val="22"/>
        </w:rPr>
        <w:softHyphen/>
        <w:t>funden und wurden vorwiegend als periorbitale Ödeme oder Ödeme der unteren Gliedmaßen beschrie</w:t>
      </w:r>
      <w:r w:rsidRPr="00B30A12">
        <w:rPr>
          <w:color w:val="000000"/>
          <w:sz w:val="22"/>
          <w:szCs w:val="22"/>
        </w:rPr>
        <w:softHyphen/>
        <w:t>ben. Diese Ödeme waren jedoch selten schwer und können mit Diuretika, anderen supportiven Maß</w:t>
      </w:r>
      <w:r w:rsidRPr="00B30A12">
        <w:rPr>
          <w:color w:val="000000"/>
          <w:sz w:val="22"/>
          <w:szCs w:val="22"/>
        </w:rPr>
        <w:softHyphen/>
        <w:t>nahmen oder durch Reduktion der Glivec-Dosis beherrscht werden.</w:t>
      </w:r>
    </w:p>
    <w:p w14:paraId="09F06BA1" w14:textId="77777777" w:rsidR="003A33A6" w:rsidRPr="00B30A12" w:rsidRDefault="003A33A6" w:rsidP="0054140C">
      <w:pPr>
        <w:widowControl w:val="0"/>
        <w:rPr>
          <w:color w:val="000000"/>
          <w:sz w:val="22"/>
          <w:szCs w:val="22"/>
        </w:rPr>
      </w:pPr>
    </w:p>
    <w:p w14:paraId="675DC552" w14:textId="77777777" w:rsidR="003A33A6" w:rsidRPr="00B30A12" w:rsidRDefault="003A33A6" w:rsidP="0054140C">
      <w:pPr>
        <w:widowControl w:val="0"/>
        <w:rPr>
          <w:color w:val="000000"/>
          <w:sz w:val="22"/>
          <w:szCs w:val="22"/>
        </w:rPr>
      </w:pPr>
      <w:r w:rsidRPr="00B30A12">
        <w:rPr>
          <w:color w:val="000000"/>
          <w:sz w:val="22"/>
          <w:szCs w:val="22"/>
        </w:rPr>
        <w:t>Im Rahmen der Kombinationstherapie von Imatinib mit Hochdosis-Chemotherapie wurde bei Ph+ </w:t>
      </w:r>
      <w:smartTag w:uri="urn:schemas-microsoft-com:office:smarttags" w:element="stockticker">
        <w:r w:rsidRPr="00B30A12">
          <w:rPr>
            <w:color w:val="000000"/>
            <w:sz w:val="22"/>
            <w:szCs w:val="22"/>
          </w:rPr>
          <w:t>ALL</w:t>
        </w:r>
      </w:smartTag>
      <w:r w:rsidRPr="00B30A12">
        <w:rPr>
          <w:color w:val="000000"/>
          <w:sz w:val="22"/>
          <w:szCs w:val="22"/>
        </w:rPr>
        <w:t>-Patienten eine vorübergehende Lebertoxizität in Form erhöhter Transaminasenwerte und einer Bilirubinämie beobachtet. In Anbetracht der begrenzten Sicherheitsdaten sind die bisher berichteten Nebenwirkungen bei Kindern konsistent mit dem bekannten Sicherheitsprofil bei Erwachsenen mit Ph+ ALL. In der Sicherheitsdatenbank sind die Informationen für Kinder mit PH+ ALL sehr begrenzt und es wurden keine neuen Sicherheitsbedenken gefunden.</w:t>
      </w:r>
    </w:p>
    <w:p w14:paraId="1367CB39" w14:textId="77777777" w:rsidR="003A33A6" w:rsidRPr="00B30A12" w:rsidRDefault="003A33A6" w:rsidP="0054140C">
      <w:pPr>
        <w:widowControl w:val="0"/>
        <w:rPr>
          <w:color w:val="000000"/>
          <w:sz w:val="22"/>
          <w:szCs w:val="22"/>
        </w:rPr>
      </w:pPr>
    </w:p>
    <w:p w14:paraId="0FEBFF36" w14:textId="77777777" w:rsidR="003A33A6" w:rsidRPr="00B30A12" w:rsidRDefault="003A33A6" w:rsidP="0054140C">
      <w:pPr>
        <w:widowControl w:val="0"/>
        <w:rPr>
          <w:color w:val="000000"/>
          <w:sz w:val="22"/>
          <w:szCs w:val="22"/>
        </w:rPr>
      </w:pPr>
      <w:r w:rsidRPr="00B30A12">
        <w:rPr>
          <w:color w:val="000000"/>
          <w:sz w:val="22"/>
          <w:szCs w:val="22"/>
        </w:rPr>
        <w:t>Verschiedene andere Nebenwirkungen wie Pleuraerguss, Aszites, Lungenödem und schnelle Gewichts</w:t>
      </w:r>
      <w:r w:rsidRPr="00B30A12">
        <w:rPr>
          <w:color w:val="000000"/>
          <w:sz w:val="22"/>
          <w:szCs w:val="22"/>
        </w:rPr>
        <w:softHyphen/>
        <w:t>zunahme mit oder ohne Oberflächenödeme können unter dem Begriff „Flüssigkeitsretention“ zusam</w:t>
      </w:r>
      <w:r w:rsidRPr="00B30A12">
        <w:rPr>
          <w:color w:val="000000"/>
          <w:sz w:val="22"/>
          <w:szCs w:val="22"/>
        </w:rPr>
        <w:softHyphen/>
        <w:t>mengefasst werden. Diese Nebenwirkungen können im Allgemeinen durch ein zeitlich befristetes Absetzen von Glivec und durch Diuretika und andere geeignete supportive Maßnahmen beherrscht wer</w:t>
      </w:r>
      <w:r w:rsidRPr="00B30A12">
        <w:rPr>
          <w:color w:val="000000"/>
          <w:sz w:val="22"/>
          <w:szCs w:val="22"/>
        </w:rPr>
        <w:softHyphen/>
        <w:t>den. Einige dieser Befunde können jedoch schwer oder lebensbedrohend sein und mehrere Patienten in der Blastenkrise verstarben nach einer komplizierten Krankengeschichte mit Pleuraerguss, Stauungsherzinsuf</w:t>
      </w:r>
      <w:r w:rsidRPr="00B30A12">
        <w:rPr>
          <w:color w:val="000000"/>
          <w:sz w:val="22"/>
          <w:szCs w:val="22"/>
        </w:rPr>
        <w:softHyphen/>
        <w:t>fizienz und Nierenversagen. Es gab keine speziellen sicherheitsrelevanten Befunde in den klinischen Studien bei Kindern.</w:t>
      </w:r>
    </w:p>
    <w:p w14:paraId="6BAA6240" w14:textId="77777777" w:rsidR="003A33A6" w:rsidRPr="00B30A12" w:rsidRDefault="003A33A6" w:rsidP="0054140C">
      <w:pPr>
        <w:widowControl w:val="0"/>
        <w:rPr>
          <w:color w:val="000000"/>
          <w:sz w:val="22"/>
          <w:szCs w:val="22"/>
        </w:rPr>
      </w:pPr>
    </w:p>
    <w:p w14:paraId="028834D4" w14:textId="77777777" w:rsidR="003A33A6" w:rsidRPr="00B30A12" w:rsidRDefault="003A33A6" w:rsidP="00F35CB5">
      <w:pPr>
        <w:keepNext/>
        <w:widowControl w:val="0"/>
        <w:rPr>
          <w:b/>
          <w:color w:val="000000"/>
          <w:sz w:val="22"/>
          <w:szCs w:val="22"/>
        </w:rPr>
      </w:pPr>
      <w:r w:rsidRPr="00B30A12">
        <w:rPr>
          <w:b/>
          <w:color w:val="000000"/>
          <w:sz w:val="22"/>
          <w:szCs w:val="22"/>
        </w:rPr>
        <w:t>Nebenwirkungen</w:t>
      </w:r>
    </w:p>
    <w:p w14:paraId="3E5F5AFE" w14:textId="77777777" w:rsidR="003A33A6" w:rsidRPr="00B30A12" w:rsidRDefault="003A33A6" w:rsidP="0054140C">
      <w:pPr>
        <w:pStyle w:val="BodyText"/>
        <w:keepNext w:val="0"/>
        <w:widowControl w:val="0"/>
        <w:spacing w:line="240" w:lineRule="auto"/>
        <w:jc w:val="left"/>
        <w:rPr>
          <w:color w:val="000000"/>
          <w:szCs w:val="22"/>
        </w:rPr>
      </w:pPr>
      <w:r w:rsidRPr="00B30A12">
        <w:rPr>
          <w:color w:val="000000"/>
          <w:szCs w:val="22"/>
        </w:rPr>
        <w:t>Diejenigen Nebenwirkungen, die häufiger als nur in Einzelfällen auftraten, werden im Folgenden geglie</w:t>
      </w:r>
      <w:r w:rsidRPr="00B30A12">
        <w:rPr>
          <w:color w:val="000000"/>
          <w:szCs w:val="22"/>
        </w:rPr>
        <w:softHyphen/>
        <w:t>dert nach Organsystemen und nach Häufigkeitsgruppen aufgelistet. Die Häufigkeitsgruppen sind fol</w:t>
      </w:r>
      <w:r w:rsidRPr="00B30A12">
        <w:rPr>
          <w:color w:val="000000"/>
          <w:szCs w:val="22"/>
        </w:rPr>
        <w:softHyphen/>
        <w:t xml:space="preserve">gendermaßen definiert: Sehr häufig (≥1/10), häufig (≥1/100, &lt;1/10), gelegentlich (≥1/1.000, </w:t>
      </w:r>
      <w:r w:rsidRPr="00B30A12">
        <w:rPr>
          <w:color w:val="000000"/>
          <w:szCs w:val="22"/>
        </w:rPr>
        <w:lastRenderedPageBreak/>
        <w:t>&lt;1/100), selten (≥1/10.000, &lt;1/1.000), sehr selten (&lt;1/10.000), nicht bekannt (Häufigkeit auf Grundlage der verfügbaren Daten nicht abschätzbar).</w:t>
      </w:r>
    </w:p>
    <w:p w14:paraId="6B32A208" w14:textId="77777777" w:rsidR="003A33A6" w:rsidRPr="00B30A12" w:rsidRDefault="003A33A6" w:rsidP="0054140C">
      <w:pPr>
        <w:pStyle w:val="BodyText"/>
        <w:keepNext w:val="0"/>
        <w:widowControl w:val="0"/>
        <w:spacing w:line="240" w:lineRule="auto"/>
        <w:jc w:val="left"/>
        <w:rPr>
          <w:color w:val="000000"/>
          <w:szCs w:val="22"/>
        </w:rPr>
      </w:pPr>
    </w:p>
    <w:p w14:paraId="107F02FF" w14:textId="77777777" w:rsidR="003A33A6" w:rsidRPr="00B30A12" w:rsidRDefault="003A33A6" w:rsidP="0054140C">
      <w:pPr>
        <w:pStyle w:val="BodyText"/>
        <w:keepNext w:val="0"/>
        <w:widowControl w:val="0"/>
        <w:spacing w:line="240" w:lineRule="auto"/>
        <w:jc w:val="left"/>
        <w:rPr>
          <w:color w:val="000000"/>
          <w:szCs w:val="22"/>
        </w:rPr>
      </w:pPr>
      <w:r w:rsidRPr="00B30A12">
        <w:rPr>
          <w:color w:val="000000"/>
          <w:szCs w:val="22"/>
        </w:rPr>
        <w:t>Innerhalb jeder Häufigkeitsgruppe werden die Nebenwirkungen nach ihrer Häufigkeit angegeben, die häufigsten zuerst.</w:t>
      </w:r>
    </w:p>
    <w:p w14:paraId="73A2AE4D" w14:textId="77777777" w:rsidR="003A33A6" w:rsidRPr="00B30A12" w:rsidRDefault="003A33A6" w:rsidP="0054140C">
      <w:pPr>
        <w:pStyle w:val="Header"/>
        <w:widowControl w:val="0"/>
        <w:tabs>
          <w:tab w:val="clear" w:pos="4320"/>
          <w:tab w:val="clear" w:pos="8640"/>
        </w:tabs>
        <w:rPr>
          <w:color w:val="000000"/>
          <w:szCs w:val="22"/>
        </w:rPr>
      </w:pPr>
    </w:p>
    <w:p w14:paraId="4305AC9E" w14:textId="77777777" w:rsidR="006E656A" w:rsidRPr="00B30A12" w:rsidRDefault="003A33A6" w:rsidP="00F35CB5">
      <w:pPr>
        <w:pStyle w:val="BodyText"/>
        <w:widowControl w:val="0"/>
        <w:spacing w:line="240" w:lineRule="auto"/>
        <w:jc w:val="left"/>
        <w:rPr>
          <w:color w:val="000000"/>
          <w:szCs w:val="22"/>
        </w:rPr>
      </w:pPr>
      <w:r w:rsidRPr="00B30A12">
        <w:rPr>
          <w:color w:val="000000"/>
          <w:szCs w:val="22"/>
        </w:rPr>
        <w:t xml:space="preserve">Die Nebenwirkungen und ihre Häufigkeitsangaben </w:t>
      </w:r>
      <w:r w:rsidR="006E656A" w:rsidRPr="00B30A12">
        <w:rPr>
          <w:color w:val="000000"/>
          <w:szCs w:val="22"/>
        </w:rPr>
        <w:t xml:space="preserve">sind </w:t>
      </w:r>
      <w:r w:rsidRPr="00B30A12">
        <w:rPr>
          <w:color w:val="000000"/>
          <w:szCs w:val="22"/>
        </w:rPr>
        <w:t xml:space="preserve">in Tabelle 1 </w:t>
      </w:r>
      <w:r w:rsidR="006E656A" w:rsidRPr="00B30A12">
        <w:rPr>
          <w:color w:val="000000"/>
          <w:szCs w:val="22"/>
        </w:rPr>
        <w:t>dargestellt.</w:t>
      </w:r>
    </w:p>
    <w:p w14:paraId="4BBC11EC" w14:textId="77777777" w:rsidR="003A33A6" w:rsidRPr="00B30A12" w:rsidRDefault="003A33A6" w:rsidP="00F35CB5">
      <w:pPr>
        <w:pStyle w:val="BodyText"/>
        <w:widowControl w:val="0"/>
        <w:spacing w:line="240" w:lineRule="auto"/>
        <w:jc w:val="left"/>
        <w:rPr>
          <w:color w:val="000000"/>
          <w:szCs w:val="22"/>
        </w:rPr>
      </w:pPr>
    </w:p>
    <w:p w14:paraId="0908737D" w14:textId="77777777" w:rsidR="003A33A6" w:rsidRPr="00B30A12" w:rsidRDefault="003A33A6" w:rsidP="00DA7B0B">
      <w:pPr>
        <w:keepNext/>
        <w:widowControl w:val="0"/>
        <w:tabs>
          <w:tab w:val="left" w:pos="1134"/>
        </w:tabs>
        <w:rPr>
          <w:b/>
          <w:sz w:val="22"/>
          <w:szCs w:val="22"/>
        </w:rPr>
      </w:pPr>
      <w:r w:rsidRPr="00B30A12">
        <w:rPr>
          <w:b/>
          <w:sz w:val="22"/>
          <w:szCs w:val="22"/>
        </w:rPr>
        <w:t>Tabelle 1</w:t>
      </w:r>
      <w:r w:rsidRPr="00B30A12">
        <w:rPr>
          <w:b/>
          <w:sz w:val="22"/>
          <w:szCs w:val="22"/>
        </w:rPr>
        <w:tab/>
      </w:r>
      <w:r w:rsidR="006E656A" w:rsidRPr="00B30A12">
        <w:rPr>
          <w:b/>
          <w:sz w:val="22"/>
          <w:szCs w:val="22"/>
        </w:rPr>
        <w:t xml:space="preserve">Tabellarische Zusammenfassung der </w:t>
      </w:r>
      <w:r w:rsidRPr="00B30A12">
        <w:rPr>
          <w:b/>
          <w:sz w:val="22"/>
          <w:szCs w:val="22"/>
        </w:rPr>
        <w:t>Nebenwirkungen</w:t>
      </w:r>
    </w:p>
    <w:p w14:paraId="24433357" w14:textId="77777777" w:rsidR="003A33A6" w:rsidRPr="00B30A12" w:rsidRDefault="003A33A6" w:rsidP="00DA7B0B">
      <w:pPr>
        <w:keepNext/>
        <w:widowControl w:val="0"/>
        <w:rPr>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3A33A6" w:rsidRPr="00B30A12" w14:paraId="6B6562D2" w14:textId="77777777" w:rsidTr="00DA7B0B">
        <w:trPr>
          <w:cantSplit/>
        </w:trPr>
        <w:tc>
          <w:tcPr>
            <w:tcW w:w="9322" w:type="dxa"/>
            <w:gridSpan w:val="2"/>
          </w:tcPr>
          <w:p w14:paraId="41155B89" w14:textId="77777777" w:rsidR="003A33A6" w:rsidRPr="00B30A12" w:rsidRDefault="003A33A6" w:rsidP="00DA7B0B">
            <w:pPr>
              <w:keepNext/>
              <w:widowControl w:val="0"/>
              <w:rPr>
                <w:b/>
                <w:color w:val="000000"/>
                <w:sz w:val="22"/>
                <w:szCs w:val="22"/>
                <w:lang w:val="pt-PT"/>
              </w:rPr>
            </w:pPr>
            <w:r w:rsidRPr="00B30A12">
              <w:rPr>
                <w:b/>
                <w:color w:val="000000"/>
                <w:sz w:val="22"/>
                <w:szCs w:val="22"/>
              </w:rPr>
              <w:t>Infektionen und parasitäre Erkrankungen</w:t>
            </w:r>
          </w:p>
        </w:tc>
      </w:tr>
      <w:tr w:rsidR="003A33A6" w:rsidRPr="00B30A12" w14:paraId="70E26914" w14:textId="77777777" w:rsidTr="00DA7B0B">
        <w:trPr>
          <w:cantSplit/>
        </w:trPr>
        <w:tc>
          <w:tcPr>
            <w:tcW w:w="2235" w:type="dxa"/>
          </w:tcPr>
          <w:p w14:paraId="2B8CFA24" w14:textId="77777777" w:rsidR="003A33A6" w:rsidRPr="00B30A12"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5A6507A0" w14:textId="77777777" w:rsidR="003A33A6" w:rsidRPr="00B30A12" w:rsidRDefault="003A33A6" w:rsidP="00DA7B0B">
            <w:pPr>
              <w:keepNext/>
              <w:widowControl w:val="0"/>
              <w:rPr>
                <w:color w:val="000000"/>
                <w:sz w:val="22"/>
                <w:szCs w:val="22"/>
              </w:rPr>
            </w:pPr>
            <w:r w:rsidRPr="00B30A12">
              <w:rPr>
                <w:color w:val="000000"/>
                <w:sz w:val="22"/>
                <w:szCs w:val="22"/>
              </w:rPr>
              <w:t>Herpes zoster, Herpes simplex, Nasopharyngitis, Pneumonie</w:t>
            </w:r>
            <w:r w:rsidRPr="00B30A12">
              <w:rPr>
                <w:color w:val="000000"/>
                <w:sz w:val="22"/>
                <w:szCs w:val="22"/>
                <w:vertAlign w:val="superscript"/>
              </w:rPr>
              <w:t>1</w:t>
            </w:r>
            <w:r w:rsidRPr="00B30A12">
              <w:rPr>
                <w:color w:val="000000"/>
                <w:sz w:val="22"/>
                <w:szCs w:val="22"/>
              </w:rPr>
              <w:t>, Sinusitis, Zellulitis,</w:t>
            </w:r>
            <w:r w:rsidRPr="00DA7B0B">
              <w:rPr>
                <w:color w:val="000000"/>
                <w:sz w:val="22"/>
                <w:szCs w:val="22"/>
              </w:rPr>
              <w:t xml:space="preserve"> </w:t>
            </w:r>
            <w:r w:rsidRPr="00B30A12">
              <w:rPr>
                <w:color w:val="000000"/>
                <w:sz w:val="22"/>
                <w:szCs w:val="22"/>
              </w:rPr>
              <w:t>Infektionen der oberen Atem</w:t>
            </w:r>
            <w:r w:rsidRPr="00B30A12">
              <w:rPr>
                <w:color w:val="000000"/>
                <w:sz w:val="22"/>
                <w:szCs w:val="22"/>
              </w:rPr>
              <w:softHyphen/>
              <w:t>wege, Influenza, Harnwegsinfektionen, Gastroenteritis, Sepsis</w:t>
            </w:r>
          </w:p>
        </w:tc>
      </w:tr>
      <w:tr w:rsidR="003A33A6" w:rsidRPr="00B30A12" w14:paraId="7BA039AA" w14:textId="77777777" w:rsidTr="00DA7B0B">
        <w:trPr>
          <w:cantSplit/>
        </w:trPr>
        <w:tc>
          <w:tcPr>
            <w:tcW w:w="2235" w:type="dxa"/>
          </w:tcPr>
          <w:p w14:paraId="38E609F2" w14:textId="77777777" w:rsidR="003A33A6" w:rsidRPr="00B30A12" w:rsidRDefault="003A33A6" w:rsidP="00DA7B0B">
            <w:pPr>
              <w:keepNext/>
              <w:widowControl w:val="0"/>
              <w:rPr>
                <w:i/>
                <w:color w:val="000000"/>
                <w:sz w:val="22"/>
                <w:szCs w:val="22"/>
              </w:rPr>
            </w:pPr>
            <w:r w:rsidRPr="00B30A12">
              <w:rPr>
                <w:i/>
                <w:color w:val="000000"/>
                <w:sz w:val="22"/>
                <w:szCs w:val="22"/>
              </w:rPr>
              <w:t>Selten:</w:t>
            </w:r>
          </w:p>
        </w:tc>
        <w:tc>
          <w:tcPr>
            <w:tcW w:w="7087" w:type="dxa"/>
          </w:tcPr>
          <w:p w14:paraId="6C184F1F" w14:textId="77777777" w:rsidR="003A33A6" w:rsidRPr="00B30A12" w:rsidRDefault="003A33A6" w:rsidP="00DA7B0B">
            <w:pPr>
              <w:keepNext/>
              <w:widowControl w:val="0"/>
              <w:rPr>
                <w:color w:val="000000"/>
                <w:sz w:val="22"/>
                <w:szCs w:val="22"/>
              </w:rPr>
            </w:pPr>
            <w:r w:rsidRPr="00B30A12">
              <w:rPr>
                <w:color w:val="000000"/>
                <w:sz w:val="22"/>
                <w:szCs w:val="22"/>
              </w:rPr>
              <w:t>Pilzinfektionen</w:t>
            </w:r>
          </w:p>
        </w:tc>
      </w:tr>
      <w:tr w:rsidR="00DD06FA" w:rsidRPr="00B30A12" w14:paraId="37FF0A75" w14:textId="77777777" w:rsidTr="00DA7B0B">
        <w:trPr>
          <w:cantSplit/>
        </w:trPr>
        <w:tc>
          <w:tcPr>
            <w:tcW w:w="2235" w:type="dxa"/>
          </w:tcPr>
          <w:p w14:paraId="4CD1340E" w14:textId="77777777" w:rsidR="00DD06FA" w:rsidRPr="00B30A12" w:rsidRDefault="00DD06FA" w:rsidP="0054140C">
            <w:pPr>
              <w:widowControl w:val="0"/>
              <w:rPr>
                <w:i/>
                <w:color w:val="000000"/>
                <w:sz w:val="22"/>
                <w:szCs w:val="22"/>
              </w:rPr>
            </w:pPr>
            <w:r w:rsidRPr="00B30A12">
              <w:rPr>
                <w:i/>
                <w:color w:val="000000"/>
                <w:sz w:val="22"/>
                <w:szCs w:val="22"/>
              </w:rPr>
              <w:t>Nicht bekannt:</w:t>
            </w:r>
          </w:p>
        </w:tc>
        <w:tc>
          <w:tcPr>
            <w:tcW w:w="7087" w:type="dxa"/>
          </w:tcPr>
          <w:p w14:paraId="10C6DC53" w14:textId="77777777" w:rsidR="00DD06FA" w:rsidRPr="00B30A12" w:rsidRDefault="00DD06FA" w:rsidP="0054140C">
            <w:pPr>
              <w:widowControl w:val="0"/>
              <w:rPr>
                <w:color w:val="000000"/>
                <w:sz w:val="22"/>
                <w:szCs w:val="22"/>
              </w:rPr>
            </w:pPr>
            <w:r w:rsidRPr="00B30A12">
              <w:rPr>
                <w:color w:val="000000"/>
                <w:sz w:val="22"/>
                <w:szCs w:val="22"/>
              </w:rPr>
              <w:t>Hepatitis-B-Reaktivierung*</w:t>
            </w:r>
          </w:p>
        </w:tc>
      </w:tr>
      <w:tr w:rsidR="003A33A6" w:rsidRPr="00B30A12" w14:paraId="30C624D4" w14:textId="77777777" w:rsidTr="00DA7B0B">
        <w:trPr>
          <w:cantSplit/>
        </w:trPr>
        <w:tc>
          <w:tcPr>
            <w:tcW w:w="9322" w:type="dxa"/>
            <w:gridSpan w:val="2"/>
          </w:tcPr>
          <w:p w14:paraId="4E410E15" w14:textId="77777777" w:rsidR="003A33A6" w:rsidRPr="00B30A12" w:rsidRDefault="003A33A6" w:rsidP="00DA7B0B">
            <w:pPr>
              <w:keepNext/>
              <w:widowControl w:val="0"/>
              <w:rPr>
                <w:b/>
                <w:color w:val="000000"/>
                <w:szCs w:val="22"/>
              </w:rPr>
            </w:pPr>
            <w:r w:rsidRPr="00B30A12">
              <w:rPr>
                <w:b/>
                <w:noProof/>
                <w:sz w:val="22"/>
              </w:rPr>
              <w:t>Gutartige, bösartige und unspezifische Neubildungen (einschl. Zysten und Polypen)</w:t>
            </w:r>
          </w:p>
        </w:tc>
      </w:tr>
      <w:tr w:rsidR="003A33A6" w:rsidRPr="00B30A12" w14:paraId="00D5A084" w14:textId="77777777" w:rsidTr="00DA7B0B">
        <w:trPr>
          <w:cantSplit/>
        </w:trPr>
        <w:tc>
          <w:tcPr>
            <w:tcW w:w="2235" w:type="dxa"/>
          </w:tcPr>
          <w:p w14:paraId="3C7FB3C1" w14:textId="77777777" w:rsidR="003A33A6" w:rsidRPr="00B30A12" w:rsidRDefault="003A33A6" w:rsidP="00DA7B0B">
            <w:pPr>
              <w:keepNext/>
              <w:widowControl w:val="0"/>
              <w:rPr>
                <w:i/>
                <w:color w:val="000000"/>
                <w:sz w:val="22"/>
                <w:szCs w:val="22"/>
              </w:rPr>
            </w:pPr>
            <w:r w:rsidRPr="00B30A12">
              <w:rPr>
                <w:i/>
                <w:color w:val="000000"/>
                <w:sz w:val="22"/>
                <w:szCs w:val="22"/>
              </w:rPr>
              <w:t>Selten:</w:t>
            </w:r>
          </w:p>
        </w:tc>
        <w:tc>
          <w:tcPr>
            <w:tcW w:w="7087" w:type="dxa"/>
          </w:tcPr>
          <w:p w14:paraId="0A1FCBAF" w14:textId="77777777" w:rsidR="003A33A6" w:rsidRPr="00B30A12" w:rsidRDefault="003A33A6" w:rsidP="00DA7B0B">
            <w:pPr>
              <w:keepNext/>
              <w:widowControl w:val="0"/>
              <w:rPr>
                <w:color w:val="000000"/>
                <w:sz w:val="22"/>
                <w:szCs w:val="22"/>
              </w:rPr>
            </w:pPr>
            <w:r w:rsidRPr="00B30A12">
              <w:rPr>
                <w:color w:val="000000"/>
                <w:sz w:val="22"/>
                <w:szCs w:val="22"/>
              </w:rPr>
              <w:t>Tumor-Lyse-Syndrom</w:t>
            </w:r>
          </w:p>
        </w:tc>
      </w:tr>
      <w:tr w:rsidR="002E518F" w:rsidRPr="00B30A12" w14:paraId="37928C21" w14:textId="77777777" w:rsidTr="00DA7B0B">
        <w:trPr>
          <w:cantSplit/>
        </w:trPr>
        <w:tc>
          <w:tcPr>
            <w:tcW w:w="2235" w:type="dxa"/>
          </w:tcPr>
          <w:p w14:paraId="1E7B9450" w14:textId="77777777" w:rsidR="002E518F" w:rsidRPr="00B30A12" w:rsidRDefault="002E518F" w:rsidP="0054140C">
            <w:pPr>
              <w:widowControl w:val="0"/>
              <w:rPr>
                <w:i/>
                <w:color w:val="000000"/>
                <w:sz w:val="22"/>
                <w:szCs w:val="22"/>
              </w:rPr>
            </w:pPr>
            <w:r w:rsidRPr="00B30A12">
              <w:rPr>
                <w:i/>
                <w:color w:val="000000"/>
                <w:sz w:val="22"/>
                <w:szCs w:val="22"/>
              </w:rPr>
              <w:t>Nicht bekannt</w:t>
            </w:r>
            <w:r w:rsidR="00A157A0">
              <w:rPr>
                <w:i/>
                <w:color w:val="000000"/>
                <w:sz w:val="22"/>
                <w:szCs w:val="22"/>
              </w:rPr>
              <w:t>:</w:t>
            </w:r>
          </w:p>
        </w:tc>
        <w:tc>
          <w:tcPr>
            <w:tcW w:w="7087" w:type="dxa"/>
          </w:tcPr>
          <w:p w14:paraId="05F588EC" w14:textId="77777777" w:rsidR="002E518F" w:rsidRPr="00B30A12" w:rsidRDefault="002E518F" w:rsidP="0054140C">
            <w:pPr>
              <w:widowControl w:val="0"/>
              <w:rPr>
                <w:color w:val="000000"/>
                <w:sz w:val="22"/>
                <w:szCs w:val="22"/>
              </w:rPr>
            </w:pPr>
            <w:r w:rsidRPr="00B30A12">
              <w:rPr>
                <w:color w:val="000000"/>
                <w:sz w:val="22"/>
                <w:szCs w:val="22"/>
              </w:rPr>
              <w:t>Tumorblutungen/Tumornekrose*</w:t>
            </w:r>
          </w:p>
        </w:tc>
      </w:tr>
      <w:tr w:rsidR="00A92F40" w:rsidRPr="00B30A12" w14:paraId="5D1007B3" w14:textId="77777777" w:rsidTr="00DA7B0B">
        <w:trPr>
          <w:cantSplit/>
        </w:trPr>
        <w:tc>
          <w:tcPr>
            <w:tcW w:w="9322" w:type="dxa"/>
            <w:gridSpan w:val="2"/>
          </w:tcPr>
          <w:p w14:paraId="0C16ADA3" w14:textId="77777777" w:rsidR="00A92F40" w:rsidRPr="00B30A12" w:rsidRDefault="00A92F40" w:rsidP="00DA7B0B">
            <w:pPr>
              <w:keepNext/>
              <w:widowControl w:val="0"/>
              <w:rPr>
                <w:color w:val="000000"/>
                <w:sz w:val="22"/>
                <w:szCs w:val="22"/>
              </w:rPr>
            </w:pPr>
            <w:r w:rsidRPr="00B30A12">
              <w:rPr>
                <w:b/>
                <w:noProof/>
                <w:sz w:val="22"/>
                <w:szCs w:val="22"/>
              </w:rPr>
              <w:t>Erkrankungen des Immunsystems</w:t>
            </w:r>
          </w:p>
        </w:tc>
      </w:tr>
      <w:tr w:rsidR="00A92F40" w:rsidRPr="00B30A12" w14:paraId="2430F9FA" w14:textId="77777777" w:rsidTr="00DA7B0B">
        <w:trPr>
          <w:cantSplit/>
        </w:trPr>
        <w:tc>
          <w:tcPr>
            <w:tcW w:w="2235" w:type="dxa"/>
          </w:tcPr>
          <w:p w14:paraId="4B0454CA" w14:textId="77777777" w:rsidR="00A92F40" w:rsidRPr="00B30A12" w:rsidRDefault="00A92F40" w:rsidP="0054140C">
            <w:pPr>
              <w:widowControl w:val="0"/>
              <w:rPr>
                <w:i/>
                <w:color w:val="000000"/>
                <w:sz w:val="22"/>
                <w:szCs w:val="22"/>
              </w:rPr>
            </w:pPr>
            <w:r w:rsidRPr="00B30A12">
              <w:rPr>
                <w:i/>
                <w:color w:val="000000"/>
                <w:sz w:val="22"/>
                <w:szCs w:val="22"/>
              </w:rPr>
              <w:t>Nicht bekannt:</w:t>
            </w:r>
          </w:p>
        </w:tc>
        <w:tc>
          <w:tcPr>
            <w:tcW w:w="7087" w:type="dxa"/>
          </w:tcPr>
          <w:p w14:paraId="00359F68" w14:textId="77777777" w:rsidR="00A92F40" w:rsidRPr="00B30A12" w:rsidRDefault="00A92F40" w:rsidP="0054140C">
            <w:pPr>
              <w:widowControl w:val="0"/>
              <w:rPr>
                <w:color w:val="000000"/>
                <w:sz w:val="22"/>
                <w:szCs w:val="22"/>
              </w:rPr>
            </w:pPr>
            <w:r w:rsidRPr="00B30A12">
              <w:rPr>
                <w:color w:val="000000"/>
                <w:sz w:val="22"/>
                <w:szCs w:val="22"/>
              </w:rPr>
              <w:t>Anaphylaktischer Schock*</w:t>
            </w:r>
          </w:p>
        </w:tc>
      </w:tr>
      <w:tr w:rsidR="003A33A6" w:rsidRPr="00B30A12" w14:paraId="4A8507C2" w14:textId="77777777" w:rsidTr="00DA7B0B">
        <w:trPr>
          <w:cantSplit/>
        </w:trPr>
        <w:tc>
          <w:tcPr>
            <w:tcW w:w="9322" w:type="dxa"/>
            <w:gridSpan w:val="2"/>
          </w:tcPr>
          <w:p w14:paraId="05F2B136" w14:textId="77777777" w:rsidR="003A33A6" w:rsidRPr="00B30A12" w:rsidRDefault="003A33A6" w:rsidP="00DA7B0B">
            <w:pPr>
              <w:keepNext/>
              <w:widowControl w:val="0"/>
              <w:rPr>
                <w:b/>
                <w:sz w:val="22"/>
                <w:szCs w:val="22"/>
              </w:rPr>
            </w:pPr>
            <w:r w:rsidRPr="00B30A12">
              <w:rPr>
                <w:b/>
                <w:color w:val="000000"/>
                <w:sz w:val="22"/>
                <w:szCs w:val="22"/>
              </w:rPr>
              <w:t>Erkrankungen des Blutes und des Lymphsystems</w:t>
            </w:r>
          </w:p>
        </w:tc>
      </w:tr>
      <w:tr w:rsidR="003A33A6" w:rsidRPr="00B30A12" w14:paraId="726527F0" w14:textId="77777777" w:rsidTr="00DA7B0B">
        <w:trPr>
          <w:cantSplit/>
        </w:trPr>
        <w:tc>
          <w:tcPr>
            <w:tcW w:w="2235" w:type="dxa"/>
          </w:tcPr>
          <w:p w14:paraId="6C877E95" w14:textId="77777777" w:rsidR="003A33A6" w:rsidRPr="00B30A12" w:rsidRDefault="003A33A6" w:rsidP="00DA7B0B">
            <w:pPr>
              <w:keepNext/>
              <w:widowControl w:val="0"/>
              <w:rPr>
                <w:sz w:val="22"/>
                <w:szCs w:val="22"/>
              </w:rPr>
            </w:pPr>
            <w:r w:rsidRPr="00B30A12">
              <w:rPr>
                <w:i/>
                <w:color w:val="000000"/>
                <w:sz w:val="22"/>
                <w:szCs w:val="22"/>
              </w:rPr>
              <w:t>Sehr häufig:</w:t>
            </w:r>
          </w:p>
        </w:tc>
        <w:tc>
          <w:tcPr>
            <w:tcW w:w="7087" w:type="dxa"/>
          </w:tcPr>
          <w:p w14:paraId="2510038E" w14:textId="77777777" w:rsidR="003A33A6" w:rsidRPr="00B30A12" w:rsidRDefault="003A33A6" w:rsidP="00DA7B0B">
            <w:pPr>
              <w:keepNext/>
              <w:widowControl w:val="0"/>
              <w:rPr>
                <w:sz w:val="22"/>
                <w:szCs w:val="22"/>
              </w:rPr>
            </w:pPr>
            <w:r w:rsidRPr="00B30A12">
              <w:rPr>
                <w:color w:val="000000"/>
                <w:sz w:val="22"/>
                <w:szCs w:val="22"/>
              </w:rPr>
              <w:t>Neutrozytopenie, Thrombozytopenie, Anämie</w:t>
            </w:r>
          </w:p>
        </w:tc>
      </w:tr>
      <w:tr w:rsidR="003A33A6" w:rsidRPr="00B30A12" w14:paraId="6E8450DC" w14:textId="77777777" w:rsidTr="00DA7B0B">
        <w:trPr>
          <w:cantSplit/>
        </w:trPr>
        <w:tc>
          <w:tcPr>
            <w:tcW w:w="2235" w:type="dxa"/>
          </w:tcPr>
          <w:p w14:paraId="2DBA1BB9"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57C653A9" w14:textId="77777777" w:rsidR="003A33A6" w:rsidRPr="00B30A12" w:rsidRDefault="003A33A6" w:rsidP="00DA7B0B">
            <w:pPr>
              <w:keepNext/>
              <w:widowControl w:val="0"/>
              <w:rPr>
                <w:sz w:val="22"/>
                <w:szCs w:val="22"/>
              </w:rPr>
            </w:pPr>
            <w:r w:rsidRPr="00B30A12">
              <w:rPr>
                <w:color w:val="000000"/>
                <w:sz w:val="22"/>
                <w:szCs w:val="22"/>
              </w:rPr>
              <w:t>Panzytopenie, fiebrige Neutrozytopenie</w:t>
            </w:r>
          </w:p>
        </w:tc>
      </w:tr>
      <w:tr w:rsidR="003A33A6" w:rsidRPr="00B30A12" w14:paraId="099E8786" w14:textId="77777777" w:rsidTr="00DA7B0B">
        <w:trPr>
          <w:cantSplit/>
        </w:trPr>
        <w:tc>
          <w:tcPr>
            <w:tcW w:w="2235" w:type="dxa"/>
          </w:tcPr>
          <w:p w14:paraId="651EF949"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704E5EFA" w14:textId="77777777" w:rsidR="003A33A6" w:rsidRPr="00B30A12" w:rsidRDefault="003A33A6" w:rsidP="00DA7B0B">
            <w:pPr>
              <w:keepNext/>
              <w:widowControl w:val="0"/>
              <w:rPr>
                <w:sz w:val="22"/>
                <w:szCs w:val="22"/>
              </w:rPr>
            </w:pPr>
            <w:r w:rsidRPr="00B30A12">
              <w:rPr>
                <w:color w:val="000000"/>
                <w:sz w:val="22"/>
                <w:szCs w:val="22"/>
              </w:rPr>
              <w:t>Thrombozythämie, Lymphozytopenie, Knochenmarkdepression, Eosinophilie, Lymphadenopathie</w:t>
            </w:r>
          </w:p>
        </w:tc>
      </w:tr>
      <w:tr w:rsidR="003A33A6" w:rsidRPr="00B30A12" w14:paraId="72571285" w14:textId="77777777" w:rsidTr="00DA7B0B">
        <w:trPr>
          <w:cantSplit/>
        </w:trPr>
        <w:tc>
          <w:tcPr>
            <w:tcW w:w="2235" w:type="dxa"/>
          </w:tcPr>
          <w:p w14:paraId="21C1C5F8" w14:textId="77777777" w:rsidR="003A33A6" w:rsidRPr="00B30A12" w:rsidRDefault="003A33A6" w:rsidP="0054140C">
            <w:pPr>
              <w:widowControl w:val="0"/>
              <w:rPr>
                <w:i/>
                <w:sz w:val="22"/>
                <w:szCs w:val="22"/>
              </w:rPr>
            </w:pPr>
            <w:r w:rsidRPr="00B30A12">
              <w:rPr>
                <w:i/>
                <w:sz w:val="22"/>
                <w:szCs w:val="22"/>
              </w:rPr>
              <w:t>Selten:</w:t>
            </w:r>
          </w:p>
        </w:tc>
        <w:tc>
          <w:tcPr>
            <w:tcW w:w="7087" w:type="dxa"/>
          </w:tcPr>
          <w:p w14:paraId="21D48DF7" w14:textId="77777777" w:rsidR="003A33A6" w:rsidRPr="00B30A12" w:rsidRDefault="003A33A6" w:rsidP="0054140C">
            <w:pPr>
              <w:widowControl w:val="0"/>
              <w:rPr>
                <w:sz w:val="22"/>
                <w:szCs w:val="22"/>
              </w:rPr>
            </w:pPr>
            <w:r w:rsidRPr="00B30A12">
              <w:rPr>
                <w:sz w:val="22"/>
                <w:szCs w:val="22"/>
              </w:rPr>
              <w:t>Hämolytische Anämie</w:t>
            </w:r>
            <w:r w:rsidR="006B3D38">
              <w:rPr>
                <w:sz w:val="22"/>
                <w:szCs w:val="22"/>
              </w:rPr>
              <w:t>, t</w:t>
            </w:r>
            <w:r w:rsidR="006B3D38" w:rsidRPr="006B3D38">
              <w:rPr>
                <w:sz w:val="22"/>
                <w:szCs w:val="22"/>
              </w:rPr>
              <w:t>hrombotische Mikroangiopathie</w:t>
            </w:r>
          </w:p>
        </w:tc>
      </w:tr>
      <w:tr w:rsidR="003A33A6" w:rsidRPr="00B30A12" w14:paraId="55F2B969" w14:textId="77777777" w:rsidTr="00DA7B0B">
        <w:trPr>
          <w:cantSplit/>
        </w:trPr>
        <w:tc>
          <w:tcPr>
            <w:tcW w:w="9322" w:type="dxa"/>
            <w:gridSpan w:val="2"/>
          </w:tcPr>
          <w:p w14:paraId="116E77B3" w14:textId="77777777" w:rsidR="003A33A6" w:rsidRPr="00B30A12" w:rsidRDefault="003A33A6" w:rsidP="00DA7B0B">
            <w:pPr>
              <w:keepNext/>
              <w:widowControl w:val="0"/>
              <w:rPr>
                <w:b/>
                <w:color w:val="000000"/>
                <w:sz w:val="22"/>
                <w:szCs w:val="22"/>
              </w:rPr>
            </w:pPr>
            <w:r w:rsidRPr="00B30A12">
              <w:rPr>
                <w:b/>
                <w:color w:val="000000"/>
                <w:sz w:val="22"/>
                <w:szCs w:val="22"/>
              </w:rPr>
              <w:t>Stoffwechsel- und Ernährungsstörungen</w:t>
            </w:r>
          </w:p>
        </w:tc>
      </w:tr>
      <w:tr w:rsidR="003A33A6" w:rsidRPr="00B30A12" w14:paraId="5038F538" w14:textId="77777777" w:rsidTr="00DA7B0B">
        <w:trPr>
          <w:cantSplit/>
        </w:trPr>
        <w:tc>
          <w:tcPr>
            <w:tcW w:w="2235" w:type="dxa"/>
          </w:tcPr>
          <w:p w14:paraId="5BBFD180" w14:textId="77777777" w:rsidR="003A33A6" w:rsidRPr="00B30A12" w:rsidRDefault="003A33A6" w:rsidP="00DA7B0B">
            <w:pPr>
              <w:keepNext/>
              <w:widowControl w:val="0"/>
              <w:rPr>
                <w:i/>
                <w:color w:val="000000"/>
                <w:sz w:val="22"/>
                <w:szCs w:val="22"/>
              </w:rPr>
            </w:pPr>
            <w:r w:rsidRPr="00B30A12">
              <w:rPr>
                <w:i/>
                <w:color w:val="000000"/>
                <w:sz w:val="22"/>
                <w:szCs w:val="22"/>
              </w:rPr>
              <w:t>Häufig:</w:t>
            </w:r>
          </w:p>
        </w:tc>
        <w:tc>
          <w:tcPr>
            <w:tcW w:w="7087" w:type="dxa"/>
          </w:tcPr>
          <w:p w14:paraId="68D50BF7" w14:textId="77777777" w:rsidR="003A33A6" w:rsidRPr="00B30A12" w:rsidRDefault="003A33A6" w:rsidP="00DA7B0B">
            <w:pPr>
              <w:keepNext/>
              <w:widowControl w:val="0"/>
              <w:rPr>
                <w:color w:val="000000"/>
                <w:sz w:val="22"/>
                <w:szCs w:val="22"/>
              </w:rPr>
            </w:pPr>
            <w:r w:rsidRPr="00B30A12">
              <w:rPr>
                <w:color w:val="000000"/>
                <w:sz w:val="22"/>
                <w:szCs w:val="22"/>
              </w:rPr>
              <w:t>Appetitlosigkeit</w:t>
            </w:r>
          </w:p>
        </w:tc>
      </w:tr>
      <w:tr w:rsidR="003A33A6" w:rsidRPr="00B30A12" w14:paraId="3504AD2A" w14:textId="77777777" w:rsidTr="00DA7B0B">
        <w:trPr>
          <w:cantSplit/>
        </w:trPr>
        <w:tc>
          <w:tcPr>
            <w:tcW w:w="2235" w:type="dxa"/>
          </w:tcPr>
          <w:p w14:paraId="3424542A" w14:textId="77777777" w:rsidR="003A33A6" w:rsidRPr="00B30A12"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70BD9B88" w14:textId="77777777" w:rsidR="003A33A6" w:rsidRPr="00B30A12" w:rsidRDefault="003A33A6" w:rsidP="00DA7B0B">
            <w:pPr>
              <w:keepNext/>
              <w:widowControl w:val="0"/>
              <w:rPr>
                <w:color w:val="000000"/>
                <w:sz w:val="22"/>
                <w:szCs w:val="22"/>
              </w:rPr>
            </w:pPr>
            <w:r w:rsidRPr="00B30A12">
              <w:rPr>
                <w:color w:val="000000"/>
                <w:sz w:val="22"/>
                <w:szCs w:val="22"/>
              </w:rPr>
              <w:t>Hypokaliämie, verstärkter Appetit, Hypophosphatämie, verminderter Appetit, Dehydration, Gicht, Hyperurikämie, Hyperkalzämie, Hyperglykämie, Hyponatriämie</w:t>
            </w:r>
          </w:p>
        </w:tc>
      </w:tr>
      <w:tr w:rsidR="003A33A6" w:rsidRPr="00B30A12" w14:paraId="40628F36" w14:textId="77777777" w:rsidTr="00DA7B0B">
        <w:trPr>
          <w:cantSplit/>
        </w:trPr>
        <w:tc>
          <w:tcPr>
            <w:tcW w:w="2235" w:type="dxa"/>
          </w:tcPr>
          <w:p w14:paraId="0F73E85F" w14:textId="77777777" w:rsidR="003A33A6" w:rsidRPr="00B30A12" w:rsidRDefault="003A33A6" w:rsidP="0054140C">
            <w:pPr>
              <w:widowControl w:val="0"/>
              <w:rPr>
                <w:i/>
                <w:color w:val="000000"/>
                <w:sz w:val="22"/>
                <w:szCs w:val="22"/>
              </w:rPr>
            </w:pPr>
            <w:r w:rsidRPr="00B30A12">
              <w:rPr>
                <w:i/>
                <w:color w:val="000000"/>
                <w:sz w:val="22"/>
                <w:szCs w:val="22"/>
              </w:rPr>
              <w:t>Selten:</w:t>
            </w:r>
          </w:p>
        </w:tc>
        <w:tc>
          <w:tcPr>
            <w:tcW w:w="7087" w:type="dxa"/>
          </w:tcPr>
          <w:p w14:paraId="6CA63C42" w14:textId="77777777" w:rsidR="003A33A6" w:rsidRPr="00B30A12" w:rsidRDefault="003A33A6" w:rsidP="0054140C">
            <w:pPr>
              <w:widowControl w:val="0"/>
              <w:rPr>
                <w:color w:val="000000"/>
                <w:sz w:val="22"/>
                <w:szCs w:val="22"/>
                <w:lang w:val="pt-PT"/>
              </w:rPr>
            </w:pPr>
            <w:r w:rsidRPr="00B30A12">
              <w:rPr>
                <w:color w:val="000000"/>
                <w:sz w:val="22"/>
                <w:szCs w:val="22"/>
              </w:rPr>
              <w:t>Hyperkaliämie, Hypomagnesiämie</w:t>
            </w:r>
          </w:p>
        </w:tc>
      </w:tr>
      <w:tr w:rsidR="003A33A6" w:rsidRPr="00B30A12" w14:paraId="0EB1B6F9" w14:textId="77777777" w:rsidTr="00DA7B0B">
        <w:trPr>
          <w:cantSplit/>
        </w:trPr>
        <w:tc>
          <w:tcPr>
            <w:tcW w:w="9322" w:type="dxa"/>
            <w:gridSpan w:val="2"/>
          </w:tcPr>
          <w:p w14:paraId="201CDF5D" w14:textId="77777777" w:rsidR="003A33A6" w:rsidRPr="00B30A12" w:rsidRDefault="003A33A6" w:rsidP="00DA7B0B">
            <w:pPr>
              <w:keepNext/>
              <w:widowControl w:val="0"/>
              <w:rPr>
                <w:b/>
                <w:color w:val="000000"/>
                <w:sz w:val="22"/>
                <w:szCs w:val="22"/>
              </w:rPr>
            </w:pPr>
            <w:r w:rsidRPr="00B30A12">
              <w:rPr>
                <w:b/>
                <w:color w:val="000000"/>
                <w:sz w:val="22"/>
                <w:szCs w:val="22"/>
              </w:rPr>
              <w:t>Psychiatrische Erkrankungen</w:t>
            </w:r>
          </w:p>
        </w:tc>
      </w:tr>
      <w:tr w:rsidR="003A33A6" w:rsidRPr="00B30A12" w14:paraId="763CB01F" w14:textId="77777777" w:rsidTr="00DA7B0B">
        <w:trPr>
          <w:cantSplit/>
        </w:trPr>
        <w:tc>
          <w:tcPr>
            <w:tcW w:w="2235" w:type="dxa"/>
          </w:tcPr>
          <w:p w14:paraId="52C52D2C" w14:textId="77777777" w:rsidR="003A33A6" w:rsidRPr="00B30A12" w:rsidRDefault="003A33A6" w:rsidP="00DA7B0B">
            <w:pPr>
              <w:keepNext/>
              <w:widowControl w:val="0"/>
              <w:rPr>
                <w:i/>
                <w:color w:val="000000"/>
                <w:sz w:val="22"/>
                <w:szCs w:val="22"/>
              </w:rPr>
            </w:pPr>
            <w:r w:rsidRPr="00B30A12">
              <w:rPr>
                <w:i/>
                <w:color w:val="000000"/>
                <w:sz w:val="22"/>
                <w:szCs w:val="22"/>
              </w:rPr>
              <w:t>Häufig:</w:t>
            </w:r>
          </w:p>
        </w:tc>
        <w:tc>
          <w:tcPr>
            <w:tcW w:w="7087" w:type="dxa"/>
          </w:tcPr>
          <w:p w14:paraId="7162CC18" w14:textId="77777777" w:rsidR="003A33A6" w:rsidRPr="00B30A12" w:rsidRDefault="003A33A6" w:rsidP="00DA7B0B">
            <w:pPr>
              <w:keepNext/>
              <w:widowControl w:val="0"/>
              <w:rPr>
                <w:color w:val="000000"/>
                <w:sz w:val="22"/>
                <w:szCs w:val="22"/>
              </w:rPr>
            </w:pPr>
            <w:r w:rsidRPr="00B30A12">
              <w:rPr>
                <w:color w:val="000000"/>
                <w:sz w:val="22"/>
                <w:szCs w:val="22"/>
              </w:rPr>
              <w:t>Schlaflosigkeit</w:t>
            </w:r>
          </w:p>
        </w:tc>
      </w:tr>
      <w:tr w:rsidR="003A33A6" w:rsidRPr="00B30A12" w14:paraId="5C6E60FE" w14:textId="77777777" w:rsidTr="00DA7B0B">
        <w:trPr>
          <w:cantSplit/>
        </w:trPr>
        <w:tc>
          <w:tcPr>
            <w:tcW w:w="2235" w:type="dxa"/>
          </w:tcPr>
          <w:p w14:paraId="113D9BC3" w14:textId="77777777" w:rsidR="003A33A6" w:rsidRPr="00B30A12"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038D3D1E" w14:textId="77777777" w:rsidR="003A33A6" w:rsidRPr="00B30A12" w:rsidRDefault="003A33A6" w:rsidP="00DA7B0B">
            <w:pPr>
              <w:keepNext/>
              <w:widowControl w:val="0"/>
              <w:rPr>
                <w:color w:val="000000"/>
                <w:sz w:val="22"/>
                <w:szCs w:val="22"/>
              </w:rPr>
            </w:pPr>
            <w:r w:rsidRPr="00B30A12">
              <w:rPr>
                <w:color w:val="000000"/>
                <w:sz w:val="22"/>
                <w:szCs w:val="22"/>
              </w:rPr>
              <w:t>Depression, verminderte Libido, Angstzustände</w:t>
            </w:r>
          </w:p>
        </w:tc>
      </w:tr>
      <w:tr w:rsidR="003A33A6" w:rsidRPr="00B30A12" w14:paraId="233383AF" w14:textId="77777777" w:rsidTr="00DA7B0B">
        <w:trPr>
          <w:cantSplit/>
        </w:trPr>
        <w:tc>
          <w:tcPr>
            <w:tcW w:w="2235" w:type="dxa"/>
          </w:tcPr>
          <w:p w14:paraId="118BD9DA" w14:textId="77777777" w:rsidR="003A33A6" w:rsidRPr="00B30A12" w:rsidRDefault="003A33A6" w:rsidP="0054140C">
            <w:pPr>
              <w:widowControl w:val="0"/>
              <w:rPr>
                <w:i/>
                <w:color w:val="000000"/>
                <w:sz w:val="22"/>
                <w:szCs w:val="22"/>
              </w:rPr>
            </w:pPr>
            <w:r w:rsidRPr="00B30A12">
              <w:rPr>
                <w:i/>
                <w:color w:val="000000"/>
                <w:sz w:val="22"/>
                <w:szCs w:val="22"/>
              </w:rPr>
              <w:t>Selten:</w:t>
            </w:r>
          </w:p>
        </w:tc>
        <w:tc>
          <w:tcPr>
            <w:tcW w:w="7087" w:type="dxa"/>
          </w:tcPr>
          <w:p w14:paraId="3D31310D" w14:textId="77777777" w:rsidR="003A33A6" w:rsidRPr="00B30A12" w:rsidRDefault="003A33A6" w:rsidP="0054140C">
            <w:pPr>
              <w:widowControl w:val="0"/>
              <w:rPr>
                <w:color w:val="000000"/>
                <w:sz w:val="22"/>
                <w:szCs w:val="22"/>
              </w:rPr>
            </w:pPr>
            <w:r w:rsidRPr="00B30A12">
              <w:rPr>
                <w:color w:val="000000"/>
                <w:sz w:val="22"/>
                <w:szCs w:val="22"/>
              </w:rPr>
              <w:t>Verwirrtheitszustände</w:t>
            </w:r>
          </w:p>
        </w:tc>
      </w:tr>
      <w:tr w:rsidR="003A33A6" w:rsidRPr="00B30A12" w14:paraId="2BD6A6DD" w14:textId="77777777" w:rsidTr="00DA7B0B">
        <w:trPr>
          <w:cantSplit/>
        </w:trPr>
        <w:tc>
          <w:tcPr>
            <w:tcW w:w="9322" w:type="dxa"/>
            <w:gridSpan w:val="2"/>
          </w:tcPr>
          <w:p w14:paraId="0A4FA0C0" w14:textId="77777777" w:rsidR="003A33A6" w:rsidRPr="00B30A12" w:rsidRDefault="003A33A6" w:rsidP="00DA7B0B">
            <w:pPr>
              <w:keepNext/>
              <w:widowControl w:val="0"/>
              <w:rPr>
                <w:b/>
                <w:sz w:val="22"/>
                <w:szCs w:val="22"/>
              </w:rPr>
            </w:pPr>
            <w:r w:rsidRPr="00B30A12">
              <w:rPr>
                <w:b/>
                <w:color w:val="000000"/>
                <w:sz w:val="22"/>
                <w:szCs w:val="22"/>
              </w:rPr>
              <w:t>Erkrankungen des Nervensystems</w:t>
            </w:r>
          </w:p>
        </w:tc>
      </w:tr>
      <w:tr w:rsidR="003A33A6" w:rsidRPr="00B30A12" w14:paraId="34228EA3" w14:textId="77777777" w:rsidTr="00DA7B0B">
        <w:trPr>
          <w:cantSplit/>
        </w:trPr>
        <w:tc>
          <w:tcPr>
            <w:tcW w:w="2235" w:type="dxa"/>
          </w:tcPr>
          <w:p w14:paraId="64CC4034" w14:textId="77777777" w:rsidR="003A33A6" w:rsidRPr="00B30A12" w:rsidRDefault="003A33A6" w:rsidP="00DA7B0B">
            <w:pPr>
              <w:keepNext/>
              <w:widowControl w:val="0"/>
              <w:rPr>
                <w:sz w:val="22"/>
                <w:szCs w:val="22"/>
              </w:rPr>
            </w:pPr>
            <w:r w:rsidRPr="00B30A12">
              <w:rPr>
                <w:i/>
                <w:color w:val="000000"/>
                <w:sz w:val="22"/>
                <w:szCs w:val="22"/>
              </w:rPr>
              <w:t>Sehr häufig:</w:t>
            </w:r>
          </w:p>
        </w:tc>
        <w:tc>
          <w:tcPr>
            <w:tcW w:w="7087" w:type="dxa"/>
          </w:tcPr>
          <w:p w14:paraId="0AC7F584" w14:textId="77777777" w:rsidR="003A33A6" w:rsidRPr="00B30A12" w:rsidRDefault="003A33A6" w:rsidP="00DA7B0B">
            <w:pPr>
              <w:keepNext/>
              <w:widowControl w:val="0"/>
              <w:rPr>
                <w:sz w:val="22"/>
                <w:szCs w:val="22"/>
              </w:rPr>
            </w:pPr>
            <w:r w:rsidRPr="00B30A12">
              <w:rPr>
                <w:color w:val="000000"/>
                <w:sz w:val="22"/>
                <w:szCs w:val="22"/>
              </w:rPr>
              <w:t>Kopfschmerzen</w:t>
            </w:r>
            <w:r w:rsidRPr="00B30A12">
              <w:rPr>
                <w:color w:val="000000"/>
                <w:sz w:val="22"/>
                <w:szCs w:val="22"/>
                <w:vertAlign w:val="superscript"/>
              </w:rPr>
              <w:t>2</w:t>
            </w:r>
          </w:p>
        </w:tc>
      </w:tr>
      <w:tr w:rsidR="003A33A6" w:rsidRPr="00B30A12" w14:paraId="2429BB06" w14:textId="77777777" w:rsidTr="00DA7B0B">
        <w:trPr>
          <w:cantSplit/>
          <w:trHeight w:val="374"/>
        </w:trPr>
        <w:tc>
          <w:tcPr>
            <w:tcW w:w="2235" w:type="dxa"/>
          </w:tcPr>
          <w:p w14:paraId="2CC6DA35"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63ADF8AC" w14:textId="77777777" w:rsidR="003A33A6" w:rsidRPr="00B30A12" w:rsidRDefault="003A33A6" w:rsidP="00DA7B0B">
            <w:pPr>
              <w:keepNext/>
              <w:widowControl w:val="0"/>
              <w:rPr>
                <w:color w:val="000000"/>
                <w:sz w:val="22"/>
                <w:szCs w:val="22"/>
              </w:rPr>
            </w:pPr>
            <w:r w:rsidRPr="00B30A12">
              <w:rPr>
                <w:color w:val="000000"/>
                <w:sz w:val="22"/>
                <w:szCs w:val="22"/>
              </w:rPr>
              <w:t>Schwindel, Pa</w:t>
            </w:r>
            <w:r w:rsidRPr="00B30A12">
              <w:rPr>
                <w:color w:val="000000"/>
                <w:sz w:val="22"/>
                <w:szCs w:val="22"/>
              </w:rPr>
              <w:softHyphen/>
              <w:t>rästhesie, Geschmacksstörungen, Hypästhesie</w:t>
            </w:r>
          </w:p>
        </w:tc>
      </w:tr>
      <w:tr w:rsidR="003A33A6" w:rsidRPr="00B30A12" w14:paraId="6A22F498" w14:textId="77777777" w:rsidTr="00DA7B0B">
        <w:trPr>
          <w:cantSplit/>
        </w:trPr>
        <w:tc>
          <w:tcPr>
            <w:tcW w:w="2235" w:type="dxa"/>
          </w:tcPr>
          <w:p w14:paraId="6FF8952A"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2E7F711B" w14:textId="77777777" w:rsidR="003A33A6" w:rsidRPr="00B30A12" w:rsidRDefault="003A33A6" w:rsidP="00DA7B0B">
            <w:pPr>
              <w:keepNext/>
              <w:widowControl w:val="0"/>
              <w:rPr>
                <w:sz w:val="22"/>
                <w:szCs w:val="22"/>
              </w:rPr>
            </w:pPr>
            <w:r w:rsidRPr="00B30A12">
              <w:rPr>
                <w:color w:val="000000"/>
                <w:sz w:val="22"/>
                <w:szCs w:val="22"/>
              </w:rPr>
              <w:t>Migräne, Schläfrigkeit, Synkope, periphere Neuropathie, Gedächtnisschwäche, Ischiasbeschwerden, „Restless-Legs-Syndrom“, Tremor, Hirnblutung</w:t>
            </w:r>
          </w:p>
        </w:tc>
      </w:tr>
      <w:tr w:rsidR="003A33A6" w:rsidRPr="00B30A12" w14:paraId="52FFCE1D" w14:textId="77777777" w:rsidTr="00DA7B0B">
        <w:trPr>
          <w:cantSplit/>
        </w:trPr>
        <w:tc>
          <w:tcPr>
            <w:tcW w:w="2235" w:type="dxa"/>
          </w:tcPr>
          <w:p w14:paraId="5A0E589D"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736A605D" w14:textId="77777777" w:rsidR="003A33A6" w:rsidRPr="00B30A12" w:rsidRDefault="003A33A6" w:rsidP="00DA7B0B">
            <w:pPr>
              <w:keepNext/>
              <w:widowControl w:val="0"/>
              <w:rPr>
                <w:color w:val="000000"/>
                <w:sz w:val="22"/>
                <w:szCs w:val="22"/>
              </w:rPr>
            </w:pPr>
            <w:r w:rsidRPr="00B30A12">
              <w:rPr>
                <w:color w:val="000000"/>
                <w:sz w:val="22"/>
                <w:szCs w:val="22"/>
              </w:rPr>
              <w:t>Erhöhter intrakra</w:t>
            </w:r>
            <w:r w:rsidRPr="00B30A12">
              <w:rPr>
                <w:color w:val="000000"/>
                <w:sz w:val="22"/>
                <w:szCs w:val="22"/>
              </w:rPr>
              <w:softHyphen/>
              <w:t>nieller Druck, Konvulsionen, Sehnervenentzündung</w:t>
            </w:r>
          </w:p>
        </w:tc>
      </w:tr>
      <w:tr w:rsidR="006E656A" w:rsidRPr="00B30A12" w14:paraId="2349F241" w14:textId="77777777" w:rsidTr="00DA7B0B">
        <w:trPr>
          <w:cantSplit/>
        </w:trPr>
        <w:tc>
          <w:tcPr>
            <w:tcW w:w="2235" w:type="dxa"/>
          </w:tcPr>
          <w:p w14:paraId="3A9311F7" w14:textId="77777777" w:rsidR="006E656A" w:rsidRPr="00B30A12" w:rsidRDefault="006E656A" w:rsidP="0054140C">
            <w:pPr>
              <w:widowControl w:val="0"/>
              <w:rPr>
                <w:i/>
                <w:color w:val="000000"/>
                <w:sz w:val="22"/>
                <w:szCs w:val="22"/>
              </w:rPr>
            </w:pPr>
            <w:r w:rsidRPr="00B30A12">
              <w:rPr>
                <w:i/>
                <w:color w:val="000000"/>
                <w:sz w:val="22"/>
                <w:szCs w:val="22"/>
              </w:rPr>
              <w:t>Nicht bekannt:</w:t>
            </w:r>
          </w:p>
        </w:tc>
        <w:tc>
          <w:tcPr>
            <w:tcW w:w="7087" w:type="dxa"/>
          </w:tcPr>
          <w:p w14:paraId="37250BFE" w14:textId="77777777" w:rsidR="006E656A" w:rsidRPr="00B30A12" w:rsidRDefault="006E656A" w:rsidP="0054140C">
            <w:pPr>
              <w:widowControl w:val="0"/>
              <w:rPr>
                <w:color w:val="000000"/>
                <w:sz w:val="22"/>
                <w:szCs w:val="22"/>
              </w:rPr>
            </w:pPr>
            <w:r w:rsidRPr="00B30A12">
              <w:rPr>
                <w:color w:val="000000"/>
                <w:sz w:val="22"/>
                <w:szCs w:val="22"/>
              </w:rPr>
              <w:t>Hirnödem*</w:t>
            </w:r>
          </w:p>
        </w:tc>
      </w:tr>
      <w:tr w:rsidR="003A33A6" w:rsidRPr="00B30A12" w14:paraId="2728744E" w14:textId="77777777" w:rsidTr="00DA7B0B">
        <w:trPr>
          <w:cantSplit/>
        </w:trPr>
        <w:tc>
          <w:tcPr>
            <w:tcW w:w="9322" w:type="dxa"/>
            <w:gridSpan w:val="2"/>
          </w:tcPr>
          <w:p w14:paraId="66DF7F6D" w14:textId="77777777" w:rsidR="003A33A6" w:rsidRPr="00B30A12" w:rsidRDefault="003A33A6" w:rsidP="00DA7B0B">
            <w:pPr>
              <w:keepNext/>
              <w:widowControl w:val="0"/>
              <w:rPr>
                <w:b/>
                <w:sz w:val="22"/>
                <w:szCs w:val="22"/>
              </w:rPr>
            </w:pPr>
            <w:r w:rsidRPr="00B30A12">
              <w:rPr>
                <w:b/>
                <w:color w:val="000000"/>
                <w:sz w:val="22"/>
                <w:szCs w:val="22"/>
              </w:rPr>
              <w:t>Augenerkrankungen</w:t>
            </w:r>
          </w:p>
        </w:tc>
      </w:tr>
      <w:tr w:rsidR="003A33A6" w:rsidRPr="00B30A12" w14:paraId="1F6BF371" w14:textId="77777777" w:rsidTr="00DA7B0B">
        <w:trPr>
          <w:cantSplit/>
        </w:trPr>
        <w:tc>
          <w:tcPr>
            <w:tcW w:w="2235" w:type="dxa"/>
          </w:tcPr>
          <w:p w14:paraId="5602A9E7"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3F3CED64" w14:textId="77777777" w:rsidR="003A33A6" w:rsidRPr="00B30A12" w:rsidRDefault="003A33A6" w:rsidP="00DA7B0B">
            <w:pPr>
              <w:keepNext/>
              <w:widowControl w:val="0"/>
              <w:rPr>
                <w:sz w:val="22"/>
                <w:szCs w:val="22"/>
              </w:rPr>
            </w:pPr>
            <w:r w:rsidRPr="00B30A12">
              <w:rPr>
                <w:color w:val="000000"/>
                <w:sz w:val="22"/>
                <w:szCs w:val="22"/>
              </w:rPr>
              <w:t>Augenlidödem, vermehrter Trä</w:t>
            </w:r>
            <w:r w:rsidRPr="00B30A12">
              <w:rPr>
                <w:color w:val="000000"/>
                <w:sz w:val="22"/>
                <w:szCs w:val="22"/>
              </w:rPr>
              <w:softHyphen/>
              <w:t>nenfluss, Bindehautblutung, Konjunktivitis, trockene Augen, verschwommenes Sehen</w:t>
            </w:r>
          </w:p>
        </w:tc>
      </w:tr>
      <w:tr w:rsidR="003A33A6" w:rsidRPr="00B30A12" w14:paraId="26915B00" w14:textId="77777777" w:rsidTr="00DA7B0B">
        <w:trPr>
          <w:cantSplit/>
        </w:trPr>
        <w:tc>
          <w:tcPr>
            <w:tcW w:w="2235" w:type="dxa"/>
          </w:tcPr>
          <w:p w14:paraId="0B66EEED"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06E8A868" w14:textId="77777777" w:rsidR="003A33A6" w:rsidRPr="00B30A12" w:rsidRDefault="003A33A6" w:rsidP="00DA7B0B">
            <w:pPr>
              <w:keepNext/>
              <w:widowControl w:val="0"/>
              <w:rPr>
                <w:sz w:val="22"/>
                <w:szCs w:val="22"/>
              </w:rPr>
            </w:pPr>
            <w:r w:rsidRPr="00B30A12">
              <w:rPr>
                <w:color w:val="000000"/>
                <w:sz w:val="22"/>
                <w:szCs w:val="22"/>
              </w:rPr>
              <w:t>Augenreizung, Augenschmerzen, Augenhöhlenödem, Glaskörperhä</w:t>
            </w:r>
            <w:r w:rsidRPr="00B30A12">
              <w:rPr>
                <w:color w:val="000000"/>
                <w:sz w:val="22"/>
                <w:szCs w:val="22"/>
              </w:rPr>
              <w:softHyphen/>
              <w:t>morrha</w:t>
            </w:r>
            <w:r w:rsidRPr="00B30A12">
              <w:rPr>
                <w:color w:val="000000"/>
                <w:sz w:val="22"/>
                <w:szCs w:val="22"/>
              </w:rPr>
              <w:softHyphen/>
              <w:t>gie, Retinablutungen, Blepharitis, Makulaödem</w:t>
            </w:r>
          </w:p>
        </w:tc>
      </w:tr>
      <w:tr w:rsidR="003A33A6" w:rsidRPr="00B30A12" w14:paraId="5CA61C3F" w14:textId="77777777" w:rsidTr="00DA7B0B">
        <w:trPr>
          <w:cantSplit/>
        </w:trPr>
        <w:tc>
          <w:tcPr>
            <w:tcW w:w="2235" w:type="dxa"/>
          </w:tcPr>
          <w:p w14:paraId="315CD1D6"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50EAD97B" w14:textId="77777777" w:rsidR="003A33A6" w:rsidRPr="00B30A12" w:rsidRDefault="003A33A6" w:rsidP="00DA7B0B">
            <w:pPr>
              <w:keepNext/>
              <w:widowControl w:val="0"/>
              <w:rPr>
                <w:sz w:val="22"/>
                <w:szCs w:val="22"/>
              </w:rPr>
            </w:pPr>
            <w:r w:rsidRPr="00B30A12">
              <w:rPr>
                <w:color w:val="000000"/>
                <w:sz w:val="22"/>
                <w:szCs w:val="22"/>
              </w:rPr>
              <w:t>Katarakt, Glaukom, Papillenödem</w:t>
            </w:r>
          </w:p>
        </w:tc>
      </w:tr>
      <w:tr w:rsidR="006E656A" w:rsidRPr="00B30A12" w14:paraId="51DD2BC5" w14:textId="77777777" w:rsidTr="00DA7B0B">
        <w:trPr>
          <w:cantSplit/>
        </w:trPr>
        <w:tc>
          <w:tcPr>
            <w:tcW w:w="2235" w:type="dxa"/>
          </w:tcPr>
          <w:p w14:paraId="6B96918C" w14:textId="77777777" w:rsidR="006E656A" w:rsidRPr="00B30A12" w:rsidRDefault="006E656A" w:rsidP="0054140C">
            <w:pPr>
              <w:widowControl w:val="0"/>
              <w:rPr>
                <w:i/>
                <w:color w:val="000000"/>
                <w:sz w:val="22"/>
                <w:szCs w:val="22"/>
              </w:rPr>
            </w:pPr>
            <w:r w:rsidRPr="00B30A12">
              <w:rPr>
                <w:i/>
                <w:color w:val="000000"/>
                <w:sz w:val="22"/>
                <w:szCs w:val="22"/>
              </w:rPr>
              <w:t>Nicht bekannt:</w:t>
            </w:r>
          </w:p>
        </w:tc>
        <w:tc>
          <w:tcPr>
            <w:tcW w:w="7087" w:type="dxa"/>
          </w:tcPr>
          <w:p w14:paraId="0A5AA0F2" w14:textId="77777777" w:rsidR="006E656A" w:rsidRPr="00B30A12" w:rsidRDefault="006E656A" w:rsidP="0054140C">
            <w:pPr>
              <w:widowControl w:val="0"/>
              <w:rPr>
                <w:color w:val="000000"/>
                <w:sz w:val="22"/>
                <w:szCs w:val="22"/>
              </w:rPr>
            </w:pPr>
            <w:r w:rsidRPr="00B30A12">
              <w:rPr>
                <w:color w:val="000000"/>
                <w:sz w:val="22"/>
                <w:szCs w:val="22"/>
              </w:rPr>
              <w:t>Glaskörperhämorrhagie*</w:t>
            </w:r>
          </w:p>
        </w:tc>
      </w:tr>
      <w:tr w:rsidR="003A33A6" w:rsidRPr="00B30A12" w14:paraId="691D40A6" w14:textId="77777777" w:rsidTr="00DA7B0B">
        <w:trPr>
          <w:cantSplit/>
        </w:trPr>
        <w:tc>
          <w:tcPr>
            <w:tcW w:w="9322" w:type="dxa"/>
            <w:gridSpan w:val="2"/>
          </w:tcPr>
          <w:p w14:paraId="2CE505D3" w14:textId="77777777" w:rsidR="003A33A6" w:rsidRPr="00B30A12" w:rsidRDefault="003A33A6" w:rsidP="00DA7B0B">
            <w:pPr>
              <w:keepNext/>
              <w:widowControl w:val="0"/>
              <w:rPr>
                <w:b/>
                <w:sz w:val="22"/>
                <w:szCs w:val="22"/>
              </w:rPr>
            </w:pPr>
            <w:r w:rsidRPr="00B30A12">
              <w:rPr>
                <w:b/>
                <w:color w:val="000000"/>
                <w:sz w:val="22"/>
                <w:szCs w:val="22"/>
              </w:rPr>
              <w:t>Erkrankungen des Ohrs und des Labyrinths</w:t>
            </w:r>
          </w:p>
        </w:tc>
      </w:tr>
      <w:tr w:rsidR="003A33A6" w:rsidRPr="00B30A12" w14:paraId="3AD72323" w14:textId="77777777" w:rsidTr="00DA7B0B">
        <w:trPr>
          <w:cantSplit/>
        </w:trPr>
        <w:tc>
          <w:tcPr>
            <w:tcW w:w="2235" w:type="dxa"/>
          </w:tcPr>
          <w:p w14:paraId="224607B5" w14:textId="77777777" w:rsidR="003A33A6" w:rsidRPr="00B30A12" w:rsidRDefault="003A33A6" w:rsidP="0054140C">
            <w:pPr>
              <w:widowControl w:val="0"/>
              <w:rPr>
                <w:sz w:val="22"/>
                <w:szCs w:val="22"/>
              </w:rPr>
            </w:pPr>
            <w:r w:rsidRPr="00B30A12">
              <w:rPr>
                <w:i/>
                <w:color w:val="000000"/>
                <w:sz w:val="22"/>
                <w:szCs w:val="22"/>
              </w:rPr>
              <w:t>Gelegentlich:</w:t>
            </w:r>
          </w:p>
        </w:tc>
        <w:tc>
          <w:tcPr>
            <w:tcW w:w="7087" w:type="dxa"/>
          </w:tcPr>
          <w:p w14:paraId="73A277B4" w14:textId="77777777" w:rsidR="003A33A6" w:rsidRPr="00B30A12" w:rsidRDefault="003A33A6" w:rsidP="0054140C">
            <w:pPr>
              <w:widowControl w:val="0"/>
              <w:rPr>
                <w:sz w:val="22"/>
                <w:szCs w:val="22"/>
              </w:rPr>
            </w:pPr>
            <w:r w:rsidRPr="00B30A12">
              <w:rPr>
                <w:color w:val="000000"/>
                <w:sz w:val="22"/>
                <w:szCs w:val="22"/>
              </w:rPr>
              <w:t>Schwindel, Tinnitus</w:t>
            </w:r>
            <w:r w:rsidRPr="00B30A12">
              <w:rPr>
                <w:color w:val="000000"/>
                <w:sz w:val="22"/>
                <w:szCs w:val="22"/>
                <w:lang w:val="it-IT"/>
              </w:rPr>
              <w:t>, Hörverlust</w:t>
            </w:r>
          </w:p>
        </w:tc>
      </w:tr>
      <w:tr w:rsidR="003A33A6" w:rsidRPr="00B30A12" w14:paraId="41F86F6F" w14:textId="77777777" w:rsidTr="00DA7B0B">
        <w:trPr>
          <w:cantSplit/>
        </w:trPr>
        <w:tc>
          <w:tcPr>
            <w:tcW w:w="9322" w:type="dxa"/>
            <w:gridSpan w:val="2"/>
          </w:tcPr>
          <w:p w14:paraId="6A6BBB2C" w14:textId="77777777" w:rsidR="003A33A6" w:rsidRPr="00B30A12" w:rsidRDefault="003A33A6" w:rsidP="00DA7B0B">
            <w:pPr>
              <w:keepNext/>
              <w:widowControl w:val="0"/>
              <w:rPr>
                <w:b/>
                <w:sz w:val="22"/>
                <w:szCs w:val="22"/>
              </w:rPr>
            </w:pPr>
            <w:r w:rsidRPr="00B30A12">
              <w:rPr>
                <w:b/>
                <w:color w:val="000000"/>
                <w:sz w:val="22"/>
                <w:szCs w:val="22"/>
              </w:rPr>
              <w:lastRenderedPageBreak/>
              <w:t>Herzerkrankungen</w:t>
            </w:r>
          </w:p>
        </w:tc>
      </w:tr>
      <w:tr w:rsidR="003A33A6" w:rsidRPr="00B30A12" w14:paraId="60B60F42" w14:textId="77777777" w:rsidTr="00DA7B0B">
        <w:trPr>
          <w:cantSplit/>
        </w:trPr>
        <w:tc>
          <w:tcPr>
            <w:tcW w:w="2235" w:type="dxa"/>
          </w:tcPr>
          <w:p w14:paraId="72D7D71A"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5D640238" w14:textId="77777777" w:rsidR="003A33A6" w:rsidRPr="00B30A12" w:rsidRDefault="003A33A6" w:rsidP="00DA7B0B">
            <w:pPr>
              <w:keepNext/>
              <w:widowControl w:val="0"/>
              <w:rPr>
                <w:sz w:val="22"/>
                <w:szCs w:val="22"/>
              </w:rPr>
            </w:pPr>
            <w:r w:rsidRPr="00B30A12">
              <w:rPr>
                <w:color w:val="000000"/>
                <w:sz w:val="22"/>
                <w:szCs w:val="22"/>
              </w:rPr>
              <w:t>Palpitationen, Tachykardie, Stauungsherzinsuffizienz</w:t>
            </w:r>
            <w:r w:rsidRPr="00B30A12">
              <w:rPr>
                <w:color w:val="000000"/>
                <w:sz w:val="22"/>
                <w:szCs w:val="22"/>
                <w:vertAlign w:val="superscript"/>
              </w:rPr>
              <w:t>3</w:t>
            </w:r>
            <w:r w:rsidRPr="00B30A12">
              <w:rPr>
                <w:color w:val="000000"/>
                <w:sz w:val="22"/>
                <w:szCs w:val="22"/>
              </w:rPr>
              <w:t>, Lungenödem</w:t>
            </w:r>
          </w:p>
        </w:tc>
      </w:tr>
      <w:tr w:rsidR="003A33A6" w:rsidRPr="00B30A12" w14:paraId="1E2D4AF9" w14:textId="77777777" w:rsidTr="00DA7B0B">
        <w:trPr>
          <w:cantSplit/>
        </w:trPr>
        <w:tc>
          <w:tcPr>
            <w:tcW w:w="2235" w:type="dxa"/>
          </w:tcPr>
          <w:p w14:paraId="43744CEA"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5FB78319" w14:textId="77777777" w:rsidR="003A33A6" w:rsidRPr="00B30A12" w:rsidRDefault="003A33A6" w:rsidP="00DA7B0B">
            <w:pPr>
              <w:keepNext/>
              <w:widowControl w:val="0"/>
              <w:rPr>
                <w:sz w:val="22"/>
                <w:szCs w:val="22"/>
              </w:rPr>
            </w:pPr>
            <w:r w:rsidRPr="00B30A12">
              <w:rPr>
                <w:color w:val="000000"/>
                <w:sz w:val="22"/>
                <w:szCs w:val="22"/>
              </w:rPr>
              <w:t>Arrhythmie, Vorhofflimmern, Herzstillstand, Myokardinfarkt, Angina pectoris, Perikarderguss</w:t>
            </w:r>
          </w:p>
        </w:tc>
      </w:tr>
      <w:tr w:rsidR="006E656A" w:rsidRPr="00B30A12" w14:paraId="70A0A468" w14:textId="77777777" w:rsidTr="00DA7B0B">
        <w:trPr>
          <w:cantSplit/>
        </w:trPr>
        <w:tc>
          <w:tcPr>
            <w:tcW w:w="2235" w:type="dxa"/>
          </w:tcPr>
          <w:p w14:paraId="4AA1F3B8" w14:textId="77777777" w:rsidR="006E656A" w:rsidRPr="00B30A12" w:rsidRDefault="006E656A" w:rsidP="0054140C">
            <w:pPr>
              <w:widowControl w:val="0"/>
              <w:rPr>
                <w:i/>
                <w:color w:val="000000"/>
                <w:sz w:val="22"/>
                <w:szCs w:val="22"/>
              </w:rPr>
            </w:pPr>
            <w:r w:rsidRPr="00B30A12">
              <w:rPr>
                <w:i/>
                <w:color w:val="000000"/>
                <w:sz w:val="22"/>
                <w:szCs w:val="22"/>
              </w:rPr>
              <w:t>Nicht bekannt:</w:t>
            </w:r>
          </w:p>
        </w:tc>
        <w:tc>
          <w:tcPr>
            <w:tcW w:w="7087" w:type="dxa"/>
          </w:tcPr>
          <w:p w14:paraId="420FBBB3" w14:textId="77777777" w:rsidR="006E656A" w:rsidRPr="00B30A12" w:rsidRDefault="006E656A" w:rsidP="0054140C">
            <w:pPr>
              <w:widowControl w:val="0"/>
              <w:rPr>
                <w:color w:val="000000"/>
                <w:sz w:val="22"/>
                <w:szCs w:val="22"/>
              </w:rPr>
            </w:pPr>
            <w:r w:rsidRPr="00B30A12">
              <w:rPr>
                <w:color w:val="000000"/>
                <w:sz w:val="22"/>
                <w:szCs w:val="22"/>
              </w:rPr>
              <w:t>Perikarditis*, Herztamponade*</w:t>
            </w:r>
          </w:p>
        </w:tc>
      </w:tr>
      <w:tr w:rsidR="003A33A6" w:rsidRPr="00B30A12" w14:paraId="12FEFBB8" w14:textId="77777777" w:rsidTr="00DA7B0B">
        <w:trPr>
          <w:cantSplit/>
        </w:trPr>
        <w:tc>
          <w:tcPr>
            <w:tcW w:w="9322" w:type="dxa"/>
            <w:gridSpan w:val="2"/>
          </w:tcPr>
          <w:p w14:paraId="5DD01693" w14:textId="77777777" w:rsidR="003A33A6" w:rsidRPr="00B30A12" w:rsidRDefault="003A33A6" w:rsidP="00DA7B0B">
            <w:pPr>
              <w:keepNext/>
              <w:widowControl w:val="0"/>
              <w:rPr>
                <w:color w:val="000000"/>
                <w:sz w:val="22"/>
                <w:szCs w:val="22"/>
              </w:rPr>
            </w:pPr>
            <w:r w:rsidRPr="00B30A12">
              <w:rPr>
                <w:b/>
                <w:color w:val="000000"/>
                <w:sz w:val="22"/>
                <w:szCs w:val="22"/>
              </w:rPr>
              <w:t>Gefäßerkrankungen</w:t>
            </w:r>
            <w:r w:rsidRPr="00B30A12">
              <w:rPr>
                <w:color w:val="000000"/>
                <w:sz w:val="22"/>
                <w:szCs w:val="22"/>
                <w:vertAlign w:val="superscript"/>
              </w:rPr>
              <w:t xml:space="preserve"> 4</w:t>
            </w:r>
          </w:p>
        </w:tc>
      </w:tr>
      <w:tr w:rsidR="003A33A6" w:rsidRPr="00B30A12" w14:paraId="20F114DD" w14:textId="77777777" w:rsidTr="00DA7B0B">
        <w:trPr>
          <w:cantSplit/>
        </w:trPr>
        <w:tc>
          <w:tcPr>
            <w:tcW w:w="2235" w:type="dxa"/>
          </w:tcPr>
          <w:p w14:paraId="5B0B6E0D" w14:textId="77777777" w:rsidR="003A33A6" w:rsidRPr="00B30A12" w:rsidRDefault="003A33A6" w:rsidP="00DA7B0B">
            <w:pPr>
              <w:keepNext/>
              <w:widowControl w:val="0"/>
              <w:rPr>
                <w:i/>
                <w:color w:val="000000"/>
                <w:sz w:val="22"/>
                <w:szCs w:val="22"/>
              </w:rPr>
            </w:pPr>
            <w:r w:rsidRPr="00B30A12">
              <w:rPr>
                <w:i/>
                <w:color w:val="000000"/>
                <w:sz w:val="22"/>
                <w:szCs w:val="22"/>
              </w:rPr>
              <w:t>Häufig:</w:t>
            </w:r>
          </w:p>
        </w:tc>
        <w:tc>
          <w:tcPr>
            <w:tcW w:w="7087" w:type="dxa"/>
          </w:tcPr>
          <w:p w14:paraId="6089C901" w14:textId="77777777" w:rsidR="003A33A6" w:rsidRPr="00B30A12" w:rsidRDefault="003A33A6" w:rsidP="00DA7B0B">
            <w:pPr>
              <w:keepNext/>
              <w:widowControl w:val="0"/>
              <w:rPr>
                <w:color w:val="000000"/>
                <w:sz w:val="22"/>
                <w:szCs w:val="22"/>
              </w:rPr>
            </w:pPr>
            <w:r w:rsidRPr="00B30A12">
              <w:rPr>
                <w:color w:val="000000"/>
                <w:sz w:val="22"/>
                <w:szCs w:val="22"/>
              </w:rPr>
              <w:t>Plötzliche Hautrötung („Flushes“), Hämorrhagie</w:t>
            </w:r>
          </w:p>
        </w:tc>
      </w:tr>
      <w:tr w:rsidR="003A33A6" w:rsidRPr="00B30A12" w:rsidDel="00655175" w14:paraId="321C6FFF" w14:textId="77777777" w:rsidTr="00DA7B0B">
        <w:trPr>
          <w:cantSplit/>
        </w:trPr>
        <w:tc>
          <w:tcPr>
            <w:tcW w:w="2235" w:type="dxa"/>
          </w:tcPr>
          <w:p w14:paraId="5BBA3288" w14:textId="77777777" w:rsidR="003A33A6" w:rsidRPr="00B30A12" w:rsidDel="00655175"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113179DB" w14:textId="77777777" w:rsidR="003A33A6" w:rsidRPr="00B30A12" w:rsidDel="00655175" w:rsidRDefault="003A33A6" w:rsidP="00DA7B0B">
            <w:pPr>
              <w:keepNext/>
              <w:widowControl w:val="0"/>
              <w:rPr>
                <w:color w:val="000000"/>
                <w:sz w:val="22"/>
                <w:szCs w:val="22"/>
              </w:rPr>
            </w:pPr>
            <w:r w:rsidRPr="00B30A12">
              <w:rPr>
                <w:color w:val="000000"/>
                <w:sz w:val="22"/>
                <w:szCs w:val="22"/>
              </w:rPr>
              <w:t>Hypertonie, Hämatom, subdurales Hämatom, periphe</w:t>
            </w:r>
            <w:r w:rsidRPr="00B30A12">
              <w:rPr>
                <w:color w:val="000000"/>
                <w:sz w:val="22"/>
                <w:szCs w:val="22"/>
              </w:rPr>
              <w:softHyphen/>
              <w:t>res Kältegefühl, Hypotonie, Raynaud-Syndrom</w:t>
            </w:r>
          </w:p>
        </w:tc>
      </w:tr>
      <w:tr w:rsidR="00646EB3" w:rsidRPr="00B30A12" w:rsidDel="00655175" w14:paraId="578BAA9B" w14:textId="77777777" w:rsidTr="00DA7B0B">
        <w:trPr>
          <w:cantSplit/>
        </w:trPr>
        <w:tc>
          <w:tcPr>
            <w:tcW w:w="2235" w:type="dxa"/>
          </w:tcPr>
          <w:p w14:paraId="08014E46" w14:textId="77777777" w:rsidR="00646EB3" w:rsidRPr="00B30A12" w:rsidRDefault="00646EB3" w:rsidP="0054140C">
            <w:pPr>
              <w:widowControl w:val="0"/>
              <w:rPr>
                <w:i/>
                <w:color w:val="000000"/>
                <w:sz w:val="22"/>
                <w:szCs w:val="22"/>
              </w:rPr>
            </w:pPr>
            <w:r w:rsidRPr="00B30A12">
              <w:rPr>
                <w:i/>
                <w:color w:val="000000"/>
                <w:sz w:val="22"/>
                <w:szCs w:val="22"/>
              </w:rPr>
              <w:t>Nicht bekannt:</w:t>
            </w:r>
          </w:p>
        </w:tc>
        <w:tc>
          <w:tcPr>
            <w:tcW w:w="7087" w:type="dxa"/>
          </w:tcPr>
          <w:p w14:paraId="35249598" w14:textId="77777777" w:rsidR="00646EB3" w:rsidRPr="00B30A12" w:rsidRDefault="00646EB3" w:rsidP="0054140C">
            <w:pPr>
              <w:widowControl w:val="0"/>
              <w:rPr>
                <w:color w:val="000000"/>
                <w:sz w:val="22"/>
                <w:szCs w:val="22"/>
              </w:rPr>
            </w:pPr>
            <w:r w:rsidRPr="00B30A12">
              <w:rPr>
                <w:color w:val="000000"/>
                <w:sz w:val="22"/>
                <w:szCs w:val="22"/>
              </w:rPr>
              <w:t>Thrombose/Embolie*</w:t>
            </w:r>
          </w:p>
        </w:tc>
      </w:tr>
      <w:tr w:rsidR="003A33A6" w:rsidRPr="00B30A12" w14:paraId="00EE85E1" w14:textId="77777777" w:rsidTr="00DA7B0B">
        <w:trPr>
          <w:cantSplit/>
        </w:trPr>
        <w:tc>
          <w:tcPr>
            <w:tcW w:w="9322" w:type="dxa"/>
            <w:gridSpan w:val="2"/>
          </w:tcPr>
          <w:p w14:paraId="241CD39A" w14:textId="77777777" w:rsidR="003A33A6" w:rsidRPr="00B30A12" w:rsidRDefault="003A33A6" w:rsidP="00DA7B0B">
            <w:pPr>
              <w:keepNext/>
              <w:widowControl w:val="0"/>
              <w:rPr>
                <w:b/>
                <w:color w:val="000000"/>
                <w:sz w:val="22"/>
                <w:szCs w:val="22"/>
              </w:rPr>
            </w:pPr>
            <w:r w:rsidRPr="00B30A12">
              <w:rPr>
                <w:b/>
                <w:noProof/>
                <w:color w:val="000000"/>
                <w:sz w:val="22"/>
                <w:szCs w:val="22"/>
              </w:rPr>
              <w:t>Erkrankungen der Atemwege, des Brustraums und Mediastinums</w:t>
            </w:r>
          </w:p>
        </w:tc>
      </w:tr>
      <w:tr w:rsidR="003A33A6" w:rsidRPr="00B30A12" w14:paraId="3C6BDEA4" w14:textId="77777777" w:rsidTr="00DA7B0B">
        <w:trPr>
          <w:cantSplit/>
        </w:trPr>
        <w:tc>
          <w:tcPr>
            <w:tcW w:w="2235" w:type="dxa"/>
          </w:tcPr>
          <w:p w14:paraId="5992AE6D"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6B3A7372" w14:textId="77777777" w:rsidR="003A33A6" w:rsidRPr="00B30A12" w:rsidRDefault="003A33A6" w:rsidP="00DA7B0B">
            <w:pPr>
              <w:keepNext/>
              <w:widowControl w:val="0"/>
              <w:rPr>
                <w:sz w:val="22"/>
                <w:szCs w:val="22"/>
              </w:rPr>
            </w:pPr>
            <w:r w:rsidRPr="00B30A12">
              <w:rPr>
                <w:color w:val="000000"/>
                <w:sz w:val="22"/>
                <w:szCs w:val="22"/>
                <w:lang w:val="fr-FR"/>
              </w:rPr>
              <w:t>Dyspnoe, Epistaxis, Husten</w:t>
            </w:r>
          </w:p>
        </w:tc>
      </w:tr>
      <w:tr w:rsidR="003A33A6" w:rsidRPr="00B30A12" w14:paraId="3C7743F1" w14:textId="77777777" w:rsidTr="00DA7B0B">
        <w:trPr>
          <w:cantSplit/>
        </w:trPr>
        <w:tc>
          <w:tcPr>
            <w:tcW w:w="2235" w:type="dxa"/>
          </w:tcPr>
          <w:p w14:paraId="114907BB"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39BA55B8" w14:textId="77777777" w:rsidR="003A33A6" w:rsidRPr="00B30A12" w:rsidRDefault="003A33A6" w:rsidP="00DA7B0B">
            <w:pPr>
              <w:keepNext/>
              <w:widowControl w:val="0"/>
              <w:rPr>
                <w:sz w:val="22"/>
                <w:szCs w:val="22"/>
              </w:rPr>
            </w:pPr>
            <w:r w:rsidRPr="00B30A12">
              <w:rPr>
                <w:color w:val="000000"/>
                <w:sz w:val="22"/>
                <w:szCs w:val="22"/>
              </w:rPr>
              <w:t>Pleuraerguss</w:t>
            </w:r>
            <w:r w:rsidRPr="00B30A12">
              <w:rPr>
                <w:color w:val="000000"/>
                <w:sz w:val="22"/>
                <w:szCs w:val="22"/>
                <w:vertAlign w:val="superscript"/>
              </w:rPr>
              <w:t>5</w:t>
            </w:r>
            <w:r w:rsidRPr="00B30A12">
              <w:rPr>
                <w:color w:val="000000"/>
                <w:sz w:val="22"/>
                <w:szCs w:val="22"/>
              </w:rPr>
              <w:t>, Rachen- und Kehlkopfschmerzen, Pharyngitis</w:t>
            </w:r>
          </w:p>
        </w:tc>
      </w:tr>
      <w:tr w:rsidR="003A33A6" w:rsidRPr="00B30A12" w14:paraId="47AEBDA9" w14:textId="77777777" w:rsidTr="00DA7B0B">
        <w:trPr>
          <w:cantSplit/>
        </w:trPr>
        <w:tc>
          <w:tcPr>
            <w:tcW w:w="2235" w:type="dxa"/>
          </w:tcPr>
          <w:p w14:paraId="4676550F"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44A9F87D" w14:textId="77777777" w:rsidR="003A33A6" w:rsidRPr="00B30A12" w:rsidRDefault="003A33A6" w:rsidP="00DA7B0B">
            <w:pPr>
              <w:keepNext/>
              <w:widowControl w:val="0"/>
              <w:rPr>
                <w:sz w:val="22"/>
                <w:szCs w:val="22"/>
              </w:rPr>
            </w:pPr>
            <w:r w:rsidRPr="00B30A12">
              <w:rPr>
                <w:color w:val="000000"/>
                <w:sz w:val="22"/>
                <w:szCs w:val="22"/>
              </w:rPr>
              <w:t>Rippenfellschmerzen, Lungenfibrose, pulmonale Hypertonie, Lungenblutung</w:t>
            </w:r>
          </w:p>
        </w:tc>
      </w:tr>
      <w:tr w:rsidR="00646EB3" w:rsidRPr="00B30A12" w14:paraId="51F93A41" w14:textId="77777777" w:rsidTr="00DA7B0B">
        <w:trPr>
          <w:cantSplit/>
        </w:trPr>
        <w:tc>
          <w:tcPr>
            <w:tcW w:w="2235" w:type="dxa"/>
          </w:tcPr>
          <w:p w14:paraId="15AEC59A" w14:textId="77777777" w:rsidR="00646EB3" w:rsidRPr="00B30A12" w:rsidRDefault="00646EB3" w:rsidP="0054140C">
            <w:pPr>
              <w:widowControl w:val="0"/>
              <w:rPr>
                <w:i/>
                <w:color w:val="000000"/>
                <w:sz w:val="22"/>
                <w:szCs w:val="22"/>
              </w:rPr>
            </w:pPr>
            <w:r w:rsidRPr="00B30A12">
              <w:rPr>
                <w:i/>
                <w:color w:val="000000"/>
                <w:sz w:val="22"/>
                <w:szCs w:val="22"/>
              </w:rPr>
              <w:t>Nicht bekannt:</w:t>
            </w:r>
          </w:p>
        </w:tc>
        <w:tc>
          <w:tcPr>
            <w:tcW w:w="7087" w:type="dxa"/>
          </w:tcPr>
          <w:p w14:paraId="6CDF6A2D" w14:textId="77777777" w:rsidR="00646EB3" w:rsidRPr="00B30A12" w:rsidRDefault="00646EB3" w:rsidP="0054140C">
            <w:pPr>
              <w:widowControl w:val="0"/>
              <w:rPr>
                <w:color w:val="000000"/>
                <w:sz w:val="22"/>
                <w:szCs w:val="22"/>
              </w:rPr>
            </w:pPr>
            <w:r w:rsidRPr="00B30A12">
              <w:rPr>
                <w:color w:val="000000"/>
                <w:sz w:val="22"/>
                <w:szCs w:val="22"/>
              </w:rPr>
              <w:t>Akute respiratorische Insuffizienz</w:t>
            </w:r>
            <w:r w:rsidR="004E0971" w:rsidRPr="00B30A12">
              <w:rPr>
                <w:color w:val="000000"/>
                <w:sz w:val="22"/>
                <w:szCs w:val="22"/>
                <w:vertAlign w:val="superscript"/>
              </w:rPr>
              <w:t>11</w:t>
            </w:r>
            <w:r w:rsidRPr="00B30A12">
              <w:rPr>
                <w:color w:val="000000"/>
                <w:sz w:val="22"/>
                <w:szCs w:val="22"/>
              </w:rPr>
              <w:t>*, interstitielle Lungenerkrankung*</w:t>
            </w:r>
          </w:p>
        </w:tc>
      </w:tr>
      <w:tr w:rsidR="003A33A6" w:rsidRPr="00B30A12" w14:paraId="724B75A2" w14:textId="77777777" w:rsidTr="00DA7B0B">
        <w:trPr>
          <w:cantSplit/>
        </w:trPr>
        <w:tc>
          <w:tcPr>
            <w:tcW w:w="9322" w:type="dxa"/>
            <w:gridSpan w:val="2"/>
          </w:tcPr>
          <w:p w14:paraId="613CBDD5" w14:textId="77777777" w:rsidR="003A33A6" w:rsidRPr="00B30A12" w:rsidRDefault="003A33A6" w:rsidP="00DA7B0B">
            <w:pPr>
              <w:keepNext/>
              <w:widowControl w:val="0"/>
              <w:rPr>
                <w:b/>
                <w:sz w:val="22"/>
                <w:szCs w:val="22"/>
                <w:lang w:val="fr-FR"/>
              </w:rPr>
            </w:pPr>
            <w:r w:rsidRPr="00B30A12">
              <w:rPr>
                <w:b/>
                <w:noProof/>
                <w:color w:val="000000"/>
                <w:sz w:val="22"/>
                <w:szCs w:val="22"/>
              </w:rPr>
              <w:t>Erkrankungen des Gastrointestinaltrakts</w:t>
            </w:r>
          </w:p>
        </w:tc>
      </w:tr>
      <w:tr w:rsidR="003A33A6" w:rsidRPr="00B30A12" w14:paraId="3E7006A4" w14:textId="77777777" w:rsidTr="00DA7B0B">
        <w:trPr>
          <w:cantSplit/>
        </w:trPr>
        <w:tc>
          <w:tcPr>
            <w:tcW w:w="2235" w:type="dxa"/>
          </w:tcPr>
          <w:p w14:paraId="53ECBF36" w14:textId="77777777" w:rsidR="003A33A6" w:rsidRPr="00B30A12" w:rsidRDefault="003A33A6" w:rsidP="00DA7B0B">
            <w:pPr>
              <w:keepNext/>
              <w:widowControl w:val="0"/>
              <w:rPr>
                <w:sz w:val="22"/>
                <w:szCs w:val="22"/>
              </w:rPr>
            </w:pPr>
            <w:r w:rsidRPr="00B30A12">
              <w:rPr>
                <w:i/>
                <w:color w:val="000000"/>
                <w:sz w:val="22"/>
                <w:szCs w:val="22"/>
              </w:rPr>
              <w:t>Sehr häufig:</w:t>
            </w:r>
          </w:p>
        </w:tc>
        <w:tc>
          <w:tcPr>
            <w:tcW w:w="7087" w:type="dxa"/>
          </w:tcPr>
          <w:p w14:paraId="3C706218" w14:textId="77777777" w:rsidR="003A33A6" w:rsidRPr="00B30A12" w:rsidRDefault="003A33A6" w:rsidP="00DA7B0B">
            <w:pPr>
              <w:keepNext/>
              <w:widowControl w:val="0"/>
              <w:rPr>
                <w:sz w:val="22"/>
                <w:szCs w:val="22"/>
              </w:rPr>
            </w:pPr>
            <w:r w:rsidRPr="00B30A12">
              <w:rPr>
                <w:color w:val="000000"/>
                <w:sz w:val="22"/>
                <w:szCs w:val="22"/>
              </w:rPr>
              <w:t>Übelkeit, Durchfall, Erbrechen, Dyspepsie, Abdominalschmerzen</w:t>
            </w:r>
            <w:r w:rsidRPr="00B30A12">
              <w:rPr>
                <w:color w:val="000000"/>
                <w:sz w:val="22"/>
                <w:szCs w:val="22"/>
                <w:vertAlign w:val="superscript"/>
              </w:rPr>
              <w:t>6</w:t>
            </w:r>
          </w:p>
        </w:tc>
      </w:tr>
      <w:tr w:rsidR="003A33A6" w:rsidRPr="00B30A12" w14:paraId="217D7260" w14:textId="77777777" w:rsidTr="00DA7B0B">
        <w:trPr>
          <w:cantSplit/>
        </w:trPr>
        <w:tc>
          <w:tcPr>
            <w:tcW w:w="2235" w:type="dxa"/>
          </w:tcPr>
          <w:p w14:paraId="6ABB85D6"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370A4ECA" w14:textId="77777777" w:rsidR="003A33A6" w:rsidRPr="00B30A12" w:rsidRDefault="003A33A6" w:rsidP="00DA7B0B">
            <w:pPr>
              <w:keepNext/>
              <w:widowControl w:val="0"/>
              <w:rPr>
                <w:sz w:val="22"/>
                <w:szCs w:val="22"/>
              </w:rPr>
            </w:pPr>
            <w:r w:rsidRPr="00B30A12">
              <w:rPr>
                <w:color w:val="000000"/>
                <w:sz w:val="22"/>
                <w:szCs w:val="22"/>
              </w:rPr>
              <w:t>Flatulenz, geblähter Bauch, Magen- und Speiseröhrenreflux, Verstopfung, Mundtrockenheit, Gastritis</w:t>
            </w:r>
          </w:p>
        </w:tc>
      </w:tr>
      <w:tr w:rsidR="003A33A6" w:rsidRPr="00B30A12" w14:paraId="4DDC2602" w14:textId="77777777" w:rsidTr="00DA7B0B">
        <w:trPr>
          <w:cantSplit/>
        </w:trPr>
        <w:tc>
          <w:tcPr>
            <w:tcW w:w="2235" w:type="dxa"/>
          </w:tcPr>
          <w:p w14:paraId="6499A24B"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74F3F3C8" w14:textId="77777777" w:rsidR="003A33A6" w:rsidRPr="00B30A12" w:rsidRDefault="003A33A6" w:rsidP="00DA7B0B">
            <w:pPr>
              <w:keepNext/>
              <w:widowControl w:val="0"/>
              <w:rPr>
                <w:sz w:val="22"/>
                <w:szCs w:val="22"/>
              </w:rPr>
            </w:pPr>
            <w:r w:rsidRPr="00B30A12">
              <w:rPr>
                <w:color w:val="000000"/>
                <w:sz w:val="22"/>
                <w:szCs w:val="22"/>
              </w:rPr>
              <w:t>Stomatitis, Mundulzera, Blutungen im Gastrointestinaltrakt</w:t>
            </w:r>
            <w:r w:rsidRPr="00B30A12">
              <w:rPr>
                <w:color w:val="000000"/>
                <w:sz w:val="22"/>
                <w:szCs w:val="22"/>
                <w:vertAlign w:val="superscript"/>
              </w:rPr>
              <w:t xml:space="preserve"> 7</w:t>
            </w:r>
            <w:r w:rsidRPr="00B30A12">
              <w:rPr>
                <w:color w:val="000000"/>
                <w:sz w:val="22"/>
                <w:szCs w:val="22"/>
              </w:rPr>
              <w:t xml:space="preserve">, </w:t>
            </w:r>
            <w:r w:rsidRPr="00B30A12">
              <w:rPr>
                <w:color w:val="000000"/>
                <w:sz w:val="22"/>
                <w:szCs w:val="22"/>
              </w:rPr>
              <w:softHyphen/>
            </w:r>
            <w:r w:rsidRPr="00B30A12">
              <w:rPr>
                <w:color w:val="000000"/>
                <w:sz w:val="22"/>
                <w:szCs w:val="22"/>
              </w:rPr>
              <w:softHyphen/>
              <w:t>Aufstoßen, Meläna, Ösophagitis, Aszites, Magengeschwür, Hämatemesis, Lippenentzündung, Dysphagie, Pankreatitis</w:t>
            </w:r>
          </w:p>
        </w:tc>
      </w:tr>
      <w:tr w:rsidR="003A33A6" w:rsidRPr="00B30A12" w14:paraId="4A6718B9" w14:textId="77777777" w:rsidTr="00DA7B0B">
        <w:trPr>
          <w:cantSplit/>
        </w:trPr>
        <w:tc>
          <w:tcPr>
            <w:tcW w:w="2235" w:type="dxa"/>
          </w:tcPr>
          <w:p w14:paraId="11AAF95D"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672D2812" w14:textId="77777777" w:rsidR="003A33A6" w:rsidRPr="00B30A12" w:rsidRDefault="003A33A6" w:rsidP="00DA7B0B">
            <w:pPr>
              <w:keepNext/>
              <w:widowControl w:val="0"/>
              <w:rPr>
                <w:snapToGrid w:val="0"/>
                <w:color w:val="000000"/>
                <w:sz w:val="22"/>
                <w:szCs w:val="22"/>
                <w:lang w:val="en-US"/>
              </w:rPr>
            </w:pPr>
            <w:r w:rsidRPr="00B30A12">
              <w:rPr>
                <w:color w:val="000000"/>
                <w:sz w:val="22"/>
                <w:szCs w:val="22"/>
                <w:lang w:val="en-US"/>
              </w:rPr>
              <w:t>Kolitis, I</w:t>
            </w:r>
            <w:r w:rsidRPr="00B30A12">
              <w:rPr>
                <w:snapToGrid w:val="0"/>
                <w:color w:val="000000"/>
                <w:sz w:val="22"/>
                <w:szCs w:val="22"/>
                <w:lang w:val="en-US"/>
              </w:rPr>
              <w:t>leus, Darmentzündung</w:t>
            </w:r>
          </w:p>
        </w:tc>
      </w:tr>
      <w:tr w:rsidR="00646EB3" w:rsidRPr="00B30A12" w14:paraId="69599554" w14:textId="77777777" w:rsidTr="00DA7B0B">
        <w:trPr>
          <w:cantSplit/>
        </w:trPr>
        <w:tc>
          <w:tcPr>
            <w:tcW w:w="2235" w:type="dxa"/>
          </w:tcPr>
          <w:p w14:paraId="702C5768" w14:textId="77777777" w:rsidR="00646EB3" w:rsidRPr="00B30A12" w:rsidRDefault="00646EB3" w:rsidP="0054140C">
            <w:pPr>
              <w:widowControl w:val="0"/>
              <w:rPr>
                <w:i/>
                <w:color w:val="000000"/>
                <w:sz w:val="22"/>
                <w:szCs w:val="22"/>
              </w:rPr>
            </w:pPr>
            <w:r w:rsidRPr="00B30A12">
              <w:rPr>
                <w:i/>
                <w:color w:val="000000"/>
                <w:sz w:val="22"/>
                <w:szCs w:val="22"/>
              </w:rPr>
              <w:t>Nicht bekannt:</w:t>
            </w:r>
          </w:p>
        </w:tc>
        <w:tc>
          <w:tcPr>
            <w:tcW w:w="7087" w:type="dxa"/>
          </w:tcPr>
          <w:p w14:paraId="702227B1" w14:textId="77777777" w:rsidR="00646EB3" w:rsidRPr="00B30A12" w:rsidRDefault="00646EB3" w:rsidP="0054140C">
            <w:pPr>
              <w:widowControl w:val="0"/>
              <w:rPr>
                <w:color w:val="000000"/>
                <w:sz w:val="22"/>
                <w:szCs w:val="22"/>
              </w:rPr>
            </w:pPr>
            <w:r w:rsidRPr="00B30A12">
              <w:rPr>
                <w:color w:val="000000"/>
                <w:sz w:val="22"/>
                <w:szCs w:val="22"/>
              </w:rPr>
              <w:t>Ileus/Darmobstruktion*, gastrointestinale Perforation*, Divertikulitis*, gastral-antrale vaskuläre Ektasie (GAVE)*</w:t>
            </w:r>
          </w:p>
        </w:tc>
      </w:tr>
      <w:tr w:rsidR="003A33A6" w:rsidRPr="00B30A12" w14:paraId="42238124" w14:textId="77777777" w:rsidTr="00DA7B0B">
        <w:trPr>
          <w:cantSplit/>
        </w:trPr>
        <w:tc>
          <w:tcPr>
            <w:tcW w:w="9322" w:type="dxa"/>
            <w:gridSpan w:val="2"/>
          </w:tcPr>
          <w:p w14:paraId="2CC2A43D" w14:textId="77777777" w:rsidR="003A33A6" w:rsidRPr="00B30A12" w:rsidRDefault="003A33A6" w:rsidP="00DA7B0B">
            <w:pPr>
              <w:keepNext/>
              <w:widowControl w:val="0"/>
              <w:rPr>
                <w:b/>
                <w:snapToGrid w:val="0"/>
                <w:color w:val="000000"/>
                <w:sz w:val="22"/>
                <w:szCs w:val="22"/>
                <w:lang w:val="fr-FR"/>
              </w:rPr>
            </w:pPr>
            <w:r w:rsidRPr="00B30A12">
              <w:rPr>
                <w:b/>
                <w:noProof/>
                <w:color w:val="000000"/>
                <w:sz w:val="22"/>
                <w:szCs w:val="22"/>
              </w:rPr>
              <w:t>Leber- und Gallenerkrankungen</w:t>
            </w:r>
          </w:p>
        </w:tc>
      </w:tr>
      <w:tr w:rsidR="003A33A6" w:rsidRPr="00B30A12" w14:paraId="5ADC97FA" w14:textId="77777777" w:rsidTr="00DA7B0B">
        <w:trPr>
          <w:cantSplit/>
        </w:trPr>
        <w:tc>
          <w:tcPr>
            <w:tcW w:w="2235" w:type="dxa"/>
          </w:tcPr>
          <w:p w14:paraId="671E18C5" w14:textId="77777777" w:rsidR="003A33A6" w:rsidRPr="00B30A12" w:rsidRDefault="003A33A6" w:rsidP="00DA7B0B">
            <w:pPr>
              <w:keepNext/>
              <w:widowControl w:val="0"/>
              <w:rPr>
                <w:i/>
                <w:color w:val="000000"/>
                <w:sz w:val="22"/>
                <w:szCs w:val="22"/>
              </w:rPr>
            </w:pPr>
            <w:r w:rsidRPr="00B30A12">
              <w:rPr>
                <w:i/>
                <w:color w:val="000000"/>
                <w:sz w:val="22"/>
                <w:szCs w:val="22"/>
              </w:rPr>
              <w:t>Häufig:</w:t>
            </w:r>
          </w:p>
        </w:tc>
        <w:tc>
          <w:tcPr>
            <w:tcW w:w="7087" w:type="dxa"/>
          </w:tcPr>
          <w:p w14:paraId="08A91D7A" w14:textId="77777777" w:rsidR="003A33A6" w:rsidRPr="00B30A12" w:rsidRDefault="003A33A6" w:rsidP="00DA7B0B">
            <w:pPr>
              <w:keepNext/>
              <w:widowControl w:val="0"/>
              <w:rPr>
                <w:color w:val="000000"/>
                <w:sz w:val="22"/>
                <w:szCs w:val="22"/>
              </w:rPr>
            </w:pPr>
            <w:r w:rsidRPr="00B30A12">
              <w:rPr>
                <w:color w:val="000000"/>
                <w:sz w:val="22"/>
                <w:szCs w:val="22"/>
              </w:rPr>
              <w:t>Erhöhte Leberenzyme</w:t>
            </w:r>
          </w:p>
        </w:tc>
      </w:tr>
      <w:tr w:rsidR="003A33A6" w:rsidRPr="00B30A12" w14:paraId="34AF677E" w14:textId="77777777" w:rsidTr="00DA7B0B">
        <w:trPr>
          <w:cantSplit/>
        </w:trPr>
        <w:tc>
          <w:tcPr>
            <w:tcW w:w="2235" w:type="dxa"/>
          </w:tcPr>
          <w:p w14:paraId="5BBF36AC" w14:textId="77777777" w:rsidR="003A33A6" w:rsidRPr="00B30A12"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51A1510E" w14:textId="77777777" w:rsidR="003A33A6" w:rsidRPr="00B30A12" w:rsidRDefault="003A33A6" w:rsidP="00DA7B0B">
            <w:pPr>
              <w:keepNext/>
              <w:widowControl w:val="0"/>
              <w:rPr>
                <w:color w:val="000000"/>
                <w:sz w:val="22"/>
                <w:szCs w:val="22"/>
              </w:rPr>
            </w:pPr>
            <w:r w:rsidRPr="00B30A12">
              <w:rPr>
                <w:color w:val="000000"/>
                <w:sz w:val="22"/>
                <w:szCs w:val="22"/>
              </w:rPr>
              <w:t>Hyperbilirubinämie, Hepatitis, Gelbsucht</w:t>
            </w:r>
          </w:p>
        </w:tc>
      </w:tr>
      <w:tr w:rsidR="003A33A6" w:rsidRPr="00B30A12" w14:paraId="59FDE7B5" w14:textId="77777777" w:rsidTr="00DA7B0B">
        <w:trPr>
          <w:cantSplit/>
        </w:trPr>
        <w:tc>
          <w:tcPr>
            <w:tcW w:w="2235" w:type="dxa"/>
          </w:tcPr>
          <w:p w14:paraId="48222BB5" w14:textId="77777777" w:rsidR="003A33A6" w:rsidRPr="00B30A12" w:rsidRDefault="003A33A6" w:rsidP="0054140C">
            <w:pPr>
              <w:widowControl w:val="0"/>
              <w:rPr>
                <w:i/>
                <w:color w:val="000000"/>
                <w:sz w:val="22"/>
                <w:szCs w:val="22"/>
              </w:rPr>
            </w:pPr>
            <w:r w:rsidRPr="00B30A12">
              <w:rPr>
                <w:i/>
                <w:color w:val="000000"/>
                <w:sz w:val="22"/>
                <w:szCs w:val="22"/>
              </w:rPr>
              <w:t>Selten:</w:t>
            </w:r>
          </w:p>
        </w:tc>
        <w:tc>
          <w:tcPr>
            <w:tcW w:w="7087" w:type="dxa"/>
          </w:tcPr>
          <w:p w14:paraId="61F39DE9" w14:textId="77777777" w:rsidR="003A33A6" w:rsidRPr="00B30A12" w:rsidRDefault="003A33A6" w:rsidP="0054140C">
            <w:pPr>
              <w:widowControl w:val="0"/>
              <w:rPr>
                <w:color w:val="000000"/>
                <w:sz w:val="22"/>
                <w:szCs w:val="22"/>
              </w:rPr>
            </w:pPr>
            <w:r w:rsidRPr="00B30A12">
              <w:rPr>
                <w:color w:val="000000"/>
                <w:sz w:val="22"/>
                <w:szCs w:val="22"/>
              </w:rPr>
              <w:t>Leberversagen</w:t>
            </w:r>
            <w:r w:rsidRPr="00B30A12">
              <w:rPr>
                <w:color w:val="000000"/>
                <w:sz w:val="22"/>
                <w:szCs w:val="22"/>
                <w:vertAlign w:val="superscript"/>
              </w:rPr>
              <w:t>8</w:t>
            </w:r>
            <w:r w:rsidRPr="00B30A12">
              <w:rPr>
                <w:color w:val="000000"/>
                <w:sz w:val="22"/>
                <w:szCs w:val="22"/>
              </w:rPr>
              <w:t>, Lebernekrose</w:t>
            </w:r>
          </w:p>
        </w:tc>
      </w:tr>
      <w:tr w:rsidR="003A33A6" w:rsidRPr="00B30A12" w14:paraId="5E9834F7" w14:textId="77777777" w:rsidTr="00DA7B0B">
        <w:trPr>
          <w:cantSplit/>
        </w:trPr>
        <w:tc>
          <w:tcPr>
            <w:tcW w:w="9322" w:type="dxa"/>
            <w:gridSpan w:val="2"/>
          </w:tcPr>
          <w:p w14:paraId="7CAEF274" w14:textId="77777777" w:rsidR="003A33A6" w:rsidRPr="00B30A12" w:rsidRDefault="003A33A6" w:rsidP="00DA7B0B">
            <w:pPr>
              <w:keepNext/>
              <w:widowControl w:val="0"/>
              <w:rPr>
                <w:b/>
                <w:sz w:val="22"/>
                <w:szCs w:val="22"/>
              </w:rPr>
            </w:pPr>
            <w:r w:rsidRPr="00B30A12">
              <w:rPr>
                <w:b/>
                <w:color w:val="000000"/>
                <w:sz w:val="22"/>
                <w:szCs w:val="22"/>
              </w:rPr>
              <w:t>Erkrankungen der Haut und des Unterhautzellgewebes</w:t>
            </w:r>
          </w:p>
        </w:tc>
      </w:tr>
      <w:tr w:rsidR="003A33A6" w:rsidRPr="00B30A12" w14:paraId="209823F3" w14:textId="77777777" w:rsidTr="00DA7B0B">
        <w:trPr>
          <w:cantSplit/>
        </w:trPr>
        <w:tc>
          <w:tcPr>
            <w:tcW w:w="2235" w:type="dxa"/>
          </w:tcPr>
          <w:p w14:paraId="1034C612" w14:textId="77777777" w:rsidR="003A33A6" w:rsidRPr="00B30A12" w:rsidRDefault="003A33A6" w:rsidP="00DA7B0B">
            <w:pPr>
              <w:keepNext/>
              <w:widowControl w:val="0"/>
              <w:rPr>
                <w:sz w:val="22"/>
                <w:szCs w:val="22"/>
              </w:rPr>
            </w:pPr>
            <w:r w:rsidRPr="00B30A12">
              <w:rPr>
                <w:i/>
                <w:color w:val="000000"/>
                <w:sz w:val="22"/>
                <w:szCs w:val="22"/>
              </w:rPr>
              <w:t>Sehr häufig:</w:t>
            </w:r>
          </w:p>
        </w:tc>
        <w:tc>
          <w:tcPr>
            <w:tcW w:w="7087" w:type="dxa"/>
          </w:tcPr>
          <w:p w14:paraId="539F47F3" w14:textId="77777777" w:rsidR="003A33A6" w:rsidRPr="00B30A12" w:rsidRDefault="003A33A6" w:rsidP="00DA7B0B">
            <w:pPr>
              <w:keepNext/>
              <w:widowControl w:val="0"/>
              <w:rPr>
                <w:sz w:val="22"/>
                <w:szCs w:val="22"/>
              </w:rPr>
            </w:pPr>
            <w:r w:rsidRPr="00B30A12">
              <w:rPr>
                <w:color w:val="000000"/>
                <w:sz w:val="22"/>
                <w:szCs w:val="22"/>
              </w:rPr>
              <w:t>Periorbitale Ödeme, Dermatitis/Ekzem/Hautausschlag</w:t>
            </w:r>
          </w:p>
        </w:tc>
      </w:tr>
      <w:tr w:rsidR="003A33A6" w:rsidRPr="00B30A12" w14:paraId="378E0F8E" w14:textId="77777777" w:rsidTr="00DA7B0B">
        <w:trPr>
          <w:cantSplit/>
        </w:trPr>
        <w:tc>
          <w:tcPr>
            <w:tcW w:w="2235" w:type="dxa"/>
          </w:tcPr>
          <w:p w14:paraId="07A7DF9F" w14:textId="77777777" w:rsidR="003A33A6" w:rsidRPr="00B30A12" w:rsidRDefault="003A33A6" w:rsidP="00DA7B0B">
            <w:pPr>
              <w:keepNext/>
              <w:widowControl w:val="0"/>
              <w:rPr>
                <w:sz w:val="22"/>
                <w:szCs w:val="22"/>
              </w:rPr>
            </w:pPr>
            <w:r w:rsidRPr="00B30A12">
              <w:rPr>
                <w:i/>
                <w:color w:val="000000"/>
                <w:sz w:val="22"/>
                <w:szCs w:val="22"/>
              </w:rPr>
              <w:t>Häufig:</w:t>
            </w:r>
          </w:p>
        </w:tc>
        <w:tc>
          <w:tcPr>
            <w:tcW w:w="7087" w:type="dxa"/>
          </w:tcPr>
          <w:p w14:paraId="4E3A8F08" w14:textId="77777777" w:rsidR="003A33A6" w:rsidRPr="00B30A12" w:rsidRDefault="003A33A6" w:rsidP="00DA7B0B">
            <w:pPr>
              <w:keepNext/>
              <w:widowControl w:val="0"/>
              <w:rPr>
                <w:sz w:val="22"/>
                <w:szCs w:val="22"/>
              </w:rPr>
            </w:pPr>
            <w:r w:rsidRPr="00B30A12">
              <w:rPr>
                <w:color w:val="000000"/>
                <w:sz w:val="22"/>
                <w:szCs w:val="22"/>
              </w:rPr>
              <w:t>Pruritus, Gesichtsödem, trockene Haut, Erythem, Alopezie, nächtliches Schwitzen, Lichtempfindlichkeitsreaktionen</w:t>
            </w:r>
          </w:p>
        </w:tc>
      </w:tr>
      <w:tr w:rsidR="003A33A6" w:rsidRPr="00B30A12" w14:paraId="52138D1D" w14:textId="77777777" w:rsidTr="00DA7B0B">
        <w:trPr>
          <w:cantSplit/>
        </w:trPr>
        <w:tc>
          <w:tcPr>
            <w:tcW w:w="2235" w:type="dxa"/>
          </w:tcPr>
          <w:p w14:paraId="5FF798C5"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38ACA3C5" w14:textId="77777777" w:rsidR="003A33A6" w:rsidRPr="00B30A12" w:rsidRDefault="003A33A6" w:rsidP="00DA7B0B">
            <w:pPr>
              <w:keepNext/>
              <w:widowControl w:val="0"/>
              <w:rPr>
                <w:color w:val="000000"/>
                <w:sz w:val="22"/>
                <w:szCs w:val="22"/>
              </w:rPr>
            </w:pPr>
            <w:r w:rsidRPr="00B30A12">
              <w:rPr>
                <w:color w:val="000000"/>
                <w:sz w:val="22"/>
                <w:szCs w:val="22"/>
              </w:rPr>
              <w:t>Pustulöser Hautausschlag, Kontusion, vermehrtes Schwitzen, Urtikaria, Hautblutungen, verstärkte Tendenz zu blauen Flecken, Hypotrichose, Hypopigmentierung der Haut, exfoliative Dermatitis, Brüchig</w:t>
            </w:r>
            <w:r w:rsidRPr="00B30A12">
              <w:rPr>
                <w:color w:val="000000"/>
                <w:sz w:val="22"/>
                <w:szCs w:val="22"/>
              </w:rPr>
              <w:softHyphen/>
              <w:t>werden der Nägel, Follikulitis, Petechien, Psoriasis, Purpura, Hyperpigmentierung der Haut, bullöser Hautausschlag</w:t>
            </w:r>
          </w:p>
        </w:tc>
      </w:tr>
      <w:tr w:rsidR="003A33A6" w:rsidRPr="00B30A12" w14:paraId="7CD1927C" w14:textId="77777777" w:rsidTr="00DA7B0B">
        <w:trPr>
          <w:cantSplit/>
        </w:trPr>
        <w:tc>
          <w:tcPr>
            <w:tcW w:w="2235" w:type="dxa"/>
          </w:tcPr>
          <w:p w14:paraId="5319757D" w14:textId="77777777" w:rsidR="003A33A6" w:rsidRPr="00B30A12" w:rsidRDefault="003A33A6" w:rsidP="00DA7B0B">
            <w:pPr>
              <w:keepNext/>
              <w:widowControl w:val="0"/>
              <w:rPr>
                <w:sz w:val="22"/>
                <w:szCs w:val="22"/>
              </w:rPr>
            </w:pPr>
            <w:r w:rsidRPr="00B30A12">
              <w:rPr>
                <w:i/>
                <w:color w:val="000000"/>
                <w:sz w:val="22"/>
                <w:szCs w:val="22"/>
              </w:rPr>
              <w:t>Selten:</w:t>
            </w:r>
          </w:p>
        </w:tc>
        <w:tc>
          <w:tcPr>
            <w:tcW w:w="7087" w:type="dxa"/>
          </w:tcPr>
          <w:p w14:paraId="12BD2217" w14:textId="77777777" w:rsidR="003A33A6" w:rsidRPr="00B30A12" w:rsidRDefault="003A33A6" w:rsidP="00DA7B0B">
            <w:pPr>
              <w:keepNext/>
              <w:widowControl w:val="0"/>
              <w:rPr>
                <w:sz w:val="22"/>
                <w:szCs w:val="22"/>
              </w:rPr>
            </w:pPr>
            <w:r w:rsidRPr="00B30A12">
              <w:rPr>
                <w:color w:val="000000"/>
                <w:sz w:val="22"/>
                <w:szCs w:val="22"/>
              </w:rPr>
              <w:t>Akute febrile neutrophile Dermatose (Sweet-Syndrom), Verfärbung der Nägel, angioneurotisches Ödem, bläschenförmiges Exanthem, Erythema multiforme, leukozytoklastische Vaskulitis, Stevens-Johnson-Syndrom, akute generalisierte exanthematöse Pustulose (AGEP)</w:t>
            </w:r>
          </w:p>
        </w:tc>
      </w:tr>
      <w:tr w:rsidR="00646EB3" w:rsidRPr="00B30A12" w14:paraId="7FEF051E" w14:textId="77777777" w:rsidTr="00DA7B0B">
        <w:trPr>
          <w:cantSplit/>
        </w:trPr>
        <w:tc>
          <w:tcPr>
            <w:tcW w:w="2235" w:type="dxa"/>
          </w:tcPr>
          <w:p w14:paraId="0EED9FDA" w14:textId="77777777" w:rsidR="00646EB3" w:rsidRPr="00B30A12" w:rsidRDefault="00646EB3" w:rsidP="0054140C">
            <w:pPr>
              <w:widowControl w:val="0"/>
              <w:rPr>
                <w:i/>
                <w:color w:val="000000"/>
                <w:sz w:val="22"/>
                <w:szCs w:val="22"/>
              </w:rPr>
            </w:pPr>
            <w:r w:rsidRPr="00B30A12">
              <w:rPr>
                <w:i/>
                <w:color w:val="000000"/>
                <w:sz w:val="22"/>
                <w:szCs w:val="22"/>
              </w:rPr>
              <w:t>Nicht bekannt:</w:t>
            </w:r>
          </w:p>
        </w:tc>
        <w:tc>
          <w:tcPr>
            <w:tcW w:w="7087" w:type="dxa"/>
          </w:tcPr>
          <w:p w14:paraId="4D1A2AF6" w14:textId="77777777" w:rsidR="00646EB3" w:rsidRPr="00B30A12" w:rsidRDefault="00646EB3" w:rsidP="00F5429F">
            <w:pPr>
              <w:widowControl w:val="0"/>
              <w:rPr>
                <w:color w:val="000000"/>
                <w:sz w:val="22"/>
                <w:szCs w:val="22"/>
              </w:rPr>
            </w:pPr>
            <w:r w:rsidRPr="00B30A12">
              <w:rPr>
                <w:color w:val="000000"/>
                <w:sz w:val="22"/>
                <w:szCs w:val="22"/>
              </w:rPr>
              <w:t>Hand-Fuß-Syndrom (palmar-plantare Erythrodysästhesie)*, Lichenoide Keratose*, Lichen planus*, Toxische epidermale Nekrolyse*, arzneimittelbedingter Hautausschlag mit Eosinophilie und systemischen Symptomen (DRESS)*</w:t>
            </w:r>
            <w:r w:rsidR="00F5429F">
              <w:rPr>
                <w:color w:val="000000"/>
                <w:sz w:val="22"/>
                <w:szCs w:val="22"/>
              </w:rPr>
              <w:t>, Pseudoporphyrie</w:t>
            </w:r>
            <w:r w:rsidR="00F5429F" w:rsidRPr="00F5429F">
              <w:rPr>
                <w:color w:val="000000"/>
                <w:sz w:val="22"/>
                <w:szCs w:val="22"/>
              </w:rPr>
              <w:t>*</w:t>
            </w:r>
          </w:p>
        </w:tc>
      </w:tr>
      <w:tr w:rsidR="003A33A6" w:rsidRPr="00B30A12" w14:paraId="2BB91D2E" w14:textId="77777777" w:rsidTr="00DA7B0B">
        <w:trPr>
          <w:cantSplit/>
        </w:trPr>
        <w:tc>
          <w:tcPr>
            <w:tcW w:w="9322" w:type="dxa"/>
            <w:gridSpan w:val="2"/>
          </w:tcPr>
          <w:p w14:paraId="0FA4435E" w14:textId="77777777" w:rsidR="003A33A6" w:rsidRPr="00B30A12" w:rsidRDefault="003A33A6" w:rsidP="00DA7B0B">
            <w:pPr>
              <w:keepNext/>
              <w:widowControl w:val="0"/>
              <w:rPr>
                <w:b/>
                <w:color w:val="000000"/>
                <w:sz w:val="22"/>
                <w:szCs w:val="22"/>
              </w:rPr>
            </w:pPr>
            <w:r w:rsidRPr="00B30A12">
              <w:rPr>
                <w:b/>
                <w:noProof/>
                <w:color w:val="000000"/>
                <w:sz w:val="22"/>
                <w:szCs w:val="22"/>
              </w:rPr>
              <w:t>Skelettmuskulatur-, Bindegewebs- und Knochenerkrankungen</w:t>
            </w:r>
          </w:p>
        </w:tc>
      </w:tr>
      <w:tr w:rsidR="003A33A6" w:rsidRPr="00B30A12" w14:paraId="1E71757A" w14:textId="77777777" w:rsidTr="00DA7B0B">
        <w:trPr>
          <w:cantSplit/>
        </w:trPr>
        <w:tc>
          <w:tcPr>
            <w:tcW w:w="2235" w:type="dxa"/>
          </w:tcPr>
          <w:p w14:paraId="77A131BE" w14:textId="77777777" w:rsidR="003A33A6" w:rsidRPr="00B30A12" w:rsidRDefault="003A33A6" w:rsidP="00DA7B0B">
            <w:pPr>
              <w:keepNext/>
              <w:widowControl w:val="0"/>
              <w:rPr>
                <w:i/>
                <w:color w:val="000000"/>
                <w:sz w:val="22"/>
                <w:szCs w:val="22"/>
              </w:rPr>
            </w:pPr>
            <w:r w:rsidRPr="00B30A12">
              <w:rPr>
                <w:i/>
                <w:color w:val="000000"/>
                <w:sz w:val="22"/>
                <w:szCs w:val="22"/>
              </w:rPr>
              <w:t>Sehr häufig:</w:t>
            </w:r>
          </w:p>
        </w:tc>
        <w:tc>
          <w:tcPr>
            <w:tcW w:w="7087" w:type="dxa"/>
          </w:tcPr>
          <w:p w14:paraId="7DFE4386" w14:textId="77777777" w:rsidR="003A33A6" w:rsidRPr="00B30A12" w:rsidRDefault="003A33A6" w:rsidP="00DA7B0B">
            <w:pPr>
              <w:keepNext/>
              <w:widowControl w:val="0"/>
              <w:rPr>
                <w:color w:val="000000"/>
                <w:sz w:val="22"/>
                <w:szCs w:val="22"/>
              </w:rPr>
            </w:pPr>
            <w:r w:rsidRPr="00B30A12">
              <w:rPr>
                <w:color w:val="000000"/>
                <w:sz w:val="22"/>
                <w:szCs w:val="22"/>
              </w:rPr>
              <w:t>Muskelspasmen und Muskel</w:t>
            </w:r>
            <w:r w:rsidRPr="00B30A12">
              <w:rPr>
                <w:color w:val="000000"/>
                <w:sz w:val="22"/>
                <w:szCs w:val="22"/>
              </w:rPr>
              <w:softHyphen/>
              <w:t>krämpfe, Muskel- und Skelettschmerzen einschließlich Myalgie</w:t>
            </w:r>
            <w:r w:rsidR="004E0971" w:rsidRPr="00B30A12">
              <w:rPr>
                <w:color w:val="000000"/>
                <w:sz w:val="22"/>
                <w:szCs w:val="22"/>
                <w:vertAlign w:val="superscript"/>
              </w:rPr>
              <w:t>9</w:t>
            </w:r>
            <w:r w:rsidRPr="00B30A12">
              <w:rPr>
                <w:color w:val="000000"/>
                <w:sz w:val="22"/>
                <w:szCs w:val="22"/>
              </w:rPr>
              <w:t>, Arthralgie, Knochenschmerzen</w:t>
            </w:r>
            <w:r w:rsidR="004E0971" w:rsidRPr="00B30A12">
              <w:rPr>
                <w:color w:val="000000"/>
                <w:sz w:val="22"/>
                <w:szCs w:val="22"/>
                <w:vertAlign w:val="superscript"/>
              </w:rPr>
              <w:t>10</w:t>
            </w:r>
          </w:p>
        </w:tc>
      </w:tr>
      <w:tr w:rsidR="003A33A6" w:rsidRPr="00B30A12" w14:paraId="22616ADD" w14:textId="77777777" w:rsidTr="00DA7B0B">
        <w:trPr>
          <w:cantSplit/>
        </w:trPr>
        <w:tc>
          <w:tcPr>
            <w:tcW w:w="2235" w:type="dxa"/>
          </w:tcPr>
          <w:p w14:paraId="01B47E4C" w14:textId="77777777" w:rsidR="003A33A6" w:rsidRPr="00B30A12" w:rsidRDefault="003A33A6" w:rsidP="00DA7B0B">
            <w:pPr>
              <w:keepNext/>
              <w:widowControl w:val="0"/>
              <w:rPr>
                <w:i/>
                <w:color w:val="000000"/>
                <w:sz w:val="22"/>
                <w:szCs w:val="22"/>
              </w:rPr>
            </w:pPr>
            <w:r w:rsidRPr="00B30A12">
              <w:rPr>
                <w:i/>
                <w:color w:val="000000"/>
                <w:sz w:val="22"/>
                <w:szCs w:val="22"/>
              </w:rPr>
              <w:t>Häufig:</w:t>
            </w:r>
          </w:p>
        </w:tc>
        <w:tc>
          <w:tcPr>
            <w:tcW w:w="7087" w:type="dxa"/>
          </w:tcPr>
          <w:p w14:paraId="045DED33" w14:textId="77777777" w:rsidR="003A33A6" w:rsidRPr="00B30A12" w:rsidRDefault="003A33A6" w:rsidP="00DA7B0B">
            <w:pPr>
              <w:keepNext/>
              <w:widowControl w:val="0"/>
              <w:rPr>
                <w:color w:val="000000"/>
                <w:sz w:val="22"/>
                <w:szCs w:val="22"/>
                <w:lang w:val="pt-PT"/>
              </w:rPr>
            </w:pPr>
            <w:r w:rsidRPr="00B30A12">
              <w:rPr>
                <w:color w:val="000000"/>
                <w:sz w:val="22"/>
                <w:szCs w:val="22"/>
              </w:rPr>
              <w:t>Anschwellen der Gelenke</w:t>
            </w:r>
          </w:p>
        </w:tc>
      </w:tr>
      <w:tr w:rsidR="003A33A6" w:rsidRPr="00B30A12" w14:paraId="7467132C" w14:textId="77777777" w:rsidTr="00DA7B0B">
        <w:trPr>
          <w:cantSplit/>
        </w:trPr>
        <w:tc>
          <w:tcPr>
            <w:tcW w:w="2235" w:type="dxa"/>
          </w:tcPr>
          <w:p w14:paraId="0E4D66A3" w14:textId="77777777" w:rsidR="003A33A6" w:rsidRPr="00B30A12" w:rsidRDefault="003A33A6" w:rsidP="00DA7B0B">
            <w:pPr>
              <w:keepNext/>
              <w:widowControl w:val="0"/>
              <w:rPr>
                <w:i/>
                <w:color w:val="000000"/>
                <w:sz w:val="22"/>
                <w:szCs w:val="22"/>
              </w:rPr>
            </w:pPr>
            <w:r w:rsidRPr="00B30A12">
              <w:rPr>
                <w:i/>
                <w:color w:val="000000"/>
                <w:sz w:val="22"/>
                <w:szCs w:val="22"/>
              </w:rPr>
              <w:t>Gelegentlich:</w:t>
            </w:r>
          </w:p>
        </w:tc>
        <w:tc>
          <w:tcPr>
            <w:tcW w:w="7087" w:type="dxa"/>
          </w:tcPr>
          <w:p w14:paraId="4A6734F2" w14:textId="77777777" w:rsidR="003A33A6" w:rsidRPr="00B30A12" w:rsidRDefault="003A33A6" w:rsidP="00DA7B0B">
            <w:pPr>
              <w:keepNext/>
              <w:widowControl w:val="0"/>
              <w:rPr>
                <w:color w:val="000000"/>
                <w:sz w:val="22"/>
                <w:szCs w:val="22"/>
                <w:lang w:val="pt-PT"/>
              </w:rPr>
            </w:pPr>
            <w:r w:rsidRPr="00B30A12">
              <w:rPr>
                <w:color w:val="000000"/>
                <w:sz w:val="22"/>
                <w:szCs w:val="22"/>
              </w:rPr>
              <w:t>Gelenk- und Muskelsteifigkeit</w:t>
            </w:r>
          </w:p>
        </w:tc>
      </w:tr>
      <w:tr w:rsidR="003A33A6" w:rsidRPr="00B30A12" w14:paraId="1B4DAE92" w14:textId="77777777" w:rsidTr="00DA7B0B">
        <w:trPr>
          <w:cantSplit/>
        </w:trPr>
        <w:tc>
          <w:tcPr>
            <w:tcW w:w="2235" w:type="dxa"/>
          </w:tcPr>
          <w:p w14:paraId="31576CAE" w14:textId="77777777" w:rsidR="003A33A6" w:rsidRPr="00B30A12" w:rsidRDefault="003A33A6" w:rsidP="00DA7B0B">
            <w:pPr>
              <w:keepNext/>
              <w:widowControl w:val="0"/>
              <w:rPr>
                <w:i/>
                <w:color w:val="000000"/>
                <w:sz w:val="22"/>
                <w:szCs w:val="22"/>
              </w:rPr>
            </w:pPr>
            <w:r w:rsidRPr="00B30A12">
              <w:rPr>
                <w:i/>
                <w:color w:val="000000"/>
                <w:sz w:val="22"/>
                <w:szCs w:val="22"/>
              </w:rPr>
              <w:t>Selten:</w:t>
            </w:r>
          </w:p>
        </w:tc>
        <w:tc>
          <w:tcPr>
            <w:tcW w:w="7087" w:type="dxa"/>
          </w:tcPr>
          <w:p w14:paraId="01F1260F" w14:textId="77777777" w:rsidR="003A33A6" w:rsidRPr="00B30A12" w:rsidRDefault="003A33A6" w:rsidP="00DA7B0B">
            <w:pPr>
              <w:keepNext/>
              <w:widowControl w:val="0"/>
              <w:rPr>
                <w:color w:val="000000"/>
                <w:sz w:val="22"/>
                <w:szCs w:val="22"/>
                <w:lang w:val="pt-PT"/>
              </w:rPr>
            </w:pPr>
            <w:r w:rsidRPr="00B30A12">
              <w:rPr>
                <w:bCs/>
                <w:color w:val="000000"/>
                <w:sz w:val="22"/>
                <w:szCs w:val="22"/>
              </w:rPr>
              <w:t>Muskelschwäche, Arthritis, Rhabdomyolyse/Myopathie</w:t>
            </w:r>
          </w:p>
        </w:tc>
      </w:tr>
      <w:tr w:rsidR="00646EB3" w:rsidRPr="00B30A12" w14:paraId="182BDEDA" w14:textId="77777777" w:rsidTr="00DA7B0B">
        <w:trPr>
          <w:cantSplit/>
        </w:trPr>
        <w:tc>
          <w:tcPr>
            <w:tcW w:w="2235" w:type="dxa"/>
          </w:tcPr>
          <w:p w14:paraId="0E2ED576" w14:textId="77777777" w:rsidR="00646EB3" w:rsidRPr="00B30A12" w:rsidRDefault="00646EB3" w:rsidP="0054140C">
            <w:pPr>
              <w:widowControl w:val="0"/>
              <w:rPr>
                <w:i/>
                <w:color w:val="000000"/>
                <w:sz w:val="22"/>
                <w:szCs w:val="22"/>
              </w:rPr>
            </w:pPr>
            <w:r w:rsidRPr="00B30A12">
              <w:rPr>
                <w:i/>
                <w:color w:val="000000"/>
                <w:sz w:val="22"/>
                <w:szCs w:val="22"/>
              </w:rPr>
              <w:t>Nicht bekannt:</w:t>
            </w:r>
          </w:p>
        </w:tc>
        <w:tc>
          <w:tcPr>
            <w:tcW w:w="7087" w:type="dxa"/>
          </w:tcPr>
          <w:p w14:paraId="35BFBFBF" w14:textId="77777777" w:rsidR="00646EB3" w:rsidRPr="00B30A12" w:rsidRDefault="00646EB3" w:rsidP="0054140C">
            <w:pPr>
              <w:widowControl w:val="0"/>
              <w:rPr>
                <w:bCs/>
                <w:color w:val="000000"/>
                <w:sz w:val="22"/>
                <w:szCs w:val="22"/>
              </w:rPr>
            </w:pPr>
            <w:r w:rsidRPr="00B30A12">
              <w:rPr>
                <w:color w:val="000000"/>
                <w:sz w:val="22"/>
                <w:szCs w:val="22"/>
              </w:rPr>
              <w:t>Avaskuläre Nekrose/Nekrose des Hüftkopfs*, Wachstumsverzögerung bei Kindern*</w:t>
            </w:r>
          </w:p>
        </w:tc>
      </w:tr>
      <w:tr w:rsidR="003A33A6" w:rsidRPr="00B30A12" w14:paraId="36C1C296" w14:textId="77777777" w:rsidTr="00DA7B0B">
        <w:trPr>
          <w:cantSplit/>
        </w:trPr>
        <w:tc>
          <w:tcPr>
            <w:tcW w:w="9322" w:type="dxa"/>
            <w:gridSpan w:val="2"/>
          </w:tcPr>
          <w:p w14:paraId="66110A37" w14:textId="77777777" w:rsidR="003A33A6" w:rsidRPr="00B30A12" w:rsidRDefault="003A33A6" w:rsidP="00DA7B0B">
            <w:pPr>
              <w:keepNext/>
              <w:widowControl w:val="0"/>
              <w:rPr>
                <w:b/>
                <w:color w:val="000000"/>
                <w:sz w:val="22"/>
                <w:szCs w:val="22"/>
              </w:rPr>
            </w:pPr>
            <w:r w:rsidRPr="00B30A12">
              <w:rPr>
                <w:b/>
                <w:color w:val="000000"/>
                <w:sz w:val="22"/>
                <w:szCs w:val="22"/>
              </w:rPr>
              <w:lastRenderedPageBreak/>
              <w:t>Erkrankungen der Nie</w:t>
            </w:r>
            <w:r w:rsidRPr="00B30A12">
              <w:rPr>
                <w:b/>
                <w:color w:val="000000"/>
                <w:sz w:val="22"/>
                <w:szCs w:val="22"/>
              </w:rPr>
              <w:softHyphen/>
              <w:t>ren und Harn</w:t>
            </w:r>
            <w:r w:rsidRPr="00B30A12">
              <w:rPr>
                <w:b/>
                <w:color w:val="000000"/>
                <w:sz w:val="22"/>
                <w:szCs w:val="22"/>
              </w:rPr>
              <w:softHyphen/>
              <w:t>wege</w:t>
            </w:r>
          </w:p>
        </w:tc>
      </w:tr>
      <w:tr w:rsidR="003A33A6" w:rsidRPr="00B30A12" w14:paraId="4318946D" w14:textId="77777777" w:rsidTr="00DA7B0B">
        <w:trPr>
          <w:cantSplit/>
        </w:trPr>
        <w:tc>
          <w:tcPr>
            <w:tcW w:w="2235" w:type="dxa"/>
          </w:tcPr>
          <w:p w14:paraId="4252CFD4" w14:textId="77777777" w:rsidR="003A33A6" w:rsidRPr="00B30A12" w:rsidRDefault="003A33A6" w:rsidP="00DA7B0B">
            <w:pPr>
              <w:keepNext/>
              <w:widowControl w:val="0"/>
              <w:rPr>
                <w:sz w:val="22"/>
                <w:szCs w:val="22"/>
              </w:rPr>
            </w:pPr>
            <w:r w:rsidRPr="00B30A12">
              <w:rPr>
                <w:i/>
                <w:color w:val="000000"/>
                <w:sz w:val="22"/>
                <w:szCs w:val="22"/>
              </w:rPr>
              <w:t>Gelegentlich:</w:t>
            </w:r>
          </w:p>
        </w:tc>
        <w:tc>
          <w:tcPr>
            <w:tcW w:w="7087" w:type="dxa"/>
          </w:tcPr>
          <w:p w14:paraId="7DFBE1F6" w14:textId="77777777" w:rsidR="003A33A6" w:rsidRPr="00B30A12" w:rsidRDefault="003A33A6" w:rsidP="00DA7B0B">
            <w:pPr>
              <w:keepNext/>
              <w:widowControl w:val="0"/>
              <w:rPr>
                <w:sz w:val="22"/>
                <w:szCs w:val="22"/>
              </w:rPr>
            </w:pPr>
            <w:r w:rsidRPr="00B30A12">
              <w:rPr>
                <w:color w:val="000000"/>
                <w:sz w:val="22"/>
                <w:szCs w:val="22"/>
              </w:rPr>
              <w:t>Nierenschmerzen, Hämaturie, akutes Nierenversagen, erhöhte Miktionsfrequenz</w:t>
            </w:r>
          </w:p>
        </w:tc>
      </w:tr>
      <w:tr w:rsidR="0016334E" w:rsidRPr="00B30A12" w14:paraId="7C9509B6" w14:textId="77777777" w:rsidTr="00DA7B0B">
        <w:trPr>
          <w:cantSplit/>
        </w:trPr>
        <w:tc>
          <w:tcPr>
            <w:tcW w:w="2235" w:type="dxa"/>
          </w:tcPr>
          <w:p w14:paraId="2102EF65" w14:textId="77777777" w:rsidR="0016334E" w:rsidRPr="00B30A12" w:rsidRDefault="0016334E" w:rsidP="0054140C">
            <w:pPr>
              <w:widowControl w:val="0"/>
              <w:rPr>
                <w:i/>
                <w:color w:val="000000"/>
                <w:sz w:val="22"/>
                <w:szCs w:val="22"/>
              </w:rPr>
            </w:pPr>
            <w:r w:rsidRPr="00B30A12">
              <w:rPr>
                <w:i/>
                <w:color w:val="000000"/>
                <w:sz w:val="22"/>
                <w:szCs w:val="22"/>
              </w:rPr>
              <w:t>Nicht bekannt:</w:t>
            </w:r>
          </w:p>
        </w:tc>
        <w:tc>
          <w:tcPr>
            <w:tcW w:w="7087" w:type="dxa"/>
          </w:tcPr>
          <w:p w14:paraId="08A6A859" w14:textId="77777777" w:rsidR="0016334E" w:rsidRPr="00B30A12" w:rsidRDefault="0016334E" w:rsidP="0054140C">
            <w:pPr>
              <w:widowControl w:val="0"/>
              <w:rPr>
                <w:color w:val="000000"/>
                <w:sz w:val="22"/>
                <w:szCs w:val="22"/>
              </w:rPr>
            </w:pPr>
            <w:r w:rsidRPr="00B30A12">
              <w:rPr>
                <w:color w:val="000000"/>
                <w:sz w:val="22"/>
                <w:szCs w:val="22"/>
              </w:rPr>
              <w:t>Chronisches Nierenversagen</w:t>
            </w:r>
          </w:p>
        </w:tc>
      </w:tr>
      <w:tr w:rsidR="0016334E" w:rsidRPr="00B30A12" w14:paraId="03C1AF5D" w14:textId="77777777" w:rsidTr="00DA7B0B">
        <w:trPr>
          <w:cantSplit/>
        </w:trPr>
        <w:tc>
          <w:tcPr>
            <w:tcW w:w="9322" w:type="dxa"/>
            <w:gridSpan w:val="2"/>
          </w:tcPr>
          <w:p w14:paraId="7CA291D6" w14:textId="77777777" w:rsidR="0016334E" w:rsidRPr="00B30A12" w:rsidRDefault="0016334E" w:rsidP="00DA7B0B">
            <w:pPr>
              <w:keepNext/>
              <w:widowControl w:val="0"/>
              <w:rPr>
                <w:b/>
                <w:color w:val="000000"/>
                <w:sz w:val="22"/>
                <w:szCs w:val="22"/>
              </w:rPr>
            </w:pPr>
            <w:r w:rsidRPr="00B30A12">
              <w:rPr>
                <w:b/>
                <w:color w:val="000000"/>
                <w:sz w:val="22"/>
                <w:szCs w:val="22"/>
              </w:rPr>
              <w:t>Erkrankungen der Geschlechtsorgane und der Brustdrüse</w:t>
            </w:r>
          </w:p>
        </w:tc>
      </w:tr>
      <w:tr w:rsidR="0016334E" w:rsidRPr="00B30A12" w14:paraId="3FDE460B" w14:textId="77777777" w:rsidTr="00DA7B0B">
        <w:trPr>
          <w:cantSplit/>
        </w:trPr>
        <w:tc>
          <w:tcPr>
            <w:tcW w:w="2235" w:type="dxa"/>
          </w:tcPr>
          <w:p w14:paraId="38713690" w14:textId="77777777" w:rsidR="0016334E" w:rsidRPr="00B30A12" w:rsidRDefault="0016334E" w:rsidP="00DA7B0B">
            <w:pPr>
              <w:keepNext/>
              <w:widowControl w:val="0"/>
              <w:rPr>
                <w:i/>
                <w:color w:val="000000"/>
                <w:sz w:val="22"/>
                <w:szCs w:val="22"/>
              </w:rPr>
            </w:pPr>
            <w:r w:rsidRPr="00B30A12">
              <w:rPr>
                <w:i/>
                <w:color w:val="000000"/>
                <w:sz w:val="22"/>
                <w:szCs w:val="22"/>
              </w:rPr>
              <w:t>Gelegentlich:</w:t>
            </w:r>
          </w:p>
        </w:tc>
        <w:tc>
          <w:tcPr>
            <w:tcW w:w="7087" w:type="dxa"/>
          </w:tcPr>
          <w:p w14:paraId="6A46F97E" w14:textId="77777777" w:rsidR="0016334E" w:rsidRPr="00B30A12" w:rsidRDefault="0016334E" w:rsidP="00DA7B0B">
            <w:pPr>
              <w:keepNext/>
              <w:widowControl w:val="0"/>
              <w:rPr>
                <w:color w:val="000000"/>
                <w:sz w:val="22"/>
                <w:szCs w:val="22"/>
              </w:rPr>
            </w:pPr>
            <w:r w:rsidRPr="00B30A12">
              <w:rPr>
                <w:color w:val="000000"/>
                <w:sz w:val="22"/>
                <w:szCs w:val="22"/>
              </w:rPr>
              <w:t>Gynäkomastie, erektile Dysfunktion, Menorrhagie, unregelmäßige Menstruation, Störungen der Sexualfunktion, Schmerzen der Brustwarzen, Brustvergrößerung, Scrotumödem</w:t>
            </w:r>
          </w:p>
        </w:tc>
      </w:tr>
      <w:tr w:rsidR="0016334E" w:rsidRPr="00B30A12" w14:paraId="482770A8" w14:textId="77777777" w:rsidTr="00DA7B0B">
        <w:trPr>
          <w:cantSplit/>
        </w:trPr>
        <w:tc>
          <w:tcPr>
            <w:tcW w:w="2235" w:type="dxa"/>
          </w:tcPr>
          <w:p w14:paraId="4D31E3B8" w14:textId="77777777" w:rsidR="0016334E" w:rsidRPr="00B30A12" w:rsidRDefault="0016334E" w:rsidP="0054140C">
            <w:pPr>
              <w:widowControl w:val="0"/>
              <w:rPr>
                <w:i/>
                <w:color w:val="000000"/>
                <w:sz w:val="22"/>
                <w:szCs w:val="22"/>
              </w:rPr>
            </w:pPr>
            <w:r w:rsidRPr="00B30A12">
              <w:rPr>
                <w:i/>
                <w:color w:val="000000"/>
                <w:sz w:val="22"/>
                <w:szCs w:val="22"/>
              </w:rPr>
              <w:t>Selten:</w:t>
            </w:r>
          </w:p>
        </w:tc>
        <w:tc>
          <w:tcPr>
            <w:tcW w:w="7087" w:type="dxa"/>
          </w:tcPr>
          <w:p w14:paraId="0DF9EDE0" w14:textId="77777777" w:rsidR="0016334E" w:rsidRPr="00B30A12" w:rsidRDefault="0016334E" w:rsidP="0054140C">
            <w:pPr>
              <w:widowControl w:val="0"/>
              <w:rPr>
                <w:color w:val="000000"/>
                <w:sz w:val="22"/>
                <w:szCs w:val="22"/>
              </w:rPr>
            </w:pPr>
            <w:r w:rsidRPr="00B30A12">
              <w:rPr>
                <w:color w:val="000000"/>
                <w:sz w:val="22"/>
                <w:szCs w:val="22"/>
              </w:rPr>
              <w:t>Hämorrhagisches Corpus luteum/hämorrhagische Ovarialzyste</w:t>
            </w:r>
          </w:p>
        </w:tc>
      </w:tr>
      <w:tr w:rsidR="0016334E" w:rsidRPr="00B30A12" w14:paraId="73B70197" w14:textId="77777777" w:rsidTr="00DA7B0B">
        <w:trPr>
          <w:cantSplit/>
        </w:trPr>
        <w:tc>
          <w:tcPr>
            <w:tcW w:w="9322" w:type="dxa"/>
            <w:gridSpan w:val="2"/>
          </w:tcPr>
          <w:p w14:paraId="2C19C568" w14:textId="77777777" w:rsidR="0016334E" w:rsidRPr="00B30A12" w:rsidRDefault="0016334E" w:rsidP="00DA7B0B">
            <w:pPr>
              <w:keepNext/>
              <w:widowControl w:val="0"/>
              <w:rPr>
                <w:color w:val="000000"/>
                <w:sz w:val="22"/>
                <w:szCs w:val="22"/>
              </w:rPr>
            </w:pPr>
            <w:r w:rsidRPr="00B30A12">
              <w:rPr>
                <w:b/>
                <w:color w:val="000000"/>
                <w:sz w:val="22"/>
                <w:szCs w:val="22"/>
              </w:rPr>
              <w:t>Allgemeine Erkrankungen und Beschwerden am Verabreichungsort</w:t>
            </w:r>
          </w:p>
        </w:tc>
      </w:tr>
      <w:tr w:rsidR="0016334E" w:rsidRPr="00B30A12" w14:paraId="332C6937" w14:textId="77777777" w:rsidTr="00DA7B0B">
        <w:trPr>
          <w:cantSplit/>
        </w:trPr>
        <w:tc>
          <w:tcPr>
            <w:tcW w:w="2235" w:type="dxa"/>
          </w:tcPr>
          <w:p w14:paraId="4EC503C0" w14:textId="77777777" w:rsidR="0016334E" w:rsidRPr="00B30A12" w:rsidRDefault="0016334E" w:rsidP="00DA7B0B">
            <w:pPr>
              <w:keepNext/>
              <w:widowControl w:val="0"/>
              <w:rPr>
                <w:i/>
                <w:color w:val="000000"/>
                <w:sz w:val="22"/>
                <w:szCs w:val="22"/>
              </w:rPr>
            </w:pPr>
            <w:r w:rsidRPr="00B30A12">
              <w:rPr>
                <w:i/>
                <w:color w:val="000000"/>
                <w:sz w:val="22"/>
                <w:szCs w:val="22"/>
              </w:rPr>
              <w:t>Sehr häufig:</w:t>
            </w:r>
          </w:p>
        </w:tc>
        <w:tc>
          <w:tcPr>
            <w:tcW w:w="7087" w:type="dxa"/>
          </w:tcPr>
          <w:p w14:paraId="772DCD5D" w14:textId="77777777" w:rsidR="0016334E" w:rsidRPr="00B30A12" w:rsidRDefault="0016334E" w:rsidP="00DA7B0B">
            <w:pPr>
              <w:keepNext/>
              <w:widowControl w:val="0"/>
              <w:rPr>
                <w:color w:val="000000"/>
                <w:sz w:val="22"/>
                <w:szCs w:val="22"/>
              </w:rPr>
            </w:pPr>
            <w:r w:rsidRPr="00B30A12">
              <w:rPr>
                <w:color w:val="000000"/>
                <w:sz w:val="22"/>
                <w:szCs w:val="22"/>
              </w:rPr>
              <w:t>Flüssigkeitsretention und periphere Ödeme, Müdigkeit</w:t>
            </w:r>
          </w:p>
        </w:tc>
      </w:tr>
      <w:tr w:rsidR="0016334E" w:rsidRPr="00B30A12" w14:paraId="5309B4EE" w14:textId="77777777" w:rsidTr="00DA7B0B">
        <w:trPr>
          <w:cantSplit/>
        </w:trPr>
        <w:tc>
          <w:tcPr>
            <w:tcW w:w="2235" w:type="dxa"/>
          </w:tcPr>
          <w:p w14:paraId="49CD2358" w14:textId="77777777" w:rsidR="0016334E" w:rsidRPr="00B30A12" w:rsidRDefault="0016334E" w:rsidP="00DA7B0B">
            <w:pPr>
              <w:keepNext/>
              <w:widowControl w:val="0"/>
              <w:rPr>
                <w:i/>
                <w:color w:val="000000"/>
                <w:sz w:val="22"/>
                <w:szCs w:val="22"/>
              </w:rPr>
            </w:pPr>
            <w:r w:rsidRPr="00B30A12">
              <w:rPr>
                <w:i/>
                <w:color w:val="000000"/>
                <w:sz w:val="22"/>
                <w:szCs w:val="22"/>
              </w:rPr>
              <w:t>Häufig:</w:t>
            </w:r>
          </w:p>
        </w:tc>
        <w:tc>
          <w:tcPr>
            <w:tcW w:w="7087" w:type="dxa"/>
          </w:tcPr>
          <w:p w14:paraId="5DD1C1EE" w14:textId="77777777" w:rsidR="0016334E" w:rsidRPr="00B30A12" w:rsidRDefault="0016334E" w:rsidP="00DA7B0B">
            <w:pPr>
              <w:keepNext/>
              <w:widowControl w:val="0"/>
              <w:rPr>
                <w:color w:val="000000"/>
                <w:sz w:val="22"/>
                <w:szCs w:val="22"/>
              </w:rPr>
            </w:pPr>
            <w:r w:rsidRPr="00B30A12">
              <w:rPr>
                <w:color w:val="000000"/>
                <w:sz w:val="22"/>
                <w:szCs w:val="22"/>
              </w:rPr>
              <w:t>Schwäche, Fieberzustand, generalisierte Ödeme des Unterhautgewebes (Anasarka), Kältegefühl, Schüttelfrost</w:t>
            </w:r>
          </w:p>
        </w:tc>
      </w:tr>
      <w:tr w:rsidR="0016334E" w:rsidRPr="00B30A12" w14:paraId="69F29F3A" w14:textId="77777777" w:rsidTr="00DA7B0B">
        <w:trPr>
          <w:cantSplit/>
        </w:trPr>
        <w:tc>
          <w:tcPr>
            <w:tcW w:w="2235" w:type="dxa"/>
          </w:tcPr>
          <w:p w14:paraId="366EF6C3" w14:textId="77777777" w:rsidR="0016334E" w:rsidRPr="00B30A12" w:rsidRDefault="0016334E" w:rsidP="0054140C">
            <w:pPr>
              <w:widowControl w:val="0"/>
              <w:rPr>
                <w:i/>
                <w:color w:val="000000"/>
                <w:sz w:val="22"/>
                <w:szCs w:val="22"/>
              </w:rPr>
            </w:pPr>
            <w:r w:rsidRPr="00B30A12">
              <w:rPr>
                <w:i/>
                <w:color w:val="000000"/>
                <w:sz w:val="22"/>
                <w:szCs w:val="22"/>
              </w:rPr>
              <w:t>Gelegentlich:</w:t>
            </w:r>
          </w:p>
        </w:tc>
        <w:tc>
          <w:tcPr>
            <w:tcW w:w="7087" w:type="dxa"/>
          </w:tcPr>
          <w:p w14:paraId="59FD6AAF" w14:textId="77777777" w:rsidR="0016334E" w:rsidRPr="00B30A12" w:rsidRDefault="0016334E" w:rsidP="0054140C">
            <w:pPr>
              <w:widowControl w:val="0"/>
              <w:rPr>
                <w:color w:val="000000"/>
                <w:sz w:val="22"/>
                <w:szCs w:val="22"/>
              </w:rPr>
            </w:pPr>
            <w:r w:rsidRPr="00B30A12">
              <w:rPr>
                <w:color w:val="000000"/>
                <w:sz w:val="22"/>
                <w:szCs w:val="22"/>
                <w:lang w:val="fr-FR"/>
              </w:rPr>
              <w:t>Brustschmerzen, allgemeines Krankheitsgefühl</w:t>
            </w:r>
          </w:p>
        </w:tc>
      </w:tr>
      <w:tr w:rsidR="0016334E" w:rsidRPr="00B30A12" w14:paraId="17B94EC8" w14:textId="77777777" w:rsidTr="00DA7B0B">
        <w:trPr>
          <w:cantSplit/>
        </w:trPr>
        <w:tc>
          <w:tcPr>
            <w:tcW w:w="9322" w:type="dxa"/>
            <w:gridSpan w:val="2"/>
          </w:tcPr>
          <w:p w14:paraId="1BD3643E" w14:textId="77777777" w:rsidR="0016334E" w:rsidRPr="00B30A12" w:rsidRDefault="0016334E" w:rsidP="00DA7B0B">
            <w:pPr>
              <w:keepNext/>
              <w:widowControl w:val="0"/>
              <w:rPr>
                <w:b/>
                <w:sz w:val="22"/>
                <w:szCs w:val="22"/>
              </w:rPr>
            </w:pPr>
            <w:r w:rsidRPr="00B30A12">
              <w:rPr>
                <w:b/>
                <w:color w:val="000000"/>
                <w:sz w:val="22"/>
                <w:szCs w:val="22"/>
              </w:rPr>
              <w:t>Untersuchungen</w:t>
            </w:r>
          </w:p>
        </w:tc>
      </w:tr>
      <w:tr w:rsidR="0016334E" w:rsidRPr="00B30A12" w14:paraId="1D0A5CE2" w14:textId="77777777" w:rsidTr="00DA7B0B">
        <w:trPr>
          <w:cantSplit/>
        </w:trPr>
        <w:tc>
          <w:tcPr>
            <w:tcW w:w="2235" w:type="dxa"/>
          </w:tcPr>
          <w:p w14:paraId="3B10013C" w14:textId="77777777" w:rsidR="0016334E" w:rsidRPr="00B30A12" w:rsidRDefault="0016334E" w:rsidP="00DA7B0B">
            <w:pPr>
              <w:keepNext/>
              <w:widowControl w:val="0"/>
              <w:rPr>
                <w:sz w:val="22"/>
                <w:szCs w:val="22"/>
              </w:rPr>
            </w:pPr>
            <w:r w:rsidRPr="00B30A12">
              <w:rPr>
                <w:i/>
                <w:color w:val="000000"/>
                <w:sz w:val="22"/>
                <w:szCs w:val="22"/>
              </w:rPr>
              <w:t>Sehr häufig:</w:t>
            </w:r>
          </w:p>
        </w:tc>
        <w:tc>
          <w:tcPr>
            <w:tcW w:w="7087" w:type="dxa"/>
          </w:tcPr>
          <w:p w14:paraId="700C2593" w14:textId="77777777" w:rsidR="0016334E" w:rsidRPr="00B30A12" w:rsidRDefault="0016334E" w:rsidP="00DA7B0B">
            <w:pPr>
              <w:keepNext/>
              <w:widowControl w:val="0"/>
              <w:rPr>
                <w:sz w:val="22"/>
                <w:szCs w:val="22"/>
              </w:rPr>
            </w:pPr>
            <w:r w:rsidRPr="00B30A12">
              <w:rPr>
                <w:color w:val="000000"/>
                <w:sz w:val="22"/>
                <w:szCs w:val="22"/>
              </w:rPr>
              <w:t>Gewichtszunahme</w:t>
            </w:r>
          </w:p>
        </w:tc>
      </w:tr>
      <w:tr w:rsidR="0016334E" w:rsidRPr="00B30A12" w14:paraId="6B562D7E" w14:textId="77777777" w:rsidTr="00DA7B0B">
        <w:trPr>
          <w:cantSplit/>
        </w:trPr>
        <w:tc>
          <w:tcPr>
            <w:tcW w:w="2235" w:type="dxa"/>
          </w:tcPr>
          <w:p w14:paraId="319A13E8" w14:textId="77777777" w:rsidR="0016334E" w:rsidRPr="00B30A12" w:rsidRDefault="0016334E" w:rsidP="00DA7B0B">
            <w:pPr>
              <w:keepNext/>
              <w:widowControl w:val="0"/>
              <w:rPr>
                <w:sz w:val="22"/>
                <w:szCs w:val="22"/>
              </w:rPr>
            </w:pPr>
            <w:r w:rsidRPr="00B30A12">
              <w:rPr>
                <w:i/>
                <w:color w:val="000000"/>
                <w:sz w:val="22"/>
                <w:szCs w:val="22"/>
              </w:rPr>
              <w:t>Häufig</w:t>
            </w:r>
            <w:r w:rsidRPr="00B30A12">
              <w:rPr>
                <w:color w:val="000000"/>
                <w:sz w:val="22"/>
                <w:szCs w:val="22"/>
              </w:rPr>
              <w:t>:</w:t>
            </w:r>
          </w:p>
        </w:tc>
        <w:tc>
          <w:tcPr>
            <w:tcW w:w="7087" w:type="dxa"/>
          </w:tcPr>
          <w:p w14:paraId="7EFA81E5" w14:textId="77777777" w:rsidR="0016334E" w:rsidRPr="00B30A12" w:rsidRDefault="0016334E" w:rsidP="00DA7B0B">
            <w:pPr>
              <w:keepNext/>
              <w:widowControl w:val="0"/>
              <w:rPr>
                <w:sz w:val="22"/>
                <w:szCs w:val="22"/>
              </w:rPr>
            </w:pPr>
            <w:r w:rsidRPr="00B30A12">
              <w:rPr>
                <w:color w:val="000000"/>
                <w:sz w:val="22"/>
                <w:szCs w:val="22"/>
              </w:rPr>
              <w:t>Gewichtsverlust</w:t>
            </w:r>
          </w:p>
        </w:tc>
      </w:tr>
      <w:tr w:rsidR="0016334E" w:rsidRPr="00B30A12" w14:paraId="030F92E8" w14:textId="77777777" w:rsidTr="00DA7B0B">
        <w:trPr>
          <w:cantSplit/>
        </w:trPr>
        <w:tc>
          <w:tcPr>
            <w:tcW w:w="2235" w:type="dxa"/>
          </w:tcPr>
          <w:p w14:paraId="641C2BFD" w14:textId="77777777" w:rsidR="0016334E" w:rsidRPr="00B30A12" w:rsidRDefault="0016334E" w:rsidP="00DA7B0B">
            <w:pPr>
              <w:keepNext/>
              <w:widowControl w:val="0"/>
              <w:rPr>
                <w:sz w:val="22"/>
                <w:szCs w:val="22"/>
              </w:rPr>
            </w:pPr>
            <w:r w:rsidRPr="00B30A12">
              <w:rPr>
                <w:i/>
                <w:color w:val="000000"/>
                <w:sz w:val="22"/>
                <w:szCs w:val="22"/>
              </w:rPr>
              <w:t>Gelegentlich</w:t>
            </w:r>
            <w:r w:rsidRPr="00B30A12">
              <w:rPr>
                <w:color w:val="000000"/>
                <w:sz w:val="22"/>
                <w:szCs w:val="22"/>
              </w:rPr>
              <w:t>:</w:t>
            </w:r>
          </w:p>
        </w:tc>
        <w:tc>
          <w:tcPr>
            <w:tcW w:w="7087" w:type="dxa"/>
          </w:tcPr>
          <w:p w14:paraId="27D0746F" w14:textId="77777777" w:rsidR="0016334E" w:rsidRPr="00B30A12" w:rsidRDefault="0016334E" w:rsidP="00DA7B0B">
            <w:pPr>
              <w:keepNext/>
              <w:widowControl w:val="0"/>
              <w:rPr>
                <w:sz w:val="22"/>
                <w:szCs w:val="22"/>
              </w:rPr>
            </w:pPr>
            <w:r w:rsidRPr="00B30A12">
              <w:rPr>
                <w:color w:val="000000"/>
                <w:sz w:val="22"/>
                <w:szCs w:val="22"/>
              </w:rPr>
              <w:t>Erhöhte Werte für Kreatinin, Kreatinphosphokinase, Laktatdehydrogenase und alkalische Phosphatase im Blut</w:t>
            </w:r>
          </w:p>
        </w:tc>
      </w:tr>
      <w:tr w:rsidR="0016334E" w:rsidRPr="00B30A12" w14:paraId="4D76CF86" w14:textId="77777777" w:rsidTr="00DA7B0B">
        <w:trPr>
          <w:cantSplit/>
        </w:trPr>
        <w:tc>
          <w:tcPr>
            <w:tcW w:w="2235" w:type="dxa"/>
          </w:tcPr>
          <w:p w14:paraId="078373D3" w14:textId="77777777" w:rsidR="0016334E" w:rsidRPr="00B30A12" w:rsidRDefault="0016334E" w:rsidP="00DA7B0B">
            <w:pPr>
              <w:keepNext/>
              <w:widowControl w:val="0"/>
              <w:rPr>
                <w:i/>
                <w:color w:val="000000"/>
                <w:sz w:val="22"/>
                <w:szCs w:val="22"/>
              </w:rPr>
            </w:pPr>
            <w:r w:rsidRPr="00B30A12">
              <w:rPr>
                <w:i/>
                <w:color w:val="000000"/>
                <w:sz w:val="22"/>
                <w:szCs w:val="22"/>
              </w:rPr>
              <w:t>Selten:</w:t>
            </w:r>
          </w:p>
        </w:tc>
        <w:tc>
          <w:tcPr>
            <w:tcW w:w="7087" w:type="dxa"/>
          </w:tcPr>
          <w:p w14:paraId="58FF1934" w14:textId="77777777" w:rsidR="0016334E" w:rsidRPr="00B30A12" w:rsidRDefault="0016334E" w:rsidP="00DA7B0B">
            <w:pPr>
              <w:keepNext/>
              <w:widowControl w:val="0"/>
              <w:rPr>
                <w:color w:val="000000"/>
                <w:sz w:val="22"/>
                <w:szCs w:val="22"/>
              </w:rPr>
            </w:pPr>
            <w:r w:rsidRPr="00B30A12">
              <w:rPr>
                <w:color w:val="000000"/>
                <w:sz w:val="22"/>
                <w:szCs w:val="22"/>
              </w:rPr>
              <w:t>Erhöhte Amylase-Werte im Blut</w:t>
            </w:r>
          </w:p>
        </w:tc>
      </w:tr>
    </w:tbl>
    <w:p w14:paraId="62042AF5" w14:textId="77777777" w:rsidR="003A33A6" w:rsidRPr="00B30A12" w:rsidRDefault="003A33A6" w:rsidP="00DA7B0B">
      <w:pPr>
        <w:keepNext/>
        <w:widowControl w:val="0"/>
        <w:rPr>
          <w:sz w:val="22"/>
          <w:szCs w:val="22"/>
        </w:rPr>
      </w:pPr>
    </w:p>
    <w:p w14:paraId="54F0ECB1" w14:textId="77777777" w:rsidR="00646EB3" w:rsidRPr="00B30A12" w:rsidRDefault="00646EB3" w:rsidP="00DA7B0B">
      <w:pPr>
        <w:keepNext/>
        <w:keepLines/>
        <w:widowControl w:val="0"/>
        <w:ind w:left="851" w:hanging="851"/>
        <w:rPr>
          <w:sz w:val="22"/>
          <w:szCs w:val="22"/>
        </w:rPr>
      </w:pPr>
      <w:r w:rsidRPr="00B30A12">
        <w:rPr>
          <w:sz w:val="22"/>
          <w:szCs w:val="22"/>
        </w:rPr>
        <w:t>*</w:t>
      </w:r>
      <w:r w:rsidRPr="00B30A12">
        <w:rPr>
          <w:sz w:val="22"/>
          <w:szCs w:val="22"/>
        </w:rPr>
        <w:tab/>
        <w:t xml:space="preserve">Diese Nebenwirkungen beruhen hauptsächlich auf den Erfahrungen mit Glivec nach </w:t>
      </w:r>
      <w:r w:rsidR="00621238" w:rsidRPr="00B30A12">
        <w:rPr>
          <w:sz w:val="22"/>
          <w:szCs w:val="22"/>
        </w:rPr>
        <w:t>Markteinführung</w:t>
      </w:r>
      <w:r w:rsidRPr="00B30A12">
        <w:rPr>
          <w:sz w:val="22"/>
          <w:szCs w:val="22"/>
        </w:rPr>
        <w:t>. Dies schließt Fälle aus der Spontanerfassung ebenso ein wie schwerwiegende unerwünschte Ereignisse aus laufenden klinischen Studien, den „expanded access programmes“, klinisch-pharmakologischen Studien und explorativen Studien zu nicht zugelassenen Indikationen. Da diese Nebenwirkungen von einer Population unbekannter Größe berichtet wurden, ist es nicht immer möglich, zuverlässig ihre Häufigkeit oder den ursächlichen Zusammenhang mit der Glivec-Exposition zu bestimmen.</w:t>
      </w:r>
    </w:p>
    <w:p w14:paraId="39B52D86" w14:textId="77777777" w:rsidR="003A33A6" w:rsidRPr="00B30A12" w:rsidRDefault="003A33A6" w:rsidP="00DA7B0B">
      <w:pPr>
        <w:keepNext/>
        <w:keepLines/>
        <w:widowControl w:val="0"/>
        <w:ind w:left="851" w:hanging="851"/>
        <w:rPr>
          <w:sz w:val="22"/>
          <w:szCs w:val="22"/>
        </w:rPr>
      </w:pPr>
      <w:r w:rsidRPr="00B30A12">
        <w:rPr>
          <w:sz w:val="22"/>
          <w:szCs w:val="22"/>
        </w:rPr>
        <w:t>1)</w:t>
      </w:r>
      <w:r w:rsidRPr="00B30A12">
        <w:rPr>
          <w:sz w:val="22"/>
          <w:szCs w:val="22"/>
        </w:rPr>
        <w:tab/>
        <w:t>Pneumonien wurden am häufigsten bei Patienten mit fortgeschrittener CML und mit GIST berichtet.</w:t>
      </w:r>
    </w:p>
    <w:p w14:paraId="76A044BE" w14:textId="77777777" w:rsidR="003A33A6" w:rsidRPr="00B30A12" w:rsidRDefault="003A33A6" w:rsidP="00DA7B0B">
      <w:pPr>
        <w:keepNext/>
        <w:keepLines/>
        <w:widowControl w:val="0"/>
        <w:ind w:left="851" w:hanging="851"/>
        <w:rPr>
          <w:sz w:val="22"/>
          <w:szCs w:val="22"/>
        </w:rPr>
      </w:pPr>
      <w:r w:rsidRPr="00B30A12">
        <w:rPr>
          <w:sz w:val="22"/>
          <w:szCs w:val="22"/>
        </w:rPr>
        <w:t>2)</w:t>
      </w:r>
      <w:r w:rsidRPr="00B30A12">
        <w:rPr>
          <w:sz w:val="22"/>
          <w:szCs w:val="22"/>
        </w:rPr>
        <w:tab/>
        <w:t>Am häufigsten traten Kopfschmerzen bei GIST-Patienten auf.</w:t>
      </w:r>
    </w:p>
    <w:p w14:paraId="7D7A2FC5" w14:textId="77777777" w:rsidR="003A33A6" w:rsidRPr="00B30A12" w:rsidRDefault="003A33A6" w:rsidP="00DA7B0B">
      <w:pPr>
        <w:keepNext/>
        <w:keepLines/>
        <w:widowControl w:val="0"/>
        <w:ind w:left="851" w:hanging="851"/>
        <w:rPr>
          <w:sz w:val="22"/>
          <w:szCs w:val="22"/>
        </w:rPr>
      </w:pPr>
      <w:r w:rsidRPr="00B30A12">
        <w:rPr>
          <w:sz w:val="22"/>
          <w:szCs w:val="22"/>
        </w:rPr>
        <w:t>3)</w:t>
      </w:r>
      <w:r w:rsidRPr="00B30A12">
        <w:rPr>
          <w:sz w:val="22"/>
          <w:szCs w:val="22"/>
        </w:rPr>
        <w:tab/>
        <w:t>Auf der Grundlage von Patientenjahren wurden kardiale Ereignisse einschließlich der Stauungsherzinsuffizienz bei Patienten mit fortgeschrittener CML häufiger beobachtet als bei Patienten mit CML in der chronischen Phase.</w:t>
      </w:r>
    </w:p>
    <w:p w14:paraId="5387976B" w14:textId="77777777" w:rsidR="003A33A6" w:rsidRPr="00B30A12" w:rsidRDefault="003A33A6" w:rsidP="00DA7B0B">
      <w:pPr>
        <w:keepNext/>
        <w:keepLines/>
        <w:widowControl w:val="0"/>
        <w:ind w:left="851" w:hanging="851"/>
        <w:rPr>
          <w:sz w:val="22"/>
          <w:szCs w:val="22"/>
        </w:rPr>
      </w:pPr>
      <w:r w:rsidRPr="00B30A12">
        <w:rPr>
          <w:sz w:val="22"/>
          <w:szCs w:val="22"/>
        </w:rPr>
        <w:t>4)</w:t>
      </w:r>
      <w:r w:rsidRPr="00B30A12">
        <w:rPr>
          <w:sz w:val="22"/>
          <w:szCs w:val="22"/>
        </w:rPr>
        <w:tab/>
        <w:t>Plötzliche Hautrötung („Flushing“) kam am häufigsten bei GIST-Patienten vor und Blutungen (Hämatome und Hämorrhagien) bei Patienten mit GIST und fortgeschrittener CML (akzelerierte Phase und Blastenkrise).</w:t>
      </w:r>
    </w:p>
    <w:p w14:paraId="13C8D1A5" w14:textId="77777777" w:rsidR="003A33A6" w:rsidRPr="00B30A12" w:rsidRDefault="003A33A6" w:rsidP="00DA7B0B">
      <w:pPr>
        <w:keepNext/>
        <w:keepLines/>
        <w:widowControl w:val="0"/>
        <w:ind w:left="851" w:hanging="851"/>
        <w:rPr>
          <w:sz w:val="22"/>
          <w:szCs w:val="22"/>
        </w:rPr>
      </w:pPr>
      <w:r w:rsidRPr="00B30A12">
        <w:rPr>
          <w:sz w:val="22"/>
          <w:szCs w:val="22"/>
        </w:rPr>
        <w:t>5)</w:t>
      </w:r>
      <w:r w:rsidRPr="00B30A12">
        <w:rPr>
          <w:sz w:val="22"/>
          <w:szCs w:val="22"/>
        </w:rPr>
        <w:tab/>
        <w:t>Pleuraergüsse wurden häufiger bei GIST-Patienten und bei Patienten mit fortgeschrittener CML (akzelerierte Phase und Blastenkrise) als bei Patienten mit CML in der chronischen Phase berichtet.</w:t>
      </w:r>
    </w:p>
    <w:p w14:paraId="1A1F5E64" w14:textId="77777777" w:rsidR="003A33A6" w:rsidRPr="00B30A12" w:rsidRDefault="003A33A6" w:rsidP="00DA7B0B">
      <w:pPr>
        <w:keepNext/>
        <w:keepLines/>
        <w:widowControl w:val="0"/>
        <w:ind w:left="851" w:hanging="851"/>
        <w:rPr>
          <w:sz w:val="22"/>
          <w:szCs w:val="22"/>
        </w:rPr>
      </w:pPr>
      <w:r w:rsidRPr="00B30A12">
        <w:rPr>
          <w:sz w:val="22"/>
          <w:szCs w:val="22"/>
        </w:rPr>
        <w:t>6) und 7)</w:t>
      </w:r>
      <w:r w:rsidRPr="00B30A12">
        <w:rPr>
          <w:sz w:val="22"/>
          <w:szCs w:val="22"/>
        </w:rPr>
        <w:tab/>
        <w:t>Abdominalschmerzen und Blutungen im Gastrointestinaltrakt wurden am häufigsten bei GIST-Patienten beobachtet.</w:t>
      </w:r>
    </w:p>
    <w:p w14:paraId="4074E5B0" w14:textId="77777777" w:rsidR="003A33A6" w:rsidRPr="00B30A12" w:rsidRDefault="003A33A6" w:rsidP="00DA7B0B">
      <w:pPr>
        <w:keepNext/>
        <w:keepLines/>
        <w:widowControl w:val="0"/>
        <w:ind w:left="851" w:hanging="851"/>
        <w:rPr>
          <w:color w:val="000000"/>
          <w:sz w:val="22"/>
          <w:szCs w:val="22"/>
        </w:rPr>
      </w:pPr>
      <w:r w:rsidRPr="00B30A12">
        <w:rPr>
          <w:sz w:val="22"/>
          <w:szCs w:val="22"/>
        </w:rPr>
        <w:t>8)</w:t>
      </w:r>
      <w:r w:rsidRPr="00B30A12">
        <w:rPr>
          <w:sz w:val="22"/>
          <w:szCs w:val="22"/>
        </w:rPr>
        <w:tab/>
      </w:r>
      <w:r w:rsidRPr="00B30A12">
        <w:rPr>
          <w:color w:val="000000"/>
          <w:sz w:val="22"/>
          <w:szCs w:val="22"/>
        </w:rPr>
        <w:t>Es wurden einige tödliche Fälle von Leberversagen und Lebernekrose berichtet.</w:t>
      </w:r>
    </w:p>
    <w:p w14:paraId="5F9C7617" w14:textId="77777777" w:rsidR="004E0971" w:rsidRPr="00B30A12" w:rsidRDefault="004E0971" w:rsidP="00DA7B0B">
      <w:pPr>
        <w:keepNext/>
        <w:keepLines/>
        <w:widowControl w:val="0"/>
        <w:ind w:left="851" w:hanging="851"/>
        <w:rPr>
          <w:sz w:val="22"/>
          <w:szCs w:val="22"/>
        </w:rPr>
      </w:pPr>
      <w:r w:rsidRPr="00B30A12">
        <w:rPr>
          <w:color w:val="000000"/>
          <w:sz w:val="22"/>
          <w:szCs w:val="22"/>
        </w:rPr>
        <w:t>9)</w:t>
      </w:r>
      <w:r w:rsidRPr="00B30A12">
        <w:rPr>
          <w:color w:val="000000"/>
          <w:sz w:val="22"/>
          <w:szCs w:val="22"/>
        </w:rPr>
        <w:tab/>
      </w:r>
      <w:r w:rsidR="009C1C5E" w:rsidRPr="00B30A12">
        <w:rPr>
          <w:color w:val="000000"/>
          <w:sz w:val="22"/>
          <w:szCs w:val="22"/>
        </w:rPr>
        <w:t xml:space="preserve">Nach </w:t>
      </w:r>
      <w:r w:rsidR="00621238" w:rsidRPr="00B30A12">
        <w:rPr>
          <w:color w:val="000000"/>
          <w:sz w:val="22"/>
          <w:szCs w:val="22"/>
        </w:rPr>
        <w:t xml:space="preserve">Markteinführung </w:t>
      </w:r>
      <w:r w:rsidR="009C1C5E" w:rsidRPr="00B30A12">
        <w:rPr>
          <w:color w:val="000000"/>
          <w:sz w:val="22"/>
          <w:szCs w:val="22"/>
        </w:rPr>
        <w:t xml:space="preserve">wurden </w:t>
      </w:r>
      <w:r w:rsidRPr="00B30A12">
        <w:rPr>
          <w:color w:val="000000"/>
          <w:sz w:val="22"/>
          <w:szCs w:val="22"/>
        </w:rPr>
        <w:t>Muskel- und Skelettschmerzen während oder nach Beendigung der Behandlung mit Imatinib beobachtet.</w:t>
      </w:r>
    </w:p>
    <w:p w14:paraId="106B3271" w14:textId="77777777" w:rsidR="003A33A6" w:rsidRPr="00B30A12" w:rsidRDefault="00BA3DF3" w:rsidP="00DA7B0B">
      <w:pPr>
        <w:keepNext/>
        <w:keepLines/>
        <w:widowControl w:val="0"/>
        <w:ind w:left="851" w:hanging="851"/>
        <w:rPr>
          <w:sz w:val="22"/>
          <w:szCs w:val="22"/>
        </w:rPr>
      </w:pPr>
      <w:r w:rsidRPr="00B30A12">
        <w:rPr>
          <w:sz w:val="22"/>
          <w:szCs w:val="22"/>
        </w:rPr>
        <w:t>10</w:t>
      </w:r>
      <w:r w:rsidR="003A33A6" w:rsidRPr="00B30A12">
        <w:rPr>
          <w:sz w:val="22"/>
          <w:szCs w:val="22"/>
        </w:rPr>
        <w:t>)</w:t>
      </w:r>
      <w:r w:rsidR="003A33A6" w:rsidRPr="00B30A12">
        <w:rPr>
          <w:sz w:val="22"/>
          <w:szCs w:val="22"/>
        </w:rPr>
        <w:tab/>
        <w:t>Muskel- und Skelettschmerzen und ähnliche Ereignisse wurden häufiger bei CML- als bei GIST-Patienten beobachtet.</w:t>
      </w:r>
    </w:p>
    <w:p w14:paraId="7B7AC39B" w14:textId="77777777" w:rsidR="00646EB3" w:rsidRPr="00B30A12" w:rsidRDefault="00BA3DF3" w:rsidP="00DA7B0B">
      <w:pPr>
        <w:keepLines/>
        <w:widowControl w:val="0"/>
        <w:ind w:left="851" w:hanging="851"/>
        <w:rPr>
          <w:color w:val="000000"/>
          <w:sz w:val="22"/>
          <w:szCs w:val="22"/>
        </w:rPr>
      </w:pPr>
      <w:r w:rsidRPr="00B30A12">
        <w:rPr>
          <w:sz w:val="22"/>
          <w:szCs w:val="22"/>
        </w:rPr>
        <w:t>11</w:t>
      </w:r>
      <w:r w:rsidR="00646EB3" w:rsidRPr="00B30A12">
        <w:rPr>
          <w:sz w:val="22"/>
          <w:szCs w:val="22"/>
        </w:rPr>
        <w:t>)</w:t>
      </w:r>
      <w:r w:rsidR="00646EB3" w:rsidRPr="00B30A12">
        <w:rPr>
          <w:sz w:val="22"/>
          <w:szCs w:val="22"/>
        </w:rPr>
        <w:tab/>
        <w:t>Bei Patienten mit fortgeschrittener Erkrankung, schweren Infektionen, schwerer Neutropenie und anderen schwerwiegenden Begleiterkrankungen wurden tödliche Fälle berichtet.</w:t>
      </w:r>
    </w:p>
    <w:p w14:paraId="2FAF181B" w14:textId="77777777" w:rsidR="003A33A6" w:rsidRPr="00B30A12" w:rsidRDefault="003A33A6" w:rsidP="0054140C">
      <w:pPr>
        <w:widowControl w:val="0"/>
        <w:rPr>
          <w:color w:val="000000"/>
          <w:sz w:val="22"/>
          <w:szCs w:val="22"/>
        </w:rPr>
      </w:pPr>
    </w:p>
    <w:p w14:paraId="6B3C94F4" w14:textId="77777777" w:rsidR="003A33A6" w:rsidRPr="00B30A12" w:rsidRDefault="003A33A6" w:rsidP="00F35CB5">
      <w:pPr>
        <w:pStyle w:val="Heading7"/>
        <w:widowControl w:val="0"/>
        <w:numPr>
          <w:ilvl w:val="0"/>
          <w:numId w:val="0"/>
        </w:numPr>
        <w:tabs>
          <w:tab w:val="clear" w:pos="-720"/>
          <w:tab w:val="clear" w:pos="567"/>
          <w:tab w:val="clear" w:pos="4536"/>
        </w:tabs>
        <w:suppressAutoHyphens w:val="0"/>
        <w:spacing w:line="240" w:lineRule="auto"/>
        <w:jc w:val="left"/>
        <w:rPr>
          <w:i w:val="0"/>
          <w:color w:val="000000"/>
          <w:szCs w:val="22"/>
          <w:u w:val="single"/>
          <w:lang w:val="de-DE"/>
        </w:rPr>
      </w:pPr>
      <w:r w:rsidRPr="00B30A12">
        <w:rPr>
          <w:i w:val="0"/>
          <w:color w:val="000000"/>
          <w:szCs w:val="22"/>
          <w:u w:val="single"/>
          <w:lang w:val="de-DE"/>
        </w:rPr>
        <w:t>Veränderungen der Laborwerte</w:t>
      </w:r>
    </w:p>
    <w:p w14:paraId="0E2B49FB" w14:textId="77777777" w:rsidR="003A33A6" w:rsidRPr="00B30A12" w:rsidRDefault="003A33A6" w:rsidP="00F35CB5">
      <w:pPr>
        <w:pStyle w:val="Heading6"/>
        <w:widowControl w:val="0"/>
        <w:numPr>
          <w:ilvl w:val="0"/>
          <w:numId w:val="0"/>
        </w:numPr>
        <w:tabs>
          <w:tab w:val="clear" w:pos="-720"/>
          <w:tab w:val="clear" w:pos="567"/>
          <w:tab w:val="clear" w:pos="4536"/>
        </w:tabs>
        <w:suppressAutoHyphens w:val="0"/>
        <w:spacing w:line="240" w:lineRule="auto"/>
        <w:rPr>
          <w:color w:val="000000"/>
          <w:szCs w:val="22"/>
          <w:lang w:val="de-DE"/>
        </w:rPr>
      </w:pPr>
      <w:r w:rsidRPr="00B30A12">
        <w:rPr>
          <w:color w:val="000000"/>
          <w:szCs w:val="22"/>
          <w:lang w:val="de-DE"/>
        </w:rPr>
        <w:t>Blutbild</w:t>
      </w:r>
    </w:p>
    <w:p w14:paraId="2DC1E70B" w14:textId="77777777" w:rsidR="003A33A6" w:rsidRPr="00B30A12" w:rsidRDefault="003A33A6" w:rsidP="0054140C">
      <w:pPr>
        <w:widowControl w:val="0"/>
        <w:rPr>
          <w:color w:val="000000"/>
          <w:sz w:val="22"/>
          <w:szCs w:val="22"/>
        </w:rPr>
      </w:pPr>
      <w:r w:rsidRPr="00B30A12">
        <w:rPr>
          <w:color w:val="000000"/>
          <w:sz w:val="22"/>
          <w:szCs w:val="22"/>
        </w:rPr>
        <w:t>Bei CML traten Zytopenien und dabei besonders Neutrozytopenien und Thrombozytopenien in allen Studien auf, mit Hinweis auf eine höhere Häufigkeit bei hohen Dosen von ≥ 750 mg (Phase-I- Studie). Das Vorkommen von Zytopenien war jedoch ebenfalls deutlich vom Stadium der Erkrankung abhängig, wobei die Häufigkeit von Grad 3- oder 4-Neutrozytopenien (ANC &lt; 1,0 x 10</w:t>
      </w:r>
      <w:r w:rsidRPr="00B30A12">
        <w:rPr>
          <w:color w:val="000000"/>
          <w:sz w:val="22"/>
          <w:szCs w:val="22"/>
          <w:vertAlign w:val="superscript"/>
        </w:rPr>
        <w:t>9</w:t>
      </w:r>
      <w:r w:rsidRPr="00B30A12">
        <w:rPr>
          <w:color w:val="000000"/>
          <w:sz w:val="22"/>
          <w:szCs w:val="22"/>
        </w:rPr>
        <w:t xml:space="preserve">/l) und </w:t>
      </w:r>
      <w:r w:rsidRPr="00B30A12">
        <w:rPr>
          <w:color w:val="000000"/>
          <w:sz w:val="22"/>
          <w:szCs w:val="22"/>
        </w:rPr>
        <w:lastRenderedPageBreak/>
        <w:t>Thrombozytopenien (Thrombozyten &lt; 50 x 10</w:t>
      </w:r>
      <w:r w:rsidRPr="00B30A12">
        <w:rPr>
          <w:color w:val="000000"/>
          <w:sz w:val="22"/>
          <w:szCs w:val="22"/>
          <w:vertAlign w:val="superscript"/>
        </w:rPr>
        <w:t>9</w:t>
      </w:r>
      <w:r w:rsidRPr="00B30A12">
        <w:rPr>
          <w:color w:val="000000"/>
          <w:sz w:val="22"/>
          <w:szCs w:val="22"/>
        </w:rPr>
        <w:t>/l) in der Blastenkrise und der akzelerierten Phase 4- bis 6-mal höher (59–64% und 44–63% für Neutrozytopenie bzw. Thrombozytopenie) war als bei neu diagnostizierten Patienten in der chronischen Phase (16,7% Neutrozytopenie und 8,9% Thrombozytopenie). Bei neu diagnostizierten Patienten in der chronischen Phase der CML wurden eine Grad 4-Neutrozytopenie (ANC &lt; 0,5 x 10</w:t>
      </w:r>
      <w:r w:rsidRPr="00B30A12">
        <w:rPr>
          <w:color w:val="000000"/>
          <w:sz w:val="22"/>
          <w:szCs w:val="22"/>
          <w:vertAlign w:val="superscript"/>
        </w:rPr>
        <w:t>9</w:t>
      </w:r>
      <w:r w:rsidRPr="00B30A12">
        <w:rPr>
          <w:color w:val="000000"/>
          <w:sz w:val="22"/>
          <w:szCs w:val="22"/>
        </w:rPr>
        <w:t>/l) und Thrombozytopenie (Thrombozyten &lt; 10 x 10</w:t>
      </w:r>
      <w:r w:rsidRPr="00B30A12">
        <w:rPr>
          <w:color w:val="000000"/>
          <w:sz w:val="22"/>
          <w:szCs w:val="22"/>
          <w:vertAlign w:val="superscript"/>
        </w:rPr>
        <w:t>9</w:t>
      </w:r>
      <w:r w:rsidRPr="00B30A12">
        <w:rPr>
          <w:color w:val="000000"/>
          <w:sz w:val="22"/>
          <w:szCs w:val="22"/>
        </w:rPr>
        <w:t>/l) bei 3,6% bzw. &lt; 1% der Patienten beobachtet. Die mittlere Dauer der Neutrozytopenie und Thrombozyto</w:t>
      </w:r>
      <w:r w:rsidRPr="00B30A12">
        <w:rPr>
          <w:color w:val="000000"/>
          <w:sz w:val="22"/>
          <w:szCs w:val="22"/>
        </w:rPr>
        <w:softHyphen/>
        <w:t>penie betrug 2–3 bzw. 3–4 Wochen und konnte im Allgemeinen durch eine Dosisreduktion oder mit einer Behandlungspause von Glivec beherrscht werden. In seltenen Fällen war jedoch ein dauerhafter Abbruch der Behandlung erforderlich. Bei Kindern mit CML waren die am häufigsten beobachteten Toxizitäten Grad-3- oder Grad-4-Zytopenien einschließlich Neutropenie, Thrombozytopenie und Anämie. Im Allgemeinen treten diese Nebenwirkungen innerhalb der ersten paar Monate der Therapie auf.</w:t>
      </w:r>
    </w:p>
    <w:p w14:paraId="02C96811" w14:textId="77777777" w:rsidR="003A33A6" w:rsidRPr="00B30A12" w:rsidRDefault="003A33A6" w:rsidP="0054140C">
      <w:pPr>
        <w:widowControl w:val="0"/>
        <w:rPr>
          <w:color w:val="000000"/>
          <w:sz w:val="22"/>
          <w:szCs w:val="22"/>
        </w:rPr>
      </w:pPr>
    </w:p>
    <w:p w14:paraId="03AA0A34" w14:textId="77777777" w:rsidR="003A33A6" w:rsidRPr="00B30A12" w:rsidRDefault="003A33A6" w:rsidP="0054140C">
      <w:pPr>
        <w:widowControl w:val="0"/>
        <w:rPr>
          <w:color w:val="000000"/>
          <w:sz w:val="22"/>
          <w:szCs w:val="22"/>
        </w:rPr>
      </w:pPr>
      <w:r w:rsidRPr="00B30A12">
        <w:rPr>
          <w:color w:val="000000"/>
          <w:sz w:val="22"/>
          <w:szCs w:val="22"/>
        </w:rPr>
        <w:t>In der Studie an Patienten mit nicht-resezierbaren und/oder metastasierten GIST wurde in 5,4% bzw. 0,7% der Fälle eine Grad 3- oder Grad 4-Anämie berich</w:t>
      </w:r>
      <w:r w:rsidRPr="00B30A12">
        <w:rPr>
          <w:color w:val="000000"/>
          <w:sz w:val="22"/>
          <w:szCs w:val="22"/>
        </w:rPr>
        <w:softHyphen/>
        <w:t>tet. Diese könnten zumindest bei einigen dieser Patienten mit gastrointestinalen oder intratumoralen Blutungen in Zusammenhang gestanden haben. Eine Grad 3- oder Grad 4-Neutropenie wurde bei 7,5% bzw. 2,7% der Patienten beobachtet und eine Grad 3-Thrombozytopenie bei 0,7% der Patienten. Kein Patient entwickelte eine Grad 4-Thrombozytopenie. Die Abnahme der weißen Blutkörperchen und der Neutrophilenzahl trat vor allem in den ersten 6 Wochen der Therapie auf. Danach blieben die Werte relativ stabil.</w:t>
      </w:r>
    </w:p>
    <w:p w14:paraId="2D561EF2" w14:textId="77777777" w:rsidR="003A33A6" w:rsidRPr="00B30A12" w:rsidRDefault="003A33A6" w:rsidP="0054140C">
      <w:pPr>
        <w:widowControl w:val="0"/>
        <w:rPr>
          <w:color w:val="000000"/>
          <w:sz w:val="22"/>
          <w:szCs w:val="22"/>
        </w:rPr>
      </w:pPr>
    </w:p>
    <w:p w14:paraId="5BEE0145" w14:textId="77777777" w:rsidR="003A33A6" w:rsidRPr="00B30A12" w:rsidRDefault="003A33A6" w:rsidP="00F35CB5">
      <w:pPr>
        <w:pStyle w:val="Heading6"/>
        <w:widowControl w:val="0"/>
        <w:numPr>
          <w:ilvl w:val="0"/>
          <w:numId w:val="0"/>
        </w:numPr>
        <w:tabs>
          <w:tab w:val="clear" w:pos="-720"/>
          <w:tab w:val="clear" w:pos="567"/>
          <w:tab w:val="clear" w:pos="4536"/>
        </w:tabs>
        <w:suppressAutoHyphens w:val="0"/>
        <w:spacing w:line="240" w:lineRule="auto"/>
        <w:rPr>
          <w:color w:val="000000"/>
          <w:szCs w:val="22"/>
          <w:lang w:val="de-DE"/>
        </w:rPr>
      </w:pPr>
      <w:r w:rsidRPr="00B30A12">
        <w:rPr>
          <w:color w:val="000000"/>
          <w:szCs w:val="22"/>
          <w:lang w:val="de-DE"/>
        </w:rPr>
        <w:t>Biochemie</w:t>
      </w:r>
    </w:p>
    <w:p w14:paraId="54B39D14" w14:textId="77777777" w:rsidR="003A33A6" w:rsidRPr="00B30A12" w:rsidRDefault="003A33A6" w:rsidP="0054140C">
      <w:pPr>
        <w:widowControl w:val="0"/>
        <w:rPr>
          <w:color w:val="000000"/>
          <w:sz w:val="22"/>
          <w:szCs w:val="22"/>
        </w:rPr>
      </w:pPr>
      <w:r w:rsidRPr="00B30A12">
        <w:rPr>
          <w:color w:val="000000"/>
          <w:sz w:val="22"/>
          <w:szCs w:val="22"/>
        </w:rPr>
        <w:t>Bei CML-Patienten traten deutliche Erhöhungen der Transaminasen (&lt; 5%) und des Bilirubin auf (&lt; 1%). Diese waren in der Regel durch eine Dosisreduktion oder Behandlungspause beherrschbar (die mediane Dauer dieser Episoden betrug etwa eine Woche). Bei weniger als 1% der CML-Patienten musste die Behandlung wegen Veränderungen der Leberwerte dauerhaft abgebrochen werden. Bei GIST-Patienten (Studie B2222) wurde in 6,8% der Fälle eine ALAT-Erhöhung (Alaninaminotransferase) Grad 3 oder 4 und in 4,8% der Fälle eine ASAT-Erhöhung (Aspartataminotransferase) Grad 3 oder 4 beobachtet. Bilirubinerhöhungen traten bei weniger als 3% der Fälle auf.</w:t>
      </w:r>
    </w:p>
    <w:p w14:paraId="099DE4BB" w14:textId="77777777" w:rsidR="003A33A6" w:rsidRPr="00B30A12" w:rsidRDefault="003A33A6" w:rsidP="0054140C">
      <w:pPr>
        <w:widowControl w:val="0"/>
        <w:rPr>
          <w:color w:val="000000"/>
          <w:sz w:val="22"/>
          <w:szCs w:val="22"/>
        </w:rPr>
      </w:pPr>
    </w:p>
    <w:p w14:paraId="095C92F5" w14:textId="77777777" w:rsidR="003A33A6" w:rsidRPr="00B30A12" w:rsidRDefault="003A33A6" w:rsidP="0054140C">
      <w:pPr>
        <w:widowControl w:val="0"/>
        <w:rPr>
          <w:color w:val="000000"/>
          <w:sz w:val="22"/>
          <w:szCs w:val="22"/>
        </w:rPr>
      </w:pPr>
      <w:r w:rsidRPr="00B30A12">
        <w:rPr>
          <w:color w:val="000000"/>
          <w:sz w:val="22"/>
          <w:szCs w:val="22"/>
        </w:rPr>
        <w:t>Es wurden Fälle von zytolytischer und cholestatischer Hepatitis und Leberversagen berichtet; einige dieser Fälle endeten tödlich, einschließlich eines Patienten, der eine hohe Dosis Paracetamol eingenommen hatte.</w:t>
      </w:r>
    </w:p>
    <w:p w14:paraId="3F7E7D3F" w14:textId="77777777" w:rsidR="003A33A6" w:rsidRPr="00B30A12" w:rsidRDefault="003A33A6" w:rsidP="0054140C">
      <w:pPr>
        <w:widowControl w:val="0"/>
        <w:tabs>
          <w:tab w:val="left" w:pos="720"/>
        </w:tabs>
        <w:rPr>
          <w:noProof/>
          <w:color w:val="000000"/>
          <w:sz w:val="22"/>
          <w:szCs w:val="22"/>
        </w:rPr>
      </w:pPr>
    </w:p>
    <w:p w14:paraId="7297B539" w14:textId="77777777" w:rsidR="00AD39CC" w:rsidRPr="00B30A12" w:rsidRDefault="00AD39CC" w:rsidP="00F35CB5">
      <w:pPr>
        <w:keepNext/>
        <w:widowControl w:val="0"/>
        <w:rPr>
          <w:color w:val="000000"/>
          <w:sz w:val="22"/>
          <w:szCs w:val="22"/>
          <w:u w:val="single"/>
        </w:rPr>
      </w:pPr>
      <w:r w:rsidRPr="00B30A12">
        <w:rPr>
          <w:color w:val="000000"/>
          <w:sz w:val="22"/>
          <w:szCs w:val="22"/>
          <w:u w:val="single"/>
        </w:rPr>
        <w:t>Beschreibung ausgewählter Nebenwirkungen</w:t>
      </w:r>
    </w:p>
    <w:p w14:paraId="411035A8" w14:textId="77777777" w:rsidR="00AD39CC" w:rsidRPr="00B30A12" w:rsidRDefault="00AD39CC" w:rsidP="00F35CB5">
      <w:pPr>
        <w:keepNext/>
        <w:widowControl w:val="0"/>
        <w:rPr>
          <w:i/>
          <w:color w:val="000000"/>
          <w:sz w:val="22"/>
          <w:szCs w:val="22"/>
          <w:u w:val="single"/>
        </w:rPr>
      </w:pPr>
      <w:r w:rsidRPr="00B30A12">
        <w:rPr>
          <w:i/>
          <w:color w:val="000000"/>
          <w:sz w:val="22"/>
          <w:szCs w:val="22"/>
          <w:u w:val="single"/>
        </w:rPr>
        <w:t>Hepatitis-B-Reaktivierung</w:t>
      </w:r>
    </w:p>
    <w:p w14:paraId="25E741E1" w14:textId="77777777" w:rsidR="00AD39CC" w:rsidRPr="00B30A12" w:rsidRDefault="00AD39CC" w:rsidP="0054140C">
      <w:pPr>
        <w:widowControl w:val="0"/>
        <w:rPr>
          <w:color w:val="000000"/>
          <w:sz w:val="22"/>
          <w:szCs w:val="22"/>
        </w:rPr>
      </w:pPr>
      <w:r w:rsidRPr="00B30A12">
        <w:rPr>
          <w:color w:val="000000"/>
          <w:sz w:val="22"/>
          <w:szCs w:val="22"/>
        </w:rPr>
        <w:t>In Zusammenhang mit BCR-ABL-Tyrosinkinase-Inhibitoren wurden Hepatitis-B-Reaktivierungen beobachtet. Einige Fälle führten zu akutem Leberversagen oder zu fulminanter Hepatitis, die eine Lebertransplantation notwendig machten oder zum Tod führten (siehe Abschnitt</w:t>
      </w:r>
      <w:r w:rsidR="00EB60E4" w:rsidRPr="00B30A12">
        <w:rPr>
          <w:color w:val="000000"/>
          <w:sz w:val="22"/>
          <w:szCs w:val="22"/>
        </w:rPr>
        <w:t> </w:t>
      </w:r>
      <w:r w:rsidRPr="00B30A12">
        <w:rPr>
          <w:color w:val="000000"/>
          <w:sz w:val="22"/>
          <w:szCs w:val="22"/>
        </w:rPr>
        <w:t>4.4).</w:t>
      </w:r>
    </w:p>
    <w:p w14:paraId="33D71208" w14:textId="77777777" w:rsidR="00AD39CC" w:rsidRPr="00B30A12" w:rsidRDefault="00AD39CC" w:rsidP="0054140C">
      <w:pPr>
        <w:widowControl w:val="0"/>
        <w:tabs>
          <w:tab w:val="left" w:pos="720"/>
        </w:tabs>
        <w:rPr>
          <w:noProof/>
          <w:color w:val="000000"/>
          <w:sz w:val="22"/>
          <w:szCs w:val="22"/>
        </w:rPr>
      </w:pPr>
    </w:p>
    <w:p w14:paraId="5CDB86B6" w14:textId="77777777" w:rsidR="003A33A6" w:rsidRPr="00B30A12" w:rsidRDefault="003A33A6" w:rsidP="00F35CB5">
      <w:pPr>
        <w:keepNext/>
        <w:widowControl w:val="0"/>
        <w:rPr>
          <w:sz w:val="22"/>
          <w:szCs w:val="22"/>
          <w:u w:val="single"/>
        </w:rPr>
      </w:pPr>
      <w:r w:rsidRPr="00B30A12">
        <w:rPr>
          <w:noProof/>
          <w:sz w:val="22"/>
          <w:szCs w:val="22"/>
          <w:u w:val="single"/>
        </w:rPr>
        <w:t>Meldung des Verdachts auf Nebenwirkungen</w:t>
      </w:r>
    </w:p>
    <w:p w14:paraId="6CCBCABB" w14:textId="77777777" w:rsidR="003A33A6" w:rsidRPr="00B30A12" w:rsidRDefault="003A33A6" w:rsidP="00DA7B0B">
      <w:pPr>
        <w:widowControl w:val="0"/>
        <w:rPr>
          <w:color w:val="000000"/>
          <w:sz w:val="22"/>
          <w:szCs w:val="22"/>
        </w:rPr>
      </w:pPr>
      <w:r w:rsidRPr="00B30A12">
        <w:rPr>
          <w:noProof/>
          <w:sz w:val="22"/>
          <w:szCs w:val="22"/>
        </w:rPr>
        <w:t>Die Meldung des Verdachts auf Nebenwirkungen nach der Zulassung ist von großer Wichtigkeit.</w:t>
      </w:r>
      <w:r w:rsidRPr="00B30A12">
        <w:rPr>
          <w:sz w:val="22"/>
          <w:szCs w:val="22"/>
        </w:rPr>
        <w:t xml:space="preserve"> </w:t>
      </w:r>
      <w:r w:rsidRPr="00B30A12">
        <w:rPr>
          <w:noProof/>
          <w:sz w:val="22"/>
          <w:szCs w:val="22"/>
        </w:rPr>
        <w:t>Sie ermöglicht eine kontinuierliche Überwachung des Nutzen-Risiko-Verhältnisses des Arzneimittels.</w:t>
      </w:r>
      <w:r w:rsidRPr="00B30A12">
        <w:rPr>
          <w:sz w:val="22"/>
          <w:szCs w:val="22"/>
        </w:rPr>
        <w:t xml:space="preserve"> Angehörige von Gesundheitsberufen</w:t>
      </w:r>
      <w:r w:rsidRPr="00B30A12">
        <w:rPr>
          <w:noProof/>
          <w:sz w:val="22"/>
          <w:szCs w:val="22"/>
        </w:rPr>
        <w:t xml:space="preserve"> sind aufgefordert, jeden Verdachtsfall einer Nebenwirkung über </w:t>
      </w:r>
      <w:r w:rsidRPr="00B30A12">
        <w:rPr>
          <w:noProof/>
          <w:sz w:val="22"/>
          <w:szCs w:val="22"/>
          <w:shd w:val="pct15" w:color="auto" w:fill="auto"/>
        </w:rPr>
        <w:t xml:space="preserve">das in </w:t>
      </w:r>
      <w:hyperlink r:id="rId15" w:history="1">
        <w:r w:rsidRPr="00B30A12">
          <w:rPr>
            <w:rStyle w:val="Hyperlink"/>
            <w:noProof/>
            <w:sz w:val="22"/>
            <w:szCs w:val="22"/>
            <w:shd w:val="pct15" w:color="auto" w:fill="auto"/>
          </w:rPr>
          <w:t>Anhang V</w:t>
        </w:r>
      </w:hyperlink>
      <w:r w:rsidRPr="00B30A12">
        <w:rPr>
          <w:noProof/>
          <w:sz w:val="22"/>
          <w:szCs w:val="22"/>
          <w:shd w:val="pct15" w:color="auto" w:fill="auto"/>
        </w:rPr>
        <w:t xml:space="preserve"> aufgeführte nationale Meldesystem</w:t>
      </w:r>
      <w:r w:rsidRPr="00B30A12">
        <w:rPr>
          <w:noProof/>
          <w:sz w:val="22"/>
          <w:szCs w:val="22"/>
        </w:rPr>
        <w:t xml:space="preserve"> anzuzeigen.</w:t>
      </w:r>
    </w:p>
    <w:p w14:paraId="612D673C" w14:textId="77777777" w:rsidR="003A33A6" w:rsidRPr="00B30A12" w:rsidRDefault="003A33A6" w:rsidP="0054140C">
      <w:pPr>
        <w:widowControl w:val="0"/>
        <w:rPr>
          <w:color w:val="000000"/>
          <w:sz w:val="22"/>
          <w:szCs w:val="22"/>
        </w:rPr>
      </w:pPr>
    </w:p>
    <w:p w14:paraId="25DE5A04" w14:textId="77777777" w:rsidR="003A33A6" w:rsidRPr="00B30A12" w:rsidRDefault="003A33A6" w:rsidP="00F35CB5">
      <w:pPr>
        <w:keepNext/>
        <w:widowControl w:val="0"/>
        <w:ind w:left="567" w:hanging="567"/>
        <w:rPr>
          <w:b/>
          <w:color w:val="000000"/>
          <w:sz w:val="22"/>
          <w:szCs w:val="22"/>
        </w:rPr>
      </w:pPr>
      <w:r w:rsidRPr="00B30A12">
        <w:rPr>
          <w:b/>
          <w:color w:val="000000"/>
          <w:sz w:val="22"/>
          <w:szCs w:val="22"/>
        </w:rPr>
        <w:t>4.9</w:t>
      </w:r>
      <w:r w:rsidRPr="00B30A12">
        <w:rPr>
          <w:b/>
          <w:color w:val="000000"/>
          <w:sz w:val="22"/>
          <w:szCs w:val="22"/>
        </w:rPr>
        <w:tab/>
        <w:t>Überdosierung</w:t>
      </w:r>
    </w:p>
    <w:p w14:paraId="5E301089" w14:textId="77777777" w:rsidR="003A33A6" w:rsidRPr="00B30A12" w:rsidRDefault="003A33A6" w:rsidP="00F35CB5">
      <w:pPr>
        <w:keepNext/>
        <w:widowControl w:val="0"/>
        <w:ind w:left="567" w:hanging="567"/>
        <w:rPr>
          <w:color w:val="000000"/>
          <w:sz w:val="22"/>
          <w:szCs w:val="22"/>
        </w:rPr>
      </w:pPr>
    </w:p>
    <w:p w14:paraId="74F743BD" w14:textId="77777777" w:rsidR="003A33A6" w:rsidRPr="00B30A12" w:rsidRDefault="003A33A6" w:rsidP="0054140C">
      <w:pPr>
        <w:widowControl w:val="0"/>
        <w:rPr>
          <w:color w:val="000000"/>
          <w:sz w:val="22"/>
          <w:szCs w:val="22"/>
        </w:rPr>
      </w:pPr>
      <w:r w:rsidRPr="00B30A12">
        <w:rPr>
          <w:color w:val="000000"/>
          <w:sz w:val="22"/>
          <w:szCs w:val="22"/>
        </w:rPr>
        <w:t>Die Erfahrung mit höheren Dosen als der empfohlenen therapeutischen Dosis ist begrenzt. Einzelne Fälle einer Glivec-Überdosierung wurden im Rahmen der Spontanerfassung und in der Literatur berichtet. Im Falle einer Überdosierung sollte der Patient überwacht und eine geeignete symptomatische Behandlung durchgeführt werden. Im Allgemeinen wurde der Ausgang dieser Fälle als „verbessert“ oder „wiederhergestellt“ berichtet. Folgende Ereignisse wurden für unterschiedliche Dosisbereiche berichtet:</w:t>
      </w:r>
    </w:p>
    <w:p w14:paraId="4CEEA00C" w14:textId="77777777" w:rsidR="003A33A6" w:rsidRPr="00B30A12" w:rsidRDefault="003A33A6" w:rsidP="0054140C">
      <w:pPr>
        <w:widowControl w:val="0"/>
        <w:rPr>
          <w:color w:val="000000"/>
          <w:sz w:val="22"/>
          <w:szCs w:val="22"/>
        </w:rPr>
      </w:pPr>
    </w:p>
    <w:p w14:paraId="797EC5E5" w14:textId="77777777" w:rsidR="003A33A6" w:rsidRPr="00B30A12" w:rsidRDefault="003A33A6" w:rsidP="00F35CB5">
      <w:pPr>
        <w:keepNext/>
        <w:widowControl w:val="0"/>
        <w:rPr>
          <w:i/>
          <w:color w:val="000000"/>
          <w:sz w:val="22"/>
          <w:szCs w:val="22"/>
        </w:rPr>
      </w:pPr>
      <w:r w:rsidRPr="00B30A12">
        <w:rPr>
          <w:i/>
          <w:color w:val="000000"/>
          <w:sz w:val="22"/>
          <w:szCs w:val="22"/>
        </w:rPr>
        <w:lastRenderedPageBreak/>
        <w:t>Erwachsene</w:t>
      </w:r>
    </w:p>
    <w:p w14:paraId="0F7AE4B8" w14:textId="77777777" w:rsidR="003A33A6" w:rsidRPr="00B30A12" w:rsidRDefault="003A33A6" w:rsidP="0054140C">
      <w:pPr>
        <w:widowControl w:val="0"/>
        <w:rPr>
          <w:color w:val="000000"/>
          <w:sz w:val="22"/>
          <w:szCs w:val="22"/>
        </w:rPr>
      </w:pPr>
      <w:r w:rsidRPr="00B30A12">
        <w:rPr>
          <w:color w:val="000000"/>
          <w:sz w:val="22"/>
          <w:szCs w:val="22"/>
        </w:rPr>
        <w:t>1200 bis 1600 mg (unterschiedliche Dauer zwischen 1 und 10 Tagen): Übelkeit, Erbrechen, Durchfall, Hautausschlag, Erythem, Ödem, Schwellung, Müdigkeit, Muskelkrämpfe, Thrombozytopenie, Panzytopenie, Abdominalschmerzen, Kopfschmerzen, verminderter Appetit.</w:t>
      </w:r>
    </w:p>
    <w:p w14:paraId="78A52A80" w14:textId="77777777" w:rsidR="003A33A6" w:rsidRPr="00B30A12" w:rsidRDefault="003A33A6" w:rsidP="0054140C">
      <w:pPr>
        <w:widowControl w:val="0"/>
        <w:rPr>
          <w:color w:val="000000"/>
          <w:sz w:val="22"/>
          <w:szCs w:val="22"/>
        </w:rPr>
      </w:pPr>
      <w:r w:rsidRPr="00B30A12">
        <w:rPr>
          <w:color w:val="000000"/>
          <w:sz w:val="22"/>
          <w:szCs w:val="22"/>
        </w:rPr>
        <w:t>1800 bis 3200 mg (bis maximal 3200 mg täglich über 6 Tage): Schwäche, Myalgie, erhöhte Kreatinphosphokinase, erhöhtes Bilirubin, gastrointestinale Schmerzen.</w:t>
      </w:r>
    </w:p>
    <w:p w14:paraId="735C7186" w14:textId="77777777" w:rsidR="003A33A6" w:rsidRPr="00B30A12" w:rsidRDefault="003A33A6" w:rsidP="0054140C">
      <w:pPr>
        <w:widowControl w:val="0"/>
        <w:rPr>
          <w:color w:val="000000"/>
          <w:sz w:val="22"/>
          <w:szCs w:val="22"/>
        </w:rPr>
      </w:pPr>
      <w:r w:rsidRPr="00B30A12">
        <w:rPr>
          <w:color w:val="000000"/>
          <w:sz w:val="22"/>
          <w:szCs w:val="22"/>
        </w:rPr>
        <w:t>6400 mg (Einzeldosis): In der Literatur wurde ein Fall eines Patienten berichtet, der Übelkeit, Erbrechen, Abdominalschmerzen, Fieber, Gesichtsschwellung, eine verminderte Zahl der Neutrophilen und erhöhte Transaminasen entwickelte.</w:t>
      </w:r>
    </w:p>
    <w:p w14:paraId="3C7C19CA" w14:textId="77777777" w:rsidR="003A33A6" w:rsidRPr="00B30A12" w:rsidRDefault="003A33A6" w:rsidP="0054140C">
      <w:pPr>
        <w:widowControl w:val="0"/>
        <w:rPr>
          <w:color w:val="000000"/>
          <w:sz w:val="22"/>
          <w:szCs w:val="22"/>
        </w:rPr>
      </w:pPr>
      <w:r w:rsidRPr="00B30A12">
        <w:rPr>
          <w:color w:val="000000"/>
          <w:sz w:val="22"/>
          <w:szCs w:val="22"/>
        </w:rPr>
        <w:t>8 bis 10 g (Einzeldosis): Erbrechen und abdominelle Schmerzen wurden berichtet.</w:t>
      </w:r>
    </w:p>
    <w:p w14:paraId="7FF63AD0" w14:textId="77777777" w:rsidR="003A33A6" w:rsidRPr="00B30A12" w:rsidRDefault="003A33A6" w:rsidP="0054140C">
      <w:pPr>
        <w:widowControl w:val="0"/>
        <w:rPr>
          <w:color w:val="000000"/>
          <w:sz w:val="22"/>
          <w:szCs w:val="22"/>
        </w:rPr>
      </w:pPr>
    </w:p>
    <w:p w14:paraId="243B3500" w14:textId="77777777" w:rsidR="003A33A6" w:rsidRPr="00B30A12" w:rsidRDefault="003A33A6" w:rsidP="00F35CB5">
      <w:pPr>
        <w:keepNext/>
        <w:widowControl w:val="0"/>
        <w:rPr>
          <w:i/>
          <w:color w:val="000000"/>
          <w:sz w:val="22"/>
          <w:szCs w:val="22"/>
        </w:rPr>
      </w:pPr>
      <w:r w:rsidRPr="00B30A12">
        <w:rPr>
          <w:i/>
          <w:color w:val="000000"/>
          <w:sz w:val="22"/>
          <w:szCs w:val="22"/>
        </w:rPr>
        <w:t>Kinder und Jugendliche</w:t>
      </w:r>
    </w:p>
    <w:p w14:paraId="0E6D0929" w14:textId="77777777" w:rsidR="003A33A6" w:rsidRPr="00B30A12" w:rsidRDefault="003A33A6" w:rsidP="0054140C">
      <w:pPr>
        <w:widowControl w:val="0"/>
        <w:rPr>
          <w:color w:val="000000"/>
          <w:sz w:val="22"/>
          <w:szCs w:val="22"/>
        </w:rPr>
      </w:pPr>
      <w:r w:rsidRPr="00B30A12">
        <w:rPr>
          <w:color w:val="000000"/>
          <w:sz w:val="22"/>
          <w:szCs w:val="22"/>
        </w:rPr>
        <w:t>Ein 3 Jahre alter Junge, der eine Einzeldosis von 400 mg erhalten hatte, entwickelte Erbrechen, Diarrhoe und Appetitlosigkeit, und ein weiterer 3 Jahre alter Junge, der eine Dosis von 980 mg erhalten hatte, entwickelte eine Abnahme der Leukozytenzahl und eine Diarrhoe.</w:t>
      </w:r>
    </w:p>
    <w:p w14:paraId="08051A4D" w14:textId="77777777" w:rsidR="003A33A6" w:rsidRPr="00B30A12" w:rsidRDefault="003A33A6" w:rsidP="0054140C">
      <w:pPr>
        <w:pStyle w:val="Header"/>
        <w:widowControl w:val="0"/>
        <w:tabs>
          <w:tab w:val="clear" w:pos="4320"/>
          <w:tab w:val="clear" w:pos="8640"/>
        </w:tabs>
        <w:rPr>
          <w:color w:val="000000"/>
          <w:szCs w:val="22"/>
        </w:rPr>
      </w:pPr>
    </w:p>
    <w:p w14:paraId="46CEBC7C" w14:textId="77777777" w:rsidR="003A33A6" w:rsidRPr="00B30A12" w:rsidRDefault="003A33A6" w:rsidP="0054140C">
      <w:pPr>
        <w:widowControl w:val="0"/>
        <w:rPr>
          <w:color w:val="000000"/>
          <w:sz w:val="22"/>
          <w:szCs w:val="22"/>
        </w:rPr>
      </w:pPr>
      <w:r w:rsidRPr="00B30A12">
        <w:rPr>
          <w:color w:val="000000"/>
          <w:sz w:val="22"/>
          <w:szCs w:val="22"/>
        </w:rPr>
        <w:t>Im Falle einer Überdosierung sollte der Patient überwacht und eine geeignete supportive Behandlung durchgeführt werden.</w:t>
      </w:r>
    </w:p>
    <w:p w14:paraId="0421C9F3" w14:textId="77777777" w:rsidR="003A33A6" w:rsidRPr="00B30A12" w:rsidRDefault="003A33A6" w:rsidP="0054140C">
      <w:pPr>
        <w:widowControl w:val="0"/>
        <w:rPr>
          <w:color w:val="000000"/>
          <w:sz w:val="22"/>
          <w:szCs w:val="22"/>
        </w:rPr>
      </w:pPr>
    </w:p>
    <w:p w14:paraId="1F4D2E25" w14:textId="77777777" w:rsidR="003A33A6" w:rsidRPr="00B30A12" w:rsidRDefault="003A33A6" w:rsidP="0054140C">
      <w:pPr>
        <w:widowControl w:val="0"/>
        <w:rPr>
          <w:color w:val="000000"/>
          <w:sz w:val="22"/>
          <w:szCs w:val="22"/>
        </w:rPr>
      </w:pPr>
    </w:p>
    <w:p w14:paraId="6EF00420" w14:textId="77777777" w:rsidR="003A33A6" w:rsidRPr="00B30A12" w:rsidRDefault="003A33A6" w:rsidP="00F35CB5">
      <w:pPr>
        <w:keepNext/>
        <w:widowControl w:val="0"/>
        <w:ind w:left="567" w:hanging="567"/>
        <w:rPr>
          <w:color w:val="000000"/>
          <w:sz w:val="22"/>
          <w:szCs w:val="22"/>
        </w:rPr>
      </w:pPr>
      <w:r w:rsidRPr="00B30A12">
        <w:rPr>
          <w:b/>
          <w:color w:val="000000"/>
          <w:sz w:val="22"/>
          <w:szCs w:val="22"/>
        </w:rPr>
        <w:t>5.</w:t>
      </w:r>
      <w:r w:rsidRPr="00B30A12">
        <w:rPr>
          <w:b/>
          <w:color w:val="000000"/>
          <w:sz w:val="22"/>
          <w:szCs w:val="22"/>
        </w:rPr>
        <w:tab/>
        <w:t>PHARMAKOLOGISCHE EIGENSCHAFTEN</w:t>
      </w:r>
    </w:p>
    <w:p w14:paraId="08DB32CB" w14:textId="77777777" w:rsidR="003A33A6" w:rsidRPr="00B30A12" w:rsidRDefault="003A33A6" w:rsidP="00F35CB5">
      <w:pPr>
        <w:pStyle w:val="Header"/>
        <w:keepNext/>
        <w:widowControl w:val="0"/>
        <w:tabs>
          <w:tab w:val="clear" w:pos="4320"/>
          <w:tab w:val="clear" w:pos="8640"/>
        </w:tabs>
        <w:rPr>
          <w:color w:val="000000"/>
          <w:szCs w:val="22"/>
        </w:rPr>
      </w:pPr>
    </w:p>
    <w:p w14:paraId="5C385044" w14:textId="77777777" w:rsidR="003A33A6" w:rsidRPr="00B30A12" w:rsidRDefault="003A33A6" w:rsidP="00F35CB5">
      <w:pPr>
        <w:keepNext/>
        <w:widowControl w:val="0"/>
        <w:ind w:left="567" w:hanging="567"/>
        <w:rPr>
          <w:color w:val="000000"/>
          <w:sz w:val="22"/>
          <w:szCs w:val="22"/>
        </w:rPr>
      </w:pPr>
      <w:r w:rsidRPr="00B30A12">
        <w:rPr>
          <w:b/>
          <w:color w:val="000000"/>
          <w:sz w:val="22"/>
          <w:szCs w:val="22"/>
        </w:rPr>
        <w:t>5.1</w:t>
      </w:r>
      <w:r w:rsidRPr="00B30A12">
        <w:rPr>
          <w:b/>
          <w:color w:val="000000"/>
          <w:sz w:val="22"/>
          <w:szCs w:val="22"/>
        </w:rPr>
        <w:tab/>
        <w:t>Pharmakodynamische Eigenschaften</w:t>
      </w:r>
    </w:p>
    <w:p w14:paraId="776C1538" w14:textId="77777777" w:rsidR="003A33A6" w:rsidRPr="00B30A12" w:rsidRDefault="003A33A6" w:rsidP="00F35CB5">
      <w:pPr>
        <w:keepNext/>
        <w:widowControl w:val="0"/>
        <w:rPr>
          <w:color w:val="000000"/>
          <w:sz w:val="22"/>
          <w:szCs w:val="22"/>
        </w:rPr>
      </w:pPr>
    </w:p>
    <w:p w14:paraId="0877015B" w14:textId="77777777" w:rsidR="003A33A6" w:rsidRPr="00B30A12" w:rsidRDefault="003A33A6" w:rsidP="0054140C">
      <w:pPr>
        <w:widowControl w:val="0"/>
        <w:tabs>
          <w:tab w:val="left" w:pos="7088"/>
        </w:tabs>
        <w:rPr>
          <w:color w:val="000000"/>
          <w:sz w:val="22"/>
          <w:szCs w:val="22"/>
        </w:rPr>
      </w:pPr>
      <w:r w:rsidRPr="00B30A12">
        <w:rPr>
          <w:color w:val="000000"/>
          <w:sz w:val="22"/>
          <w:szCs w:val="22"/>
        </w:rPr>
        <w:t>Pharmakotherapeutische Gruppe: Proteinkinase-Inhibitor</w:t>
      </w:r>
      <w:r w:rsidR="005472ED" w:rsidRPr="00B30A12">
        <w:rPr>
          <w:color w:val="000000"/>
          <w:sz w:val="22"/>
          <w:szCs w:val="22"/>
        </w:rPr>
        <w:t>en</w:t>
      </w:r>
      <w:r w:rsidRPr="00B30A12">
        <w:rPr>
          <w:color w:val="000000"/>
          <w:sz w:val="22"/>
          <w:szCs w:val="22"/>
        </w:rPr>
        <w:t>, ATC-Code: L01XE01</w:t>
      </w:r>
    </w:p>
    <w:p w14:paraId="587BA4D9" w14:textId="77777777" w:rsidR="003A33A6" w:rsidRPr="00B30A12" w:rsidRDefault="003A33A6" w:rsidP="0054140C">
      <w:pPr>
        <w:widowControl w:val="0"/>
        <w:rPr>
          <w:color w:val="000000"/>
          <w:sz w:val="22"/>
          <w:szCs w:val="22"/>
        </w:rPr>
      </w:pPr>
    </w:p>
    <w:p w14:paraId="1A6FF9CB" w14:textId="77777777" w:rsidR="003A33A6" w:rsidRPr="00B30A12" w:rsidRDefault="003A33A6" w:rsidP="00F35CB5">
      <w:pPr>
        <w:keepNext/>
        <w:widowControl w:val="0"/>
        <w:rPr>
          <w:color w:val="000000"/>
          <w:sz w:val="22"/>
          <w:szCs w:val="22"/>
          <w:u w:val="single"/>
        </w:rPr>
      </w:pPr>
      <w:r w:rsidRPr="00B30A12">
        <w:rPr>
          <w:color w:val="000000"/>
          <w:sz w:val="22"/>
          <w:szCs w:val="22"/>
          <w:u w:val="single"/>
        </w:rPr>
        <w:t>Wirkmechanismus</w:t>
      </w:r>
    </w:p>
    <w:p w14:paraId="54CE95DF" w14:textId="77777777" w:rsidR="003A33A6" w:rsidRPr="00B30A12" w:rsidRDefault="003A33A6" w:rsidP="0054140C">
      <w:pPr>
        <w:widowControl w:val="0"/>
        <w:rPr>
          <w:color w:val="000000"/>
          <w:sz w:val="22"/>
          <w:szCs w:val="22"/>
        </w:rPr>
      </w:pPr>
      <w:r w:rsidRPr="00B30A12">
        <w:rPr>
          <w:color w:val="000000"/>
          <w:sz w:val="22"/>
          <w:szCs w:val="22"/>
        </w:rPr>
        <w:t>Imatinib ist ein niedermolekularer Protein-Tyrosinkinase-Inhibitor, der wirkungsvoll die Aktivität der Bcr-Abl-Tyrosinkinase (TK) sowie mehrere Rezeptor-TKs hemmt: Kit, der Rezeptor für den Stammzellfaktor (SCF), der durch das c-Kit-Proto-Onkogen kodiert wird, die Discoidin-Domain-Rezeptoren (DDR1 und DDR2), den Kolonie-stimulierenden Faktor-Rezeptor (CSF-1R) und den Blutplättchen-Wachstumsfaktor-Rezeptor alpha und beta (PDGFR-alpha und PDGFR-beta). Imatinib kann auch zelluläre Vorgänge inhibieren, die durch die Aktivierung dieser Rezeptorkinasen vermittelt werden.</w:t>
      </w:r>
    </w:p>
    <w:p w14:paraId="14585D89" w14:textId="77777777" w:rsidR="003A33A6" w:rsidRPr="00B30A12" w:rsidRDefault="003A33A6" w:rsidP="0054140C">
      <w:pPr>
        <w:widowControl w:val="0"/>
        <w:rPr>
          <w:color w:val="000000"/>
          <w:sz w:val="22"/>
          <w:szCs w:val="22"/>
        </w:rPr>
      </w:pPr>
    </w:p>
    <w:p w14:paraId="1D091C3A" w14:textId="77777777" w:rsidR="003A33A6" w:rsidRPr="00B30A12" w:rsidRDefault="003A33A6" w:rsidP="00F35CB5">
      <w:pPr>
        <w:keepNext/>
        <w:widowControl w:val="0"/>
        <w:rPr>
          <w:color w:val="000000"/>
          <w:sz w:val="22"/>
          <w:szCs w:val="22"/>
          <w:u w:val="single"/>
        </w:rPr>
      </w:pPr>
      <w:r w:rsidRPr="00B30A12">
        <w:rPr>
          <w:color w:val="000000"/>
          <w:sz w:val="22"/>
          <w:szCs w:val="22"/>
          <w:u w:val="single"/>
        </w:rPr>
        <w:t>Pharmakodynamische Wirkungen</w:t>
      </w:r>
    </w:p>
    <w:p w14:paraId="018C8D2E" w14:textId="77777777" w:rsidR="003A33A6" w:rsidRPr="00B30A12" w:rsidRDefault="003A33A6" w:rsidP="0054140C">
      <w:pPr>
        <w:widowControl w:val="0"/>
        <w:rPr>
          <w:color w:val="000000"/>
          <w:sz w:val="22"/>
          <w:szCs w:val="22"/>
        </w:rPr>
      </w:pPr>
      <w:r w:rsidRPr="00B30A12">
        <w:rPr>
          <w:color w:val="000000"/>
          <w:sz w:val="22"/>
          <w:szCs w:val="22"/>
        </w:rPr>
        <w:t xml:space="preserve">Imatinib ist ein Protein-Tyrosinkinase-Inhibitor, der die Tyrosinkinase-Aktivität von Bcr-Abl auf der zellulären Ebene </w:t>
      </w:r>
      <w:r w:rsidRPr="00B30A12">
        <w:rPr>
          <w:i/>
          <w:color w:val="000000"/>
          <w:sz w:val="22"/>
          <w:szCs w:val="22"/>
        </w:rPr>
        <w:t>in vitro</w:t>
      </w:r>
      <w:r w:rsidRPr="00B30A12">
        <w:rPr>
          <w:color w:val="000000"/>
          <w:sz w:val="22"/>
          <w:szCs w:val="22"/>
        </w:rPr>
        <w:t xml:space="preserve"> und </w:t>
      </w:r>
      <w:r w:rsidRPr="00B30A12">
        <w:rPr>
          <w:i/>
          <w:color w:val="000000"/>
          <w:sz w:val="22"/>
          <w:szCs w:val="22"/>
        </w:rPr>
        <w:t>in vivo</w:t>
      </w:r>
      <w:r w:rsidRPr="00B30A12">
        <w:rPr>
          <w:color w:val="000000"/>
          <w:sz w:val="22"/>
          <w:szCs w:val="22"/>
        </w:rPr>
        <w:t xml:space="preserve"> sehr stark hemmt. In Bcr-Abl-positiven Zelllinien und frischen Leukämiezellen von Patienten mit Philadelphia-Chromosom-positiver CML- oder akuter lymphatischer Leukämie (</w:t>
      </w:r>
      <w:smartTag w:uri="urn:schemas-microsoft-com:office:smarttags" w:element="stockticker">
        <w:r w:rsidRPr="00B30A12">
          <w:rPr>
            <w:color w:val="000000"/>
            <w:sz w:val="22"/>
            <w:szCs w:val="22"/>
          </w:rPr>
          <w:t>ALL</w:t>
        </w:r>
      </w:smartTag>
      <w:r w:rsidRPr="00B30A12">
        <w:rPr>
          <w:color w:val="000000"/>
          <w:sz w:val="22"/>
          <w:szCs w:val="22"/>
        </w:rPr>
        <w:t>) inhibiert der Wirkstoff selektiv die Proliferation und induziert die Apoptose.</w:t>
      </w:r>
    </w:p>
    <w:p w14:paraId="0810C25B" w14:textId="77777777" w:rsidR="003A33A6" w:rsidRPr="00B30A12" w:rsidRDefault="003A33A6" w:rsidP="0054140C">
      <w:pPr>
        <w:widowControl w:val="0"/>
        <w:rPr>
          <w:color w:val="000000"/>
          <w:sz w:val="22"/>
          <w:szCs w:val="22"/>
        </w:rPr>
      </w:pPr>
    </w:p>
    <w:p w14:paraId="05FCC9B9" w14:textId="77777777" w:rsidR="003A33A6" w:rsidRPr="00B30A12" w:rsidRDefault="003A33A6" w:rsidP="0054140C">
      <w:pPr>
        <w:widowControl w:val="0"/>
        <w:rPr>
          <w:color w:val="000000"/>
          <w:sz w:val="22"/>
          <w:szCs w:val="22"/>
        </w:rPr>
      </w:pPr>
      <w:r w:rsidRPr="00B30A12">
        <w:rPr>
          <w:i/>
          <w:color w:val="000000"/>
          <w:sz w:val="22"/>
          <w:szCs w:val="22"/>
        </w:rPr>
        <w:t>In vivo</w:t>
      </w:r>
      <w:r w:rsidRPr="00B30A12">
        <w:rPr>
          <w:color w:val="000000"/>
          <w:sz w:val="22"/>
          <w:szCs w:val="22"/>
        </w:rPr>
        <w:t xml:space="preserve"> zeigt der Wirkstoff als Monotherapie in tierischen Modellsystemen unter Verwendung von Bcr-Abl-positiven Tumorzellen eine Anti-Tumoraktivität.</w:t>
      </w:r>
    </w:p>
    <w:p w14:paraId="4DD360B6" w14:textId="77777777" w:rsidR="003A33A6" w:rsidRPr="00B30A12" w:rsidRDefault="003A33A6" w:rsidP="0054140C">
      <w:pPr>
        <w:widowControl w:val="0"/>
        <w:rPr>
          <w:color w:val="000000"/>
          <w:sz w:val="22"/>
          <w:szCs w:val="22"/>
        </w:rPr>
      </w:pPr>
    </w:p>
    <w:p w14:paraId="4132058A"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 xml:space="preserve">Imatinib hemmt auch die Tyrosinkinase-Aktivität des PDGF-Rezeptors (platelet-derived growth factor, PDGF) und des Rezeptors für Stammzellfaktor (stem cell factor, SCF), c-Kit, und inhibiert PDGF- und SCF-vermittelte zelluläre Reaktionen. </w:t>
      </w:r>
      <w:r w:rsidRPr="00B30A12">
        <w:rPr>
          <w:rFonts w:ascii="Times New Roman" w:hAnsi="Times New Roman"/>
          <w:i/>
          <w:color w:val="000000"/>
          <w:szCs w:val="22"/>
        </w:rPr>
        <w:t xml:space="preserve">In vitro </w:t>
      </w:r>
      <w:r w:rsidRPr="00B30A12">
        <w:rPr>
          <w:rFonts w:ascii="Times New Roman" w:hAnsi="Times New Roman"/>
          <w:color w:val="000000"/>
          <w:szCs w:val="22"/>
        </w:rPr>
        <w:t xml:space="preserve">hemmt Imatinib die Proliferation und induziert Apoptose von GIST-Zellen, die eine aktivierende </w:t>
      </w:r>
      <w:r w:rsidRPr="00B30A12">
        <w:rPr>
          <w:rFonts w:ascii="Times New Roman" w:hAnsi="Times New Roman"/>
          <w:i/>
          <w:color w:val="000000"/>
          <w:szCs w:val="22"/>
        </w:rPr>
        <w:t>Kit</w:t>
      </w:r>
      <w:r w:rsidRPr="00B30A12">
        <w:rPr>
          <w:rFonts w:ascii="Times New Roman" w:hAnsi="Times New Roman"/>
          <w:color w:val="000000"/>
          <w:szCs w:val="22"/>
        </w:rPr>
        <w:t xml:space="preserve">-Mutation aufweisen. Die konstitutive Aktivierung des PDGF-Rezeptors oder der Abl-Protein-Tyrosinkinasen als Folge der Fusion mit verschiedenen Partnerproteinen oder die konstitutive Produktion von PDGF wurden mit der Pathogenese von </w:t>
      </w:r>
      <w:smartTag w:uri="urn:schemas-microsoft-com:office:smarttags" w:element="stockticker">
        <w:r w:rsidRPr="00B30A12">
          <w:rPr>
            <w:rFonts w:ascii="Times New Roman" w:hAnsi="Times New Roman"/>
            <w:color w:val="000000"/>
            <w:szCs w:val="22"/>
          </w:rPr>
          <w:t>MDS</w:t>
        </w:r>
      </w:smartTag>
      <w:r w:rsidRPr="00B30A12">
        <w:rPr>
          <w:rFonts w:ascii="Times New Roman" w:hAnsi="Times New Roman"/>
          <w:color w:val="000000"/>
          <w:szCs w:val="22"/>
        </w:rPr>
        <w:t>/MPD, HES/</w:t>
      </w:r>
      <w:smartTag w:uri="urn:schemas-microsoft-com:office:smarttags" w:element="stockticker">
        <w:r w:rsidRPr="00B30A12">
          <w:rPr>
            <w:rFonts w:ascii="Times New Roman" w:hAnsi="Times New Roman"/>
            <w:color w:val="000000"/>
            <w:szCs w:val="22"/>
          </w:rPr>
          <w:t>CEL</w:t>
        </w:r>
      </w:smartTag>
      <w:r w:rsidRPr="00B30A12">
        <w:rPr>
          <w:rFonts w:ascii="Times New Roman" w:hAnsi="Times New Roman"/>
          <w:color w:val="000000"/>
          <w:szCs w:val="22"/>
        </w:rPr>
        <w:t xml:space="preserve"> und DFSP in Verbindung gebracht. Imatinib verhindert die durch Dysregulation des PDGF-Rezeptors und durch die Abl-Kinase-Aktivität gesteuerte Signalübertragung und Proliferation von Zellen.</w:t>
      </w:r>
    </w:p>
    <w:p w14:paraId="370B5201" w14:textId="77777777" w:rsidR="003A33A6" w:rsidRPr="00B30A12" w:rsidRDefault="003A33A6" w:rsidP="0054140C">
      <w:pPr>
        <w:widowControl w:val="0"/>
        <w:rPr>
          <w:color w:val="000000"/>
          <w:sz w:val="22"/>
          <w:szCs w:val="22"/>
        </w:rPr>
      </w:pPr>
    </w:p>
    <w:p w14:paraId="4855C628" w14:textId="77777777" w:rsidR="003A33A6" w:rsidRPr="00B30A12" w:rsidRDefault="003A33A6" w:rsidP="00F35CB5">
      <w:pPr>
        <w:pStyle w:val="Heading7"/>
        <w:widowControl w:val="0"/>
        <w:numPr>
          <w:ilvl w:val="0"/>
          <w:numId w:val="0"/>
        </w:numPr>
        <w:tabs>
          <w:tab w:val="clear" w:pos="-720"/>
          <w:tab w:val="clear" w:pos="567"/>
          <w:tab w:val="clear" w:pos="4536"/>
        </w:tabs>
        <w:suppressAutoHyphens w:val="0"/>
        <w:spacing w:line="240" w:lineRule="auto"/>
        <w:jc w:val="left"/>
        <w:rPr>
          <w:i w:val="0"/>
          <w:color w:val="000000"/>
          <w:szCs w:val="22"/>
          <w:u w:val="single"/>
          <w:lang w:val="de-DE"/>
        </w:rPr>
      </w:pPr>
      <w:r w:rsidRPr="00B30A12">
        <w:rPr>
          <w:i w:val="0"/>
          <w:color w:val="000000"/>
          <w:szCs w:val="22"/>
          <w:u w:val="single"/>
          <w:lang w:val="de-DE"/>
        </w:rPr>
        <w:lastRenderedPageBreak/>
        <w:t>Klinische Studien bei CML</w:t>
      </w:r>
    </w:p>
    <w:p w14:paraId="1D9FC58C"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Die Wirksamkeit von Glivec basiert auf den hämatologischen und zytogenetischen Gesamtansprechra</w:t>
      </w:r>
      <w:r w:rsidRPr="00B30A12">
        <w:rPr>
          <w:rFonts w:ascii="Times New Roman" w:hAnsi="Times New Roman"/>
          <w:color w:val="000000"/>
          <w:szCs w:val="22"/>
        </w:rPr>
        <w:softHyphen/>
        <w:t>ten und dem progressionsfreien Überleben. Außer bei neu diagnostizierter CML in der chronischen Phase liegen keine kontrollierten Studien vor, die einen klinischen Vorteil wie eine Verbesserung der Krankheitssymptomatik oder ein verlängertes Überleben belegen.</w:t>
      </w:r>
    </w:p>
    <w:p w14:paraId="156A5D9C" w14:textId="77777777" w:rsidR="003A33A6" w:rsidRPr="00B30A12" w:rsidRDefault="003A33A6" w:rsidP="0054140C">
      <w:pPr>
        <w:widowControl w:val="0"/>
        <w:rPr>
          <w:color w:val="000000"/>
          <w:sz w:val="22"/>
          <w:szCs w:val="22"/>
        </w:rPr>
      </w:pPr>
    </w:p>
    <w:p w14:paraId="2C95E3AB" w14:textId="77777777" w:rsidR="003A33A6" w:rsidRPr="00B30A12" w:rsidRDefault="003A33A6" w:rsidP="0054140C">
      <w:pPr>
        <w:widowControl w:val="0"/>
        <w:rPr>
          <w:color w:val="000000"/>
          <w:sz w:val="22"/>
          <w:szCs w:val="22"/>
        </w:rPr>
      </w:pPr>
      <w:r w:rsidRPr="00B30A12">
        <w:rPr>
          <w:color w:val="000000"/>
          <w:sz w:val="22"/>
          <w:szCs w:val="22"/>
        </w:rPr>
        <w:t>Drei große internationale, offene und nicht kontrollierte klinische Phase-II-Studien wurden bei Patienten mit Philadelphia-Chromosom-positiver (Ph</w:t>
      </w:r>
      <w:r w:rsidRPr="00B30A12">
        <w:rPr>
          <w:color w:val="000000"/>
          <w:sz w:val="22"/>
          <w:szCs w:val="22"/>
          <w:vertAlign w:val="superscript"/>
        </w:rPr>
        <w:t>+</w:t>
      </w:r>
      <w:r w:rsidRPr="00B30A12">
        <w:rPr>
          <w:color w:val="000000"/>
          <w:sz w:val="22"/>
          <w:szCs w:val="22"/>
        </w:rPr>
        <w:t>) CML im fortgeschrittenen Stadium, d. h. in der Blastenkrise und in der akzelerierten Phase, sowie bei Patienten mit anderen Ph</w:t>
      </w:r>
      <w:r w:rsidRPr="00B30A12">
        <w:rPr>
          <w:color w:val="000000"/>
          <w:sz w:val="22"/>
          <w:szCs w:val="22"/>
          <w:vertAlign w:val="superscript"/>
        </w:rPr>
        <w:t>+</w:t>
      </w:r>
      <w:r w:rsidRPr="00B30A12">
        <w:rPr>
          <w:color w:val="000000"/>
          <w:sz w:val="22"/>
          <w:szCs w:val="22"/>
        </w:rPr>
        <w:t>-Leukämien oder bei Patienten mit einer CML in der chronischen Phase durchgeführt, bei denen eine vorangegangene Interfe</w:t>
      </w:r>
      <w:r w:rsidRPr="00B30A12">
        <w:rPr>
          <w:color w:val="000000"/>
          <w:sz w:val="22"/>
          <w:szCs w:val="22"/>
        </w:rPr>
        <w:softHyphen/>
        <w:t>ron-alpha(IFN)-Therapie versagte. Eine große offene, multizentrische, internationale, randomisierte Phase-</w:t>
      </w:r>
      <w:smartTag w:uri="urn:schemas-microsoft-com:office:smarttags" w:element="stockticker">
        <w:r w:rsidRPr="00B30A12">
          <w:rPr>
            <w:color w:val="000000"/>
            <w:sz w:val="22"/>
            <w:szCs w:val="22"/>
          </w:rPr>
          <w:t>III</w:t>
        </w:r>
      </w:smartTag>
      <w:r w:rsidRPr="00B30A12">
        <w:rPr>
          <w:color w:val="000000"/>
          <w:sz w:val="22"/>
          <w:szCs w:val="22"/>
        </w:rPr>
        <w:t>-Studie wurde bei Patienten mit neu diagnostizierter Ph+-CML durchgeführt. Darüber hinaus wurden Kinder in zwei Phase-I-Studien und einer Phase II-Studie behandelt.</w:t>
      </w:r>
    </w:p>
    <w:p w14:paraId="0D4BE13B" w14:textId="77777777" w:rsidR="003A33A6" w:rsidRPr="00B30A12" w:rsidRDefault="003A33A6" w:rsidP="0054140C">
      <w:pPr>
        <w:widowControl w:val="0"/>
        <w:rPr>
          <w:color w:val="000000"/>
          <w:sz w:val="22"/>
          <w:szCs w:val="22"/>
        </w:rPr>
      </w:pPr>
    </w:p>
    <w:p w14:paraId="330C3A33" w14:textId="77777777" w:rsidR="003A33A6" w:rsidRPr="00B30A12" w:rsidRDefault="003A33A6" w:rsidP="0054140C">
      <w:pPr>
        <w:widowControl w:val="0"/>
        <w:rPr>
          <w:color w:val="000000"/>
          <w:sz w:val="22"/>
          <w:szCs w:val="22"/>
        </w:rPr>
      </w:pPr>
      <w:r w:rsidRPr="00B30A12">
        <w:rPr>
          <w:color w:val="000000"/>
          <w:sz w:val="22"/>
          <w:szCs w:val="22"/>
        </w:rPr>
        <w:t>In allen klinischen Studien waren 38–40% der Patienten ≥ 60 Jahre und 10–12% der Patienten ≥ 70 Jahre alt.</w:t>
      </w:r>
    </w:p>
    <w:p w14:paraId="77217EFB" w14:textId="77777777" w:rsidR="003A33A6" w:rsidRPr="00B30A12" w:rsidRDefault="003A33A6" w:rsidP="0054140C">
      <w:pPr>
        <w:widowControl w:val="0"/>
        <w:rPr>
          <w:color w:val="000000"/>
          <w:sz w:val="22"/>
          <w:szCs w:val="22"/>
        </w:rPr>
      </w:pPr>
    </w:p>
    <w:p w14:paraId="5B1155D3" w14:textId="77777777" w:rsidR="003A33A6" w:rsidRPr="00B30A12" w:rsidRDefault="003A33A6" w:rsidP="0054140C">
      <w:pPr>
        <w:widowControl w:val="0"/>
        <w:rPr>
          <w:color w:val="000000"/>
          <w:sz w:val="22"/>
          <w:szCs w:val="22"/>
        </w:rPr>
      </w:pPr>
      <w:r w:rsidRPr="00B30A12">
        <w:rPr>
          <w:i/>
          <w:color w:val="000000"/>
          <w:sz w:val="22"/>
          <w:szCs w:val="22"/>
        </w:rPr>
        <w:t xml:space="preserve">Chronische Phase, neu diagnostiziert: </w:t>
      </w:r>
      <w:r w:rsidRPr="00B30A12">
        <w:rPr>
          <w:color w:val="000000"/>
          <w:sz w:val="22"/>
          <w:szCs w:val="22"/>
        </w:rPr>
        <w:t>Diese Phase-</w:t>
      </w:r>
      <w:smartTag w:uri="urn:schemas-microsoft-com:office:smarttags" w:element="stockticker">
        <w:r w:rsidRPr="00B30A12">
          <w:rPr>
            <w:color w:val="000000"/>
            <w:sz w:val="22"/>
            <w:szCs w:val="22"/>
          </w:rPr>
          <w:t>III</w:t>
        </w:r>
      </w:smartTag>
      <w:r w:rsidRPr="00B30A12">
        <w:rPr>
          <w:color w:val="000000"/>
          <w:sz w:val="22"/>
          <w:szCs w:val="22"/>
        </w:rPr>
        <w:t>-Studie an Erwachsenen verglich die Behandlung von Glivec allein</w:t>
      </w:r>
      <w:r w:rsidRPr="00B30A12">
        <w:rPr>
          <w:i/>
          <w:color w:val="000000"/>
          <w:sz w:val="22"/>
          <w:szCs w:val="22"/>
        </w:rPr>
        <w:t xml:space="preserve"> </w:t>
      </w:r>
      <w:r w:rsidRPr="00B30A12">
        <w:rPr>
          <w:color w:val="000000"/>
          <w:sz w:val="22"/>
          <w:szCs w:val="22"/>
        </w:rPr>
        <w:t>mit der Kombination aus Interferon-alpha (IFN) plus Cytarabin (Ara-C). Patienten, die keine Remission (keine komplette hämatologische Remission [</w:t>
      </w:r>
      <w:smartTag w:uri="urn:schemas-microsoft-com:office:smarttags" w:element="stockticker">
        <w:r w:rsidRPr="00B30A12">
          <w:rPr>
            <w:color w:val="000000"/>
            <w:sz w:val="22"/>
            <w:szCs w:val="22"/>
          </w:rPr>
          <w:t>CHR</w:t>
        </w:r>
      </w:smartTag>
      <w:r w:rsidRPr="00B30A12">
        <w:rPr>
          <w:color w:val="000000"/>
          <w:sz w:val="22"/>
          <w:szCs w:val="22"/>
        </w:rPr>
        <w:t>] nach 6 Monaten, erhöhte Leukozyten</w:t>
      </w:r>
      <w:r w:rsidRPr="00B30A12">
        <w:rPr>
          <w:color w:val="000000"/>
          <w:sz w:val="22"/>
          <w:szCs w:val="22"/>
        </w:rPr>
        <w:softHyphen/>
        <w:t xml:space="preserve">zahl [WBC], keine gute zytogenetische Remission [MCyR] nach 24 Monaten), Verlust der Remission (Verlust </w:t>
      </w:r>
      <w:smartTag w:uri="urn:schemas-microsoft-com:office:smarttags" w:element="stockticker">
        <w:r w:rsidRPr="00B30A12">
          <w:rPr>
            <w:color w:val="000000"/>
            <w:sz w:val="22"/>
            <w:szCs w:val="22"/>
          </w:rPr>
          <w:t>CHR</w:t>
        </w:r>
      </w:smartTag>
      <w:r w:rsidRPr="00B30A12">
        <w:rPr>
          <w:color w:val="000000"/>
          <w:sz w:val="22"/>
          <w:szCs w:val="22"/>
        </w:rPr>
        <w:t xml:space="preserve"> oder MCyR) oder schwere Unverträglichkeit gegenüber der Behandlung zeig</w:t>
      </w:r>
      <w:r w:rsidRPr="00B30A12">
        <w:rPr>
          <w:color w:val="000000"/>
          <w:sz w:val="22"/>
          <w:szCs w:val="22"/>
        </w:rPr>
        <w:softHyphen/>
        <w:t>ten, konnten in den alternativen Behandlungsarm wechseln. Im Glivec-Arm wurden die Patienten mit 400 mg täglich behandelt. Im IFN-Arm wurden die Patienten mit einer Zieldosierung von 5 Mio IU /m</w:t>
      </w:r>
      <w:r w:rsidRPr="00B30A12">
        <w:rPr>
          <w:color w:val="000000"/>
          <w:sz w:val="22"/>
          <w:szCs w:val="22"/>
          <w:vertAlign w:val="superscript"/>
        </w:rPr>
        <w:t>2</w:t>
      </w:r>
      <w:r w:rsidRPr="00B30A12">
        <w:rPr>
          <w:color w:val="000000"/>
          <w:sz w:val="22"/>
          <w:szCs w:val="22"/>
        </w:rPr>
        <w:t>/Tag subkutan verabreichtem IFN in Kombination mit subkutan verabreichtem Ara-C in einer Do</w:t>
      </w:r>
      <w:r w:rsidRPr="00B30A12">
        <w:rPr>
          <w:color w:val="000000"/>
          <w:sz w:val="22"/>
          <w:szCs w:val="22"/>
        </w:rPr>
        <w:softHyphen/>
        <w:t>sierung von 20 mg/m</w:t>
      </w:r>
      <w:r w:rsidRPr="00B30A12">
        <w:rPr>
          <w:color w:val="000000"/>
          <w:sz w:val="22"/>
          <w:szCs w:val="22"/>
          <w:vertAlign w:val="superscript"/>
        </w:rPr>
        <w:t>2</w:t>
      </w:r>
      <w:r w:rsidRPr="00B30A12">
        <w:rPr>
          <w:color w:val="000000"/>
          <w:sz w:val="22"/>
          <w:szCs w:val="22"/>
        </w:rPr>
        <w:t>/Tag über 10 Tage/Monat behandelt.</w:t>
      </w:r>
    </w:p>
    <w:p w14:paraId="43165632" w14:textId="77777777" w:rsidR="003A33A6" w:rsidRPr="00B30A12" w:rsidRDefault="003A33A6" w:rsidP="0054140C">
      <w:pPr>
        <w:widowControl w:val="0"/>
        <w:rPr>
          <w:color w:val="000000"/>
          <w:sz w:val="22"/>
          <w:szCs w:val="22"/>
        </w:rPr>
      </w:pPr>
    </w:p>
    <w:p w14:paraId="4AF58E23" w14:textId="77777777" w:rsidR="003A33A6" w:rsidRPr="00B30A12" w:rsidRDefault="003A33A6" w:rsidP="0054140C">
      <w:pPr>
        <w:widowControl w:val="0"/>
        <w:rPr>
          <w:color w:val="000000"/>
          <w:sz w:val="22"/>
          <w:szCs w:val="22"/>
        </w:rPr>
      </w:pPr>
      <w:r w:rsidRPr="00B30A12">
        <w:rPr>
          <w:color w:val="000000"/>
          <w:sz w:val="22"/>
          <w:szCs w:val="22"/>
        </w:rPr>
        <w:t xml:space="preserve">Insgesamt wurden 1.106 Patienten randomisiert, 553 in jeden Arm. Die beiden Arme waren hinsichtlich der Ausgangsprofile der Patienten gut ausbalanciert. Das Alter betrug im Median 51 Jahre (18–70 Jahre), wobei 21,9% </w:t>
      </w:r>
      <w:r w:rsidRPr="00B30A12">
        <w:rPr>
          <w:color w:val="000000"/>
          <w:sz w:val="22"/>
          <w:szCs w:val="22"/>
          <w:u w:val="single"/>
        </w:rPr>
        <w:t>&gt;</w:t>
      </w:r>
      <w:r w:rsidRPr="00B30A12">
        <w:rPr>
          <w:color w:val="000000"/>
          <w:sz w:val="22"/>
          <w:szCs w:val="22"/>
        </w:rPr>
        <w:t> 60 Jahre waren. 59% waren männlich und 41% weiblich; 89,9% waren Kaukasier und 4,7% Farbige. Sieben Jahre nach Einschluss des letzten Patienten betrug die mediane Dauer bei der First-Line-Therapie 82 Monate im Glivec-Arm bzw. 8 Monate im IFN-Arm. Die mediane Dauer bei der Second-Line-Therapie mit Glivec betrug 64 Monate. Bei Patienten unter First-line-Therapie mit Glivec lag die durchschnittlich verabreichte Tagesdosis insgesamt bei 406 ± 76 mg. Der primäre Wirksamkeitsendpunkt der Studie ist das progressi</w:t>
      </w:r>
      <w:r w:rsidRPr="00B30A12">
        <w:rPr>
          <w:color w:val="000000"/>
          <w:sz w:val="22"/>
          <w:szCs w:val="22"/>
        </w:rPr>
        <w:softHyphen/>
        <w:t xml:space="preserve">onsfreie Überleben. Progression wurde definiert als eines der folgenden Ereignisse: Progression in die akzelerierte Phase oder Blastenkrise, Tod, Verlust </w:t>
      </w:r>
      <w:smartTag w:uri="urn:schemas-microsoft-com:office:smarttags" w:element="stockticker">
        <w:r w:rsidRPr="00B30A12">
          <w:rPr>
            <w:color w:val="000000"/>
            <w:sz w:val="22"/>
            <w:szCs w:val="22"/>
          </w:rPr>
          <w:t>CHR</w:t>
        </w:r>
      </w:smartTag>
      <w:r w:rsidRPr="00B30A12">
        <w:rPr>
          <w:color w:val="000000"/>
          <w:sz w:val="22"/>
          <w:szCs w:val="22"/>
        </w:rPr>
        <w:t xml:space="preserve"> oder MCyR oder, bei Patienten, die keine </w:t>
      </w:r>
      <w:smartTag w:uri="urn:schemas-microsoft-com:office:smarttags" w:element="stockticker">
        <w:r w:rsidRPr="00B30A12">
          <w:rPr>
            <w:color w:val="000000"/>
            <w:sz w:val="22"/>
            <w:szCs w:val="22"/>
          </w:rPr>
          <w:t>CHR</w:t>
        </w:r>
      </w:smartTag>
      <w:r w:rsidRPr="00B30A12">
        <w:rPr>
          <w:color w:val="000000"/>
          <w:sz w:val="22"/>
          <w:szCs w:val="22"/>
        </w:rPr>
        <w:t xml:space="preserve"> erreichten, ein Anstieg der Leukozytenzahl trotz geeigneter therapeutischer Maßnahmen. Die wichtigsten sekundären Endpunkte sind gute zytogenetische Remission, hämatologische Remission, molekulare Remission (Ermittlung der minimalen residualen Erkrankung), Zeit bis zur akzelerierten Phase oder Blastenkrise und Überlebenszeit. Die Ansprechraten sind in Tabelle </w:t>
      </w:r>
      <w:r w:rsidR="00646EB3" w:rsidRPr="00B30A12">
        <w:rPr>
          <w:color w:val="000000"/>
          <w:sz w:val="22"/>
          <w:szCs w:val="22"/>
        </w:rPr>
        <w:t>2</w:t>
      </w:r>
      <w:r w:rsidRPr="00B30A12">
        <w:rPr>
          <w:color w:val="000000"/>
          <w:sz w:val="22"/>
          <w:szCs w:val="22"/>
        </w:rPr>
        <w:t xml:space="preserve"> dargestellt.</w:t>
      </w:r>
    </w:p>
    <w:p w14:paraId="495AA39D" w14:textId="77777777" w:rsidR="003A33A6" w:rsidRPr="00B30A12" w:rsidRDefault="003A33A6" w:rsidP="0054140C">
      <w:pPr>
        <w:widowControl w:val="0"/>
        <w:rPr>
          <w:color w:val="000000"/>
          <w:sz w:val="22"/>
          <w:szCs w:val="22"/>
        </w:rPr>
      </w:pPr>
    </w:p>
    <w:p w14:paraId="3543A224" w14:textId="77777777" w:rsidR="003A33A6" w:rsidRPr="00B30A12" w:rsidRDefault="003A33A6" w:rsidP="00DA7B0B">
      <w:pPr>
        <w:pStyle w:val="Heading2"/>
        <w:widowControl w:val="0"/>
        <w:numPr>
          <w:ilvl w:val="0"/>
          <w:numId w:val="0"/>
        </w:numPr>
        <w:tabs>
          <w:tab w:val="clear" w:pos="567"/>
          <w:tab w:val="left" w:pos="1134"/>
        </w:tabs>
        <w:rPr>
          <w:color w:val="000000"/>
          <w:szCs w:val="22"/>
        </w:rPr>
      </w:pPr>
      <w:r w:rsidRPr="00B30A12">
        <w:rPr>
          <w:color w:val="000000"/>
          <w:szCs w:val="22"/>
        </w:rPr>
        <w:lastRenderedPageBreak/>
        <w:t>Tabelle </w:t>
      </w:r>
      <w:r w:rsidR="00646EB3" w:rsidRPr="00B30A12">
        <w:rPr>
          <w:color w:val="000000"/>
          <w:szCs w:val="22"/>
        </w:rPr>
        <w:t>2</w:t>
      </w:r>
      <w:r w:rsidRPr="00B30A12">
        <w:rPr>
          <w:color w:val="000000"/>
          <w:szCs w:val="22"/>
        </w:rPr>
        <w:tab/>
        <w:t>Ansprechraten in der Studie mit neu diagnostizierter CML (84-Monatsdaten)</w:t>
      </w:r>
    </w:p>
    <w:p w14:paraId="7EB00C53" w14:textId="77777777" w:rsidR="003A33A6" w:rsidRPr="00B30A12" w:rsidRDefault="003A33A6" w:rsidP="00DA7B0B">
      <w:pPr>
        <w:keepNext/>
        <w:widowControl w:val="0"/>
        <w:rPr>
          <w:color w:val="000000"/>
          <w:sz w:val="22"/>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A33A6" w:rsidRPr="00B30A12" w14:paraId="05FEB159" w14:textId="77777777" w:rsidTr="00DA7B0B">
        <w:trPr>
          <w:cantSplit/>
        </w:trPr>
        <w:tc>
          <w:tcPr>
            <w:tcW w:w="3794" w:type="dxa"/>
            <w:tcBorders>
              <w:top w:val="single" w:sz="4" w:space="0" w:color="auto"/>
              <w:left w:val="single" w:sz="4" w:space="0" w:color="auto"/>
              <w:bottom w:val="nil"/>
            </w:tcBorders>
          </w:tcPr>
          <w:p w14:paraId="42D5D6C5" w14:textId="77777777" w:rsidR="003A33A6" w:rsidRPr="00B30A12" w:rsidRDefault="003A33A6" w:rsidP="00DA7B0B">
            <w:pPr>
              <w:pStyle w:val="Table"/>
              <w:keepLines w:val="0"/>
              <w:widowControl w:val="0"/>
              <w:spacing w:before="0" w:after="0"/>
              <w:rPr>
                <w:rFonts w:ascii="Times New Roman" w:hAnsi="Times New Roman"/>
                <w:color w:val="000000"/>
                <w:sz w:val="22"/>
                <w:szCs w:val="22"/>
                <w:lang w:val="de-DE"/>
              </w:rPr>
            </w:pPr>
          </w:p>
        </w:tc>
        <w:tc>
          <w:tcPr>
            <w:tcW w:w="2693" w:type="dxa"/>
            <w:tcBorders>
              <w:top w:val="single" w:sz="4" w:space="0" w:color="auto"/>
              <w:bottom w:val="nil"/>
            </w:tcBorders>
          </w:tcPr>
          <w:p w14:paraId="209D1EE8" w14:textId="77777777" w:rsidR="003A33A6" w:rsidRPr="00B30A12" w:rsidRDefault="003A33A6" w:rsidP="00DA7B0B">
            <w:pPr>
              <w:pStyle w:val="Table"/>
              <w:keepLines w:val="0"/>
              <w:widowControl w:val="0"/>
              <w:spacing w:before="0" w:after="0"/>
              <w:jc w:val="center"/>
              <w:rPr>
                <w:rFonts w:ascii="Times New Roman" w:hAnsi="Times New Roman"/>
                <w:b/>
                <w:color w:val="000000"/>
                <w:sz w:val="22"/>
                <w:szCs w:val="22"/>
              </w:rPr>
            </w:pPr>
            <w:r w:rsidRPr="00B30A12">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46B76DDE" w14:textId="77777777" w:rsidR="003A33A6" w:rsidRPr="00B30A12" w:rsidRDefault="003A33A6" w:rsidP="00DA7B0B">
            <w:pPr>
              <w:pStyle w:val="Table"/>
              <w:keepLines w:val="0"/>
              <w:widowControl w:val="0"/>
              <w:spacing w:before="0" w:after="0"/>
              <w:jc w:val="center"/>
              <w:rPr>
                <w:rFonts w:ascii="Times New Roman" w:hAnsi="Times New Roman"/>
                <w:b/>
                <w:color w:val="000000"/>
                <w:sz w:val="22"/>
                <w:szCs w:val="22"/>
              </w:rPr>
            </w:pPr>
            <w:r w:rsidRPr="00B30A12">
              <w:rPr>
                <w:rFonts w:ascii="Times New Roman" w:hAnsi="Times New Roman"/>
                <w:b/>
                <w:color w:val="000000"/>
                <w:sz w:val="22"/>
                <w:szCs w:val="22"/>
              </w:rPr>
              <w:t>IFN + Ara-C</w:t>
            </w:r>
          </w:p>
        </w:tc>
      </w:tr>
      <w:tr w:rsidR="003A33A6" w:rsidRPr="00B30A12" w14:paraId="47B66A7E" w14:textId="77777777" w:rsidTr="00DA7B0B">
        <w:trPr>
          <w:cantSplit/>
        </w:trPr>
        <w:tc>
          <w:tcPr>
            <w:tcW w:w="3794" w:type="dxa"/>
            <w:tcBorders>
              <w:top w:val="nil"/>
              <w:left w:val="single" w:sz="4" w:space="0" w:color="auto"/>
              <w:bottom w:val="single" w:sz="4" w:space="0" w:color="auto"/>
            </w:tcBorders>
          </w:tcPr>
          <w:p w14:paraId="16E652B1" w14:textId="77777777" w:rsidR="003A33A6" w:rsidRPr="00B30A12" w:rsidRDefault="003A33A6" w:rsidP="00DA7B0B">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rPr>
              <w:t>(Höchste Ansprechraten)</w:t>
            </w:r>
          </w:p>
        </w:tc>
        <w:tc>
          <w:tcPr>
            <w:tcW w:w="2693" w:type="dxa"/>
            <w:tcBorders>
              <w:top w:val="nil"/>
              <w:bottom w:val="single" w:sz="4" w:space="0" w:color="auto"/>
            </w:tcBorders>
          </w:tcPr>
          <w:p w14:paraId="1CFEFBFD"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7D15C869"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rPr>
              <w:t>n=553</w:t>
            </w:r>
          </w:p>
        </w:tc>
      </w:tr>
      <w:tr w:rsidR="003A33A6" w:rsidRPr="00B30A12" w14:paraId="410D56D2" w14:textId="77777777" w:rsidTr="00DA7B0B">
        <w:trPr>
          <w:cantSplit/>
        </w:trPr>
        <w:tc>
          <w:tcPr>
            <w:tcW w:w="3794" w:type="dxa"/>
            <w:tcBorders>
              <w:top w:val="nil"/>
              <w:left w:val="single" w:sz="4" w:space="0" w:color="auto"/>
            </w:tcBorders>
          </w:tcPr>
          <w:p w14:paraId="3C20317A" w14:textId="77777777" w:rsidR="003A33A6" w:rsidRPr="00B30A12" w:rsidRDefault="003A33A6" w:rsidP="00DA7B0B">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lang w:val="fr-FR"/>
              </w:rPr>
              <w:t>Hämatologische Remission</w:t>
            </w:r>
          </w:p>
        </w:tc>
        <w:tc>
          <w:tcPr>
            <w:tcW w:w="2693" w:type="dxa"/>
            <w:tcBorders>
              <w:top w:val="nil"/>
            </w:tcBorders>
          </w:tcPr>
          <w:p w14:paraId="3A16D6A9" w14:textId="77777777" w:rsidR="003A33A6" w:rsidRPr="00B30A12" w:rsidRDefault="003A33A6" w:rsidP="00DA7B0B">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1935D3DC" w14:textId="77777777" w:rsidR="003A33A6" w:rsidRPr="00B30A12" w:rsidRDefault="003A33A6" w:rsidP="00DA7B0B">
            <w:pPr>
              <w:pStyle w:val="Table"/>
              <w:keepLines w:val="0"/>
              <w:widowControl w:val="0"/>
              <w:spacing w:before="0" w:after="0"/>
              <w:jc w:val="center"/>
              <w:rPr>
                <w:rFonts w:ascii="Times New Roman" w:hAnsi="Times New Roman"/>
                <w:b/>
                <w:color w:val="000000"/>
                <w:sz w:val="22"/>
                <w:szCs w:val="22"/>
              </w:rPr>
            </w:pPr>
          </w:p>
        </w:tc>
      </w:tr>
      <w:tr w:rsidR="003A33A6" w:rsidRPr="00B30A12" w14:paraId="2F2D40BE" w14:textId="77777777" w:rsidTr="00DA7B0B">
        <w:trPr>
          <w:cantSplit/>
        </w:trPr>
        <w:tc>
          <w:tcPr>
            <w:tcW w:w="3794" w:type="dxa"/>
            <w:tcBorders>
              <w:top w:val="nil"/>
              <w:left w:val="single" w:sz="4" w:space="0" w:color="auto"/>
            </w:tcBorders>
          </w:tcPr>
          <w:p w14:paraId="37C87D19"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B30A12">
                <w:rPr>
                  <w:rFonts w:ascii="Times New Roman" w:hAnsi="Times New Roman"/>
                  <w:color w:val="000000"/>
                  <w:sz w:val="22"/>
                  <w:szCs w:val="22"/>
                  <w:lang w:val="fr-FR"/>
                </w:rPr>
                <w:t>CHR</w:t>
              </w:r>
            </w:smartTag>
            <w:r w:rsidRPr="00B30A12">
              <w:rPr>
                <w:rFonts w:ascii="Times New Roman" w:hAnsi="Times New Roman"/>
                <w:color w:val="000000"/>
                <w:sz w:val="22"/>
                <w:szCs w:val="22"/>
                <w:lang w:val="fr-FR"/>
              </w:rPr>
              <w:t xml:space="preserve"> n (%)</w:t>
            </w:r>
          </w:p>
        </w:tc>
        <w:tc>
          <w:tcPr>
            <w:tcW w:w="2693" w:type="dxa"/>
            <w:tcBorders>
              <w:top w:val="nil"/>
            </w:tcBorders>
          </w:tcPr>
          <w:p w14:paraId="2173F483"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534 (96,6%)*</w:t>
            </w:r>
          </w:p>
        </w:tc>
        <w:tc>
          <w:tcPr>
            <w:tcW w:w="2718" w:type="dxa"/>
            <w:tcBorders>
              <w:top w:val="nil"/>
              <w:right w:val="single" w:sz="4" w:space="0" w:color="auto"/>
            </w:tcBorders>
          </w:tcPr>
          <w:p w14:paraId="7878038D"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313 (56,6%)*</w:t>
            </w:r>
          </w:p>
        </w:tc>
      </w:tr>
      <w:tr w:rsidR="003A33A6" w:rsidRPr="00B30A12" w14:paraId="386EFCCB" w14:textId="77777777" w:rsidTr="00DA7B0B">
        <w:trPr>
          <w:cantSplit/>
        </w:trPr>
        <w:tc>
          <w:tcPr>
            <w:tcW w:w="3794" w:type="dxa"/>
            <w:tcBorders>
              <w:left w:val="single" w:sz="4" w:space="0" w:color="auto"/>
            </w:tcBorders>
          </w:tcPr>
          <w:p w14:paraId="76199110"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t>[95%</w:t>
            </w:r>
            <w:r w:rsidR="008B0DF4" w:rsidRPr="00B30A12">
              <w:rPr>
                <w:rFonts w:ascii="Times New Roman" w:hAnsi="Times New Roman"/>
                <w:color w:val="000000"/>
                <w:sz w:val="22"/>
                <w:szCs w:val="22"/>
              </w:rPr>
              <w:t>-KI</w:t>
            </w:r>
            <w:r w:rsidRPr="00B30A12">
              <w:rPr>
                <w:rFonts w:ascii="Times New Roman" w:hAnsi="Times New Roman"/>
                <w:color w:val="000000"/>
                <w:sz w:val="22"/>
                <w:szCs w:val="22"/>
              </w:rPr>
              <w:t>]</w:t>
            </w:r>
          </w:p>
        </w:tc>
        <w:tc>
          <w:tcPr>
            <w:tcW w:w="2693" w:type="dxa"/>
          </w:tcPr>
          <w:p w14:paraId="4DDEFD0F"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[94,7%, 97,9%]</w:t>
            </w:r>
          </w:p>
        </w:tc>
        <w:tc>
          <w:tcPr>
            <w:tcW w:w="2718" w:type="dxa"/>
            <w:tcBorders>
              <w:right w:val="single" w:sz="4" w:space="0" w:color="auto"/>
            </w:tcBorders>
          </w:tcPr>
          <w:p w14:paraId="7E9F182A"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[52,4%, 60,8%]</w:t>
            </w:r>
          </w:p>
        </w:tc>
      </w:tr>
      <w:tr w:rsidR="003A33A6" w:rsidRPr="00B30A12" w14:paraId="4FC85C99" w14:textId="77777777" w:rsidTr="00DA7B0B">
        <w:trPr>
          <w:cantSplit/>
        </w:trPr>
        <w:tc>
          <w:tcPr>
            <w:tcW w:w="3794" w:type="dxa"/>
            <w:tcBorders>
              <w:left w:val="single" w:sz="4" w:space="0" w:color="auto"/>
            </w:tcBorders>
          </w:tcPr>
          <w:p w14:paraId="14E4C334"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c>
          <w:tcPr>
            <w:tcW w:w="2693" w:type="dxa"/>
          </w:tcPr>
          <w:p w14:paraId="272151FF"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44536EA4"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r>
      <w:tr w:rsidR="003A33A6" w:rsidRPr="00B30A12" w14:paraId="32A0F78D" w14:textId="77777777" w:rsidTr="00DA7B0B">
        <w:trPr>
          <w:cantSplit/>
        </w:trPr>
        <w:tc>
          <w:tcPr>
            <w:tcW w:w="3794" w:type="dxa"/>
            <w:tcBorders>
              <w:left w:val="single" w:sz="4" w:space="0" w:color="auto"/>
            </w:tcBorders>
          </w:tcPr>
          <w:p w14:paraId="54953D50" w14:textId="77777777" w:rsidR="003A33A6" w:rsidRPr="00B30A12" w:rsidRDefault="003A33A6" w:rsidP="00DA7B0B">
            <w:pPr>
              <w:pStyle w:val="Table"/>
              <w:keepLines w:val="0"/>
              <w:widowControl w:val="0"/>
              <w:spacing w:before="0" w:after="0"/>
              <w:rPr>
                <w:rFonts w:ascii="Times New Roman" w:hAnsi="Times New Roman"/>
                <w:b/>
                <w:color w:val="000000"/>
                <w:sz w:val="22"/>
                <w:szCs w:val="22"/>
              </w:rPr>
            </w:pPr>
            <w:r w:rsidRPr="00B30A12">
              <w:rPr>
                <w:rFonts w:ascii="Times New Roman" w:hAnsi="Times New Roman"/>
                <w:b/>
                <w:color w:val="000000"/>
                <w:sz w:val="22"/>
                <w:szCs w:val="22"/>
              </w:rPr>
              <w:t>Zytogenetische Remission</w:t>
            </w:r>
          </w:p>
        </w:tc>
        <w:tc>
          <w:tcPr>
            <w:tcW w:w="2693" w:type="dxa"/>
          </w:tcPr>
          <w:p w14:paraId="7C5DF6D5" w14:textId="77777777" w:rsidR="003A33A6" w:rsidRPr="00B30A12" w:rsidRDefault="003A33A6" w:rsidP="00DA7B0B">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3BD3423D" w14:textId="77777777" w:rsidR="003A33A6" w:rsidRPr="00B30A12" w:rsidRDefault="003A33A6" w:rsidP="00DA7B0B">
            <w:pPr>
              <w:pStyle w:val="Table"/>
              <w:keepLines w:val="0"/>
              <w:widowControl w:val="0"/>
              <w:spacing w:before="0" w:after="0"/>
              <w:rPr>
                <w:rFonts w:ascii="Times New Roman" w:hAnsi="Times New Roman"/>
                <w:b/>
                <w:color w:val="000000"/>
                <w:sz w:val="22"/>
                <w:szCs w:val="22"/>
              </w:rPr>
            </w:pPr>
          </w:p>
        </w:tc>
      </w:tr>
      <w:tr w:rsidR="003A33A6" w:rsidRPr="00B30A12" w14:paraId="11C1BA7D" w14:textId="77777777" w:rsidTr="00DA7B0B">
        <w:trPr>
          <w:cantSplit/>
        </w:trPr>
        <w:tc>
          <w:tcPr>
            <w:tcW w:w="3794" w:type="dxa"/>
            <w:tcBorders>
              <w:left w:val="single" w:sz="4" w:space="0" w:color="auto"/>
            </w:tcBorders>
          </w:tcPr>
          <w:p w14:paraId="6445AA72"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CyR n (%)</w:t>
            </w:r>
          </w:p>
        </w:tc>
        <w:tc>
          <w:tcPr>
            <w:tcW w:w="2693" w:type="dxa"/>
          </w:tcPr>
          <w:p w14:paraId="5FA8C987"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490 (88,6%)*</w:t>
            </w:r>
          </w:p>
        </w:tc>
        <w:tc>
          <w:tcPr>
            <w:tcW w:w="2718" w:type="dxa"/>
            <w:tcBorders>
              <w:right w:val="single" w:sz="4" w:space="0" w:color="auto"/>
            </w:tcBorders>
          </w:tcPr>
          <w:p w14:paraId="69483262"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129 (23,3%)*</w:t>
            </w:r>
          </w:p>
        </w:tc>
      </w:tr>
      <w:tr w:rsidR="003A33A6" w:rsidRPr="00B30A12" w14:paraId="3C5959A3" w14:textId="77777777" w:rsidTr="00DA7B0B">
        <w:trPr>
          <w:cantSplit/>
        </w:trPr>
        <w:tc>
          <w:tcPr>
            <w:tcW w:w="3794" w:type="dxa"/>
            <w:tcBorders>
              <w:left w:val="single" w:sz="4" w:space="0" w:color="auto"/>
            </w:tcBorders>
          </w:tcPr>
          <w:p w14:paraId="501BFB91"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t>[95%</w:t>
            </w:r>
            <w:r w:rsidR="008B0DF4" w:rsidRPr="00B30A12">
              <w:rPr>
                <w:rFonts w:ascii="Times New Roman" w:hAnsi="Times New Roman"/>
                <w:color w:val="000000"/>
                <w:sz w:val="22"/>
                <w:szCs w:val="22"/>
              </w:rPr>
              <w:t>-KI</w:t>
            </w:r>
            <w:r w:rsidRPr="00B30A12">
              <w:rPr>
                <w:rFonts w:ascii="Times New Roman" w:hAnsi="Times New Roman"/>
                <w:color w:val="000000"/>
                <w:sz w:val="22"/>
                <w:szCs w:val="22"/>
              </w:rPr>
              <w:t>]</w:t>
            </w:r>
          </w:p>
        </w:tc>
        <w:tc>
          <w:tcPr>
            <w:tcW w:w="2693" w:type="dxa"/>
          </w:tcPr>
          <w:p w14:paraId="5C8EBF51"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[85,7%, 91,1%]</w:t>
            </w:r>
          </w:p>
        </w:tc>
        <w:tc>
          <w:tcPr>
            <w:tcW w:w="2718" w:type="dxa"/>
            <w:tcBorders>
              <w:right w:val="single" w:sz="4" w:space="0" w:color="auto"/>
            </w:tcBorders>
          </w:tcPr>
          <w:p w14:paraId="6B4E77DD"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[19,9%, 27,1%]</w:t>
            </w:r>
          </w:p>
        </w:tc>
      </w:tr>
      <w:tr w:rsidR="003A33A6" w:rsidRPr="00B30A12" w14:paraId="0EF5A7B1" w14:textId="77777777" w:rsidTr="00DA7B0B">
        <w:trPr>
          <w:cantSplit/>
        </w:trPr>
        <w:tc>
          <w:tcPr>
            <w:tcW w:w="3794" w:type="dxa"/>
            <w:tcBorders>
              <w:left w:val="single" w:sz="4" w:space="0" w:color="auto"/>
            </w:tcBorders>
          </w:tcPr>
          <w:p w14:paraId="4AD0A1E6"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r>
            <w:r w:rsidRPr="00B30A12">
              <w:rPr>
                <w:rFonts w:ascii="Times New Roman" w:hAnsi="Times New Roman"/>
                <w:color w:val="000000"/>
                <w:sz w:val="22"/>
                <w:szCs w:val="22"/>
                <w:lang w:val="fr-FR"/>
              </w:rPr>
              <w:t>Komplette CyR n (%)</w:t>
            </w:r>
          </w:p>
        </w:tc>
        <w:tc>
          <w:tcPr>
            <w:tcW w:w="2693" w:type="dxa"/>
          </w:tcPr>
          <w:p w14:paraId="40DFCCAC"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456 (82,5%)*</w:t>
            </w:r>
          </w:p>
        </w:tc>
        <w:tc>
          <w:tcPr>
            <w:tcW w:w="2718" w:type="dxa"/>
            <w:tcBorders>
              <w:right w:val="single" w:sz="4" w:space="0" w:color="auto"/>
            </w:tcBorders>
          </w:tcPr>
          <w:p w14:paraId="64BBAD56"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64 (11,6%)*</w:t>
            </w:r>
          </w:p>
        </w:tc>
      </w:tr>
      <w:tr w:rsidR="003A33A6" w:rsidRPr="00B30A12" w14:paraId="00FC080F" w14:textId="77777777" w:rsidTr="00DA7B0B">
        <w:trPr>
          <w:cantSplit/>
        </w:trPr>
        <w:tc>
          <w:tcPr>
            <w:tcW w:w="3794" w:type="dxa"/>
            <w:tcBorders>
              <w:left w:val="single" w:sz="4" w:space="0" w:color="auto"/>
            </w:tcBorders>
          </w:tcPr>
          <w:p w14:paraId="012EF6EA"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ab/>
            </w:r>
            <w:r w:rsidRPr="00B30A12">
              <w:rPr>
                <w:rFonts w:ascii="Times New Roman" w:hAnsi="Times New Roman"/>
                <w:color w:val="000000"/>
                <w:sz w:val="22"/>
                <w:szCs w:val="22"/>
                <w:lang w:val="fr-FR"/>
              </w:rPr>
              <w:t>Partielle CyR n (%)</w:t>
            </w:r>
          </w:p>
        </w:tc>
        <w:tc>
          <w:tcPr>
            <w:tcW w:w="2693" w:type="dxa"/>
          </w:tcPr>
          <w:p w14:paraId="01C318AC"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34 (6,1%)</w:t>
            </w:r>
          </w:p>
        </w:tc>
        <w:tc>
          <w:tcPr>
            <w:tcW w:w="2718" w:type="dxa"/>
            <w:tcBorders>
              <w:right w:val="single" w:sz="4" w:space="0" w:color="auto"/>
            </w:tcBorders>
          </w:tcPr>
          <w:p w14:paraId="349631AA"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65 (11,8%)</w:t>
            </w:r>
          </w:p>
        </w:tc>
      </w:tr>
      <w:tr w:rsidR="003A33A6" w:rsidRPr="00B30A12" w14:paraId="295A033D" w14:textId="77777777" w:rsidTr="00DA7B0B">
        <w:trPr>
          <w:cantSplit/>
        </w:trPr>
        <w:tc>
          <w:tcPr>
            <w:tcW w:w="3794" w:type="dxa"/>
            <w:tcBorders>
              <w:left w:val="single" w:sz="4" w:space="0" w:color="auto"/>
              <w:bottom w:val="nil"/>
            </w:tcBorders>
          </w:tcPr>
          <w:p w14:paraId="5FCDE29A"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787B2A83"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281ADB41"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r>
      <w:tr w:rsidR="003A33A6" w:rsidRPr="00B30A12" w14:paraId="659DD7D7" w14:textId="77777777" w:rsidTr="00DA7B0B">
        <w:trPr>
          <w:cantSplit/>
        </w:trPr>
        <w:tc>
          <w:tcPr>
            <w:tcW w:w="3794" w:type="dxa"/>
            <w:tcBorders>
              <w:left w:val="single" w:sz="4" w:space="0" w:color="auto"/>
              <w:bottom w:val="nil"/>
            </w:tcBorders>
          </w:tcPr>
          <w:p w14:paraId="7D3AFE98"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b/>
                <w:color w:val="000000"/>
                <w:sz w:val="22"/>
                <w:szCs w:val="22"/>
              </w:rPr>
              <w:t>Molekulare Remission</w:t>
            </w:r>
            <w:r w:rsidRPr="00B30A12">
              <w:rPr>
                <w:rFonts w:ascii="Times New Roman" w:hAnsi="Times New Roman"/>
                <w:color w:val="000000"/>
                <w:sz w:val="22"/>
                <w:szCs w:val="22"/>
              </w:rPr>
              <w:t>**</w:t>
            </w:r>
          </w:p>
        </w:tc>
        <w:tc>
          <w:tcPr>
            <w:tcW w:w="2693" w:type="dxa"/>
            <w:tcBorders>
              <w:bottom w:val="nil"/>
            </w:tcBorders>
          </w:tcPr>
          <w:p w14:paraId="5B45F957"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267B5CA4"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p>
        </w:tc>
      </w:tr>
      <w:tr w:rsidR="003A33A6" w:rsidRPr="00B30A12" w14:paraId="785B314D" w14:textId="77777777" w:rsidTr="00DA7B0B">
        <w:trPr>
          <w:cantSplit/>
        </w:trPr>
        <w:tc>
          <w:tcPr>
            <w:tcW w:w="3794" w:type="dxa"/>
            <w:tcBorders>
              <w:left w:val="single" w:sz="4" w:space="0" w:color="auto"/>
              <w:bottom w:val="nil"/>
            </w:tcBorders>
          </w:tcPr>
          <w:p w14:paraId="736E5242"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12 Monaten (%)</w:t>
            </w:r>
          </w:p>
        </w:tc>
        <w:tc>
          <w:tcPr>
            <w:tcW w:w="2693" w:type="dxa"/>
            <w:tcBorders>
              <w:bottom w:val="nil"/>
            </w:tcBorders>
          </w:tcPr>
          <w:p w14:paraId="6A56912E"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153/305=50,2%</w:t>
            </w:r>
          </w:p>
        </w:tc>
        <w:tc>
          <w:tcPr>
            <w:tcW w:w="2718" w:type="dxa"/>
            <w:tcBorders>
              <w:bottom w:val="nil"/>
              <w:right w:val="single" w:sz="4" w:space="0" w:color="auto"/>
            </w:tcBorders>
          </w:tcPr>
          <w:p w14:paraId="160C7E6F"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8/83=9,6%</w:t>
            </w:r>
          </w:p>
        </w:tc>
      </w:tr>
      <w:tr w:rsidR="003A33A6" w:rsidRPr="00B30A12" w14:paraId="7F9D58DA" w14:textId="77777777" w:rsidTr="00DA7B0B">
        <w:trPr>
          <w:cantSplit/>
        </w:trPr>
        <w:tc>
          <w:tcPr>
            <w:tcW w:w="3794" w:type="dxa"/>
            <w:tcBorders>
              <w:left w:val="single" w:sz="4" w:space="0" w:color="auto"/>
              <w:bottom w:val="nil"/>
            </w:tcBorders>
          </w:tcPr>
          <w:p w14:paraId="5D7F5407"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24 Monaten (%)</w:t>
            </w:r>
          </w:p>
        </w:tc>
        <w:tc>
          <w:tcPr>
            <w:tcW w:w="2693" w:type="dxa"/>
            <w:tcBorders>
              <w:bottom w:val="nil"/>
            </w:tcBorders>
          </w:tcPr>
          <w:p w14:paraId="78C77086"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73/104=70,2%</w:t>
            </w:r>
          </w:p>
        </w:tc>
        <w:tc>
          <w:tcPr>
            <w:tcW w:w="2718" w:type="dxa"/>
            <w:tcBorders>
              <w:bottom w:val="nil"/>
              <w:right w:val="single" w:sz="4" w:space="0" w:color="auto"/>
            </w:tcBorders>
          </w:tcPr>
          <w:p w14:paraId="1634B8AC"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rPr>
            </w:pPr>
            <w:r w:rsidRPr="00B30A12">
              <w:rPr>
                <w:rFonts w:ascii="Times New Roman" w:hAnsi="Times New Roman"/>
                <w:color w:val="000000"/>
                <w:sz w:val="22"/>
                <w:szCs w:val="22"/>
                <w:lang w:val="en-GB"/>
              </w:rPr>
              <w:t>3/12=25%</w:t>
            </w:r>
          </w:p>
        </w:tc>
      </w:tr>
      <w:tr w:rsidR="003A33A6" w:rsidRPr="00B30A12" w14:paraId="23D86C44" w14:textId="77777777" w:rsidTr="00DA7B0B">
        <w:trPr>
          <w:cantSplit/>
        </w:trPr>
        <w:tc>
          <w:tcPr>
            <w:tcW w:w="3794" w:type="dxa"/>
            <w:tcBorders>
              <w:left w:val="single" w:sz="4" w:space="0" w:color="auto"/>
              <w:bottom w:val="nil"/>
            </w:tcBorders>
          </w:tcPr>
          <w:p w14:paraId="52669024" w14:textId="77777777" w:rsidR="003A33A6" w:rsidRPr="00B30A12" w:rsidRDefault="003A33A6" w:rsidP="00DA7B0B">
            <w:pPr>
              <w:pStyle w:val="Table"/>
              <w:keepLines w:val="0"/>
              <w:widowControl w:val="0"/>
              <w:spacing w:before="0" w:after="0"/>
              <w:rPr>
                <w:rFonts w:ascii="Times New Roman" w:hAnsi="Times New Roman"/>
                <w:color w:val="000000"/>
                <w:sz w:val="22"/>
                <w:szCs w:val="22"/>
              </w:rPr>
            </w:pPr>
            <w:r w:rsidRPr="00B30A12">
              <w:rPr>
                <w:rFonts w:ascii="Times New Roman" w:hAnsi="Times New Roman"/>
                <w:color w:val="000000"/>
                <w:sz w:val="22"/>
                <w:szCs w:val="22"/>
              </w:rPr>
              <w:t>Gute Remission nach 84 Monaten (%)</w:t>
            </w:r>
          </w:p>
        </w:tc>
        <w:tc>
          <w:tcPr>
            <w:tcW w:w="2693" w:type="dxa"/>
            <w:tcBorders>
              <w:bottom w:val="nil"/>
            </w:tcBorders>
          </w:tcPr>
          <w:p w14:paraId="43B4931D"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lang w:val="en-GB"/>
              </w:rPr>
            </w:pPr>
            <w:r w:rsidRPr="00B30A12">
              <w:rPr>
                <w:rFonts w:ascii="Times New Roman" w:hAnsi="Times New Roman"/>
                <w:color w:val="000000"/>
                <w:sz w:val="22"/>
                <w:szCs w:val="22"/>
                <w:lang w:val="en-GB"/>
              </w:rPr>
              <w:t>102/116=87,9%</w:t>
            </w:r>
          </w:p>
        </w:tc>
        <w:tc>
          <w:tcPr>
            <w:tcW w:w="2718" w:type="dxa"/>
            <w:tcBorders>
              <w:bottom w:val="nil"/>
              <w:right w:val="single" w:sz="4" w:space="0" w:color="auto"/>
            </w:tcBorders>
          </w:tcPr>
          <w:p w14:paraId="017C97CE" w14:textId="77777777" w:rsidR="003A33A6" w:rsidRPr="00B30A12" w:rsidRDefault="003A33A6" w:rsidP="00DA7B0B">
            <w:pPr>
              <w:pStyle w:val="Table"/>
              <w:keepLines w:val="0"/>
              <w:widowControl w:val="0"/>
              <w:spacing w:before="0" w:after="0"/>
              <w:jc w:val="center"/>
              <w:rPr>
                <w:rFonts w:ascii="Times New Roman" w:hAnsi="Times New Roman"/>
                <w:color w:val="000000"/>
                <w:sz w:val="22"/>
                <w:szCs w:val="22"/>
                <w:lang w:val="en-GB"/>
              </w:rPr>
            </w:pPr>
            <w:r w:rsidRPr="00B30A12">
              <w:rPr>
                <w:rFonts w:ascii="Times New Roman" w:hAnsi="Times New Roman"/>
                <w:color w:val="000000"/>
                <w:sz w:val="22"/>
                <w:szCs w:val="22"/>
                <w:lang w:val="en-GB"/>
              </w:rPr>
              <w:t>3/4=75%</w:t>
            </w:r>
          </w:p>
        </w:tc>
      </w:tr>
      <w:tr w:rsidR="003A33A6" w:rsidRPr="00B30A12" w14:paraId="5E32E9DE" w14:textId="77777777" w:rsidTr="00DA7B0B">
        <w:trPr>
          <w:cantSplit/>
        </w:trPr>
        <w:tc>
          <w:tcPr>
            <w:tcW w:w="9205" w:type="dxa"/>
            <w:gridSpan w:val="3"/>
            <w:tcBorders>
              <w:top w:val="single" w:sz="4" w:space="0" w:color="auto"/>
              <w:left w:val="single" w:sz="4" w:space="0" w:color="auto"/>
              <w:bottom w:val="single" w:sz="4" w:space="0" w:color="auto"/>
              <w:right w:val="single" w:sz="4" w:space="0" w:color="auto"/>
            </w:tcBorders>
          </w:tcPr>
          <w:p w14:paraId="40BE298C" w14:textId="77777777" w:rsidR="003A33A6" w:rsidRPr="00B30A12" w:rsidRDefault="003A33A6" w:rsidP="0054140C">
            <w:pPr>
              <w:pStyle w:val="Header"/>
              <w:widowControl w:val="0"/>
              <w:tabs>
                <w:tab w:val="clear" w:pos="4320"/>
                <w:tab w:val="clear" w:pos="8640"/>
              </w:tabs>
              <w:ind w:left="34"/>
              <w:rPr>
                <w:color w:val="000000"/>
                <w:szCs w:val="22"/>
              </w:rPr>
            </w:pPr>
            <w:r w:rsidRPr="00B30A12">
              <w:rPr>
                <w:color w:val="000000"/>
                <w:szCs w:val="22"/>
              </w:rPr>
              <w:t>* p &lt; 0,001, Fishers exakter Test</w:t>
            </w:r>
          </w:p>
          <w:p w14:paraId="5A4CB1B8" w14:textId="77777777" w:rsidR="003A33A6" w:rsidRPr="00B30A12" w:rsidRDefault="003A33A6" w:rsidP="0054140C">
            <w:pPr>
              <w:pStyle w:val="Header"/>
              <w:widowControl w:val="0"/>
              <w:tabs>
                <w:tab w:val="clear" w:pos="4320"/>
                <w:tab w:val="clear" w:pos="8640"/>
              </w:tabs>
              <w:ind w:left="34"/>
              <w:rPr>
                <w:color w:val="000000"/>
                <w:szCs w:val="22"/>
              </w:rPr>
            </w:pPr>
            <w:r w:rsidRPr="00B30A12">
              <w:rPr>
                <w:color w:val="000000"/>
                <w:szCs w:val="22"/>
              </w:rPr>
              <w:t>** Prozentangaben zur molekularen Remission basieren auf den verfügbaren Proben</w:t>
            </w:r>
          </w:p>
          <w:p w14:paraId="4B4AB782" w14:textId="77777777" w:rsidR="003A33A6" w:rsidRPr="00B30A12" w:rsidRDefault="003A33A6" w:rsidP="0054140C">
            <w:pPr>
              <w:widowControl w:val="0"/>
              <w:rPr>
                <w:b/>
                <w:color w:val="000000"/>
                <w:sz w:val="22"/>
                <w:szCs w:val="22"/>
              </w:rPr>
            </w:pPr>
            <w:r w:rsidRPr="00B30A12">
              <w:rPr>
                <w:b/>
                <w:color w:val="000000"/>
                <w:sz w:val="22"/>
                <w:szCs w:val="22"/>
              </w:rPr>
              <w:t>Kriterien für die hämatologische Remission (Remission bestätigt nach ≥ 4 Wochen):</w:t>
            </w:r>
          </w:p>
          <w:p w14:paraId="0C6EE400" w14:textId="77777777" w:rsidR="003A33A6" w:rsidRPr="00B30A12" w:rsidRDefault="003A33A6" w:rsidP="0054140C">
            <w:pPr>
              <w:widowControl w:val="0"/>
              <w:rPr>
                <w:color w:val="000000"/>
                <w:sz w:val="22"/>
                <w:szCs w:val="22"/>
              </w:rPr>
            </w:pPr>
            <w:r w:rsidRPr="00B30A12">
              <w:rPr>
                <w:color w:val="000000"/>
                <w:sz w:val="22"/>
                <w:szCs w:val="22"/>
              </w:rPr>
              <w:t>Leukozyten &lt; 10 x 10</w:t>
            </w:r>
            <w:r w:rsidRPr="00B30A12">
              <w:rPr>
                <w:color w:val="000000"/>
                <w:sz w:val="22"/>
                <w:szCs w:val="22"/>
                <w:vertAlign w:val="superscript"/>
              </w:rPr>
              <w:t>9</w:t>
            </w:r>
            <w:r w:rsidRPr="00B30A12">
              <w:rPr>
                <w:color w:val="000000"/>
                <w:sz w:val="22"/>
                <w:szCs w:val="22"/>
              </w:rPr>
              <w:t>/l, Thrombozyten &lt; 450 x 10</w:t>
            </w:r>
            <w:r w:rsidRPr="00B30A12">
              <w:rPr>
                <w:color w:val="000000"/>
                <w:sz w:val="22"/>
                <w:szCs w:val="22"/>
                <w:vertAlign w:val="superscript"/>
              </w:rPr>
              <w:t>9</w:t>
            </w:r>
            <w:r w:rsidRPr="00B30A12">
              <w:rPr>
                <w:color w:val="000000"/>
                <w:sz w:val="22"/>
                <w:szCs w:val="22"/>
              </w:rPr>
              <w:t>/l, Myelozyten + Metamyelozyten &lt; 5% im Blut, keine Blasten und Promyelozyten im Blut, Basophile &lt; 20%, keine extramedulläre Beteiligung</w:t>
            </w:r>
          </w:p>
          <w:p w14:paraId="152D8B73" w14:textId="77777777" w:rsidR="003A33A6" w:rsidRPr="00B30A12" w:rsidRDefault="003A33A6" w:rsidP="0054140C">
            <w:pPr>
              <w:widowControl w:val="0"/>
              <w:rPr>
                <w:color w:val="000000"/>
                <w:sz w:val="22"/>
                <w:szCs w:val="22"/>
              </w:rPr>
            </w:pPr>
            <w:r w:rsidRPr="00B30A12">
              <w:rPr>
                <w:b/>
                <w:color w:val="000000"/>
                <w:sz w:val="22"/>
                <w:szCs w:val="22"/>
              </w:rPr>
              <w:t xml:space="preserve">Kriterien für zytogenetische Remission: </w:t>
            </w:r>
            <w:r w:rsidRPr="00B30A12">
              <w:rPr>
                <w:color w:val="000000"/>
                <w:sz w:val="22"/>
                <w:szCs w:val="22"/>
              </w:rPr>
              <w:t>Komplett: 0% Ph</w:t>
            </w:r>
            <w:r w:rsidRPr="00B30A12">
              <w:rPr>
                <w:color w:val="000000"/>
                <w:sz w:val="22"/>
                <w:szCs w:val="22"/>
                <w:vertAlign w:val="superscript"/>
              </w:rPr>
              <w:t>+</w:t>
            </w:r>
            <w:r w:rsidRPr="00B30A12">
              <w:rPr>
                <w:color w:val="000000"/>
                <w:sz w:val="22"/>
                <w:szCs w:val="22"/>
              </w:rPr>
              <w:t>-Metaphasen, partiell: 1–35%, geringer (36–65%) oder minimal (66–95%). Eine gute Remission (0–35%) beinhaltet sowohl komplette als auch partielle Remission.</w:t>
            </w:r>
          </w:p>
          <w:p w14:paraId="0F4B7E24" w14:textId="77777777" w:rsidR="003A33A6" w:rsidRPr="00B30A12" w:rsidRDefault="003A33A6" w:rsidP="0054140C">
            <w:pPr>
              <w:pStyle w:val="Table"/>
              <w:keepNext w:val="0"/>
              <w:keepLines w:val="0"/>
              <w:widowControl w:val="0"/>
              <w:spacing w:before="0" w:after="0"/>
              <w:rPr>
                <w:rFonts w:ascii="Times New Roman" w:hAnsi="Times New Roman"/>
                <w:color w:val="000000"/>
                <w:sz w:val="22"/>
                <w:szCs w:val="22"/>
                <w:lang w:val="de-CH"/>
              </w:rPr>
            </w:pPr>
            <w:r w:rsidRPr="00B30A12">
              <w:rPr>
                <w:rFonts w:ascii="Times New Roman" w:hAnsi="Times New Roman"/>
                <w:b/>
                <w:color w:val="000000"/>
                <w:sz w:val="22"/>
                <w:szCs w:val="22"/>
                <w:lang w:val="de-CH"/>
              </w:rPr>
              <w:t>Kriterien für gute molekulare Remission:</w:t>
            </w:r>
            <w:r w:rsidRPr="00B30A12">
              <w:rPr>
                <w:rFonts w:ascii="Times New Roman" w:hAnsi="Times New Roman"/>
                <w:color w:val="000000"/>
                <w:sz w:val="22"/>
                <w:szCs w:val="22"/>
                <w:lang w:val="de-CH"/>
              </w:rPr>
              <w:t xml:space="preserve"> Reduktion der Bcr-Abl-Transkripte im peripheren Blut ≥ 3 log-Stufen (gemessen mit real-time quantitativer reverser Transkriptase-</w:t>
            </w:r>
            <w:smartTag w:uri="urn:schemas-microsoft-com:office:smarttags" w:element="stockticker">
              <w:r w:rsidRPr="00B30A12">
                <w:rPr>
                  <w:rFonts w:ascii="Times New Roman" w:hAnsi="Times New Roman"/>
                  <w:color w:val="000000"/>
                  <w:sz w:val="22"/>
                  <w:szCs w:val="22"/>
                  <w:lang w:val="de-CH"/>
                </w:rPr>
                <w:t>PCR</w:t>
              </w:r>
            </w:smartTag>
            <w:r w:rsidRPr="00B30A12">
              <w:rPr>
                <w:rFonts w:ascii="Times New Roman" w:hAnsi="Times New Roman"/>
                <w:color w:val="000000"/>
                <w:sz w:val="22"/>
                <w:szCs w:val="22"/>
                <w:lang w:val="de-CH"/>
              </w:rPr>
              <w:t>) nach 12 Monaten Therapie im Vergleich zum standardisierten Ausgangswert.</w:t>
            </w:r>
          </w:p>
        </w:tc>
      </w:tr>
    </w:tbl>
    <w:p w14:paraId="6242CBBA" w14:textId="77777777" w:rsidR="003A33A6" w:rsidRPr="00B30A12" w:rsidRDefault="003A33A6" w:rsidP="0054140C">
      <w:pPr>
        <w:widowControl w:val="0"/>
        <w:rPr>
          <w:color w:val="000000"/>
          <w:sz w:val="22"/>
          <w:szCs w:val="22"/>
        </w:rPr>
      </w:pPr>
    </w:p>
    <w:p w14:paraId="378E95DB" w14:textId="77777777" w:rsidR="003A33A6" w:rsidRPr="00B30A12" w:rsidRDefault="003A33A6" w:rsidP="0054140C">
      <w:pPr>
        <w:widowControl w:val="0"/>
        <w:rPr>
          <w:color w:val="000000"/>
          <w:sz w:val="22"/>
          <w:szCs w:val="22"/>
        </w:rPr>
      </w:pPr>
      <w:r w:rsidRPr="00B30A12">
        <w:rPr>
          <w:color w:val="000000"/>
          <w:sz w:val="22"/>
          <w:szCs w:val="22"/>
        </w:rPr>
        <w:t xml:space="preserve">Die Raten für die komplette hämatologische Remission, gute zytogenetische Remission und komplette zytogenetische Remission unter First-Line-Therapie wurden nach der Kaplan-Meier-Methode geschätzt. Dazu wurde ein Nichtansprechen zum Zeitpunkt der letzten Untersuchung zensiert. Die geschätzten kumulativen Ansprechraten für die First-line-Therapie mit Glivec unter Verwendung dieser Methode verbesserten sich im Zeitraum zwischen 12 Monaten und 84 Monaten der Therapie folgendermaßen: </w:t>
      </w:r>
      <w:smartTag w:uri="urn:schemas-microsoft-com:office:smarttags" w:element="stockticker">
        <w:r w:rsidRPr="00B30A12">
          <w:rPr>
            <w:color w:val="000000"/>
            <w:sz w:val="22"/>
            <w:szCs w:val="22"/>
          </w:rPr>
          <w:t>CHR</w:t>
        </w:r>
      </w:smartTag>
      <w:r w:rsidRPr="00B30A12">
        <w:rPr>
          <w:color w:val="000000"/>
          <w:sz w:val="22"/>
          <w:szCs w:val="22"/>
        </w:rPr>
        <w:t xml:space="preserve"> von 96,4% auf 98,4% und CCyR von 69,5% auf 87,2%.</w:t>
      </w:r>
    </w:p>
    <w:p w14:paraId="7417D2FD" w14:textId="77777777" w:rsidR="003A33A6" w:rsidRPr="00B30A12" w:rsidRDefault="003A33A6" w:rsidP="0054140C">
      <w:pPr>
        <w:widowControl w:val="0"/>
        <w:rPr>
          <w:color w:val="000000"/>
          <w:sz w:val="22"/>
          <w:szCs w:val="22"/>
        </w:rPr>
      </w:pPr>
    </w:p>
    <w:p w14:paraId="51062B58" w14:textId="77777777" w:rsidR="003A33A6" w:rsidRPr="00B30A12" w:rsidRDefault="003A33A6" w:rsidP="0054140C">
      <w:pPr>
        <w:widowControl w:val="0"/>
        <w:rPr>
          <w:color w:val="000000"/>
          <w:sz w:val="22"/>
          <w:szCs w:val="22"/>
        </w:rPr>
      </w:pPr>
      <w:r w:rsidRPr="00B30A12">
        <w:rPr>
          <w:color w:val="000000"/>
          <w:sz w:val="22"/>
          <w:szCs w:val="22"/>
        </w:rPr>
        <w:t xml:space="preserve">Nach 7 Jahren Follow-up sind im Glivec-Arm 93 (16,8%) Progressionsereignisse aufgetreten: 37 (6,7%) betrafen die Progression in die akzelerierte Phase/Blastenkrise, 31 (5,6%) den Verlust der MCyR, 15 (2,7%) den Verlust der </w:t>
      </w:r>
      <w:smartTag w:uri="urn:schemas-microsoft-com:office:smarttags" w:element="stockticker">
        <w:r w:rsidRPr="00B30A12">
          <w:rPr>
            <w:color w:val="000000"/>
            <w:sz w:val="22"/>
            <w:szCs w:val="22"/>
          </w:rPr>
          <w:t>CHR</w:t>
        </w:r>
      </w:smartTag>
      <w:r w:rsidRPr="00B30A12">
        <w:rPr>
          <w:color w:val="000000"/>
          <w:sz w:val="22"/>
          <w:szCs w:val="22"/>
        </w:rPr>
        <w:t xml:space="preserve"> oder einen Anstieg der Leukozytenzahl und 10 (1,8%) CML-unabhängige Todesfälle. Dagegen gab es im IFN + Ara-C-Arm 165 (29,8%) Ereignisse, von denen 130 unter First-line-Therapie mit IFN + Ara-C aufgetreten sind.</w:t>
      </w:r>
    </w:p>
    <w:p w14:paraId="74B9BD7C" w14:textId="77777777" w:rsidR="003A33A6" w:rsidRPr="00B30A12" w:rsidRDefault="003A33A6" w:rsidP="0054140C">
      <w:pPr>
        <w:widowControl w:val="0"/>
        <w:rPr>
          <w:color w:val="000000"/>
          <w:sz w:val="22"/>
          <w:szCs w:val="22"/>
        </w:rPr>
      </w:pPr>
    </w:p>
    <w:p w14:paraId="14A73B2E" w14:textId="77777777" w:rsidR="003A33A6" w:rsidRPr="00B30A12" w:rsidRDefault="003A33A6" w:rsidP="0054140C">
      <w:pPr>
        <w:widowControl w:val="0"/>
        <w:rPr>
          <w:color w:val="000000"/>
          <w:sz w:val="22"/>
          <w:szCs w:val="22"/>
        </w:rPr>
      </w:pPr>
      <w:r w:rsidRPr="00B30A12">
        <w:rPr>
          <w:color w:val="000000"/>
          <w:sz w:val="22"/>
          <w:szCs w:val="22"/>
        </w:rPr>
        <w:t>Der geschätzte An</w:t>
      </w:r>
      <w:r w:rsidRPr="00B30A12">
        <w:rPr>
          <w:color w:val="000000"/>
          <w:sz w:val="22"/>
          <w:szCs w:val="22"/>
        </w:rPr>
        <w:softHyphen/>
        <w:t>teil von Patienten ohne Progression in die akzelerierte Phase oder Blastenkrise nach 84 Monaten war signifi</w:t>
      </w:r>
      <w:r w:rsidRPr="00B30A12">
        <w:rPr>
          <w:color w:val="000000"/>
          <w:sz w:val="22"/>
          <w:szCs w:val="22"/>
        </w:rPr>
        <w:softHyphen/>
        <w:t>kant höher im Glivec-Arm im Vergleich zum IFN-Arm (92,5% versus 85,1%, p &lt; 0,001). Die jährliche Progressionsrate in die akzelerierte Phase oder Blastenkrise nahm im Therapieverlauf ab und betrug im vierten und fünften Jahr weniger als jährlich 1%. Der geschätzte Anteil von progressionsfrei Überlebenden nach 84 Monaten betrug 81,2% im Gli</w:t>
      </w:r>
      <w:r w:rsidRPr="00B30A12">
        <w:rPr>
          <w:color w:val="000000"/>
          <w:sz w:val="22"/>
          <w:szCs w:val="22"/>
        </w:rPr>
        <w:softHyphen/>
        <w:t>vec-Arm und 60,6% im Kontrollarm (p &lt; 0,001). Die jährlichen Progressionsraten für jede Art der Progression nahmen ebenso bei Glivec im zeitlichen Verlauf ab.</w:t>
      </w:r>
    </w:p>
    <w:p w14:paraId="6E96145F" w14:textId="77777777" w:rsidR="003A33A6" w:rsidRPr="00B30A12" w:rsidRDefault="003A33A6" w:rsidP="0054140C">
      <w:pPr>
        <w:widowControl w:val="0"/>
        <w:rPr>
          <w:color w:val="000000"/>
          <w:sz w:val="22"/>
          <w:szCs w:val="22"/>
        </w:rPr>
      </w:pPr>
    </w:p>
    <w:p w14:paraId="0E98775A" w14:textId="77777777" w:rsidR="003A33A6" w:rsidRPr="00B30A12" w:rsidRDefault="003A33A6" w:rsidP="0054140C">
      <w:pPr>
        <w:widowControl w:val="0"/>
        <w:rPr>
          <w:color w:val="000000"/>
          <w:sz w:val="22"/>
          <w:szCs w:val="22"/>
        </w:rPr>
      </w:pPr>
      <w:r w:rsidRPr="00B30A12">
        <w:rPr>
          <w:color w:val="000000"/>
          <w:sz w:val="22"/>
          <w:szCs w:val="22"/>
        </w:rPr>
        <w:t>Insgesamt starben 71 (12,8%) Patienten im Glivec-Arm und 85 (15,4%) Patienten im IFN + Ara-C-Arm.</w:t>
      </w:r>
      <w:r w:rsidR="00687CCF" w:rsidRPr="00B30A12">
        <w:rPr>
          <w:color w:val="000000"/>
          <w:sz w:val="22"/>
          <w:szCs w:val="22"/>
        </w:rPr>
        <w:t xml:space="preserve"> </w:t>
      </w:r>
      <w:r w:rsidRPr="00B30A12">
        <w:rPr>
          <w:color w:val="000000"/>
          <w:sz w:val="22"/>
          <w:szCs w:val="22"/>
        </w:rPr>
        <w:t xml:space="preserve">Nach 84 Monaten betrug das geschätzte Gesamtüberleben 86,4% (83, 90) im randomisierten Glivec-Arm versus 83,3% (80, 87) im IFN + Ara-C-Arm (p=0,073, log-rank-Test). Dieser Time-to-event-Endpunkt wird durch die hohe Rate an Therapiewechseln von IFN + Ara-C zu Glivec stark beeinflusst. Der Einfluss der Glivec-Behandlung auf das Überleben bei neu diagnostizierter CML in der chronischen Phase wurde weiterhin in einem retrospektiven Vergleich der oben berichteten </w:t>
      </w:r>
      <w:r w:rsidRPr="00B30A12">
        <w:rPr>
          <w:color w:val="000000"/>
          <w:sz w:val="22"/>
          <w:szCs w:val="22"/>
        </w:rPr>
        <w:lastRenderedPageBreak/>
        <w:t>Glivec-Daten mit den Primärdaten aus einer anderen Phase-</w:t>
      </w:r>
      <w:smartTag w:uri="urn:schemas-microsoft-com:office:smarttags" w:element="stockticker">
        <w:r w:rsidRPr="00B30A12">
          <w:rPr>
            <w:color w:val="000000"/>
            <w:sz w:val="22"/>
            <w:szCs w:val="22"/>
          </w:rPr>
          <w:t>III</w:t>
        </w:r>
      </w:smartTag>
      <w:r w:rsidRPr="00B30A12">
        <w:rPr>
          <w:color w:val="000000"/>
          <w:sz w:val="22"/>
          <w:szCs w:val="22"/>
        </w:rPr>
        <w:t>-Studie untersucht, in der IFN + Ara-C (n=325) in einem identischen Therapieregime eingesetzt wurde. In dieser retrospektiven Analyse wurde die Überlegenheit von Glivec gegenüber IFN + Ara-C in Bezug auf das Gesamtüberleben gezeigt (p &lt; 0,001); innerhalb von 42 Monaten sind 47 (8,5%) Glivec-Patienten und 63 (19,4%) IFN + Ara-C-Patienten gestorben.</w:t>
      </w:r>
    </w:p>
    <w:p w14:paraId="0A276E79" w14:textId="77777777" w:rsidR="003A33A6" w:rsidRPr="00B30A12" w:rsidRDefault="003A33A6" w:rsidP="0054140C">
      <w:pPr>
        <w:widowControl w:val="0"/>
        <w:rPr>
          <w:color w:val="000000"/>
          <w:sz w:val="22"/>
          <w:szCs w:val="22"/>
        </w:rPr>
      </w:pPr>
    </w:p>
    <w:p w14:paraId="25C5C2F8" w14:textId="77777777" w:rsidR="003A33A6" w:rsidRPr="00B30A12" w:rsidRDefault="003A33A6" w:rsidP="0054140C">
      <w:pPr>
        <w:widowControl w:val="0"/>
        <w:rPr>
          <w:color w:val="000000"/>
          <w:sz w:val="22"/>
          <w:szCs w:val="22"/>
        </w:rPr>
      </w:pPr>
      <w:r w:rsidRPr="00B30A12">
        <w:rPr>
          <w:color w:val="000000"/>
          <w:sz w:val="22"/>
          <w:szCs w:val="22"/>
        </w:rPr>
        <w:t>Das Ausmaß der zytogenetischen Remission und des molekularen Ansprechens hat einen deutlichen Einfluss auf die Langzeitergebnisse bei Glivec-Patienten. Geschätzte 96% (93%) der Patienten, die innerhalb von 12 Monaten eine CCyR (PCyR) erreicht hatten, zeigten nach 84 Monaten keine Progression in die akzelerierte Phase/Blastenkrise.</w:t>
      </w:r>
      <w:r w:rsidR="00687CCF" w:rsidRPr="00B30A12">
        <w:rPr>
          <w:color w:val="000000"/>
          <w:sz w:val="22"/>
          <w:szCs w:val="22"/>
        </w:rPr>
        <w:t xml:space="preserve"> </w:t>
      </w:r>
      <w:r w:rsidRPr="00B30A12">
        <w:rPr>
          <w:color w:val="000000"/>
          <w:sz w:val="22"/>
          <w:szCs w:val="22"/>
        </w:rPr>
        <w:t>Dagegen waren nur 81% der Patienten, die innerhalb von 12 Monaten eine MCyR zeigten, nach 84 Monaten ohne Progression in die fortgeschrittene CML (p &lt; 0,001 insgesamt, p=0,25 zwischen CCyR und PCyR). Für Patienten mit einer Reduktion der Bcr-Abl-Transkripte von mindestens 3 Logarithmen nach 12 Monaten betrug die Wahrscheinlichkeit, progressionsfrei in die akzelerierte Phase/Blastenkrise zu bleiben, 99% nach 84 Monaten. Ähnliche Ergebnisse wurden auf der Basis einer Analyse zum Zeitpunkt nach 18 Monaten gefunden.</w:t>
      </w:r>
    </w:p>
    <w:p w14:paraId="2ED5619C" w14:textId="77777777" w:rsidR="003A33A6" w:rsidRPr="00B30A12" w:rsidRDefault="003A33A6" w:rsidP="0054140C">
      <w:pPr>
        <w:widowControl w:val="0"/>
        <w:rPr>
          <w:color w:val="000000"/>
          <w:sz w:val="22"/>
          <w:szCs w:val="22"/>
        </w:rPr>
      </w:pPr>
    </w:p>
    <w:p w14:paraId="4B0E7C62" w14:textId="77777777" w:rsidR="003A33A6" w:rsidRPr="00B30A12" w:rsidRDefault="003A33A6" w:rsidP="0054140C">
      <w:pPr>
        <w:widowControl w:val="0"/>
        <w:rPr>
          <w:color w:val="000000"/>
          <w:sz w:val="22"/>
          <w:szCs w:val="22"/>
        </w:rPr>
      </w:pPr>
      <w:r w:rsidRPr="00B30A12">
        <w:rPr>
          <w:color w:val="000000"/>
          <w:sz w:val="22"/>
          <w:szCs w:val="22"/>
        </w:rPr>
        <w:t>In dieser Studie waren Dosissteigerungen von 400 mg auf 600 mg täglich und dann von 600 mg auf 800 mg täglich erlaubt. Nach einem Follow-up von 42 Monaten trat bei 11 Patienten ein innerhalb von 4 Wochen bestätigter Verlust der zytogenetischen Remission auf. Von diesen 11 Patienten wurde bei 4 Patienten die Dosis auf 800 mg täglich gesteigert. Bei 2 von diesen trat erneut eine zytogenetische Remission auf (bei einem partiell und bei einem komplett, wobei letzterer auch eine molekulare Remission erreichte), während von den 7 Patienten ohne Dosiserhöhung nur bei einem erneut eine komplette zytogenetische Remission auftrat. Die Häufigkeit einiger Nebenwirkungen war bei den 40 Patienten, bei denen die Dosis auf 800 mg täglich erhöht wurde, größer im Vergleich zur Patientenpopulation vor der Dosiserhöhung (n = 551). Zu den häufigeren Nebenwirkungen zählten gastrointestinale Blutungen, Konjunktivitis und Transaminasen- oder Bilirubinerhöhungen. Andere Nebenwirkungen wurden mit geringerer oder gleicher Häufigkeit berichtet.</w:t>
      </w:r>
    </w:p>
    <w:p w14:paraId="05C685DC" w14:textId="77777777" w:rsidR="003A33A6" w:rsidRPr="00B30A12" w:rsidRDefault="003A33A6" w:rsidP="0054140C">
      <w:pPr>
        <w:widowControl w:val="0"/>
        <w:rPr>
          <w:color w:val="000000"/>
          <w:sz w:val="22"/>
          <w:szCs w:val="22"/>
        </w:rPr>
      </w:pPr>
    </w:p>
    <w:p w14:paraId="2C09FCA0" w14:textId="77777777" w:rsidR="003A33A6" w:rsidRPr="00B30A12" w:rsidRDefault="003A33A6" w:rsidP="0054140C">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t xml:space="preserve">Chronische Phase, nach Interferon-Versagen: </w:t>
      </w:r>
      <w:r w:rsidRPr="00B30A12">
        <w:rPr>
          <w:i w:val="0"/>
          <w:color w:val="000000"/>
          <w:szCs w:val="22"/>
          <w:lang w:val="de-DE"/>
        </w:rPr>
        <w:t>532 erwachsene Patienten wurden mit einer Startdosis von 400 mg behandelt. Die Patienten verteilten sich auf nachfolgend genannte drei Hauptgruppen: Keine Verbesserung des hämatologischen Befundes (29%), keine Verbesserung des zytogenetischen Befundes (35%) oder Intoleranz gegenüber Interferon (36%). Die Patienten waren vorher im Median über 14 Monate mit einer IFN-Therapie von ≥ 25 x 10</w:t>
      </w:r>
      <w:r w:rsidRPr="00B30A12">
        <w:rPr>
          <w:i w:val="0"/>
          <w:color w:val="000000"/>
          <w:szCs w:val="22"/>
          <w:vertAlign w:val="superscript"/>
          <w:lang w:val="de-DE"/>
        </w:rPr>
        <w:t>6</w:t>
      </w:r>
      <w:r w:rsidRPr="00B30A12">
        <w:rPr>
          <w:i w:val="0"/>
          <w:color w:val="000000"/>
          <w:szCs w:val="22"/>
          <w:lang w:val="de-DE"/>
        </w:rPr>
        <w:t xml:space="preserve"> IU/Woche behandelt worden und befanden sich alle mit einem medianen Zeitabstand von 32 Monaten nach Diagnosestellung in der späten chronischen Phase. Der primäre Wirksamkeitsparameter der Studie war das Ausmaß der guten zytogenetischen Remission („major cytogenetic response“, komplette plus partielle Remission, 0 bis 35% Ph</w:t>
      </w:r>
      <w:r w:rsidRPr="00B30A12">
        <w:rPr>
          <w:i w:val="0"/>
          <w:color w:val="000000"/>
          <w:szCs w:val="22"/>
          <w:vertAlign w:val="superscript"/>
          <w:lang w:val="de-DE"/>
        </w:rPr>
        <w:t>+-</w:t>
      </w:r>
      <w:r w:rsidRPr="00B30A12">
        <w:rPr>
          <w:i w:val="0"/>
          <w:color w:val="000000"/>
          <w:szCs w:val="22"/>
          <w:lang w:val="de-DE"/>
        </w:rPr>
        <w:t>Metaphasen im Knochenmark).</w:t>
      </w:r>
    </w:p>
    <w:p w14:paraId="162D4657" w14:textId="77777777" w:rsidR="003A33A6" w:rsidRPr="00B30A12" w:rsidRDefault="003A33A6" w:rsidP="0054140C">
      <w:pPr>
        <w:widowControl w:val="0"/>
        <w:rPr>
          <w:color w:val="000000"/>
          <w:sz w:val="22"/>
          <w:szCs w:val="22"/>
        </w:rPr>
      </w:pPr>
    </w:p>
    <w:p w14:paraId="61F044A1" w14:textId="77777777" w:rsidR="003A33A6" w:rsidRPr="00B30A12" w:rsidRDefault="003A33A6" w:rsidP="0054140C">
      <w:pPr>
        <w:widowControl w:val="0"/>
        <w:rPr>
          <w:color w:val="000000"/>
          <w:sz w:val="22"/>
          <w:szCs w:val="22"/>
        </w:rPr>
      </w:pPr>
      <w:r w:rsidRPr="00B30A12">
        <w:rPr>
          <w:color w:val="000000"/>
          <w:sz w:val="22"/>
          <w:szCs w:val="22"/>
        </w:rPr>
        <w:t>In dieser Studie wiesen 65% der Patienten eine gute zytogenetische Remission auf, die bei 53% (bestätigt 43%) der Patienten komplett war (vgl. Tabelle </w:t>
      </w:r>
      <w:r w:rsidR="00646EB3" w:rsidRPr="00B30A12">
        <w:rPr>
          <w:color w:val="000000"/>
          <w:sz w:val="22"/>
          <w:szCs w:val="22"/>
        </w:rPr>
        <w:t>3</w:t>
      </w:r>
      <w:r w:rsidRPr="00B30A12">
        <w:rPr>
          <w:color w:val="000000"/>
          <w:sz w:val="22"/>
          <w:szCs w:val="22"/>
        </w:rPr>
        <w:t>). Eine komplette hämato</w:t>
      </w:r>
      <w:r w:rsidRPr="00B30A12">
        <w:rPr>
          <w:color w:val="000000"/>
          <w:sz w:val="22"/>
          <w:szCs w:val="22"/>
        </w:rPr>
        <w:softHyphen/>
        <w:t>logische Remission wurde bei 95% der Patienten erreicht.</w:t>
      </w:r>
    </w:p>
    <w:p w14:paraId="5985CA33" w14:textId="77777777" w:rsidR="003A33A6" w:rsidRPr="00B30A12" w:rsidRDefault="003A33A6" w:rsidP="0054140C">
      <w:pPr>
        <w:widowControl w:val="0"/>
        <w:rPr>
          <w:color w:val="000000"/>
          <w:sz w:val="22"/>
          <w:szCs w:val="22"/>
        </w:rPr>
      </w:pPr>
    </w:p>
    <w:p w14:paraId="7CAAEE13" w14:textId="77777777" w:rsidR="003A33A6" w:rsidRPr="00B30A12" w:rsidRDefault="003A33A6" w:rsidP="0054140C">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t xml:space="preserve">Akzelerierte Phase: </w:t>
      </w:r>
      <w:r w:rsidRPr="00B30A12">
        <w:rPr>
          <w:i w:val="0"/>
          <w:color w:val="000000"/>
          <w:szCs w:val="22"/>
          <w:lang w:val="de-DE"/>
        </w:rPr>
        <w:t>235 erwachsene Patienten in der akzelerierten Phase wurden in die Studie eingeschlossen. Die ersten 77 Patienten begannen die Behandlung mit 400 mg. Das Prüfprotokoll wurde anschließend ergänzt, um höhere Dosen zu ermöglichen, und die verbleibenden 158 Patienten begannen die Behandlung mit 600 mg.</w:t>
      </w:r>
    </w:p>
    <w:p w14:paraId="447C5027" w14:textId="77777777" w:rsidR="003A33A6" w:rsidRPr="00B30A12" w:rsidRDefault="003A33A6" w:rsidP="0054140C">
      <w:pPr>
        <w:widowControl w:val="0"/>
        <w:rPr>
          <w:color w:val="000000"/>
          <w:sz w:val="22"/>
          <w:szCs w:val="22"/>
        </w:rPr>
      </w:pPr>
    </w:p>
    <w:p w14:paraId="701BCEBE" w14:textId="77777777" w:rsidR="003A33A6" w:rsidRPr="00B30A12" w:rsidRDefault="003A33A6" w:rsidP="0054140C">
      <w:pPr>
        <w:pStyle w:val="BodyTextIndent3"/>
        <w:ind w:left="0"/>
        <w:rPr>
          <w:rFonts w:ascii="Times New Roman" w:hAnsi="Times New Roman"/>
          <w:color w:val="000000"/>
          <w:szCs w:val="22"/>
        </w:rPr>
      </w:pPr>
      <w:r w:rsidRPr="00B30A12">
        <w:rPr>
          <w:rFonts w:ascii="Times New Roman" w:hAnsi="Times New Roman"/>
          <w:color w:val="000000"/>
          <w:szCs w:val="22"/>
        </w:rPr>
        <w:t>Der primäre Wirksamkeitsparameter war das Ausmaß der hämatologischen Remission: Komplette hä</w:t>
      </w:r>
      <w:r w:rsidRPr="00B30A12">
        <w:rPr>
          <w:rFonts w:ascii="Times New Roman" w:hAnsi="Times New Roman"/>
          <w:color w:val="000000"/>
          <w:szCs w:val="22"/>
        </w:rPr>
        <w:softHyphen/>
        <w:t>matologische Remission, keine Leukämie mehr nachweisbar (Verschwinden der Blasten aus Knochen</w:t>
      </w:r>
      <w:r w:rsidRPr="00B30A12">
        <w:rPr>
          <w:rFonts w:ascii="Times New Roman" w:hAnsi="Times New Roman"/>
          <w:color w:val="000000"/>
          <w:szCs w:val="22"/>
        </w:rPr>
        <w:softHyphen/>
        <w:t>mark und Blut, jedoch keine komplette hämatologische Rekonstitution) oder Wiedereintritt in die chronische Phase der CML. Bei 71,5% der Patienten konnte eine hämatologische Remission nach</w:t>
      </w:r>
      <w:r w:rsidRPr="00B30A12">
        <w:rPr>
          <w:rFonts w:ascii="Times New Roman" w:hAnsi="Times New Roman"/>
          <w:color w:val="000000"/>
          <w:szCs w:val="22"/>
        </w:rPr>
        <w:softHyphen/>
        <w:t>gewiesen werden (vgl. Tabelle </w:t>
      </w:r>
      <w:r w:rsidR="00512273" w:rsidRPr="00B30A12">
        <w:rPr>
          <w:rFonts w:ascii="Times New Roman" w:hAnsi="Times New Roman"/>
          <w:color w:val="000000"/>
          <w:szCs w:val="22"/>
        </w:rPr>
        <w:t>3</w:t>
      </w:r>
      <w:r w:rsidRPr="00B30A12">
        <w:rPr>
          <w:rFonts w:ascii="Times New Roman" w:hAnsi="Times New Roman"/>
          <w:color w:val="000000"/>
          <w:szCs w:val="22"/>
        </w:rPr>
        <w:t>). Als wichtiges Ergebnis zeigte sich bei 27,7% der Patienten auch eine gute zytogenetische Remission, die bei 20,4% (bestätigt 16%) der Patienten komplett war. Bei den Patienten, die mit 600 mg behandelt wurden, betragen die gegenwärtigen Schätzungen für ein medianes pro</w:t>
      </w:r>
      <w:r w:rsidRPr="00B30A12">
        <w:rPr>
          <w:rFonts w:ascii="Times New Roman" w:hAnsi="Times New Roman"/>
          <w:color w:val="000000"/>
          <w:szCs w:val="22"/>
        </w:rPr>
        <w:softHyphen/>
        <w:t>gressionsfreies Überleben und ein Gesamtüberleben 22,9 bzw. 42,5 Monate.</w:t>
      </w:r>
    </w:p>
    <w:p w14:paraId="75D74269" w14:textId="77777777" w:rsidR="003A33A6" w:rsidRPr="00B30A12" w:rsidRDefault="003A33A6" w:rsidP="0054140C">
      <w:pPr>
        <w:widowControl w:val="0"/>
        <w:rPr>
          <w:color w:val="000000"/>
          <w:sz w:val="22"/>
          <w:szCs w:val="22"/>
        </w:rPr>
      </w:pPr>
    </w:p>
    <w:p w14:paraId="5E1BABDB" w14:textId="77777777" w:rsidR="003A33A6" w:rsidRPr="00B30A12" w:rsidRDefault="003A33A6" w:rsidP="0054140C">
      <w:pPr>
        <w:pStyle w:val="Heading7"/>
        <w:keepNext w:val="0"/>
        <w:widowControl w:val="0"/>
        <w:numPr>
          <w:ilvl w:val="0"/>
          <w:numId w:val="0"/>
        </w:numPr>
        <w:tabs>
          <w:tab w:val="clear" w:pos="-720"/>
          <w:tab w:val="clear" w:pos="567"/>
          <w:tab w:val="clear" w:pos="4536"/>
        </w:tabs>
        <w:suppressAutoHyphens w:val="0"/>
        <w:spacing w:line="240" w:lineRule="auto"/>
        <w:jc w:val="left"/>
        <w:rPr>
          <w:i w:val="0"/>
          <w:color w:val="000000"/>
          <w:szCs w:val="22"/>
          <w:lang w:val="de-DE"/>
        </w:rPr>
      </w:pPr>
      <w:r w:rsidRPr="00B30A12">
        <w:rPr>
          <w:color w:val="000000"/>
          <w:szCs w:val="22"/>
          <w:lang w:val="de-DE"/>
        </w:rPr>
        <w:lastRenderedPageBreak/>
        <w:t>Myeloische Blastenkrise</w:t>
      </w:r>
      <w:r w:rsidRPr="00B30A12">
        <w:rPr>
          <w:i w:val="0"/>
          <w:color w:val="000000"/>
          <w:szCs w:val="22"/>
          <w:lang w:val="de-DE"/>
        </w:rPr>
        <w:t>: 260 Patienten in der myeloischen Blastenkrise wurden in die Studie eingeschlossen. 95 (37%) waren mit einer Chemotherapie in der akzelerierten Phase oder der Blastenkrise vorbehandelt worden („vorbehandelte Patienten“), 165 (63%) der Patienten nicht („nicht vorbehandelte Patienten“). Die ersten 37 Patienten begannen die Behandlung mit 400 mg. Das Prüfprotokoll wurde anschließend ergänzt, um höhere Dosen zu ermöglichen, und die verbleibenden 223 Patienten begannen die Behandlung mit 600 mg.</w:t>
      </w:r>
    </w:p>
    <w:p w14:paraId="669CD82F" w14:textId="77777777" w:rsidR="003A33A6" w:rsidRPr="00B30A12" w:rsidRDefault="003A33A6" w:rsidP="0054140C">
      <w:pPr>
        <w:widowControl w:val="0"/>
        <w:rPr>
          <w:color w:val="000000"/>
          <w:sz w:val="22"/>
          <w:szCs w:val="22"/>
        </w:rPr>
      </w:pPr>
    </w:p>
    <w:p w14:paraId="2A1E64EF" w14:textId="77777777" w:rsidR="003A33A6" w:rsidRPr="00B30A12" w:rsidRDefault="003A33A6" w:rsidP="0054140C">
      <w:pPr>
        <w:widowControl w:val="0"/>
        <w:rPr>
          <w:color w:val="000000"/>
          <w:sz w:val="22"/>
          <w:szCs w:val="22"/>
        </w:rPr>
      </w:pPr>
      <w:r w:rsidRPr="00B30A12">
        <w:rPr>
          <w:color w:val="000000"/>
          <w:sz w:val="22"/>
          <w:szCs w:val="22"/>
        </w:rPr>
        <w:t>Der primäre Wirksamkeitsparameter war das Ausmaß der hämatologischen Remission: Komplette hämatologische Remission, keine Leukämie mehr nachweisbar oder Wiedereintritt in die chronische Phase der CML. Es wurden die gleichen Kriterien, wie in der Studie mit Patienten in der akzelerierten Phase angewendet. Bei dieser Studie zeigten 31% der Patienten eine hämatologische Remission (36% bei den nicht vorbehandelten Patienten und 22% bei den vorbehandelten Patienten). Das Aus</w:t>
      </w:r>
      <w:r w:rsidRPr="00B30A12">
        <w:rPr>
          <w:color w:val="000000"/>
          <w:sz w:val="22"/>
          <w:szCs w:val="22"/>
        </w:rPr>
        <w:softHyphen/>
        <w:t>maß der Remission war ebenfalls bei den mit 600 mg behandelten Patienten höher (33%) als bei den mit 400 mg behandelten Patienten (16%, p=0,0220). Bei den nicht vorbehandelten und bei den vorbehandelten Patienten ergab sich eine mediane Überlebenszeit von 7,7 bzw. 4,7 Monaten.</w:t>
      </w:r>
    </w:p>
    <w:p w14:paraId="6B12E0D7" w14:textId="77777777" w:rsidR="003A33A6" w:rsidRPr="00B30A12" w:rsidRDefault="003A33A6" w:rsidP="0054140C">
      <w:pPr>
        <w:widowControl w:val="0"/>
        <w:rPr>
          <w:color w:val="000000"/>
          <w:sz w:val="22"/>
          <w:szCs w:val="22"/>
        </w:rPr>
      </w:pPr>
    </w:p>
    <w:p w14:paraId="4E4884E7" w14:textId="77777777" w:rsidR="003A33A6" w:rsidRPr="00B30A12" w:rsidRDefault="003A33A6" w:rsidP="0054140C">
      <w:pPr>
        <w:widowControl w:val="0"/>
        <w:rPr>
          <w:color w:val="000000"/>
          <w:sz w:val="22"/>
          <w:szCs w:val="22"/>
        </w:rPr>
      </w:pPr>
      <w:r w:rsidRPr="00B30A12">
        <w:rPr>
          <w:i/>
          <w:color w:val="000000"/>
          <w:sz w:val="22"/>
          <w:szCs w:val="22"/>
        </w:rPr>
        <w:t>Lymphatische Blastenkrise</w:t>
      </w:r>
      <w:r w:rsidRPr="00B30A12">
        <w:rPr>
          <w:color w:val="000000"/>
          <w:sz w:val="22"/>
          <w:szCs w:val="22"/>
        </w:rPr>
        <w:t>: Eine begrenzte Anzahl von Patienten wurde in Phase-I-Studien aufgenom</w:t>
      </w:r>
      <w:r w:rsidRPr="00B30A12">
        <w:rPr>
          <w:color w:val="000000"/>
          <w:sz w:val="22"/>
          <w:szCs w:val="22"/>
        </w:rPr>
        <w:softHyphen/>
        <w:t>men (n=10). Die hämatologische Remissionsrate betrug 70% mit einer 2–3-monatigen Ansprechdauer.</w:t>
      </w:r>
    </w:p>
    <w:p w14:paraId="4F1F61DE" w14:textId="77777777" w:rsidR="003A33A6" w:rsidRPr="00B30A12" w:rsidRDefault="003A33A6" w:rsidP="0054140C">
      <w:pPr>
        <w:widowControl w:val="0"/>
        <w:rPr>
          <w:color w:val="000000"/>
          <w:sz w:val="22"/>
          <w:szCs w:val="22"/>
        </w:rPr>
      </w:pPr>
    </w:p>
    <w:p w14:paraId="01FA5439" w14:textId="77777777" w:rsidR="003A33A6" w:rsidRPr="00B30A12" w:rsidRDefault="003A33A6" w:rsidP="00DA7B0B">
      <w:pPr>
        <w:keepNext/>
        <w:widowControl w:val="0"/>
        <w:tabs>
          <w:tab w:val="left" w:pos="1134"/>
        </w:tabs>
        <w:rPr>
          <w:b/>
          <w:color w:val="000000"/>
          <w:sz w:val="22"/>
          <w:szCs w:val="22"/>
        </w:rPr>
      </w:pPr>
      <w:r w:rsidRPr="00B30A12">
        <w:rPr>
          <w:b/>
          <w:color w:val="000000"/>
          <w:sz w:val="22"/>
          <w:szCs w:val="22"/>
        </w:rPr>
        <w:lastRenderedPageBreak/>
        <w:t>Tabelle </w:t>
      </w:r>
      <w:r w:rsidR="00512273" w:rsidRPr="00B30A12">
        <w:rPr>
          <w:b/>
          <w:color w:val="000000"/>
          <w:sz w:val="22"/>
          <w:szCs w:val="22"/>
        </w:rPr>
        <w:t>3</w:t>
      </w:r>
      <w:r w:rsidRPr="00B30A12">
        <w:rPr>
          <w:b/>
          <w:color w:val="000000"/>
          <w:sz w:val="22"/>
          <w:szCs w:val="22"/>
        </w:rPr>
        <w:tab/>
        <w:t>Ansprechraten in den CML-Studien an Erwachsenen</w:t>
      </w:r>
    </w:p>
    <w:p w14:paraId="7B7DC8A0" w14:textId="77777777" w:rsidR="003A33A6" w:rsidRPr="00B30A12" w:rsidRDefault="003A33A6" w:rsidP="00DA7B0B">
      <w:pPr>
        <w:keepNext/>
        <w:widowControl w:val="0"/>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126"/>
        <w:gridCol w:w="1985"/>
        <w:gridCol w:w="2410"/>
      </w:tblGrid>
      <w:tr w:rsidR="003A33A6" w:rsidRPr="00B30A12" w14:paraId="01E27C30" w14:textId="77777777" w:rsidTr="00DA7B0B">
        <w:trPr>
          <w:cantSplit/>
        </w:trPr>
        <w:tc>
          <w:tcPr>
            <w:tcW w:w="2552" w:type="dxa"/>
          </w:tcPr>
          <w:p w14:paraId="23868BA1" w14:textId="77777777" w:rsidR="003A33A6" w:rsidRPr="00B30A12" w:rsidRDefault="003A33A6" w:rsidP="00DA7B0B">
            <w:pPr>
              <w:keepNext/>
              <w:widowControl w:val="0"/>
              <w:rPr>
                <w:color w:val="000000"/>
                <w:sz w:val="22"/>
                <w:szCs w:val="22"/>
              </w:rPr>
            </w:pPr>
          </w:p>
        </w:tc>
        <w:tc>
          <w:tcPr>
            <w:tcW w:w="2126" w:type="dxa"/>
            <w:tcBorders>
              <w:bottom w:val="nil"/>
            </w:tcBorders>
          </w:tcPr>
          <w:p w14:paraId="7BA76073" w14:textId="77777777" w:rsidR="003A33A6" w:rsidRPr="00B30A12" w:rsidRDefault="003A33A6" w:rsidP="00DA7B0B">
            <w:pPr>
              <w:keepNext/>
              <w:widowControl w:val="0"/>
              <w:jc w:val="center"/>
              <w:rPr>
                <w:color w:val="000000"/>
                <w:sz w:val="22"/>
                <w:szCs w:val="22"/>
              </w:rPr>
            </w:pPr>
            <w:r w:rsidRPr="00B30A12">
              <w:rPr>
                <w:color w:val="000000"/>
                <w:sz w:val="22"/>
                <w:szCs w:val="22"/>
              </w:rPr>
              <w:t>Studie 0110</w:t>
            </w:r>
          </w:p>
          <w:p w14:paraId="5F2C081F" w14:textId="77777777" w:rsidR="003A33A6" w:rsidRPr="00B30A12" w:rsidRDefault="003A33A6" w:rsidP="00DA7B0B">
            <w:pPr>
              <w:keepNext/>
              <w:widowControl w:val="0"/>
              <w:jc w:val="center"/>
              <w:rPr>
                <w:color w:val="000000"/>
                <w:sz w:val="22"/>
                <w:szCs w:val="22"/>
              </w:rPr>
            </w:pPr>
            <w:r w:rsidRPr="00B30A12">
              <w:rPr>
                <w:color w:val="000000"/>
                <w:sz w:val="22"/>
                <w:szCs w:val="22"/>
              </w:rPr>
              <w:t>37-Monatsdaten</w:t>
            </w:r>
          </w:p>
          <w:p w14:paraId="37408047" w14:textId="77777777" w:rsidR="003A33A6" w:rsidRPr="00B30A12" w:rsidRDefault="003A33A6" w:rsidP="00DA7B0B">
            <w:pPr>
              <w:keepNext/>
              <w:widowControl w:val="0"/>
              <w:jc w:val="center"/>
              <w:rPr>
                <w:color w:val="000000"/>
                <w:sz w:val="22"/>
                <w:szCs w:val="22"/>
              </w:rPr>
            </w:pPr>
            <w:r w:rsidRPr="00B30A12">
              <w:rPr>
                <w:color w:val="000000"/>
                <w:sz w:val="22"/>
                <w:szCs w:val="22"/>
              </w:rPr>
              <w:t>Chronische Phase,</w:t>
            </w:r>
          </w:p>
          <w:p w14:paraId="4085F6AA" w14:textId="77777777" w:rsidR="003A33A6" w:rsidRPr="00B30A12" w:rsidRDefault="003A33A6" w:rsidP="00DA7B0B">
            <w:pPr>
              <w:keepNext/>
              <w:widowControl w:val="0"/>
              <w:jc w:val="center"/>
              <w:rPr>
                <w:color w:val="000000"/>
                <w:sz w:val="22"/>
                <w:szCs w:val="22"/>
              </w:rPr>
            </w:pPr>
            <w:r w:rsidRPr="00B30A12">
              <w:rPr>
                <w:color w:val="000000"/>
                <w:sz w:val="22"/>
                <w:szCs w:val="22"/>
              </w:rPr>
              <w:t>IFN-Versagen (n=532)</w:t>
            </w:r>
          </w:p>
        </w:tc>
        <w:tc>
          <w:tcPr>
            <w:tcW w:w="1985" w:type="dxa"/>
            <w:tcBorders>
              <w:bottom w:val="nil"/>
            </w:tcBorders>
          </w:tcPr>
          <w:p w14:paraId="6E54AD8C" w14:textId="77777777" w:rsidR="003A33A6" w:rsidRPr="00B30A12" w:rsidRDefault="003A33A6" w:rsidP="00DA7B0B">
            <w:pPr>
              <w:keepNext/>
              <w:widowControl w:val="0"/>
              <w:jc w:val="center"/>
              <w:rPr>
                <w:color w:val="000000"/>
                <w:sz w:val="22"/>
                <w:szCs w:val="22"/>
              </w:rPr>
            </w:pPr>
            <w:r w:rsidRPr="00B30A12">
              <w:rPr>
                <w:color w:val="000000"/>
                <w:sz w:val="22"/>
                <w:szCs w:val="22"/>
              </w:rPr>
              <w:t>Studie 0190</w:t>
            </w:r>
          </w:p>
          <w:p w14:paraId="4192D33D" w14:textId="77777777" w:rsidR="003A33A6" w:rsidRPr="00B30A12" w:rsidRDefault="003A33A6" w:rsidP="00DA7B0B">
            <w:pPr>
              <w:keepNext/>
              <w:widowControl w:val="0"/>
              <w:jc w:val="center"/>
              <w:rPr>
                <w:color w:val="000000"/>
                <w:sz w:val="22"/>
                <w:szCs w:val="22"/>
              </w:rPr>
            </w:pPr>
            <w:r w:rsidRPr="00B30A12">
              <w:rPr>
                <w:color w:val="000000"/>
                <w:sz w:val="22"/>
                <w:szCs w:val="22"/>
              </w:rPr>
              <w:t>40,5-Monatsdaten</w:t>
            </w:r>
          </w:p>
          <w:p w14:paraId="38BE9CE8" w14:textId="77777777" w:rsidR="003A33A6" w:rsidRPr="00B30A12" w:rsidRDefault="003A33A6" w:rsidP="00DA7B0B">
            <w:pPr>
              <w:keepNext/>
              <w:widowControl w:val="0"/>
              <w:jc w:val="center"/>
              <w:rPr>
                <w:color w:val="000000"/>
                <w:sz w:val="22"/>
                <w:szCs w:val="22"/>
              </w:rPr>
            </w:pPr>
            <w:r w:rsidRPr="00B30A12">
              <w:rPr>
                <w:color w:val="000000"/>
                <w:sz w:val="22"/>
                <w:szCs w:val="22"/>
              </w:rPr>
              <w:t>Akzelerierte Phase</w:t>
            </w:r>
          </w:p>
          <w:p w14:paraId="039650A5" w14:textId="77777777" w:rsidR="003A33A6" w:rsidRPr="00B30A12" w:rsidRDefault="003A33A6" w:rsidP="00DA7B0B">
            <w:pPr>
              <w:keepNext/>
              <w:widowControl w:val="0"/>
              <w:jc w:val="center"/>
              <w:rPr>
                <w:color w:val="000000"/>
                <w:sz w:val="22"/>
                <w:szCs w:val="22"/>
              </w:rPr>
            </w:pPr>
            <w:r w:rsidRPr="00B30A12">
              <w:rPr>
                <w:color w:val="000000"/>
                <w:sz w:val="22"/>
                <w:szCs w:val="22"/>
              </w:rPr>
              <w:t>(n=235)</w:t>
            </w:r>
          </w:p>
        </w:tc>
        <w:tc>
          <w:tcPr>
            <w:tcW w:w="2410" w:type="dxa"/>
            <w:tcBorders>
              <w:bottom w:val="nil"/>
            </w:tcBorders>
          </w:tcPr>
          <w:p w14:paraId="38A06DAF" w14:textId="77777777" w:rsidR="003A33A6" w:rsidRPr="00B30A12" w:rsidRDefault="003A33A6" w:rsidP="00DA7B0B">
            <w:pPr>
              <w:keepNext/>
              <w:widowControl w:val="0"/>
              <w:jc w:val="center"/>
              <w:rPr>
                <w:color w:val="000000"/>
                <w:sz w:val="22"/>
                <w:szCs w:val="22"/>
              </w:rPr>
            </w:pPr>
            <w:r w:rsidRPr="00B30A12">
              <w:rPr>
                <w:color w:val="000000"/>
                <w:sz w:val="22"/>
                <w:szCs w:val="22"/>
              </w:rPr>
              <w:t>Studie 0102</w:t>
            </w:r>
          </w:p>
          <w:p w14:paraId="7D9C9EB3" w14:textId="77777777" w:rsidR="003A33A6" w:rsidRPr="00B30A12" w:rsidRDefault="003A33A6" w:rsidP="00DA7B0B">
            <w:pPr>
              <w:keepNext/>
              <w:widowControl w:val="0"/>
              <w:jc w:val="center"/>
              <w:rPr>
                <w:color w:val="000000"/>
                <w:sz w:val="22"/>
                <w:szCs w:val="22"/>
              </w:rPr>
            </w:pPr>
            <w:r w:rsidRPr="00B30A12">
              <w:rPr>
                <w:color w:val="000000"/>
                <w:sz w:val="22"/>
                <w:szCs w:val="22"/>
              </w:rPr>
              <w:t>38-Monatsdaten</w:t>
            </w:r>
          </w:p>
          <w:p w14:paraId="7C8127D8" w14:textId="77777777" w:rsidR="003A33A6" w:rsidRPr="00B30A12" w:rsidRDefault="003A33A6" w:rsidP="00DA7B0B">
            <w:pPr>
              <w:keepNext/>
              <w:widowControl w:val="0"/>
              <w:jc w:val="center"/>
              <w:rPr>
                <w:color w:val="000000"/>
                <w:sz w:val="22"/>
                <w:szCs w:val="22"/>
              </w:rPr>
            </w:pPr>
            <w:r w:rsidRPr="00B30A12">
              <w:rPr>
                <w:color w:val="000000"/>
                <w:sz w:val="22"/>
                <w:szCs w:val="22"/>
              </w:rPr>
              <w:t>Myeloische Blastenkrise (n=260)</w:t>
            </w:r>
          </w:p>
        </w:tc>
      </w:tr>
      <w:tr w:rsidR="003A33A6" w:rsidRPr="00B30A12" w14:paraId="008A685C" w14:textId="77777777" w:rsidTr="00DA7B0B">
        <w:trPr>
          <w:cantSplit/>
        </w:trPr>
        <w:tc>
          <w:tcPr>
            <w:tcW w:w="2552" w:type="dxa"/>
            <w:tcBorders>
              <w:bottom w:val="nil"/>
              <w:right w:val="nil"/>
            </w:tcBorders>
          </w:tcPr>
          <w:p w14:paraId="68C2F482" w14:textId="77777777" w:rsidR="003A33A6" w:rsidRPr="00B30A12" w:rsidRDefault="003A33A6" w:rsidP="00DA7B0B">
            <w:pPr>
              <w:keepNext/>
              <w:widowControl w:val="0"/>
              <w:rPr>
                <w:color w:val="000000"/>
                <w:sz w:val="22"/>
                <w:szCs w:val="22"/>
              </w:rPr>
            </w:pPr>
          </w:p>
        </w:tc>
        <w:tc>
          <w:tcPr>
            <w:tcW w:w="6521" w:type="dxa"/>
            <w:gridSpan w:val="3"/>
            <w:tcBorders>
              <w:left w:val="nil"/>
            </w:tcBorders>
          </w:tcPr>
          <w:p w14:paraId="1A2B0C7A" w14:textId="77777777" w:rsidR="003A33A6" w:rsidRPr="00B30A12" w:rsidRDefault="003A33A6" w:rsidP="00DA7B0B">
            <w:pPr>
              <w:keepNext/>
              <w:widowControl w:val="0"/>
              <w:jc w:val="center"/>
              <w:rPr>
                <w:color w:val="000000"/>
                <w:sz w:val="22"/>
                <w:szCs w:val="22"/>
              </w:rPr>
            </w:pPr>
            <w:r w:rsidRPr="00B30A12">
              <w:rPr>
                <w:color w:val="000000"/>
                <w:sz w:val="22"/>
                <w:szCs w:val="22"/>
              </w:rPr>
              <w:t>% der Patienten (</w:t>
            </w:r>
            <w:r w:rsidR="008B0DF4" w:rsidRPr="00B30A12">
              <w:rPr>
                <w:color w:val="000000"/>
                <w:sz w:val="22"/>
                <w:szCs w:val="22"/>
              </w:rPr>
              <w:t>KI</w:t>
            </w:r>
            <w:r w:rsidRPr="00B30A12">
              <w:rPr>
                <w:color w:val="000000"/>
                <w:sz w:val="22"/>
                <w:szCs w:val="22"/>
                <w:vertAlign w:val="subscript"/>
              </w:rPr>
              <w:t>95%</w:t>
            </w:r>
            <w:r w:rsidRPr="00B30A12">
              <w:rPr>
                <w:color w:val="000000"/>
                <w:sz w:val="22"/>
                <w:szCs w:val="22"/>
              </w:rPr>
              <w:t>)</w:t>
            </w:r>
          </w:p>
        </w:tc>
      </w:tr>
      <w:tr w:rsidR="003A33A6" w:rsidRPr="00B30A12" w14:paraId="56EE1875" w14:textId="77777777" w:rsidTr="00DA7B0B">
        <w:trPr>
          <w:cantSplit/>
        </w:trPr>
        <w:tc>
          <w:tcPr>
            <w:tcW w:w="2552" w:type="dxa"/>
            <w:tcBorders>
              <w:bottom w:val="nil"/>
            </w:tcBorders>
          </w:tcPr>
          <w:p w14:paraId="58D24233" w14:textId="77777777" w:rsidR="003A33A6" w:rsidRPr="00B30A12" w:rsidRDefault="003A33A6" w:rsidP="00DA7B0B">
            <w:pPr>
              <w:keepNext/>
              <w:widowControl w:val="0"/>
              <w:rPr>
                <w:color w:val="000000"/>
                <w:sz w:val="22"/>
                <w:szCs w:val="22"/>
              </w:rPr>
            </w:pPr>
            <w:r w:rsidRPr="00B30A12">
              <w:rPr>
                <w:color w:val="000000"/>
                <w:sz w:val="22"/>
                <w:szCs w:val="22"/>
              </w:rPr>
              <w:t>Hämatologische Remission</w:t>
            </w:r>
            <w:r w:rsidRPr="00B30A12">
              <w:rPr>
                <w:color w:val="000000"/>
                <w:sz w:val="22"/>
                <w:szCs w:val="22"/>
                <w:vertAlign w:val="superscript"/>
              </w:rPr>
              <w:t>1</w:t>
            </w:r>
          </w:p>
        </w:tc>
        <w:tc>
          <w:tcPr>
            <w:tcW w:w="2126" w:type="dxa"/>
            <w:tcBorders>
              <w:bottom w:val="nil"/>
            </w:tcBorders>
          </w:tcPr>
          <w:p w14:paraId="154281E3" w14:textId="77777777" w:rsidR="003A33A6" w:rsidRPr="00B30A12" w:rsidRDefault="003A33A6" w:rsidP="00DA7B0B">
            <w:pPr>
              <w:keepNext/>
              <w:widowControl w:val="0"/>
              <w:jc w:val="center"/>
              <w:rPr>
                <w:color w:val="000000"/>
                <w:sz w:val="22"/>
                <w:szCs w:val="22"/>
              </w:rPr>
            </w:pPr>
            <w:r w:rsidRPr="00B30A12">
              <w:rPr>
                <w:color w:val="000000"/>
                <w:sz w:val="22"/>
                <w:szCs w:val="22"/>
              </w:rPr>
              <w:t>95% (92,3–96,3)</w:t>
            </w:r>
          </w:p>
        </w:tc>
        <w:tc>
          <w:tcPr>
            <w:tcW w:w="1985" w:type="dxa"/>
            <w:tcBorders>
              <w:bottom w:val="nil"/>
            </w:tcBorders>
          </w:tcPr>
          <w:p w14:paraId="337D9ADC" w14:textId="77777777" w:rsidR="003A33A6" w:rsidRPr="00B30A12" w:rsidRDefault="003A33A6" w:rsidP="00DA7B0B">
            <w:pPr>
              <w:keepNext/>
              <w:widowControl w:val="0"/>
              <w:jc w:val="center"/>
              <w:rPr>
                <w:color w:val="000000"/>
                <w:sz w:val="22"/>
                <w:szCs w:val="22"/>
              </w:rPr>
            </w:pPr>
            <w:r w:rsidRPr="00B30A12">
              <w:rPr>
                <w:color w:val="000000"/>
                <w:sz w:val="22"/>
                <w:szCs w:val="22"/>
              </w:rPr>
              <w:t>71% (65,3–77,2)</w:t>
            </w:r>
          </w:p>
        </w:tc>
        <w:tc>
          <w:tcPr>
            <w:tcW w:w="2410" w:type="dxa"/>
            <w:tcBorders>
              <w:bottom w:val="nil"/>
            </w:tcBorders>
          </w:tcPr>
          <w:p w14:paraId="74AAC901" w14:textId="77777777" w:rsidR="003A33A6" w:rsidRPr="00B30A12" w:rsidRDefault="003A33A6" w:rsidP="00DA7B0B">
            <w:pPr>
              <w:keepNext/>
              <w:widowControl w:val="0"/>
              <w:jc w:val="center"/>
              <w:rPr>
                <w:color w:val="000000"/>
                <w:sz w:val="22"/>
                <w:szCs w:val="22"/>
              </w:rPr>
            </w:pPr>
            <w:r w:rsidRPr="00B30A12">
              <w:rPr>
                <w:color w:val="000000"/>
                <w:sz w:val="22"/>
                <w:szCs w:val="22"/>
              </w:rPr>
              <w:t>31% (25,2–36,8)</w:t>
            </w:r>
          </w:p>
        </w:tc>
      </w:tr>
      <w:tr w:rsidR="003A33A6" w:rsidRPr="00B30A12" w14:paraId="0F8D00F9" w14:textId="77777777" w:rsidTr="00DA7B0B">
        <w:trPr>
          <w:cantSplit/>
        </w:trPr>
        <w:tc>
          <w:tcPr>
            <w:tcW w:w="2552" w:type="dxa"/>
            <w:tcBorders>
              <w:top w:val="nil"/>
              <w:bottom w:val="nil"/>
            </w:tcBorders>
          </w:tcPr>
          <w:p w14:paraId="072D2C54" w14:textId="77777777" w:rsidR="003A33A6" w:rsidRPr="00B30A12" w:rsidRDefault="003A33A6" w:rsidP="00DA7B0B">
            <w:pPr>
              <w:keepNext/>
              <w:widowControl w:val="0"/>
              <w:ind w:left="318"/>
              <w:rPr>
                <w:color w:val="000000"/>
                <w:sz w:val="22"/>
                <w:szCs w:val="22"/>
              </w:rPr>
            </w:pPr>
            <w:r w:rsidRPr="00B30A12">
              <w:rPr>
                <w:color w:val="000000"/>
                <w:sz w:val="22"/>
                <w:szCs w:val="22"/>
              </w:rPr>
              <w:t>Komplette hämatologische Remission (</w:t>
            </w:r>
            <w:smartTag w:uri="urn:schemas-microsoft-com:office:smarttags" w:element="stockticker">
              <w:r w:rsidRPr="00B30A12">
                <w:rPr>
                  <w:color w:val="000000"/>
                  <w:sz w:val="22"/>
                  <w:szCs w:val="22"/>
                </w:rPr>
                <w:t>CHR</w:t>
              </w:r>
            </w:smartTag>
            <w:r w:rsidRPr="00B30A12">
              <w:rPr>
                <w:color w:val="000000"/>
                <w:sz w:val="22"/>
                <w:szCs w:val="22"/>
              </w:rPr>
              <w:t>)</w:t>
            </w:r>
          </w:p>
        </w:tc>
        <w:tc>
          <w:tcPr>
            <w:tcW w:w="2126" w:type="dxa"/>
            <w:tcBorders>
              <w:top w:val="nil"/>
              <w:bottom w:val="nil"/>
            </w:tcBorders>
          </w:tcPr>
          <w:p w14:paraId="6B0A549A" w14:textId="77777777" w:rsidR="003A33A6" w:rsidRPr="00B30A12" w:rsidRDefault="003A33A6" w:rsidP="00DA7B0B">
            <w:pPr>
              <w:keepNext/>
              <w:widowControl w:val="0"/>
              <w:jc w:val="center"/>
              <w:rPr>
                <w:color w:val="000000"/>
                <w:sz w:val="22"/>
                <w:szCs w:val="22"/>
              </w:rPr>
            </w:pPr>
            <w:r w:rsidRPr="00B30A12">
              <w:rPr>
                <w:color w:val="000000"/>
                <w:sz w:val="22"/>
                <w:szCs w:val="22"/>
              </w:rPr>
              <w:t>95%</w:t>
            </w:r>
          </w:p>
        </w:tc>
        <w:tc>
          <w:tcPr>
            <w:tcW w:w="1985" w:type="dxa"/>
            <w:tcBorders>
              <w:top w:val="nil"/>
              <w:bottom w:val="nil"/>
            </w:tcBorders>
          </w:tcPr>
          <w:p w14:paraId="065C79BB" w14:textId="77777777" w:rsidR="003A33A6" w:rsidRPr="00B30A12" w:rsidRDefault="003A33A6" w:rsidP="00DA7B0B">
            <w:pPr>
              <w:keepNext/>
              <w:widowControl w:val="0"/>
              <w:jc w:val="center"/>
              <w:rPr>
                <w:color w:val="000000"/>
                <w:sz w:val="22"/>
                <w:szCs w:val="22"/>
              </w:rPr>
            </w:pPr>
            <w:r w:rsidRPr="00B30A12">
              <w:rPr>
                <w:color w:val="000000"/>
                <w:sz w:val="22"/>
                <w:szCs w:val="22"/>
              </w:rPr>
              <w:t>42%</w:t>
            </w:r>
          </w:p>
        </w:tc>
        <w:tc>
          <w:tcPr>
            <w:tcW w:w="2410" w:type="dxa"/>
            <w:tcBorders>
              <w:top w:val="nil"/>
              <w:bottom w:val="nil"/>
            </w:tcBorders>
          </w:tcPr>
          <w:p w14:paraId="24B6B00F" w14:textId="77777777" w:rsidR="003A33A6" w:rsidRPr="00B30A12" w:rsidRDefault="003A33A6" w:rsidP="00DA7B0B">
            <w:pPr>
              <w:keepNext/>
              <w:widowControl w:val="0"/>
              <w:jc w:val="center"/>
              <w:rPr>
                <w:color w:val="000000"/>
                <w:sz w:val="22"/>
                <w:szCs w:val="22"/>
              </w:rPr>
            </w:pPr>
            <w:r w:rsidRPr="00B30A12">
              <w:rPr>
                <w:color w:val="000000"/>
                <w:sz w:val="22"/>
                <w:szCs w:val="22"/>
              </w:rPr>
              <w:t>8%</w:t>
            </w:r>
          </w:p>
        </w:tc>
      </w:tr>
      <w:tr w:rsidR="003A33A6" w:rsidRPr="00B30A12" w14:paraId="0BB4E3E7" w14:textId="77777777" w:rsidTr="00DA7B0B">
        <w:trPr>
          <w:cantSplit/>
        </w:trPr>
        <w:tc>
          <w:tcPr>
            <w:tcW w:w="2552" w:type="dxa"/>
            <w:tcBorders>
              <w:top w:val="nil"/>
              <w:bottom w:val="nil"/>
            </w:tcBorders>
          </w:tcPr>
          <w:p w14:paraId="2F6B1BE9" w14:textId="77777777" w:rsidR="003A33A6" w:rsidRPr="00B30A12" w:rsidRDefault="003A33A6" w:rsidP="00DA7B0B">
            <w:pPr>
              <w:keepNext/>
              <w:widowControl w:val="0"/>
              <w:ind w:left="318"/>
              <w:rPr>
                <w:color w:val="000000"/>
                <w:sz w:val="22"/>
                <w:szCs w:val="22"/>
              </w:rPr>
            </w:pPr>
            <w:r w:rsidRPr="00B30A12">
              <w:rPr>
                <w:color w:val="000000"/>
                <w:sz w:val="22"/>
                <w:szCs w:val="22"/>
              </w:rPr>
              <w:t>Keine Leukämie mehr nachweisbar (NEL)</w:t>
            </w:r>
          </w:p>
        </w:tc>
        <w:tc>
          <w:tcPr>
            <w:tcW w:w="2126" w:type="dxa"/>
            <w:tcBorders>
              <w:top w:val="nil"/>
              <w:bottom w:val="nil"/>
            </w:tcBorders>
          </w:tcPr>
          <w:p w14:paraId="3B1A901D" w14:textId="77777777" w:rsidR="003A33A6" w:rsidRPr="00B30A12" w:rsidRDefault="003A33A6" w:rsidP="00DA7B0B">
            <w:pPr>
              <w:keepNext/>
              <w:widowControl w:val="0"/>
              <w:jc w:val="center"/>
              <w:rPr>
                <w:color w:val="000000"/>
                <w:sz w:val="22"/>
                <w:szCs w:val="22"/>
              </w:rPr>
            </w:pPr>
            <w:r w:rsidRPr="00B30A12">
              <w:rPr>
                <w:color w:val="000000"/>
                <w:sz w:val="22"/>
                <w:szCs w:val="22"/>
              </w:rPr>
              <w:t>Nicht zutreffend</w:t>
            </w:r>
          </w:p>
        </w:tc>
        <w:tc>
          <w:tcPr>
            <w:tcW w:w="1985" w:type="dxa"/>
            <w:tcBorders>
              <w:top w:val="nil"/>
              <w:bottom w:val="nil"/>
            </w:tcBorders>
          </w:tcPr>
          <w:p w14:paraId="0517738B" w14:textId="77777777" w:rsidR="003A33A6" w:rsidRPr="00B30A12" w:rsidRDefault="003A33A6" w:rsidP="00DA7B0B">
            <w:pPr>
              <w:keepNext/>
              <w:widowControl w:val="0"/>
              <w:jc w:val="center"/>
              <w:rPr>
                <w:color w:val="000000"/>
                <w:sz w:val="22"/>
                <w:szCs w:val="22"/>
              </w:rPr>
            </w:pPr>
            <w:r w:rsidRPr="00B30A12">
              <w:rPr>
                <w:color w:val="000000"/>
                <w:sz w:val="22"/>
                <w:szCs w:val="22"/>
              </w:rPr>
              <w:t>12%</w:t>
            </w:r>
          </w:p>
        </w:tc>
        <w:tc>
          <w:tcPr>
            <w:tcW w:w="2410" w:type="dxa"/>
            <w:tcBorders>
              <w:top w:val="nil"/>
              <w:bottom w:val="nil"/>
            </w:tcBorders>
          </w:tcPr>
          <w:p w14:paraId="6FB84827" w14:textId="77777777" w:rsidR="003A33A6" w:rsidRPr="00B30A12" w:rsidRDefault="003A33A6" w:rsidP="00DA7B0B">
            <w:pPr>
              <w:keepNext/>
              <w:widowControl w:val="0"/>
              <w:jc w:val="center"/>
              <w:rPr>
                <w:color w:val="000000"/>
                <w:sz w:val="22"/>
                <w:szCs w:val="22"/>
              </w:rPr>
            </w:pPr>
            <w:r w:rsidRPr="00B30A12">
              <w:rPr>
                <w:color w:val="000000"/>
                <w:sz w:val="22"/>
                <w:szCs w:val="22"/>
              </w:rPr>
              <w:t>5%</w:t>
            </w:r>
          </w:p>
        </w:tc>
      </w:tr>
      <w:tr w:rsidR="003A33A6" w:rsidRPr="00B30A12" w14:paraId="0E9A97E1" w14:textId="77777777" w:rsidTr="00DA7B0B">
        <w:trPr>
          <w:cantSplit/>
        </w:trPr>
        <w:tc>
          <w:tcPr>
            <w:tcW w:w="2552" w:type="dxa"/>
            <w:tcBorders>
              <w:top w:val="nil"/>
              <w:bottom w:val="nil"/>
            </w:tcBorders>
          </w:tcPr>
          <w:p w14:paraId="3597BF67" w14:textId="77777777" w:rsidR="003A33A6" w:rsidRPr="00B30A12" w:rsidRDefault="003A33A6" w:rsidP="00DA7B0B">
            <w:pPr>
              <w:keepNext/>
              <w:widowControl w:val="0"/>
              <w:ind w:left="318"/>
              <w:rPr>
                <w:color w:val="000000"/>
                <w:sz w:val="22"/>
                <w:szCs w:val="22"/>
              </w:rPr>
            </w:pPr>
            <w:r w:rsidRPr="00B30A12">
              <w:rPr>
                <w:color w:val="000000"/>
                <w:sz w:val="22"/>
                <w:szCs w:val="22"/>
              </w:rPr>
              <w:t>Wiedereintritt in die chronische Phase (</w:t>
            </w:r>
            <w:smartTag w:uri="urn:schemas-microsoft-com:office:smarttags" w:element="stockticker">
              <w:r w:rsidRPr="00B30A12">
                <w:rPr>
                  <w:color w:val="000000"/>
                  <w:sz w:val="22"/>
                  <w:szCs w:val="22"/>
                </w:rPr>
                <w:t>RTC</w:t>
              </w:r>
            </w:smartTag>
            <w:r w:rsidRPr="00B30A12">
              <w:rPr>
                <w:color w:val="000000"/>
                <w:sz w:val="22"/>
                <w:szCs w:val="22"/>
              </w:rPr>
              <w:t>)</w:t>
            </w:r>
          </w:p>
        </w:tc>
        <w:tc>
          <w:tcPr>
            <w:tcW w:w="2126" w:type="dxa"/>
            <w:tcBorders>
              <w:top w:val="nil"/>
              <w:bottom w:val="nil"/>
            </w:tcBorders>
          </w:tcPr>
          <w:p w14:paraId="1996ABE3" w14:textId="77777777" w:rsidR="003A33A6" w:rsidRPr="00B30A12" w:rsidRDefault="003A33A6" w:rsidP="00DA7B0B">
            <w:pPr>
              <w:keepNext/>
              <w:widowControl w:val="0"/>
              <w:jc w:val="center"/>
              <w:rPr>
                <w:color w:val="000000"/>
                <w:sz w:val="22"/>
                <w:szCs w:val="22"/>
              </w:rPr>
            </w:pPr>
            <w:r w:rsidRPr="00B30A12">
              <w:rPr>
                <w:color w:val="000000"/>
                <w:sz w:val="22"/>
                <w:szCs w:val="22"/>
              </w:rPr>
              <w:t>Nicht zutreffend</w:t>
            </w:r>
          </w:p>
        </w:tc>
        <w:tc>
          <w:tcPr>
            <w:tcW w:w="1985" w:type="dxa"/>
            <w:tcBorders>
              <w:top w:val="nil"/>
              <w:bottom w:val="nil"/>
            </w:tcBorders>
          </w:tcPr>
          <w:p w14:paraId="444CD24C" w14:textId="77777777" w:rsidR="003A33A6" w:rsidRPr="00B30A12" w:rsidRDefault="003A33A6" w:rsidP="00DA7B0B">
            <w:pPr>
              <w:keepNext/>
              <w:widowControl w:val="0"/>
              <w:jc w:val="center"/>
              <w:rPr>
                <w:color w:val="000000"/>
                <w:sz w:val="22"/>
                <w:szCs w:val="22"/>
              </w:rPr>
            </w:pPr>
            <w:r w:rsidRPr="00B30A12">
              <w:rPr>
                <w:color w:val="000000"/>
                <w:sz w:val="22"/>
                <w:szCs w:val="22"/>
              </w:rPr>
              <w:t>17%</w:t>
            </w:r>
          </w:p>
        </w:tc>
        <w:tc>
          <w:tcPr>
            <w:tcW w:w="2410" w:type="dxa"/>
            <w:tcBorders>
              <w:top w:val="nil"/>
              <w:bottom w:val="nil"/>
            </w:tcBorders>
          </w:tcPr>
          <w:p w14:paraId="522C753D" w14:textId="77777777" w:rsidR="003A33A6" w:rsidRPr="00B30A12" w:rsidRDefault="003A33A6" w:rsidP="00DA7B0B">
            <w:pPr>
              <w:keepNext/>
              <w:widowControl w:val="0"/>
              <w:jc w:val="center"/>
              <w:rPr>
                <w:color w:val="000000"/>
                <w:sz w:val="22"/>
                <w:szCs w:val="22"/>
              </w:rPr>
            </w:pPr>
            <w:r w:rsidRPr="00B30A12">
              <w:rPr>
                <w:color w:val="000000"/>
                <w:sz w:val="22"/>
                <w:szCs w:val="22"/>
              </w:rPr>
              <w:t>18%</w:t>
            </w:r>
          </w:p>
        </w:tc>
      </w:tr>
      <w:tr w:rsidR="003A33A6" w:rsidRPr="00B30A12" w14:paraId="0E464CF2" w14:textId="77777777" w:rsidTr="00DA7B0B">
        <w:trPr>
          <w:cantSplit/>
        </w:trPr>
        <w:tc>
          <w:tcPr>
            <w:tcW w:w="2552" w:type="dxa"/>
            <w:tcBorders>
              <w:top w:val="single" w:sz="4" w:space="0" w:color="auto"/>
              <w:bottom w:val="nil"/>
            </w:tcBorders>
          </w:tcPr>
          <w:p w14:paraId="5BC149BC" w14:textId="77777777" w:rsidR="003A33A6" w:rsidRPr="00B30A12" w:rsidRDefault="003A33A6" w:rsidP="00DA7B0B">
            <w:pPr>
              <w:pStyle w:val="Header"/>
              <w:keepNext/>
              <w:widowControl w:val="0"/>
              <w:tabs>
                <w:tab w:val="clear" w:pos="4320"/>
                <w:tab w:val="clear" w:pos="8640"/>
              </w:tabs>
              <w:rPr>
                <w:color w:val="000000"/>
                <w:szCs w:val="22"/>
              </w:rPr>
            </w:pPr>
            <w:r w:rsidRPr="00B30A12">
              <w:rPr>
                <w:color w:val="000000"/>
                <w:szCs w:val="22"/>
              </w:rPr>
              <w:t>Gute zytogenetische Remission</w:t>
            </w:r>
            <w:r w:rsidRPr="00B30A12">
              <w:rPr>
                <w:color w:val="000000"/>
                <w:szCs w:val="22"/>
                <w:vertAlign w:val="superscript"/>
              </w:rPr>
              <w:t>2</w:t>
            </w:r>
          </w:p>
        </w:tc>
        <w:tc>
          <w:tcPr>
            <w:tcW w:w="2126" w:type="dxa"/>
            <w:tcBorders>
              <w:top w:val="single" w:sz="4" w:space="0" w:color="auto"/>
              <w:bottom w:val="nil"/>
            </w:tcBorders>
          </w:tcPr>
          <w:p w14:paraId="21369794" w14:textId="77777777" w:rsidR="003A33A6" w:rsidRPr="00B30A12" w:rsidRDefault="003A33A6" w:rsidP="00DA7B0B">
            <w:pPr>
              <w:keepNext/>
              <w:widowControl w:val="0"/>
              <w:jc w:val="center"/>
              <w:rPr>
                <w:color w:val="000000"/>
                <w:sz w:val="22"/>
                <w:szCs w:val="22"/>
              </w:rPr>
            </w:pPr>
            <w:r w:rsidRPr="00B30A12">
              <w:rPr>
                <w:color w:val="000000"/>
                <w:sz w:val="22"/>
                <w:szCs w:val="22"/>
              </w:rPr>
              <w:t>65% (61,2–69,5)</w:t>
            </w:r>
          </w:p>
        </w:tc>
        <w:tc>
          <w:tcPr>
            <w:tcW w:w="1985" w:type="dxa"/>
            <w:tcBorders>
              <w:top w:val="single" w:sz="4" w:space="0" w:color="auto"/>
              <w:bottom w:val="nil"/>
            </w:tcBorders>
          </w:tcPr>
          <w:p w14:paraId="4661B9EB" w14:textId="77777777" w:rsidR="003A33A6" w:rsidRPr="00B30A12" w:rsidRDefault="003A33A6" w:rsidP="00DA7B0B">
            <w:pPr>
              <w:keepNext/>
              <w:widowControl w:val="0"/>
              <w:jc w:val="center"/>
              <w:rPr>
                <w:color w:val="000000"/>
                <w:sz w:val="22"/>
                <w:szCs w:val="22"/>
              </w:rPr>
            </w:pPr>
            <w:r w:rsidRPr="00B30A12">
              <w:rPr>
                <w:color w:val="000000"/>
                <w:sz w:val="22"/>
                <w:szCs w:val="22"/>
              </w:rPr>
              <w:t>28% (22,0–33,9)</w:t>
            </w:r>
          </w:p>
        </w:tc>
        <w:tc>
          <w:tcPr>
            <w:tcW w:w="2410" w:type="dxa"/>
            <w:tcBorders>
              <w:top w:val="single" w:sz="4" w:space="0" w:color="auto"/>
              <w:bottom w:val="nil"/>
            </w:tcBorders>
          </w:tcPr>
          <w:p w14:paraId="2E264C35" w14:textId="77777777" w:rsidR="003A33A6" w:rsidRPr="00B30A12" w:rsidRDefault="003A33A6" w:rsidP="00DA7B0B">
            <w:pPr>
              <w:keepNext/>
              <w:widowControl w:val="0"/>
              <w:jc w:val="center"/>
              <w:rPr>
                <w:color w:val="000000"/>
                <w:sz w:val="22"/>
                <w:szCs w:val="22"/>
              </w:rPr>
            </w:pPr>
            <w:r w:rsidRPr="00B30A12">
              <w:rPr>
                <w:color w:val="000000"/>
                <w:sz w:val="22"/>
                <w:szCs w:val="22"/>
              </w:rPr>
              <w:t>15% (11,2–20,4)</w:t>
            </w:r>
          </w:p>
        </w:tc>
      </w:tr>
      <w:tr w:rsidR="003A33A6" w:rsidRPr="00B30A12" w14:paraId="2917297A" w14:textId="77777777" w:rsidTr="00DA7B0B">
        <w:trPr>
          <w:cantSplit/>
        </w:trPr>
        <w:tc>
          <w:tcPr>
            <w:tcW w:w="2552" w:type="dxa"/>
            <w:tcBorders>
              <w:top w:val="nil"/>
              <w:bottom w:val="nil"/>
            </w:tcBorders>
          </w:tcPr>
          <w:p w14:paraId="3A02A287" w14:textId="77777777" w:rsidR="003A33A6" w:rsidRPr="00B30A12" w:rsidRDefault="003A33A6" w:rsidP="00DA7B0B">
            <w:pPr>
              <w:pStyle w:val="Header"/>
              <w:keepNext/>
              <w:widowControl w:val="0"/>
              <w:tabs>
                <w:tab w:val="clear" w:pos="4320"/>
                <w:tab w:val="clear" w:pos="8640"/>
              </w:tabs>
              <w:ind w:left="318"/>
              <w:rPr>
                <w:color w:val="000000"/>
                <w:szCs w:val="22"/>
              </w:rPr>
            </w:pPr>
            <w:r w:rsidRPr="00B30A12">
              <w:rPr>
                <w:color w:val="000000"/>
                <w:szCs w:val="22"/>
              </w:rPr>
              <w:t>Komplett</w:t>
            </w:r>
          </w:p>
          <w:p w14:paraId="1221DAE1" w14:textId="77777777" w:rsidR="003A33A6" w:rsidRPr="00B30A12" w:rsidRDefault="003A33A6" w:rsidP="00DA7B0B">
            <w:pPr>
              <w:pStyle w:val="Header"/>
              <w:keepNext/>
              <w:widowControl w:val="0"/>
              <w:tabs>
                <w:tab w:val="clear" w:pos="4320"/>
                <w:tab w:val="clear" w:pos="8640"/>
              </w:tabs>
              <w:ind w:left="318"/>
              <w:rPr>
                <w:color w:val="000000"/>
                <w:szCs w:val="22"/>
              </w:rPr>
            </w:pPr>
            <w:r w:rsidRPr="00B30A12">
              <w:rPr>
                <w:color w:val="000000"/>
                <w:szCs w:val="22"/>
              </w:rPr>
              <w:t>(Bestätigt</w:t>
            </w:r>
            <w:r w:rsidRPr="00B30A12">
              <w:rPr>
                <w:color w:val="000000"/>
                <w:szCs w:val="22"/>
                <w:vertAlign w:val="superscript"/>
              </w:rPr>
              <w:t>3</w:t>
            </w:r>
            <w:r w:rsidRPr="00B30A12">
              <w:rPr>
                <w:color w:val="000000"/>
                <w:szCs w:val="22"/>
              </w:rPr>
              <w:t>)[95%</w:t>
            </w:r>
            <w:r w:rsidR="008B0DF4" w:rsidRPr="00B30A12">
              <w:rPr>
                <w:color w:val="000000"/>
                <w:szCs w:val="22"/>
              </w:rPr>
              <w:t>-KI</w:t>
            </w:r>
            <w:r w:rsidRPr="00B30A12">
              <w:rPr>
                <w:color w:val="000000"/>
                <w:szCs w:val="22"/>
              </w:rPr>
              <w:t>]</w:t>
            </w:r>
          </w:p>
        </w:tc>
        <w:tc>
          <w:tcPr>
            <w:tcW w:w="2126" w:type="dxa"/>
            <w:tcBorders>
              <w:top w:val="nil"/>
              <w:bottom w:val="nil"/>
            </w:tcBorders>
          </w:tcPr>
          <w:p w14:paraId="37D6A84E" w14:textId="77777777" w:rsidR="003A33A6" w:rsidRPr="00B30A12" w:rsidRDefault="003A33A6" w:rsidP="00DA7B0B">
            <w:pPr>
              <w:keepNext/>
              <w:widowControl w:val="0"/>
              <w:jc w:val="center"/>
              <w:rPr>
                <w:color w:val="000000"/>
                <w:sz w:val="22"/>
                <w:szCs w:val="22"/>
              </w:rPr>
            </w:pPr>
            <w:r w:rsidRPr="00B30A12">
              <w:rPr>
                <w:color w:val="000000"/>
                <w:sz w:val="22"/>
                <w:szCs w:val="22"/>
              </w:rPr>
              <w:t>53%</w:t>
            </w:r>
          </w:p>
          <w:p w14:paraId="41038583" w14:textId="77777777" w:rsidR="003A33A6" w:rsidRPr="00B30A12" w:rsidRDefault="003A33A6" w:rsidP="00DA7B0B">
            <w:pPr>
              <w:keepNext/>
              <w:widowControl w:val="0"/>
              <w:jc w:val="center"/>
              <w:rPr>
                <w:color w:val="000000"/>
                <w:sz w:val="22"/>
                <w:szCs w:val="22"/>
              </w:rPr>
            </w:pPr>
            <w:r w:rsidRPr="00B30A12">
              <w:rPr>
                <w:color w:val="000000"/>
                <w:sz w:val="22"/>
                <w:szCs w:val="22"/>
              </w:rPr>
              <w:t>(43%)[38,6–47,2]</w:t>
            </w:r>
          </w:p>
        </w:tc>
        <w:tc>
          <w:tcPr>
            <w:tcW w:w="1985" w:type="dxa"/>
            <w:tcBorders>
              <w:top w:val="nil"/>
              <w:bottom w:val="nil"/>
            </w:tcBorders>
          </w:tcPr>
          <w:p w14:paraId="3F25CFE0" w14:textId="77777777" w:rsidR="003A33A6" w:rsidRPr="00B30A12" w:rsidRDefault="003A33A6" w:rsidP="00DA7B0B">
            <w:pPr>
              <w:keepNext/>
              <w:widowControl w:val="0"/>
              <w:jc w:val="center"/>
              <w:rPr>
                <w:color w:val="000000"/>
                <w:sz w:val="22"/>
                <w:szCs w:val="22"/>
              </w:rPr>
            </w:pPr>
            <w:r w:rsidRPr="00B30A12">
              <w:rPr>
                <w:color w:val="000000"/>
                <w:sz w:val="22"/>
                <w:szCs w:val="22"/>
              </w:rPr>
              <w:t>20%</w:t>
            </w:r>
          </w:p>
          <w:p w14:paraId="28A4A3AF" w14:textId="77777777" w:rsidR="003A33A6" w:rsidRPr="00B30A12" w:rsidRDefault="003A33A6" w:rsidP="00DA7B0B">
            <w:pPr>
              <w:keepNext/>
              <w:widowControl w:val="0"/>
              <w:jc w:val="center"/>
              <w:rPr>
                <w:color w:val="000000"/>
                <w:sz w:val="22"/>
                <w:szCs w:val="22"/>
              </w:rPr>
            </w:pPr>
            <w:r w:rsidRPr="00B30A12">
              <w:rPr>
                <w:color w:val="000000"/>
                <w:sz w:val="22"/>
                <w:szCs w:val="22"/>
              </w:rPr>
              <w:t>(16%) [11,3–21,0]</w:t>
            </w:r>
          </w:p>
        </w:tc>
        <w:tc>
          <w:tcPr>
            <w:tcW w:w="2410" w:type="dxa"/>
            <w:tcBorders>
              <w:top w:val="nil"/>
              <w:bottom w:val="nil"/>
            </w:tcBorders>
          </w:tcPr>
          <w:p w14:paraId="4F284C36" w14:textId="77777777" w:rsidR="003A33A6" w:rsidRPr="00B30A12" w:rsidRDefault="003A33A6" w:rsidP="00DA7B0B">
            <w:pPr>
              <w:keepNext/>
              <w:widowControl w:val="0"/>
              <w:jc w:val="center"/>
              <w:rPr>
                <w:color w:val="000000"/>
                <w:sz w:val="22"/>
                <w:szCs w:val="22"/>
              </w:rPr>
            </w:pPr>
            <w:r w:rsidRPr="00B30A12">
              <w:rPr>
                <w:color w:val="000000"/>
                <w:sz w:val="22"/>
                <w:szCs w:val="22"/>
              </w:rPr>
              <w:t>7%</w:t>
            </w:r>
          </w:p>
          <w:p w14:paraId="58009313" w14:textId="77777777" w:rsidR="003A33A6" w:rsidRPr="00B30A12" w:rsidRDefault="003A33A6" w:rsidP="00DA7B0B">
            <w:pPr>
              <w:keepNext/>
              <w:widowControl w:val="0"/>
              <w:jc w:val="center"/>
              <w:rPr>
                <w:color w:val="000000"/>
                <w:sz w:val="22"/>
                <w:szCs w:val="22"/>
              </w:rPr>
            </w:pPr>
            <w:r w:rsidRPr="00B30A12">
              <w:rPr>
                <w:color w:val="000000"/>
                <w:sz w:val="22"/>
                <w:szCs w:val="22"/>
              </w:rPr>
              <w:t>(2%)[0,6–4,4]</w:t>
            </w:r>
          </w:p>
        </w:tc>
      </w:tr>
      <w:tr w:rsidR="003A33A6" w:rsidRPr="00B30A12" w14:paraId="6DF39E25" w14:textId="77777777" w:rsidTr="00DA7B0B">
        <w:trPr>
          <w:cantSplit/>
        </w:trPr>
        <w:tc>
          <w:tcPr>
            <w:tcW w:w="2552" w:type="dxa"/>
            <w:tcBorders>
              <w:top w:val="nil"/>
            </w:tcBorders>
          </w:tcPr>
          <w:p w14:paraId="789F0489" w14:textId="77777777" w:rsidR="003A33A6" w:rsidRPr="00B30A12" w:rsidRDefault="003A33A6" w:rsidP="00DA7B0B">
            <w:pPr>
              <w:pStyle w:val="Header"/>
              <w:keepNext/>
              <w:widowControl w:val="0"/>
              <w:tabs>
                <w:tab w:val="clear" w:pos="4320"/>
                <w:tab w:val="clear" w:pos="8640"/>
              </w:tabs>
              <w:ind w:left="318"/>
              <w:rPr>
                <w:color w:val="000000"/>
                <w:szCs w:val="22"/>
              </w:rPr>
            </w:pPr>
            <w:r w:rsidRPr="00B30A12">
              <w:rPr>
                <w:color w:val="000000"/>
                <w:szCs w:val="22"/>
              </w:rPr>
              <w:t>Partiell</w:t>
            </w:r>
          </w:p>
        </w:tc>
        <w:tc>
          <w:tcPr>
            <w:tcW w:w="2126" w:type="dxa"/>
            <w:tcBorders>
              <w:top w:val="nil"/>
            </w:tcBorders>
          </w:tcPr>
          <w:p w14:paraId="077DE619" w14:textId="77777777" w:rsidR="003A33A6" w:rsidRPr="00B30A12" w:rsidRDefault="003A33A6" w:rsidP="00DA7B0B">
            <w:pPr>
              <w:keepNext/>
              <w:widowControl w:val="0"/>
              <w:jc w:val="center"/>
              <w:rPr>
                <w:color w:val="000000"/>
                <w:sz w:val="22"/>
                <w:szCs w:val="22"/>
              </w:rPr>
            </w:pPr>
            <w:r w:rsidRPr="00B30A12">
              <w:rPr>
                <w:color w:val="000000"/>
                <w:sz w:val="22"/>
                <w:szCs w:val="22"/>
              </w:rPr>
              <w:t>12%</w:t>
            </w:r>
          </w:p>
        </w:tc>
        <w:tc>
          <w:tcPr>
            <w:tcW w:w="1985" w:type="dxa"/>
            <w:tcBorders>
              <w:top w:val="nil"/>
            </w:tcBorders>
          </w:tcPr>
          <w:p w14:paraId="03F0F6F9" w14:textId="77777777" w:rsidR="003A33A6" w:rsidRPr="00B30A12" w:rsidRDefault="003A33A6" w:rsidP="00DA7B0B">
            <w:pPr>
              <w:keepNext/>
              <w:widowControl w:val="0"/>
              <w:jc w:val="center"/>
              <w:rPr>
                <w:color w:val="000000"/>
                <w:sz w:val="22"/>
                <w:szCs w:val="22"/>
              </w:rPr>
            </w:pPr>
            <w:r w:rsidRPr="00B30A12">
              <w:rPr>
                <w:color w:val="000000"/>
                <w:sz w:val="22"/>
                <w:szCs w:val="22"/>
              </w:rPr>
              <w:t>7%</w:t>
            </w:r>
          </w:p>
        </w:tc>
        <w:tc>
          <w:tcPr>
            <w:tcW w:w="2410" w:type="dxa"/>
            <w:tcBorders>
              <w:top w:val="nil"/>
            </w:tcBorders>
          </w:tcPr>
          <w:p w14:paraId="4E3F502D" w14:textId="77777777" w:rsidR="003A33A6" w:rsidRPr="00B30A12" w:rsidRDefault="003A33A6" w:rsidP="00DA7B0B">
            <w:pPr>
              <w:keepNext/>
              <w:widowControl w:val="0"/>
              <w:jc w:val="center"/>
              <w:rPr>
                <w:color w:val="000000"/>
                <w:sz w:val="22"/>
                <w:szCs w:val="22"/>
              </w:rPr>
            </w:pPr>
            <w:r w:rsidRPr="00B30A12">
              <w:rPr>
                <w:color w:val="000000"/>
                <w:sz w:val="22"/>
                <w:szCs w:val="22"/>
              </w:rPr>
              <w:t>8%</w:t>
            </w:r>
          </w:p>
        </w:tc>
      </w:tr>
      <w:tr w:rsidR="003A33A6" w:rsidRPr="00B30A12" w14:paraId="7BE5AF89" w14:textId="77777777" w:rsidTr="00DA7B0B">
        <w:trPr>
          <w:cantSplit/>
        </w:trPr>
        <w:tc>
          <w:tcPr>
            <w:tcW w:w="9073" w:type="dxa"/>
            <w:gridSpan w:val="4"/>
          </w:tcPr>
          <w:p w14:paraId="3606DC71" w14:textId="77777777" w:rsidR="003A33A6" w:rsidRPr="00B30A12" w:rsidRDefault="003A33A6" w:rsidP="0054140C">
            <w:pPr>
              <w:widowControl w:val="0"/>
              <w:rPr>
                <w:b/>
                <w:color w:val="000000"/>
                <w:sz w:val="22"/>
                <w:szCs w:val="22"/>
              </w:rPr>
            </w:pPr>
            <w:r w:rsidRPr="00B30A12">
              <w:rPr>
                <w:b/>
                <w:color w:val="000000"/>
                <w:sz w:val="22"/>
                <w:szCs w:val="22"/>
                <w:vertAlign w:val="superscript"/>
              </w:rPr>
              <w:t xml:space="preserve">1 </w:t>
            </w:r>
            <w:r w:rsidRPr="00B30A12">
              <w:rPr>
                <w:b/>
                <w:color w:val="000000"/>
                <w:sz w:val="22"/>
                <w:szCs w:val="22"/>
              </w:rPr>
              <w:t>Kriterien für die hämatologische Remission (Remission bestätigt nach ≥ 4 Wochen):</w:t>
            </w:r>
          </w:p>
          <w:p w14:paraId="40439D36" w14:textId="77777777" w:rsidR="003A33A6" w:rsidRPr="00B30A12" w:rsidRDefault="003A33A6" w:rsidP="0054140C">
            <w:pPr>
              <w:widowControl w:val="0"/>
              <w:ind w:left="885" w:hanging="885"/>
              <w:rPr>
                <w:color w:val="000000"/>
                <w:sz w:val="22"/>
                <w:szCs w:val="22"/>
              </w:rPr>
            </w:pPr>
            <w:smartTag w:uri="urn:schemas-microsoft-com:office:smarttags" w:element="stockticker">
              <w:r w:rsidRPr="00B30A12">
                <w:rPr>
                  <w:color w:val="000000"/>
                  <w:sz w:val="22"/>
                  <w:szCs w:val="22"/>
                </w:rPr>
                <w:t>CHR</w:t>
              </w:r>
            </w:smartTag>
            <w:r w:rsidRPr="00B30A12">
              <w:rPr>
                <w:color w:val="000000"/>
                <w:sz w:val="22"/>
                <w:szCs w:val="22"/>
              </w:rPr>
              <w:tab/>
              <w:t>Studie 0110: Leukozyten &lt; 10 x 10</w:t>
            </w:r>
            <w:r w:rsidRPr="00B30A12">
              <w:rPr>
                <w:color w:val="000000"/>
                <w:sz w:val="22"/>
                <w:szCs w:val="22"/>
                <w:vertAlign w:val="superscript"/>
              </w:rPr>
              <w:t>9</w:t>
            </w:r>
            <w:r w:rsidRPr="00B30A12">
              <w:rPr>
                <w:color w:val="000000"/>
                <w:sz w:val="22"/>
                <w:szCs w:val="22"/>
              </w:rPr>
              <w:t>/l, Thrombozyten &lt; 450 x 10</w:t>
            </w:r>
            <w:r w:rsidRPr="00B30A12">
              <w:rPr>
                <w:color w:val="000000"/>
                <w:sz w:val="22"/>
                <w:szCs w:val="22"/>
                <w:vertAlign w:val="superscript"/>
              </w:rPr>
              <w:t>9</w:t>
            </w:r>
            <w:r w:rsidRPr="00B30A12">
              <w:rPr>
                <w:color w:val="000000"/>
                <w:sz w:val="22"/>
                <w:szCs w:val="22"/>
              </w:rPr>
              <w:t>/l, Myelozyten + Metamyelozyten &lt; 5% im Blut, keine Blasten und Promyelozyten im Blut, Basophile &lt; 20%, keine extramedulläre Be</w:t>
            </w:r>
            <w:r w:rsidRPr="00B30A12">
              <w:rPr>
                <w:color w:val="000000"/>
                <w:sz w:val="22"/>
                <w:szCs w:val="22"/>
              </w:rPr>
              <w:softHyphen/>
              <w:t>teiligung. Studien 0102 und 0109: ANC ≥ 1,5 x 10</w:t>
            </w:r>
            <w:r w:rsidRPr="00B30A12">
              <w:rPr>
                <w:color w:val="000000"/>
                <w:sz w:val="22"/>
                <w:szCs w:val="22"/>
                <w:vertAlign w:val="superscript"/>
              </w:rPr>
              <w:t>9</w:t>
            </w:r>
            <w:r w:rsidRPr="00B30A12">
              <w:rPr>
                <w:color w:val="000000"/>
                <w:sz w:val="22"/>
                <w:szCs w:val="22"/>
              </w:rPr>
              <w:t>/l, Thrombozyten ≥ 100 x 10</w:t>
            </w:r>
            <w:r w:rsidRPr="00B30A12">
              <w:rPr>
                <w:color w:val="000000"/>
                <w:sz w:val="22"/>
                <w:szCs w:val="22"/>
                <w:vertAlign w:val="superscript"/>
              </w:rPr>
              <w:t>9</w:t>
            </w:r>
            <w:r w:rsidRPr="00B30A12">
              <w:rPr>
                <w:color w:val="000000"/>
                <w:sz w:val="22"/>
                <w:szCs w:val="22"/>
              </w:rPr>
              <w:t>/l, keine Blasten im Blut, Blasten im Knochenmark &lt; 5% und keine extramedulläre Erkrankung.</w:t>
            </w:r>
          </w:p>
          <w:p w14:paraId="7CF3095D" w14:textId="77777777" w:rsidR="003A33A6" w:rsidRPr="00B30A12" w:rsidRDefault="003A33A6" w:rsidP="0054140C">
            <w:pPr>
              <w:widowControl w:val="0"/>
              <w:ind w:left="885" w:hanging="885"/>
              <w:rPr>
                <w:color w:val="000000"/>
                <w:sz w:val="22"/>
                <w:szCs w:val="22"/>
              </w:rPr>
            </w:pPr>
            <w:r w:rsidRPr="00B30A12">
              <w:rPr>
                <w:color w:val="000000"/>
                <w:sz w:val="22"/>
                <w:szCs w:val="22"/>
              </w:rPr>
              <w:t>NEL</w:t>
            </w:r>
            <w:r w:rsidRPr="00B30A12">
              <w:rPr>
                <w:color w:val="000000"/>
                <w:sz w:val="22"/>
                <w:szCs w:val="22"/>
              </w:rPr>
              <w:tab/>
              <w:t xml:space="preserve">Gleiche Kriterien wie beim </w:t>
            </w:r>
            <w:smartTag w:uri="urn:schemas-microsoft-com:office:smarttags" w:element="stockticker">
              <w:r w:rsidRPr="00B30A12">
                <w:rPr>
                  <w:color w:val="000000"/>
                  <w:sz w:val="22"/>
                  <w:szCs w:val="22"/>
                </w:rPr>
                <w:t>CHR</w:t>
              </w:r>
            </w:smartTag>
            <w:r w:rsidRPr="00B30A12">
              <w:rPr>
                <w:color w:val="000000"/>
                <w:sz w:val="22"/>
                <w:szCs w:val="22"/>
              </w:rPr>
              <w:t xml:space="preserve"> jedoch mit ANC ≥ 1 x 10</w:t>
            </w:r>
            <w:r w:rsidRPr="00B30A12">
              <w:rPr>
                <w:color w:val="000000"/>
                <w:sz w:val="22"/>
                <w:szCs w:val="22"/>
                <w:vertAlign w:val="superscript"/>
              </w:rPr>
              <w:t>9</w:t>
            </w:r>
            <w:r w:rsidRPr="00B30A12">
              <w:rPr>
                <w:color w:val="000000"/>
                <w:sz w:val="22"/>
                <w:szCs w:val="22"/>
              </w:rPr>
              <w:t>/l und Thrombozyten ≥ 20 x 10</w:t>
            </w:r>
            <w:r w:rsidRPr="00B30A12">
              <w:rPr>
                <w:color w:val="000000"/>
                <w:sz w:val="22"/>
                <w:szCs w:val="22"/>
                <w:vertAlign w:val="superscript"/>
              </w:rPr>
              <w:t>9</w:t>
            </w:r>
            <w:r w:rsidRPr="00B30A12">
              <w:rPr>
                <w:color w:val="000000"/>
                <w:sz w:val="22"/>
                <w:szCs w:val="22"/>
              </w:rPr>
              <w:t>/l (nur Studien 0102 und 0109).</w:t>
            </w:r>
          </w:p>
          <w:p w14:paraId="12BB3271" w14:textId="77777777" w:rsidR="003A33A6" w:rsidRPr="00B30A12" w:rsidRDefault="003A33A6" w:rsidP="0054140C">
            <w:pPr>
              <w:widowControl w:val="0"/>
              <w:ind w:left="885" w:hanging="885"/>
              <w:rPr>
                <w:color w:val="000000"/>
                <w:sz w:val="22"/>
                <w:szCs w:val="22"/>
              </w:rPr>
            </w:pPr>
            <w:smartTag w:uri="urn:schemas-microsoft-com:office:smarttags" w:element="stockticker">
              <w:r w:rsidRPr="00B30A12">
                <w:rPr>
                  <w:color w:val="000000"/>
                  <w:sz w:val="22"/>
                  <w:szCs w:val="22"/>
                </w:rPr>
                <w:t>RTC</w:t>
              </w:r>
            </w:smartTag>
            <w:r w:rsidRPr="00B30A12">
              <w:rPr>
                <w:color w:val="000000"/>
                <w:sz w:val="22"/>
                <w:szCs w:val="22"/>
              </w:rPr>
              <w:tab/>
              <w:t>&lt; 15% Blasten im Knochenmark und peripheren Blut, &lt; 30% Blasten und Promyelozyten im Knochenmark und peripheren Blut, &lt; 20% Basophile im peripheren Blut, keine andere extramedulläre Erkrankung außer Milz und Leber (nur 0102 und 0109).</w:t>
            </w:r>
          </w:p>
          <w:p w14:paraId="328AE40E" w14:textId="77777777" w:rsidR="003A33A6" w:rsidRPr="00B30A12" w:rsidRDefault="003A33A6" w:rsidP="0054140C">
            <w:pPr>
              <w:widowControl w:val="0"/>
              <w:rPr>
                <w:color w:val="000000"/>
                <w:sz w:val="22"/>
                <w:szCs w:val="22"/>
              </w:rPr>
            </w:pPr>
            <w:r w:rsidRPr="00B30A12">
              <w:rPr>
                <w:b/>
                <w:color w:val="000000"/>
                <w:sz w:val="22"/>
                <w:szCs w:val="22"/>
                <w:vertAlign w:val="superscript"/>
              </w:rPr>
              <w:t xml:space="preserve">2 </w:t>
            </w:r>
            <w:r w:rsidRPr="00B30A12">
              <w:rPr>
                <w:b/>
                <w:color w:val="000000"/>
                <w:sz w:val="22"/>
                <w:szCs w:val="22"/>
              </w:rPr>
              <w:t>Kriterien für zytogenetische Remission:</w:t>
            </w:r>
            <w:r w:rsidRPr="00B30A12">
              <w:rPr>
                <w:b/>
                <w:color w:val="000000"/>
                <w:sz w:val="22"/>
                <w:szCs w:val="22"/>
              </w:rPr>
              <w:br/>
            </w:r>
            <w:r w:rsidRPr="00B30A12">
              <w:rPr>
                <w:color w:val="000000"/>
                <w:sz w:val="22"/>
                <w:szCs w:val="22"/>
              </w:rPr>
              <w:t>Eine gute Remission beinhaltet sowohl komplette als auch partielle Remission. Komplett: 0% Ph</w:t>
            </w:r>
            <w:r w:rsidRPr="00B30A12">
              <w:rPr>
                <w:color w:val="000000"/>
                <w:sz w:val="22"/>
                <w:szCs w:val="22"/>
                <w:vertAlign w:val="superscript"/>
              </w:rPr>
              <w:t>+</w:t>
            </w:r>
            <w:r w:rsidRPr="00B30A12">
              <w:rPr>
                <w:color w:val="000000"/>
                <w:sz w:val="22"/>
                <w:szCs w:val="22"/>
              </w:rPr>
              <w:t>-Metaphasen, partiell: 1–35%.</w:t>
            </w:r>
          </w:p>
          <w:p w14:paraId="155BC01C" w14:textId="77777777" w:rsidR="003A33A6" w:rsidRPr="00B30A12" w:rsidRDefault="003A33A6" w:rsidP="0054140C">
            <w:pPr>
              <w:pStyle w:val="Header"/>
              <w:widowControl w:val="0"/>
              <w:tabs>
                <w:tab w:val="clear" w:pos="4320"/>
                <w:tab w:val="clear" w:pos="8640"/>
              </w:tabs>
              <w:rPr>
                <w:b/>
                <w:color w:val="000000"/>
                <w:szCs w:val="22"/>
                <w:vertAlign w:val="superscript"/>
              </w:rPr>
            </w:pPr>
            <w:r w:rsidRPr="00B30A12">
              <w:rPr>
                <w:color w:val="000000"/>
                <w:szCs w:val="22"/>
                <w:vertAlign w:val="superscript"/>
              </w:rPr>
              <w:t>3</w:t>
            </w:r>
            <w:r w:rsidRPr="00B30A12">
              <w:rPr>
                <w:b/>
                <w:color w:val="000000"/>
                <w:szCs w:val="22"/>
                <w:vertAlign w:val="superscript"/>
              </w:rPr>
              <w:t xml:space="preserve"> </w:t>
            </w:r>
            <w:r w:rsidRPr="00B30A12">
              <w:rPr>
                <w:color w:val="000000"/>
                <w:szCs w:val="22"/>
              </w:rPr>
              <w:t>Eine komplette zytogenetische Remission wurde durch eine zweite zytogenetische Untersuchung des Knochenmarks bestätigt, die mindestens einen Monat nach der anfänglichen Knochenmarksunter</w:t>
            </w:r>
            <w:r w:rsidRPr="00B30A12">
              <w:rPr>
                <w:color w:val="000000"/>
                <w:szCs w:val="22"/>
              </w:rPr>
              <w:softHyphen/>
              <w:t>suchung durchgeführt wurde.</w:t>
            </w:r>
          </w:p>
        </w:tc>
      </w:tr>
    </w:tbl>
    <w:p w14:paraId="358C11E8" w14:textId="77777777" w:rsidR="003A33A6" w:rsidRPr="00B30A12" w:rsidRDefault="003A33A6" w:rsidP="0054140C">
      <w:pPr>
        <w:widowControl w:val="0"/>
        <w:rPr>
          <w:color w:val="000000"/>
          <w:sz w:val="22"/>
          <w:szCs w:val="22"/>
        </w:rPr>
      </w:pPr>
    </w:p>
    <w:p w14:paraId="5997C3ED" w14:textId="77777777" w:rsidR="003A33A6" w:rsidRPr="00B30A12" w:rsidRDefault="003A33A6" w:rsidP="0054140C">
      <w:pPr>
        <w:widowControl w:val="0"/>
        <w:rPr>
          <w:color w:val="000000"/>
          <w:sz w:val="22"/>
          <w:szCs w:val="22"/>
        </w:rPr>
      </w:pPr>
      <w:r w:rsidRPr="00B30A12">
        <w:rPr>
          <w:i/>
          <w:color w:val="000000"/>
          <w:sz w:val="22"/>
          <w:szCs w:val="22"/>
        </w:rPr>
        <w:t xml:space="preserve">Kinder: </w:t>
      </w:r>
      <w:r w:rsidRPr="00B30A12">
        <w:rPr>
          <w:color w:val="000000"/>
          <w:sz w:val="22"/>
          <w:szCs w:val="22"/>
        </w:rPr>
        <w:t>Insgesamt 26 Kinder unter 18 Jahren mit CML in der chronischen Phase (n = 11) oder CML in der Blastenkrise bzw. mit Philadelphia-Chromosom-positiver akuter Leukämie (n = 15) wurden in eine Dosis-Eskala</w:t>
      </w:r>
      <w:r w:rsidRPr="00B30A12">
        <w:rPr>
          <w:color w:val="000000"/>
          <w:sz w:val="22"/>
          <w:szCs w:val="22"/>
        </w:rPr>
        <w:softHyphen/>
        <w:t>tionsstudie der Phase I aufgenommen. Es handelte sich um eine Gruppe intensiv vorbehandelter Patien</w:t>
      </w:r>
      <w:r w:rsidRPr="00B30A12">
        <w:rPr>
          <w:color w:val="000000"/>
          <w:sz w:val="22"/>
          <w:szCs w:val="22"/>
        </w:rPr>
        <w:softHyphen/>
        <w:t>ten, von denen 46% zuvor eine Knochenmarktransplantation und 73% eine Chemotherapie mit mehre</w:t>
      </w:r>
      <w:r w:rsidRPr="00B30A12">
        <w:rPr>
          <w:color w:val="000000"/>
          <w:sz w:val="22"/>
          <w:szCs w:val="22"/>
        </w:rPr>
        <w:softHyphen/>
        <w:t>ren Wirkstoffen erhalten hatten. Die Patienten wurden mit Glivec-Dosierungen von 260 mg/m</w:t>
      </w:r>
      <w:r w:rsidRPr="00B30A12">
        <w:rPr>
          <w:color w:val="000000"/>
          <w:sz w:val="22"/>
          <w:szCs w:val="22"/>
          <w:vertAlign w:val="superscript"/>
        </w:rPr>
        <w:t>2</w:t>
      </w:r>
      <w:r w:rsidRPr="00B30A12">
        <w:rPr>
          <w:color w:val="000000"/>
          <w:sz w:val="22"/>
          <w:szCs w:val="22"/>
        </w:rPr>
        <w:t>/Tag (n = 5), 340 mg/m</w:t>
      </w:r>
      <w:r w:rsidRPr="00B30A12">
        <w:rPr>
          <w:color w:val="000000"/>
          <w:sz w:val="22"/>
          <w:szCs w:val="22"/>
          <w:vertAlign w:val="superscript"/>
        </w:rPr>
        <w:t>2</w:t>
      </w:r>
      <w:r w:rsidRPr="00B30A12">
        <w:rPr>
          <w:color w:val="000000"/>
          <w:sz w:val="22"/>
          <w:szCs w:val="22"/>
        </w:rPr>
        <w:t>/Tag (n = 9), 440 mg/m</w:t>
      </w:r>
      <w:r w:rsidRPr="00B30A12">
        <w:rPr>
          <w:color w:val="000000"/>
          <w:sz w:val="22"/>
          <w:szCs w:val="22"/>
          <w:vertAlign w:val="superscript"/>
        </w:rPr>
        <w:t>2</w:t>
      </w:r>
      <w:r w:rsidRPr="00B30A12">
        <w:rPr>
          <w:color w:val="000000"/>
          <w:sz w:val="22"/>
          <w:szCs w:val="22"/>
        </w:rPr>
        <w:t>/Tag (n = 7) und 570 mg/m</w:t>
      </w:r>
      <w:r w:rsidRPr="00B30A12">
        <w:rPr>
          <w:color w:val="000000"/>
          <w:sz w:val="22"/>
          <w:szCs w:val="22"/>
          <w:vertAlign w:val="superscript"/>
        </w:rPr>
        <w:t>2</w:t>
      </w:r>
      <w:r w:rsidRPr="00B30A12">
        <w:rPr>
          <w:color w:val="000000"/>
          <w:sz w:val="22"/>
          <w:szCs w:val="22"/>
        </w:rPr>
        <w:t>/Tag (n = 5) behandelt. Unter den 9 Patienten mit CML in der chronischen Phase und verfügbaren zytogenetischen Daten erreichten 4 (44%) bzw. 3 (33%) eine komplette bzw. partielle zytogenetische Remission, was einer Rate von 77% guter zytogenetischer Remission entspricht.</w:t>
      </w:r>
    </w:p>
    <w:p w14:paraId="2E44425A" w14:textId="77777777" w:rsidR="003A33A6" w:rsidRPr="00B30A12" w:rsidRDefault="003A33A6" w:rsidP="0054140C">
      <w:pPr>
        <w:widowControl w:val="0"/>
        <w:rPr>
          <w:color w:val="000000"/>
          <w:sz w:val="22"/>
          <w:szCs w:val="22"/>
        </w:rPr>
      </w:pPr>
    </w:p>
    <w:p w14:paraId="0BB235B7" w14:textId="77777777" w:rsidR="003A33A6" w:rsidRPr="00B30A12" w:rsidRDefault="003A33A6" w:rsidP="0054140C">
      <w:pPr>
        <w:widowControl w:val="0"/>
        <w:rPr>
          <w:color w:val="000000"/>
          <w:sz w:val="22"/>
          <w:szCs w:val="22"/>
        </w:rPr>
      </w:pPr>
      <w:r w:rsidRPr="00B30A12">
        <w:rPr>
          <w:color w:val="000000"/>
          <w:sz w:val="22"/>
          <w:szCs w:val="22"/>
        </w:rPr>
        <w:t>Insgesamt 51 Kinder mit neu diagnostizierter und unbehandelter CML in der chronischen Phase wurden in eine offene, multizentrische, einarmige Phase-II-Studie eingeschlossen. Die Patienten wurden bei Abwesenheit einer dosislimitierenden Toxizität ununterbrochen mit 340 mg/m</w:t>
      </w:r>
      <w:r w:rsidRPr="00B30A12">
        <w:rPr>
          <w:color w:val="000000"/>
          <w:sz w:val="22"/>
          <w:szCs w:val="22"/>
          <w:vertAlign w:val="superscript"/>
        </w:rPr>
        <w:t>2</w:t>
      </w:r>
      <w:r w:rsidRPr="00B30A12">
        <w:rPr>
          <w:color w:val="000000"/>
          <w:sz w:val="22"/>
          <w:szCs w:val="22"/>
        </w:rPr>
        <w:t xml:space="preserve">/Tag Glivec behandelt. Die Behandlung mit Glivec induziert bei neu diagnostizierten Kindern mit CML ein rasches Ansprechen mit einer kompletten hämatologischen Ansprechrate von 78% nach 8-wöchiger Therapie. Die hohe komplette hämatologische Ansprechrate geht mit der Entwicklung einer </w:t>
      </w:r>
      <w:r w:rsidRPr="00B30A12">
        <w:rPr>
          <w:color w:val="000000"/>
          <w:sz w:val="22"/>
          <w:szCs w:val="22"/>
        </w:rPr>
        <w:lastRenderedPageBreak/>
        <w:t>kompletten zytogenetischen Ansprechrate (</w:t>
      </w:r>
      <w:smartTag w:uri="urn:schemas-microsoft-com:office:smarttags" w:element="stockticker">
        <w:r w:rsidRPr="00B30A12">
          <w:rPr>
            <w:color w:val="000000"/>
            <w:sz w:val="22"/>
            <w:szCs w:val="22"/>
          </w:rPr>
          <w:t>CCR</w:t>
        </w:r>
      </w:smartTag>
      <w:r w:rsidRPr="00B30A12">
        <w:rPr>
          <w:color w:val="000000"/>
          <w:sz w:val="22"/>
          <w:szCs w:val="22"/>
        </w:rPr>
        <w:t xml:space="preserve">) in Höhe von 65% einher. Dies ist vergleichbar mit den Ergebnissen, die bei Erwachsenen beobachtet wurden. Zusätzlich wurde bei 16% ein partielles zytogenetisches Ansprechen beobachtet, was insgesamt einer guten zytogenetischen Remissionsrate von 81% entspricht. Die Mehrheit der Patienten, die eine </w:t>
      </w:r>
      <w:smartTag w:uri="urn:schemas-microsoft-com:office:smarttags" w:element="stockticker">
        <w:r w:rsidRPr="00B30A12">
          <w:rPr>
            <w:color w:val="000000"/>
            <w:sz w:val="22"/>
            <w:szCs w:val="22"/>
          </w:rPr>
          <w:t>CCR</w:t>
        </w:r>
      </w:smartTag>
      <w:r w:rsidRPr="00B30A12">
        <w:rPr>
          <w:color w:val="000000"/>
          <w:sz w:val="22"/>
          <w:szCs w:val="22"/>
        </w:rPr>
        <w:t xml:space="preserve"> erreichten, entwickelten die </w:t>
      </w:r>
      <w:smartTag w:uri="urn:schemas-microsoft-com:office:smarttags" w:element="stockticker">
        <w:r w:rsidRPr="00B30A12">
          <w:rPr>
            <w:color w:val="000000"/>
            <w:sz w:val="22"/>
            <w:szCs w:val="22"/>
          </w:rPr>
          <w:t>CCR</w:t>
        </w:r>
      </w:smartTag>
      <w:r w:rsidRPr="00B30A12">
        <w:rPr>
          <w:color w:val="000000"/>
          <w:sz w:val="22"/>
          <w:szCs w:val="22"/>
        </w:rPr>
        <w:t xml:space="preserve"> innerhalb von 3 bis 10 Monaten mit einer medianen Zeit bis zum Ansprechen von 5,6 Monaten, basierend auf der Kaplan-Meier-Schätzung.</w:t>
      </w:r>
    </w:p>
    <w:p w14:paraId="4EC357BD" w14:textId="77777777" w:rsidR="003A33A6" w:rsidRPr="00B30A12" w:rsidRDefault="003A33A6" w:rsidP="0054140C">
      <w:pPr>
        <w:widowControl w:val="0"/>
        <w:rPr>
          <w:color w:val="000000"/>
          <w:sz w:val="22"/>
          <w:szCs w:val="22"/>
        </w:rPr>
      </w:pPr>
    </w:p>
    <w:p w14:paraId="3709D895" w14:textId="77777777" w:rsidR="003A33A6" w:rsidRPr="00B30A12" w:rsidRDefault="003A33A6" w:rsidP="0054140C">
      <w:pPr>
        <w:widowControl w:val="0"/>
        <w:rPr>
          <w:color w:val="000000"/>
          <w:sz w:val="22"/>
          <w:szCs w:val="22"/>
        </w:rPr>
      </w:pPr>
      <w:r w:rsidRPr="00B30A12">
        <w:rPr>
          <w:color w:val="000000"/>
          <w:sz w:val="22"/>
          <w:szCs w:val="22"/>
        </w:rPr>
        <w:t>Die Europäische Arzneimittel-Agentur hat für Glivec eine Freistellung von der Verpflichtung zur Vorlage von Ergebnissen zu Studien in allen pädiatrischen Altersklassen in Philadelphia-Chromosom (bcr-abl-Translokation)-positiver chronischer myeloischer Leukämie gewährt (siehe Abschnitt 4.2 bzgl. Informationen zur Anwendung bei Kindern und Jugendlichen).</w:t>
      </w:r>
    </w:p>
    <w:p w14:paraId="0FC6ADB0" w14:textId="77777777" w:rsidR="003A33A6" w:rsidRPr="00B30A12" w:rsidRDefault="003A33A6" w:rsidP="0054140C">
      <w:pPr>
        <w:widowControl w:val="0"/>
        <w:rPr>
          <w:color w:val="000000"/>
          <w:sz w:val="22"/>
          <w:szCs w:val="22"/>
        </w:rPr>
      </w:pPr>
    </w:p>
    <w:p w14:paraId="5401FF72" w14:textId="77777777" w:rsidR="003A33A6" w:rsidRPr="00B30A12" w:rsidRDefault="003A33A6" w:rsidP="00F35CB5">
      <w:pPr>
        <w:keepNext/>
        <w:widowControl w:val="0"/>
        <w:rPr>
          <w:color w:val="000000"/>
          <w:sz w:val="22"/>
          <w:szCs w:val="22"/>
          <w:u w:val="single"/>
        </w:rPr>
      </w:pPr>
      <w:r w:rsidRPr="00B30A12">
        <w:rPr>
          <w:color w:val="000000"/>
          <w:sz w:val="22"/>
          <w:szCs w:val="22"/>
          <w:u w:val="single"/>
        </w:rPr>
        <w:t>Klinische Studien bei Ph+ </w:t>
      </w:r>
      <w:smartTag w:uri="urn:schemas-microsoft-com:office:smarttags" w:element="stockticker">
        <w:r w:rsidRPr="00B30A12">
          <w:rPr>
            <w:color w:val="000000"/>
            <w:sz w:val="22"/>
            <w:szCs w:val="22"/>
            <w:u w:val="single"/>
          </w:rPr>
          <w:t>ALL</w:t>
        </w:r>
      </w:smartTag>
    </w:p>
    <w:p w14:paraId="6BB18F54" w14:textId="77777777" w:rsidR="003A33A6" w:rsidRPr="00B30A12" w:rsidRDefault="003A33A6" w:rsidP="0054140C">
      <w:pPr>
        <w:widowControl w:val="0"/>
        <w:rPr>
          <w:color w:val="000000"/>
          <w:sz w:val="22"/>
          <w:szCs w:val="22"/>
        </w:rPr>
      </w:pPr>
      <w:r w:rsidRPr="00B30A12">
        <w:rPr>
          <w:i/>
          <w:color w:val="000000"/>
          <w:sz w:val="22"/>
          <w:szCs w:val="22"/>
        </w:rPr>
        <w:t>Neu diagnostizierte Ph+ </w:t>
      </w:r>
      <w:smartTag w:uri="urn:schemas-microsoft-com:office:smarttags" w:element="stockticker">
        <w:r w:rsidRPr="00B30A12">
          <w:rPr>
            <w:i/>
            <w:color w:val="000000"/>
            <w:sz w:val="22"/>
            <w:szCs w:val="22"/>
          </w:rPr>
          <w:t>ALL</w:t>
        </w:r>
      </w:smartTag>
      <w:r w:rsidRPr="00B30A12">
        <w:rPr>
          <w:i/>
          <w:color w:val="000000"/>
          <w:sz w:val="22"/>
          <w:szCs w:val="22"/>
        </w:rPr>
        <w:t>:</w:t>
      </w:r>
      <w:r w:rsidRPr="00B30A12">
        <w:rPr>
          <w:color w:val="000000"/>
          <w:sz w:val="22"/>
          <w:szCs w:val="22"/>
        </w:rPr>
        <w:t xml:space="preserve"> In einer kontrollierten Studie (ADE10) mit Imatinib vs. Chemotherapieinduzierter Behandlung bei 55 neu diagnostizierten Patienten im Alter von 55 Jahren und älter erzeugte die Imatinib-Monotherapie eine signifikant höhere komplette hämatologische Ansprechrate als die Chemotherapie (96,3% vs. 50%; p = 0,0001). Wenn Imatinib im Rahmen einer Notfalltherapie bei Patienten, die nicht oder nur schlecht auf die Chemotherapie ansprachen, gegeben wurde, resultierte dies bei 9 von 11 Patienten (81,8%) in einem kompletten hämatologischen Ansprechen. Die klinische Wirkung war nach zweiwöchiger Therapie bei den Imatinib-Patienten mit einer stärkeren Reduktion von bcr-abl-Transkripten verbunden als im Chemotherapie-Arm (p = 0,02). Nachdem alle Patienten Imatinib und eine Konsolidierungschemotherapie (siehe Tabelle </w:t>
      </w:r>
      <w:r w:rsidR="00512273" w:rsidRPr="00B30A12">
        <w:rPr>
          <w:color w:val="000000"/>
          <w:sz w:val="22"/>
          <w:szCs w:val="22"/>
        </w:rPr>
        <w:t>4</w:t>
      </w:r>
      <w:r w:rsidRPr="00B30A12">
        <w:rPr>
          <w:color w:val="000000"/>
          <w:sz w:val="22"/>
          <w:szCs w:val="22"/>
        </w:rPr>
        <w:t>) nach Induktion erhielten, waren die Werte der bcr-abl-Transkripte nach 8 Wochen in beiden Armen identisch. Wie auf Grund des Studiendesigns erwartet, wurden keine Unterschiede bei der Remissionsdauer, dem krankheitsfreien Überleben oder dem Gesamtüberleben beobachtet, obwohl Patienten mit komplettem molekularen Ansprechen und bleibender minimaler Resterkrankung ein besseres Ergebnis sowohl im Hinblick auf die Remissionsdauer (p = 0,01) als auch auf das krankheitsfreie Überleben (p = 0,02) zeigten.</w:t>
      </w:r>
    </w:p>
    <w:p w14:paraId="15D47E55" w14:textId="77777777" w:rsidR="003A33A6" w:rsidRPr="00B30A12" w:rsidRDefault="003A33A6" w:rsidP="0054140C">
      <w:pPr>
        <w:widowControl w:val="0"/>
        <w:rPr>
          <w:color w:val="000000"/>
          <w:sz w:val="22"/>
          <w:szCs w:val="22"/>
        </w:rPr>
      </w:pPr>
    </w:p>
    <w:p w14:paraId="13FF3D40" w14:textId="77777777" w:rsidR="003A33A6" w:rsidRPr="00B30A12" w:rsidRDefault="003A33A6" w:rsidP="0054140C">
      <w:pPr>
        <w:widowControl w:val="0"/>
        <w:tabs>
          <w:tab w:val="left" w:pos="1134"/>
        </w:tabs>
        <w:rPr>
          <w:color w:val="000000"/>
          <w:sz w:val="22"/>
          <w:szCs w:val="22"/>
        </w:rPr>
      </w:pPr>
      <w:r w:rsidRPr="00B30A12">
        <w:rPr>
          <w:color w:val="000000"/>
          <w:sz w:val="22"/>
          <w:szCs w:val="22"/>
        </w:rPr>
        <w:t>Die Ergebnisse, die in einer Population von 211 neu diagnostizierten Ph+ </w:t>
      </w:r>
      <w:smartTag w:uri="urn:schemas-microsoft-com:office:smarttags" w:element="stockticker">
        <w:r w:rsidRPr="00B30A12">
          <w:rPr>
            <w:color w:val="000000"/>
            <w:sz w:val="22"/>
            <w:szCs w:val="22"/>
          </w:rPr>
          <w:t>ALL</w:t>
        </w:r>
      </w:smartTag>
      <w:r w:rsidRPr="00B30A12">
        <w:rPr>
          <w:color w:val="000000"/>
          <w:sz w:val="22"/>
          <w:szCs w:val="22"/>
        </w:rPr>
        <w:t>-Patienten in vier unkontrollierten klinischen Studien (AAU02, ADE04, AJP01 und AUS01) beobachtet wurden, stimmen mit den oben beschriebenen Ergebnissen überein. Die Kombination von Imatinib mit chemotherapeutischer Induktion (siehe Tabelle </w:t>
      </w:r>
      <w:r w:rsidR="00512273" w:rsidRPr="00B30A12">
        <w:rPr>
          <w:color w:val="000000"/>
          <w:sz w:val="22"/>
          <w:szCs w:val="22"/>
        </w:rPr>
        <w:t>4</w:t>
      </w:r>
      <w:r w:rsidRPr="00B30A12">
        <w:rPr>
          <w:color w:val="000000"/>
          <w:sz w:val="22"/>
          <w:szCs w:val="22"/>
        </w:rPr>
        <w:t>) resultierte in einer kompletten hämatologischen Ansprechrate von 93% (147 von 158 auswertbaren Patienten) und in einer guten zytogenetischen Ansprechrate von 90% (19 von 21 auswertbaren Patienten). Die komplette molekulare Ansprechrate betrug 48% (49 von 102 auswertbaren Patienten). Das krankheitsfreie Überleben (</w:t>
      </w:r>
      <w:smartTag w:uri="urn:schemas-microsoft-com:office:smarttags" w:element="stockticker">
        <w:r w:rsidRPr="00B30A12">
          <w:rPr>
            <w:color w:val="000000"/>
            <w:sz w:val="22"/>
            <w:szCs w:val="22"/>
          </w:rPr>
          <w:t>DFS</w:t>
        </w:r>
      </w:smartTag>
      <w:r w:rsidRPr="00B30A12">
        <w:rPr>
          <w:color w:val="000000"/>
          <w:sz w:val="22"/>
          <w:szCs w:val="22"/>
        </w:rPr>
        <w:t>) und das Gesamtüberleben (OS) überschritten konstant 1 Jahr und waren der historischen Kontrolle in zwei Studien (AJP01 und AUS01) überlegen (</w:t>
      </w:r>
      <w:smartTag w:uri="urn:schemas-microsoft-com:office:smarttags" w:element="stockticker">
        <w:r w:rsidRPr="00B30A12">
          <w:rPr>
            <w:color w:val="000000"/>
            <w:sz w:val="22"/>
            <w:szCs w:val="22"/>
          </w:rPr>
          <w:t>DFS</w:t>
        </w:r>
      </w:smartTag>
      <w:r w:rsidRPr="00B30A12">
        <w:rPr>
          <w:color w:val="000000"/>
          <w:sz w:val="22"/>
          <w:szCs w:val="22"/>
        </w:rPr>
        <w:t>: p &lt; 0,001; OS: p &lt; 0,0001).</w:t>
      </w:r>
    </w:p>
    <w:p w14:paraId="41DD86D5" w14:textId="77777777" w:rsidR="003A33A6" w:rsidRPr="00B30A12" w:rsidRDefault="003A33A6" w:rsidP="0054140C">
      <w:pPr>
        <w:widowControl w:val="0"/>
        <w:tabs>
          <w:tab w:val="left" w:pos="1134"/>
        </w:tabs>
        <w:rPr>
          <w:color w:val="000000"/>
          <w:sz w:val="22"/>
          <w:szCs w:val="22"/>
        </w:rPr>
      </w:pPr>
    </w:p>
    <w:p w14:paraId="6A8A7743" w14:textId="77777777" w:rsidR="003A33A6" w:rsidRPr="00B30A12" w:rsidRDefault="003A33A6" w:rsidP="00F35CB5">
      <w:pPr>
        <w:keepNext/>
        <w:widowControl w:val="0"/>
        <w:tabs>
          <w:tab w:val="left" w:pos="1134"/>
        </w:tabs>
        <w:rPr>
          <w:b/>
          <w:color w:val="000000"/>
          <w:sz w:val="22"/>
          <w:szCs w:val="22"/>
          <w:lang w:val="de-CH"/>
        </w:rPr>
      </w:pPr>
      <w:r w:rsidRPr="00B30A12">
        <w:rPr>
          <w:b/>
          <w:color w:val="000000"/>
          <w:sz w:val="22"/>
          <w:szCs w:val="22"/>
          <w:lang w:val="de-CH"/>
        </w:rPr>
        <w:t>Tabelle </w:t>
      </w:r>
      <w:r w:rsidR="00512273" w:rsidRPr="00B30A12">
        <w:rPr>
          <w:b/>
          <w:color w:val="000000"/>
          <w:sz w:val="22"/>
          <w:szCs w:val="22"/>
          <w:lang w:val="de-CH"/>
        </w:rPr>
        <w:t>4</w:t>
      </w:r>
      <w:r w:rsidRPr="00B30A12">
        <w:rPr>
          <w:b/>
          <w:color w:val="000000"/>
          <w:sz w:val="22"/>
          <w:szCs w:val="22"/>
          <w:lang w:val="de-CH"/>
        </w:rPr>
        <w:tab/>
        <w:t>Angewendete Chemotherapie-Schemata in Kombination mit Imatinib</w:t>
      </w:r>
    </w:p>
    <w:p w14:paraId="5D0E3608" w14:textId="77777777" w:rsidR="003A33A6" w:rsidRPr="00B30A12" w:rsidRDefault="003A33A6" w:rsidP="00F35CB5">
      <w:pPr>
        <w:pStyle w:val="EndnoteText"/>
        <w:keepNext/>
        <w:widowControl w:val="0"/>
        <w:rPr>
          <w:color w:val="000000"/>
          <w:sz w:val="22"/>
          <w:szCs w:val="22"/>
          <w:lang w:val="de-D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3A33A6" w:rsidRPr="00B30A12" w14:paraId="78A55557" w14:textId="77777777" w:rsidTr="00DA7B0B">
        <w:trPr>
          <w:cantSplit/>
        </w:trPr>
        <w:tc>
          <w:tcPr>
            <w:tcW w:w="2148" w:type="dxa"/>
            <w:tcBorders>
              <w:top w:val="single" w:sz="4" w:space="0" w:color="auto"/>
              <w:bottom w:val="single" w:sz="4" w:space="0" w:color="auto"/>
            </w:tcBorders>
            <w:shd w:val="clear" w:color="auto" w:fill="auto"/>
          </w:tcPr>
          <w:p w14:paraId="053BB1F1"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5E2626A4" w14:textId="77777777" w:rsidR="003A33A6" w:rsidRPr="00B30A12" w:rsidRDefault="003A33A6" w:rsidP="00F35CB5">
            <w:pPr>
              <w:pStyle w:val="Table"/>
              <w:keepLines w:val="0"/>
              <w:widowControl w:val="0"/>
              <w:rPr>
                <w:rFonts w:ascii="Times New Roman" w:hAnsi="Times New Roman"/>
                <w:color w:val="000000"/>
                <w:sz w:val="22"/>
                <w:szCs w:val="22"/>
              </w:rPr>
            </w:pPr>
          </w:p>
        </w:tc>
      </w:tr>
      <w:tr w:rsidR="003A33A6" w:rsidRPr="00B30A12" w14:paraId="3C2D6295" w14:textId="77777777" w:rsidTr="00DA7B0B">
        <w:trPr>
          <w:cantSplit/>
        </w:trPr>
        <w:tc>
          <w:tcPr>
            <w:tcW w:w="2148" w:type="dxa"/>
            <w:tcBorders>
              <w:top w:val="single" w:sz="4" w:space="0" w:color="auto"/>
              <w:bottom w:val="single" w:sz="4" w:space="0" w:color="auto"/>
            </w:tcBorders>
            <w:shd w:val="clear" w:color="auto" w:fill="auto"/>
          </w:tcPr>
          <w:p w14:paraId="79C7DCCB"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Vorphase</w:t>
            </w:r>
          </w:p>
        </w:tc>
        <w:tc>
          <w:tcPr>
            <w:tcW w:w="6732" w:type="dxa"/>
            <w:gridSpan w:val="4"/>
            <w:tcBorders>
              <w:top w:val="single" w:sz="4" w:space="0" w:color="auto"/>
              <w:bottom w:val="single" w:sz="4" w:space="0" w:color="auto"/>
            </w:tcBorders>
            <w:shd w:val="clear" w:color="auto" w:fill="auto"/>
          </w:tcPr>
          <w:p w14:paraId="036E510F"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3A2862EC"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200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3, 4, 5;</w:t>
            </w:r>
          </w:p>
          <w:p w14:paraId="3A67D399"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MTX 12 mg intrathekal, Tag 1</w:t>
            </w:r>
          </w:p>
        </w:tc>
      </w:tr>
      <w:tr w:rsidR="003A33A6" w:rsidRPr="00B30A12" w14:paraId="7D10D669" w14:textId="77777777" w:rsidTr="00DA7B0B">
        <w:trPr>
          <w:cantSplit/>
        </w:trPr>
        <w:tc>
          <w:tcPr>
            <w:tcW w:w="2148" w:type="dxa"/>
            <w:tcBorders>
              <w:top w:val="single" w:sz="4" w:space="0" w:color="auto"/>
              <w:bottom w:val="single" w:sz="4" w:space="0" w:color="auto"/>
            </w:tcBorders>
            <w:shd w:val="clear" w:color="auto" w:fill="auto"/>
          </w:tcPr>
          <w:p w14:paraId="342BCB57"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Remissionsinduktion</w:t>
            </w:r>
          </w:p>
        </w:tc>
        <w:tc>
          <w:tcPr>
            <w:tcW w:w="6732" w:type="dxa"/>
            <w:gridSpan w:val="4"/>
            <w:tcBorders>
              <w:top w:val="single" w:sz="4" w:space="0" w:color="auto"/>
              <w:bottom w:val="single" w:sz="4" w:space="0" w:color="auto"/>
            </w:tcBorders>
            <w:shd w:val="clear" w:color="auto" w:fill="auto"/>
          </w:tcPr>
          <w:p w14:paraId="0F24A0F3"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DEX 10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oral, Tage 6-7, 13-16;</w:t>
            </w:r>
          </w:p>
          <w:p w14:paraId="0B3F43AD" w14:textId="77777777" w:rsidR="003A33A6" w:rsidRPr="002A051A" w:rsidRDefault="003A33A6" w:rsidP="00F35CB5">
            <w:pPr>
              <w:pStyle w:val="Table"/>
              <w:keepLines w:val="0"/>
              <w:widowControl w:val="0"/>
              <w:rPr>
                <w:rFonts w:ascii="Times New Roman" w:hAnsi="Times New Roman"/>
                <w:color w:val="000000"/>
                <w:sz w:val="22"/>
                <w:szCs w:val="22"/>
                <w:lang w:val="de-DE"/>
              </w:rPr>
            </w:pPr>
            <w:r w:rsidRPr="002A051A">
              <w:rPr>
                <w:rFonts w:ascii="Times New Roman" w:hAnsi="Times New Roman"/>
                <w:color w:val="000000"/>
                <w:sz w:val="22"/>
                <w:szCs w:val="22"/>
                <w:lang w:val="de-DE"/>
              </w:rPr>
              <w:t>VCR 1 mg i.v., Tage 7, 14;</w:t>
            </w:r>
          </w:p>
          <w:p w14:paraId="1513FC92"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IDA 8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(0.5 h), Tage 7, 8, 14, 15;</w:t>
            </w:r>
          </w:p>
          <w:p w14:paraId="3ACD33C6"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500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i.v.(1 h) Tag 1;</w:t>
            </w:r>
          </w:p>
          <w:p w14:paraId="6D47F863" w14:textId="77777777" w:rsidR="003A33A6" w:rsidRPr="00B30A12" w:rsidRDefault="003A33A6" w:rsidP="00F35CB5">
            <w:pPr>
              <w:pStyle w:val="Table"/>
              <w:keepLines w:val="0"/>
              <w:widowControl w:val="0"/>
              <w:rPr>
                <w:rFonts w:ascii="Times New Roman" w:hAnsi="Times New Roman"/>
                <w:color w:val="000000"/>
                <w:sz w:val="22"/>
                <w:szCs w:val="22"/>
                <w:lang w:val="de-CH"/>
              </w:rPr>
            </w:pPr>
            <w:r w:rsidRPr="00B30A12">
              <w:rPr>
                <w:rFonts w:ascii="Times New Roman" w:hAnsi="Times New Roman"/>
                <w:color w:val="000000"/>
                <w:sz w:val="22"/>
                <w:szCs w:val="22"/>
                <w:lang w:val="de-CH"/>
              </w:rPr>
              <w:t>Ara-C 60 mg/m</w:t>
            </w:r>
            <w:r w:rsidRPr="00B30A12">
              <w:rPr>
                <w:rFonts w:ascii="Times New Roman" w:hAnsi="Times New Roman"/>
                <w:color w:val="000000"/>
                <w:sz w:val="22"/>
                <w:szCs w:val="22"/>
                <w:vertAlign w:val="superscript"/>
                <w:lang w:val="de-CH"/>
              </w:rPr>
              <w:t>2</w:t>
            </w:r>
            <w:r w:rsidRPr="00B30A12">
              <w:rPr>
                <w:rFonts w:ascii="Times New Roman" w:hAnsi="Times New Roman"/>
                <w:color w:val="000000"/>
                <w:sz w:val="22"/>
                <w:szCs w:val="22"/>
                <w:lang w:val="de-CH"/>
              </w:rPr>
              <w:t xml:space="preserve"> i.v., Tage 22-25, 29-32</w:t>
            </w:r>
          </w:p>
        </w:tc>
      </w:tr>
      <w:tr w:rsidR="003A33A6" w:rsidRPr="009D20BB" w14:paraId="2D8E6721" w14:textId="77777777" w:rsidTr="00DA7B0B">
        <w:trPr>
          <w:cantSplit/>
        </w:trPr>
        <w:tc>
          <w:tcPr>
            <w:tcW w:w="2148" w:type="dxa"/>
            <w:tcBorders>
              <w:top w:val="single" w:sz="4" w:space="0" w:color="auto"/>
              <w:bottom w:val="single" w:sz="4" w:space="0" w:color="auto"/>
            </w:tcBorders>
            <w:shd w:val="clear" w:color="auto" w:fill="auto"/>
          </w:tcPr>
          <w:p w14:paraId="09FE8271"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Konsolidierungs-therapie I, </w:t>
            </w:r>
            <w:smartTag w:uri="urn:schemas-microsoft-com:office:smarttags" w:element="stockticker">
              <w:r w:rsidRPr="00B30A12">
                <w:rPr>
                  <w:rFonts w:ascii="Times New Roman" w:hAnsi="Times New Roman"/>
                  <w:color w:val="000000"/>
                  <w:sz w:val="22"/>
                  <w:szCs w:val="22"/>
                  <w:lang w:val="de-DE"/>
                </w:rPr>
                <w:t>III</w:t>
              </w:r>
            </w:smartTag>
            <w:r w:rsidRPr="00B30A12">
              <w:rPr>
                <w:rFonts w:ascii="Times New Roman" w:hAnsi="Times New Roman"/>
                <w:color w:val="000000"/>
                <w:sz w:val="22"/>
                <w:szCs w:val="22"/>
                <w:lang w:val="de-DE"/>
              </w:rPr>
              <w:t>, V</w:t>
            </w:r>
          </w:p>
        </w:tc>
        <w:tc>
          <w:tcPr>
            <w:tcW w:w="6732" w:type="dxa"/>
            <w:gridSpan w:val="4"/>
            <w:tcBorders>
              <w:top w:val="single" w:sz="4" w:space="0" w:color="auto"/>
              <w:bottom w:val="single" w:sz="4" w:space="0" w:color="auto"/>
            </w:tcBorders>
            <w:shd w:val="clear" w:color="auto" w:fill="auto"/>
          </w:tcPr>
          <w:p w14:paraId="03DEEC1E" w14:textId="77777777" w:rsidR="003A33A6" w:rsidRPr="00B30A12" w:rsidRDefault="003A33A6" w:rsidP="00F35CB5">
            <w:pPr>
              <w:pStyle w:val="Table"/>
              <w:keepLines w:val="0"/>
              <w:widowControl w:val="0"/>
              <w:rPr>
                <w:rFonts w:ascii="Times New Roman" w:hAnsi="Times New Roman"/>
                <w:color w:val="000000"/>
                <w:sz w:val="22"/>
                <w:szCs w:val="22"/>
                <w:lang w:val="sv-SE"/>
              </w:rPr>
            </w:pPr>
            <w:smartTag w:uri="urn:schemas-microsoft-com:office:smarttags" w:element="stockticker">
              <w:r w:rsidRPr="00B30A12">
                <w:rPr>
                  <w:rFonts w:ascii="Times New Roman" w:hAnsi="Times New Roman"/>
                  <w:color w:val="000000"/>
                  <w:sz w:val="22"/>
                  <w:szCs w:val="22"/>
                  <w:lang w:val="sv-SE"/>
                </w:rPr>
                <w:t>MTX</w:t>
              </w:r>
            </w:smartTag>
            <w:r w:rsidRPr="00B30A12">
              <w:rPr>
                <w:rFonts w:ascii="Times New Roman" w:hAnsi="Times New Roman"/>
                <w:color w:val="000000"/>
                <w:sz w:val="22"/>
                <w:szCs w:val="22"/>
                <w:lang w:val="sv-SE"/>
              </w:rPr>
              <w:t xml:space="preserve"> 500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i.v. (24 h), Tage 1, 15;</w:t>
            </w:r>
          </w:p>
          <w:p w14:paraId="1A14DDD1" w14:textId="77777777" w:rsidR="003A33A6" w:rsidRPr="00B30A12" w:rsidRDefault="003A33A6" w:rsidP="00F35CB5">
            <w:pPr>
              <w:pStyle w:val="Table"/>
              <w:keepLines w:val="0"/>
              <w:widowControl w:val="0"/>
              <w:rPr>
                <w:rFonts w:ascii="Times New Roman" w:hAnsi="Times New Roman"/>
                <w:color w:val="000000"/>
                <w:sz w:val="22"/>
                <w:szCs w:val="22"/>
                <w:lang w:val="sv-SE"/>
              </w:rPr>
            </w:pPr>
            <w:r w:rsidRPr="00B30A12">
              <w:rPr>
                <w:rFonts w:ascii="Times New Roman" w:hAnsi="Times New Roman"/>
                <w:color w:val="000000"/>
                <w:sz w:val="22"/>
                <w:szCs w:val="22"/>
                <w:lang w:val="sv-SE"/>
              </w:rPr>
              <w:t>6-MP 25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oral, Tage 1-20</w:t>
            </w:r>
          </w:p>
        </w:tc>
      </w:tr>
      <w:tr w:rsidR="003A33A6" w:rsidRPr="00B30A12" w14:paraId="46C3618E" w14:textId="77777777" w:rsidTr="00DA7B0B">
        <w:trPr>
          <w:cantSplit/>
        </w:trPr>
        <w:tc>
          <w:tcPr>
            <w:tcW w:w="2148" w:type="dxa"/>
            <w:tcBorders>
              <w:top w:val="single" w:sz="4" w:space="0" w:color="auto"/>
              <w:bottom w:val="single" w:sz="4" w:space="0" w:color="auto"/>
            </w:tcBorders>
            <w:shd w:val="clear" w:color="auto" w:fill="auto"/>
          </w:tcPr>
          <w:p w14:paraId="4B172C69" w14:textId="77777777" w:rsidR="003A33A6" w:rsidRPr="00B30A12" w:rsidRDefault="003A33A6" w:rsidP="0054140C">
            <w:pPr>
              <w:pStyle w:val="Table"/>
              <w:keepNext w:val="0"/>
              <w:keepLines w:val="0"/>
              <w:widowControl w:val="0"/>
              <w:rPr>
                <w:rFonts w:ascii="Times New Roman" w:hAnsi="Times New Roman"/>
                <w:color w:val="000000"/>
                <w:sz w:val="22"/>
                <w:szCs w:val="22"/>
              </w:rPr>
            </w:pPr>
            <w:r w:rsidRPr="00B30A12">
              <w:rPr>
                <w:rFonts w:ascii="Times New Roman" w:hAnsi="Times New Roman"/>
                <w:color w:val="000000"/>
                <w:sz w:val="22"/>
                <w:szCs w:val="22"/>
              </w:rPr>
              <w:t>Konsolidierungs-therapie II, IV</w:t>
            </w:r>
          </w:p>
        </w:tc>
        <w:tc>
          <w:tcPr>
            <w:tcW w:w="6732" w:type="dxa"/>
            <w:gridSpan w:val="4"/>
            <w:tcBorders>
              <w:top w:val="single" w:sz="4" w:space="0" w:color="auto"/>
              <w:bottom w:val="single" w:sz="4" w:space="0" w:color="auto"/>
            </w:tcBorders>
            <w:shd w:val="clear" w:color="auto" w:fill="auto"/>
          </w:tcPr>
          <w:p w14:paraId="530FA6AA" w14:textId="77777777" w:rsidR="003A33A6" w:rsidRPr="00B30A12" w:rsidRDefault="003A33A6" w:rsidP="0054140C">
            <w:pPr>
              <w:pStyle w:val="Table"/>
              <w:keepNext w:val="0"/>
              <w:keepLines w:val="0"/>
              <w:widowControl w:val="0"/>
              <w:rPr>
                <w:rFonts w:ascii="Times New Roman" w:hAnsi="Times New Roman"/>
                <w:color w:val="000000"/>
                <w:sz w:val="22"/>
                <w:szCs w:val="22"/>
                <w:lang w:val="pt-BR"/>
              </w:rPr>
            </w:pPr>
            <w:r w:rsidRPr="00B30A12">
              <w:rPr>
                <w:rFonts w:ascii="Times New Roman" w:hAnsi="Times New Roman"/>
                <w:color w:val="000000"/>
                <w:sz w:val="22"/>
                <w:szCs w:val="22"/>
                <w:lang w:val="pt-BR"/>
              </w:rPr>
              <w:t>Ara-C 75 mg/m</w:t>
            </w:r>
            <w:r w:rsidRPr="00B30A12">
              <w:rPr>
                <w:rFonts w:ascii="Times New Roman" w:hAnsi="Times New Roman"/>
                <w:color w:val="000000"/>
                <w:sz w:val="22"/>
                <w:szCs w:val="22"/>
                <w:vertAlign w:val="superscript"/>
                <w:lang w:val="pt-BR"/>
              </w:rPr>
              <w:t>2</w:t>
            </w:r>
            <w:r w:rsidRPr="00B30A12">
              <w:rPr>
                <w:rFonts w:ascii="Times New Roman" w:hAnsi="Times New Roman"/>
                <w:color w:val="000000"/>
                <w:sz w:val="22"/>
                <w:szCs w:val="22"/>
                <w:lang w:val="pt-BR"/>
              </w:rPr>
              <w:t xml:space="preserve"> i.v. (1 h), Tage 1-5;</w:t>
            </w:r>
          </w:p>
          <w:p w14:paraId="1A799E87" w14:textId="77777777" w:rsidR="003A33A6" w:rsidRPr="00B30A12" w:rsidRDefault="003A33A6" w:rsidP="0054140C">
            <w:pPr>
              <w:pStyle w:val="Table"/>
              <w:keepNext w:val="0"/>
              <w:keepLines w:val="0"/>
              <w:widowControl w:val="0"/>
              <w:rPr>
                <w:rFonts w:ascii="Times New Roman" w:hAnsi="Times New Roman"/>
                <w:color w:val="000000"/>
                <w:sz w:val="22"/>
                <w:szCs w:val="22"/>
                <w:lang w:val="pt-BR"/>
              </w:rPr>
            </w:pPr>
            <w:r w:rsidRPr="00B30A12">
              <w:rPr>
                <w:rFonts w:ascii="Times New Roman" w:hAnsi="Times New Roman"/>
                <w:color w:val="000000"/>
                <w:sz w:val="22"/>
                <w:szCs w:val="22"/>
                <w:lang w:val="pt-BR"/>
              </w:rPr>
              <w:t>VM26 60 mg/m</w:t>
            </w:r>
            <w:r w:rsidRPr="00B30A12">
              <w:rPr>
                <w:rFonts w:ascii="Times New Roman" w:hAnsi="Times New Roman"/>
                <w:color w:val="000000"/>
                <w:sz w:val="22"/>
                <w:szCs w:val="22"/>
                <w:vertAlign w:val="superscript"/>
                <w:lang w:val="pt-BR"/>
              </w:rPr>
              <w:t>2</w:t>
            </w:r>
            <w:r w:rsidRPr="00B30A12">
              <w:rPr>
                <w:rFonts w:ascii="Times New Roman" w:hAnsi="Times New Roman"/>
                <w:color w:val="000000"/>
                <w:sz w:val="22"/>
                <w:szCs w:val="22"/>
                <w:lang w:val="pt-BR"/>
              </w:rPr>
              <w:t xml:space="preserve"> i.v. (1 h), Tage 1-5</w:t>
            </w:r>
          </w:p>
        </w:tc>
      </w:tr>
      <w:tr w:rsidR="003A33A6" w:rsidRPr="00B30A12" w14:paraId="56C8D3FB" w14:textId="77777777" w:rsidTr="00DA7B0B">
        <w:trPr>
          <w:cantSplit/>
        </w:trPr>
        <w:tc>
          <w:tcPr>
            <w:tcW w:w="2148" w:type="dxa"/>
            <w:tcBorders>
              <w:top w:val="single" w:sz="4" w:space="0" w:color="auto"/>
              <w:bottom w:val="single" w:sz="4" w:space="0" w:color="auto"/>
            </w:tcBorders>
            <w:shd w:val="clear" w:color="auto" w:fill="auto"/>
          </w:tcPr>
          <w:p w14:paraId="50826D7C" w14:textId="77777777" w:rsidR="003A33A6" w:rsidRPr="00B30A12" w:rsidRDefault="003A33A6" w:rsidP="00F35CB5">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lastRenderedPageBreak/>
              <w:t>Studie AAU02</w:t>
            </w:r>
          </w:p>
        </w:tc>
        <w:tc>
          <w:tcPr>
            <w:tcW w:w="2652" w:type="dxa"/>
            <w:tcBorders>
              <w:top w:val="single" w:sz="4" w:space="0" w:color="auto"/>
              <w:bottom w:val="single" w:sz="4" w:space="0" w:color="auto"/>
            </w:tcBorders>
            <w:shd w:val="clear" w:color="auto" w:fill="auto"/>
          </w:tcPr>
          <w:p w14:paraId="36AF1347"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75834D7A"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4940347C"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3F2A59EE" w14:textId="77777777" w:rsidR="003A33A6" w:rsidRPr="00B30A12" w:rsidRDefault="003A33A6" w:rsidP="00F35CB5">
            <w:pPr>
              <w:pStyle w:val="Table"/>
              <w:keepLines w:val="0"/>
              <w:widowControl w:val="0"/>
              <w:rPr>
                <w:rFonts w:ascii="Times New Roman" w:hAnsi="Times New Roman"/>
                <w:color w:val="000000"/>
                <w:sz w:val="22"/>
                <w:szCs w:val="22"/>
              </w:rPr>
            </w:pPr>
          </w:p>
        </w:tc>
      </w:tr>
      <w:tr w:rsidR="003A33A6" w:rsidRPr="00B30A12" w14:paraId="4BC54208" w14:textId="77777777" w:rsidTr="00DA7B0B">
        <w:trPr>
          <w:cantSplit/>
        </w:trPr>
        <w:tc>
          <w:tcPr>
            <w:tcW w:w="2148" w:type="dxa"/>
            <w:tcBorders>
              <w:top w:val="single" w:sz="4" w:space="0" w:color="auto"/>
              <w:bottom w:val="single" w:sz="4" w:space="0" w:color="auto"/>
            </w:tcBorders>
            <w:shd w:val="clear" w:color="auto" w:fill="auto"/>
          </w:tcPr>
          <w:p w14:paraId="717919D3"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Induktionstherapie (</w:t>
            </w:r>
            <w:r w:rsidRPr="00B30A12">
              <w:rPr>
                <w:rFonts w:ascii="Times New Roman" w:hAnsi="Times New Roman"/>
                <w:i/>
                <w:color w:val="000000"/>
                <w:sz w:val="22"/>
                <w:szCs w:val="22"/>
                <w:lang w:val="de-DE"/>
              </w:rPr>
              <w:t>de novo</w:t>
            </w:r>
            <w:r w:rsidRPr="00B30A12">
              <w:rPr>
                <w:rFonts w:ascii="Times New Roman" w:hAnsi="Times New Roman"/>
                <w:color w:val="000000"/>
                <w:sz w:val="22"/>
                <w:szCs w:val="22"/>
                <w:lang w:val="de-DE"/>
              </w:rPr>
              <w:t xml:space="preserve"> Ph+ </w:t>
            </w:r>
            <w:smartTag w:uri="urn:schemas-microsoft-com:office:smarttags" w:element="stockticker">
              <w:r w:rsidRPr="00B30A12">
                <w:rPr>
                  <w:rFonts w:ascii="Times New Roman" w:hAnsi="Times New Roman"/>
                  <w:color w:val="000000"/>
                  <w:sz w:val="22"/>
                  <w:szCs w:val="22"/>
                  <w:lang w:val="de-DE"/>
                </w:rPr>
                <w:t>ALL</w:t>
              </w:r>
            </w:smartTag>
            <w:r w:rsidRPr="00B30A12">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shd w:val="clear" w:color="auto" w:fill="auto"/>
          </w:tcPr>
          <w:p w14:paraId="4DE0A518"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Daunorubicin 30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1-3, 15-16;</w:t>
            </w:r>
          </w:p>
          <w:p w14:paraId="3E2A63DC"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VCR 2 mg Gesamtdosis i.v., Tage 1, 8, 15, 22;</w:t>
            </w:r>
          </w:p>
          <w:p w14:paraId="7B45B61A"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750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1, 8;</w:t>
            </w:r>
          </w:p>
          <w:p w14:paraId="3C67F2B7"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Prednison 60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oral, Tage 1-7, 15-21;</w:t>
            </w:r>
          </w:p>
          <w:p w14:paraId="7AD72647"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IDA 9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oral, Tage 1-28;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15 mg intrathekal, Tage 1, 8, 15, 22;</w:t>
            </w:r>
          </w:p>
          <w:p w14:paraId="2AE45CCB"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40 mg intrathekal, Tage 1, 8, 15, 22;</w:t>
            </w:r>
          </w:p>
          <w:p w14:paraId="15C899E9"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Methylprednisolon 40 mg intrathekal, Tage 1, 8, 15, 22 </w:t>
            </w:r>
          </w:p>
        </w:tc>
      </w:tr>
      <w:tr w:rsidR="003A33A6" w:rsidRPr="00B30A12" w14:paraId="3BDA9503" w14:textId="77777777" w:rsidTr="00DA7B0B">
        <w:trPr>
          <w:cantSplit/>
        </w:trPr>
        <w:tc>
          <w:tcPr>
            <w:tcW w:w="2148" w:type="dxa"/>
            <w:tcBorders>
              <w:top w:val="single" w:sz="4" w:space="0" w:color="auto"/>
              <w:bottom w:val="single" w:sz="4" w:space="0" w:color="auto"/>
            </w:tcBorders>
            <w:shd w:val="clear" w:color="auto" w:fill="auto"/>
          </w:tcPr>
          <w:p w14:paraId="69830432"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Konsolidierung (</w:t>
            </w:r>
            <w:r w:rsidRPr="00B30A12">
              <w:rPr>
                <w:rFonts w:ascii="Times New Roman" w:hAnsi="Times New Roman"/>
                <w:i/>
                <w:color w:val="000000"/>
                <w:sz w:val="22"/>
                <w:szCs w:val="22"/>
                <w:lang w:val="de-DE"/>
              </w:rPr>
              <w:t>de novo</w:t>
            </w:r>
            <w:r w:rsidRPr="00B30A12">
              <w:rPr>
                <w:rFonts w:ascii="Times New Roman" w:hAnsi="Times New Roman"/>
                <w:color w:val="000000"/>
                <w:sz w:val="22"/>
                <w:szCs w:val="22"/>
                <w:lang w:val="de-DE"/>
              </w:rPr>
              <w:t xml:space="preserve"> Ph+ </w:t>
            </w:r>
            <w:smartTag w:uri="urn:schemas-microsoft-com:office:smarttags" w:element="stockticker">
              <w:r w:rsidRPr="00B30A12">
                <w:rPr>
                  <w:rFonts w:ascii="Times New Roman" w:hAnsi="Times New Roman"/>
                  <w:color w:val="000000"/>
                  <w:sz w:val="22"/>
                  <w:szCs w:val="22"/>
                  <w:lang w:val="de-DE"/>
                </w:rPr>
                <w:t>ALL</w:t>
              </w:r>
            </w:smartTag>
            <w:r w:rsidRPr="00B30A12">
              <w:rPr>
                <w:rFonts w:ascii="Times New Roman" w:hAnsi="Times New Roman"/>
                <w:color w:val="000000"/>
                <w:sz w:val="22"/>
                <w:szCs w:val="22"/>
                <w:lang w:val="de-DE"/>
              </w:rPr>
              <w:t>)</w:t>
            </w:r>
          </w:p>
        </w:tc>
        <w:tc>
          <w:tcPr>
            <w:tcW w:w="6732" w:type="dxa"/>
            <w:gridSpan w:val="4"/>
            <w:tcBorders>
              <w:top w:val="single" w:sz="4" w:space="0" w:color="auto"/>
              <w:bottom w:val="single" w:sz="4" w:space="0" w:color="auto"/>
            </w:tcBorders>
            <w:shd w:val="clear" w:color="auto" w:fill="auto"/>
          </w:tcPr>
          <w:p w14:paraId="6244E374"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1.000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/12 h i.v.(3 h), Tage 1-4;</w:t>
            </w:r>
          </w:p>
          <w:p w14:paraId="07D6CB8F"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Mitoxantron 10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Tage 3-5;</w:t>
            </w:r>
          </w:p>
          <w:p w14:paraId="564BEE6F"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MTX 15 mg intrathekal, Tag 1;</w:t>
            </w:r>
          </w:p>
          <w:p w14:paraId="3A070F16"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Methylprednisolon 40 mg intrathekal, Tag 1</w:t>
            </w:r>
          </w:p>
        </w:tc>
      </w:tr>
      <w:tr w:rsidR="003A33A6" w:rsidRPr="00B30A12" w14:paraId="586169D6" w14:textId="77777777" w:rsidTr="00DA7B0B">
        <w:trPr>
          <w:cantSplit/>
        </w:trPr>
        <w:tc>
          <w:tcPr>
            <w:tcW w:w="4800" w:type="dxa"/>
            <w:gridSpan w:val="2"/>
            <w:tcBorders>
              <w:top w:val="single" w:sz="4" w:space="0" w:color="auto"/>
              <w:bottom w:val="single" w:sz="4" w:space="0" w:color="auto"/>
            </w:tcBorders>
            <w:shd w:val="clear" w:color="auto" w:fill="auto"/>
          </w:tcPr>
          <w:p w14:paraId="4B935BA5" w14:textId="77777777" w:rsidR="003A33A6" w:rsidRPr="00B30A12" w:rsidRDefault="003A33A6" w:rsidP="00F35CB5">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t>Studie ADE04</w:t>
            </w:r>
          </w:p>
        </w:tc>
        <w:tc>
          <w:tcPr>
            <w:tcW w:w="1080" w:type="dxa"/>
            <w:tcBorders>
              <w:top w:val="single" w:sz="4" w:space="0" w:color="auto"/>
              <w:bottom w:val="single" w:sz="4" w:space="0" w:color="auto"/>
            </w:tcBorders>
          </w:tcPr>
          <w:p w14:paraId="6F2FB4B0"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1433A56C"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1C5DDFDA" w14:textId="77777777" w:rsidR="003A33A6" w:rsidRPr="00B30A12" w:rsidRDefault="003A33A6" w:rsidP="00F35CB5">
            <w:pPr>
              <w:pStyle w:val="Table"/>
              <w:keepLines w:val="0"/>
              <w:widowControl w:val="0"/>
              <w:rPr>
                <w:rFonts w:ascii="Times New Roman" w:hAnsi="Times New Roman"/>
                <w:color w:val="000000"/>
                <w:sz w:val="22"/>
                <w:szCs w:val="22"/>
              </w:rPr>
            </w:pPr>
          </w:p>
        </w:tc>
      </w:tr>
      <w:tr w:rsidR="003A33A6" w:rsidRPr="00B30A12" w14:paraId="15B02E0B" w14:textId="77777777" w:rsidTr="00DA7B0B">
        <w:trPr>
          <w:cantSplit/>
        </w:trPr>
        <w:tc>
          <w:tcPr>
            <w:tcW w:w="2148" w:type="dxa"/>
            <w:tcBorders>
              <w:top w:val="single" w:sz="4" w:space="0" w:color="auto"/>
              <w:bottom w:val="single" w:sz="4" w:space="0" w:color="auto"/>
            </w:tcBorders>
            <w:shd w:val="clear" w:color="auto" w:fill="auto"/>
          </w:tcPr>
          <w:p w14:paraId="2C262710"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Vorphase</w:t>
            </w:r>
          </w:p>
        </w:tc>
        <w:tc>
          <w:tcPr>
            <w:tcW w:w="6732" w:type="dxa"/>
            <w:gridSpan w:val="4"/>
            <w:tcBorders>
              <w:top w:val="single" w:sz="4" w:space="0" w:color="auto"/>
              <w:bottom w:val="single" w:sz="4" w:space="0" w:color="auto"/>
            </w:tcBorders>
            <w:shd w:val="clear" w:color="auto" w:fill="auto"/>
          </w:tcPr>
          <w:p w14:paraId="4EB54F01"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1CA4AA10"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200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3-5;</w:t>
            </w:r>
          </w:p>
          <w:p w14:paraId="741CF356"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MTX 15 mg intrathekal, Tag 1</w:t>
            </w:r>
          </w:p>
        </w:tc>
      </w:tr>
      <w:tr w:rsidR="003A33A6" w:rsidRPr="00B30A12" w14:paraId="35EB3B4B" w14:textId="77777777" w:rsidTr="00DA7B0B">
        <w:trPr>
          <w:cantSplit/>
        </w:trPr>
        <w:tc>
          <w:tcPr>
            <w:tcW w:w="2148" w:type="dxa"/>
            <w:tcBorders>
              <w:top w:val="single" w:sz="4" w:space="0" w:color="auto"/>
              <w:bottom w:val="single" w:sz="4" w:space="0" w:color="auto"/>
            </w:tcBorders>
            <w:shd w:val="clear" w:color="auto" w:fill="auto"/>
          </w:tcPr>
          <w:p w14:paraId="22E322F5"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Induktionstherapie I</w:t>
            </w:r>
          </w:p>
        </w:tc>
        <w:tc>
          <w:tcPr>
            <w:tcW w:w="6732" w:type="dxa"/>
            <w:gridSpan w:val="4"/>
            <w:tcBorders>
              <w:top w:val="single" w:sz="4" w:space="0" w:color="auto"/>
              <w:bottom w:val="single" w:sz="4" w:space="0" w:color="auto"/>
            </w:tcBorders>
            <w:shd w:val="clear" w:color="auto" w:fill="auto"/>
          </w:tcPr>
          <w:p w14:paraId="7EC0C500"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DEX 10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1-5;</w:t>
            </w:r>
          </w:p>
          <w:p w14:paraId="44529373"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VCR 2 mg i.v., Tage 6, 13, 20;</w:t>
            </w:r>
          </w:p>
          <w:p w14:paraId="2EEF85C2"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Daunorubicin 45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Tage 6-7, 13-14</w:t>
            </w:r>
          </w:p>
        </w:tc>
      </w:tr>
      <w:tr w:rsidR="003A33A6" w:rsidRPr="009D20BB" w14:paraId="24702685" w14:textId="77777777" w:rsidTr="00DA7B0B">
        <w:trPr>
          <w:cantSplit/>
        </w:trPr>
        <w:tc>
          <w:tcPr>
            <w:tcW w:w="2148" w:type="dxa"/>
            <w:tcBorders>
              <w:top w:val="single" w:sz="4" w:space="0" w:color="auto"/>
              <w:bottom w:val="single" w:sz="4" w:space="0" w:color="auto"/>
            </w:tcBorders>
            <w:shd w:val="clear" w:color="auto" w:fill="auto"/>
          </w:tcPr>
          <w:p w14:paraId="1C4E8198"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Induktionstherapie II</w:t>
            </w:r>
          </w:p>
        </w:tc>
        <w:tc>
          <w:tcPr>
            <w:tcW w:w="6732" w:type="dxa"/>
            <w:gridSpan w:val="4"/>
            <w:tcBorders>
              <w:top w:val="single" w:sz="4" w:space="0" w:color="auto"/>
              <w:bottom w:val="single" w:sz="4" w:space="0" w:color="auto"/>
            </w:tcBorders>
            <w:shd w:val="clear" w:color="auto" w:fill="auto"/>
          </w:tcPr>
          <w:p w14:paraId="0ACE536D"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CP 1 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(1 h), Tage 26, 46;</w:t>
            </w:r>
          </w:p>
          <w:p w14:paraId="286340B6" w14:textId="77777777" w:rsidR="003A33A6" w:rsidRPr="00B30A12" w:rsidRDefault="003A33A6" w:rsidP="00F35CB5">
            <w:pPr>
              <w:pStyle w:val="Table"/>
              <w:keepLines w:val="0"/>
              <w:widowControl w:val="0"/>
              <w:rPr>
                <w:rFonts w:ascii="Times New Roman" w:hAnsi="Times New Roman"/>
                <w:color w:val="000000"/>
                <w:sz w:val="22"/>
                <w:szCs w:val="22"/>
                <w:lang w:val="da-DK"/>
              </w:rPr>
            </w:pPr>
            <w:r w:rsidRPr="00B30A12">
              <w:rPr>
                <w:rFonts w:ascii="Times New Roman" w:hAnsi="Times New Roman"/>
                <w:color w:val="000000"/>
                <w:sz w:val="22"/>
                <w:szCs w:val="22"/>
                <w:lang w:val="da-DK"/>
              </w:rPr>
              <w:t>Ara-C 75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i.v. (1 h), Tage 28-31, 35-38, 42-45;</w:t>
            </w:r>
          </w:p>
          <w:p w14:paraId="02B63DDE"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lang w:val="da-DK"/>
              </w:rPr>
              <w:t>6-MP 60 mg/m</w:t>
            </w:r>
            <w:r w:rsidRPr="00B30A12">
              <w:rPr>
                <w:rFonts w:ascii="Times New Roman" w:hAnsi="Times New Roman"/>
                <w:color w:val="000000"/>
                <w:sz w:val="22"/>
                <w:szCs w:val="22"/>
                <w:vertAlign w:val="superscript"/>
                <w:lang w:val="da-DK"/>
              </w:rPr>
              <w:t>2</w:t>
            </w:r>
            <w:r w:rsidRPr="00B30A12">
              <w:rPr>
                <w:rFonts w:ascii="Times New Roman" w:hAnsi="Times New Roman"/>
                <w:color w:val="000000"/>
                <w:sz w:val="22"/>
                <w:szCs w:val="22"/>
                <w:lang w:val="da-DK"/>
              </w:rPr>
              <w:t xml:space="preserve"> oral, Tage 26-46</w:t>
            </w:r>
          </w:p>
        </w:tc>
      </w:tr>
      <w:tr w:rsidR="003A33A6" w:rsidRPr="00B30A12" w14:paraId="1066A3C6" w14:textId="77777777" w:rsidTr="00DA7B0B">
        <w:trPr>
          <w:cantSplit/>
        </w:trPr>
        <w:tc>
          <w:tcPr>
            <w:tcW w:w="2148" w:type="dxa"/>
            <w:tcBorders>
              <w:top w:val="nil"/>
              <w:bottom w:val="single" w:sz="4" w:space="0" w:color="auto"/>
            </w:tcBorders>
            <w:shd w:val="clear" w:color="auto" w:fill="auto"/>
          </w:tcPr>
          <w:p w14:paraId="7D8290FC" w14:textId="77777777" w:rsidR="003A33A6" w:rsidRPr="00B30A12" w:rsidRDefault="003A33A6" w:rsidP="0054140C">
            <w:pPr>
              <w:pStyle w:val="Table"/>
              <w:keepNext w:val="0"/>
              <w:keepLines w:val="0"/>
              <w:widowControl w:val="0"/>
              <w:rPr>
                <w:rFonts w:ascii="Times New Roman" w:hAnsi="Times New Roman"/>
                <w:color w:val="000000"/>
                <w:sz w:val="22"/>
                <w:szCs w:val="22"/>
              </w:rPr>
            </w:pPr>
            <w:r w:rsidRPr="00B30A12">
              <w:rPr>
                <w:rFonts w:ascii="Times New Roman" w:hAnsi="Times New Roman"/>
                <w:color w:val="000000"/>
                <w:sz w:val="22"/>
                <w:szCs w:val="22"/>
              </w:rPr>
              <w:t>Konsolidierungs-therapie</w:t>
            </w:r>
          </w:p>
        </w:tc>
        <w:tc>
          <w:tcPr>
            <w:tcW w:w="6732" w:type="dxa"/>
            <w:gridSpan w:val="4"/>
            <w:tcBorders>
              <w:top w:val="nil"/>
              <w:bottom w:val="single" w:sz="4" w:space="0" w:color="auto"/>
            </w:tcBorders>
            <w:shd w:val="clear" w:color="auto" w:fill="auto"/>
          </w:tcPr>
          <w:p w14:paraId="15010E22" w14:textId="77777777" w:rsidR="003A33A6" w:rsidRPr="002A051A" w:rsidRDefault="003A33A6" w:rsidP="0054140C">
            <w:pPr>
              <w:pStyle w:val="Table"/>
              <w:keepNext w:val="0"/>
              <w:keepLines w:val="0"/>
              <w:widowControl w:val="0"/>
              <w:rPr>
                <w:rFonts w:ascii="Times New Roman" w:hAnsi="Times New Roman"/>
                <w:color w:val="000000"/>
                <w:sz w:val="22"/>
                <w:szCs w:val="22"/>
              </w:rPr>
            </w:pPr>
            <w:r w:rsidRPr="002A051A">
              <w:rPr>
                <w:rFonts w:ascii="Times New Roman" w:hAnsi="Times New Roman"/>
                <w:color w:val="000000"/>
                <w:sz w:val="22"/>
                <w:szCs w:val="22"/>
              </w:rPr>
              <w:t>DEX 10 mg/m</w:t>
            </w:r>
            <w:r w:rsidRPr="002A051A">
              <w:rPr>
                <w:rFonts w:ascii="Times New Roman" w:hAnsi="Times New Roman"/>
                <w:color w:val="000000"/>
                <w:sz w:val="22"/>
                <w:szCs w:val="22"/>
                <w:vertAlign w:val="superscript"/>
              </w:rPr>
              <w:t>2</w:t>
            </w:r>
            <w:r w:rsidRPr="002A051A">
              <w:rPr>
                <w:rFonts w:ascii="Times New Roman" w:hAnsi="Times New Roman"/>
                <w:color w:val="000000"/>
                <w:sz w:val="22"/>
                <w:szCs w:val="22"/>
              </w:rPr>
              <w:t xml:space="preserve"> oral, Tage 1-5;</w:t>
            </w:r>
          </w:p>
          <w:p w14:paraId="6487E81F"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Vindesin 3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Tag 1;</w:t>
            </w:r>
          </w:p>
          <w:p w14:paraId="4CE0C8D3"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MTX 1,5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w:t>
            </w:r>
          </w:p>
          <w:p w14:paraId="66851F24"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Etoposid 250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(1 h) Tage 4-5;</w:t>
            </w:r>
          </w:p>
          <w:p w14:paraId="1C0895C7" w14:textId="77777777" w:rsidR="003A33A6" w:rsidRPr="00B30A12" w:rsidRDefault="003A33A6" w:rsidP="0054140C">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Ara-C 2x2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(3 h, q 12 h), Tag 5</w:t>
            </w:r>
          </w:p>
        </w:tc>
      </w:tr>
      <w:tr w:rsidR="003A33A6" w:rsidRPr="00B30A12" w14:paraId="12745B75" w14:textId="77777777" w:rsidTr="00DA7B0B">
        <w:trPr>
          <w:cantSplit/>
        </w:trPr>
        <w:tc>
          <w:tcPr>
            <w:tcW w:w="2148" w:type="dxa"/>
            <w:tcBorders>
              <w:top w:val="nil"/>
              <w:bottom w:val="single" w:sz="4" w:space="0" w:color="auto"/>
            </w:tcBorders>
            <w:shd w:val="clear" w:color="auto" w:fill="auto"/>
          </w:tcPr>
          <w:p w14:paraId="4CA5AA69" w14:textId="77777777" w:rsidR="003A33A6" w:rsidRPr="00B30A12" w:rsidRDefault="003A33A6" w:rsidP="00F35CB5">
            <w:pPr>
              <w:pStyle w:val="Table"/>
              <w:keepLines w:val="0"/>
              <w:widowControl w:val="0"/>
              <w:rPr>
                <w:rFonts w:ascii="Times New Roman" w:hAnsi="Times New Roman"/>
                <w:b/>
                <w:color w:val="000000"/>
                <w:sz w:val="22"/>
                <w:szCs w:val="22"/>
              </w:rPr>
            </w:pPr>
            <w:r w:rsidRPr="00B30A12">
              <w:rPr>
                <w:rFonts w:ascii="Times New Roman" w:hAnsi="Times New Roman"/>
                <w:b/>
                <w:color w:val="000000"/>
                <w:sz w:val="22"/>
                <w:szCs w:val="22"/>
              </w:rPr>
              <w:t>Studie AJP01</w:t>
            </w:r>
          </w:p>
        </w:tc>
        <w:tc>
          <w:tcPr>
            <w:tcW w:w="2652" w:type="dxa"/>
            <w:tcBorders>
              <w:top w:val="nil"/>
              <w:bottom w:val="single" w:sz="4" w:space="0" w:color="auto"/>
            </w:tcBorders>
            <w:shd w:val="clear" w:color="auto" w:fill="auto"/>
          </w:tcPr>
          <w:p w14:paraId="0A8762ED"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080" w:type="dxa"/>
            <w:tcBorders>
              <w:top w:val="nil"/>
              <w:bottom w:val="single" w:sz="4" w:space="0" w:color="auto"/>
            </w:tcBorders>
          </w:tcPr>
          <w:p w14:paraId="06EADD57"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380" w:type="dxa"/>
            <w:tcBorders>
              <w:top w:val="nil"/>
              <w:bottom w:val="single" w:sz="4" w:space="0" w:color="auto"/>
            </w:tcBorders>
          </w:tcPr>
          <w:p w14:paraId="7B3A11C4"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620" w:type="dxa"/>
            <w:tcBorders>
              <w:top w:val="nil"/>
              <w:bottom w:val="single" w:sz="4" w:space="0" w:color="auto"/>
            </w:tcBorders>
          </w:tcPr>
          <w:p w14:paraId="7DC8911F" w14:textId="77777777" w:rsidR="003A33A6" w:rsidRPr="00B30A12" w:rsidRDefault="003A33A6" w:rsidP="00F35CB5">
            <w:pPr>
              <w:pStyle w:val="Table"/>
              <w:keepLines w:val="0"/>
              <w:widowControl w:val="0"/>
              <w:rPr>
                <w:rFonts w:ascii="Times New Roman" w:hAnsi="Times New Roman"/>
                <w:color w:val="000000"/>
                <w:sz w:val="22"/>
                <w:szCs w:val="22"/>
              </w:rPr>
            </w:pPr>
          </w:p>
        </w:tc>
      </w:tr>
      <w:tr w:rsidR="003A33A6" w:rsidRPr="00B30A12" w14:paraId="22231B4F" w14:textId="77777777" w:rsidTr="00DA7B0B">
        <w:trPr>
          <w:cantSplit/>
        </w:trPr>
        <w:tc>
          <w:tcPr>
            <w:tcW w:w="2148" w:type="dxa"/>
            <w:tcBorders>
              <w:top w:val="nil"/>
              <w:bottom w:val="single" w:sz="4" w:space="0" w:color="auto"/>
            </w:tcBorders>
            <w:shd w:val="clear" w:color="auto" w:fill="auto"/>
          </w:tcPr>
          <w:p w14:paraId="14E56176" w14:textId="77777777" w:rsidR="003A33A6" w:rsidRPr="00B30A12" w:rsidRDefault="003A33A6" w:rsidP="00F35CB5">
            <w:pPr>
              <w:pStyle w:val="Table"/>
              <w:keepLines w:val="0"/>
              <w:widowControl w:val="0"/>
              <w:jc w:val="both"/>
              <w:rPr>
                <w:rFonts w:ascii="Times New Roman" w:hAnsi="Times New Roman"/>
                <w:color w:val="000000"/>
                <w:sz w:val="22"/>
                <w:szCs w:val="22"/>
              </w:rPr>
            </w:pPr>
            <w:r w:rsidRPr="00B30A12">
              <w:rPr>
                <w:rFonts w:ascii="Times New Roman" w:hAnsi="Times New Roman"/>
                <w:color w:val="000000"/>
                <w:sz w:val="22"/>
                <w:szCs w:val="22"/>
              </w:rPr>
              <w:t>Induktionstherapie</w:t>
            </w:r>
          </w:p>
        </w:tc>
        <w:tc>
          <w:tcPr>
            <w:tcW w:w="6732" w:type="dxa"/>
            <w:gridSpan w:val="4"/>
            <w:tcBorders>
              <w:top w:val="nil"/>
              <w:bottom w:val="single" w:sz="4" w:space="0" w:color="auto"/>
            </w:tcBorders>
            <w:shd w:val="clear" w:color="auto" w:fill="auto"/>
          </w:tcPr>
          <w:p w14:paraId="3ED8AA0F"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CP 1,2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(3 h), Tag 1;</w:t>
            </w:r>
          </w:p>
          <w:p w14:paraId="1900D226"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Daunorubicin 60 mg/m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(1 h), Tag 1-3;</w:t>
            </w:r>
          </w:p>
          <w:p w14:paraId="4F8AC755"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Vincristin 1,3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Tage 1, 8, 15, 21;</w:t>
            </w:r>
          </w:p>
          <w:p w14:paraId="1A0DE551" w14:textId="77777777" w:rsidR="003A33A6" w:rsidRPr="002A051A" w:rsidRDefault="003A33A6" w:rsidP="00F35CB5">
            <w:pPr>
              <w:pStyle w:val="Table"/>
              <w:keepLines w:val="0"/>
              <w:widowControl w:val="0"/>
              <w:rPr>
                <w:rFonts w:ascii="Times New Roman" w:hAnsi="Times New Roman"/>
                <w:color w:val="000000"/>
                <w:sz w:val="22"/>
                <w:szCs w:val="22"/>
                <w:lang w:val="de-DE"/>
              </w:rPr>
            </w:pPr>
            <w:r w:rsidRPr="002A051A">
              <w:rPr>
                <w:rFonts w:ascii="Times New Roman" w:hAnsi="Times New Roman"/>
                <w:color w:val="000000"/>
                <w:sz w:val="22"/>
                <w:szCs w:val="22"/>
                <w:lang w:val="de-DE"/>
              </w:rPr>
              <w:t>Prednisolon 60 mg/m</w:t>
            </w:r>
            <w:r w:rsidRPr="002A051A">
              <w:rPr>
                <w:rFonts w:ascii="Times New Roman" w:hAnsi="Times New Roman"/>
                <w:color w:val="000000"/>
                <w:sz w:val="22"/>
                <w:szCs w:val="22"/>
                <w:vertAlign w:val="superscript"/>
                <w:lang w:val="de-DE"/>
              </w:rPr>
              <w:t>2</w:t>
            </w:r>
            <w:r w:rsidRPr="002A051A">
              <w:rPr>
                <w:rFonts w:ascii="Times New Roman" w:hAnsi="Times New Roman"/>
                <w:color w:val="000000"/>
                <w:sz w:val="22"/>
                <w:szCs w:val="22"/>
                <w:lang w:val="de-DE"/>
              </w:rPr>
              <w:t>/Tag oral</w:t>
            </w:r>
          </w:p>
        </w:tc>
      </w:tr>
      <w:tr w:rsidR="003A33A6" w:rsidRPr="00B30A12" w14:paraId="0CA2FFA2" w14:textId="77777777" w:rsidTr="00DA7B0B">
        <w:trPr>
          <w:cantSplit/>
        </w:trPr>
        <w:tc>
          <w:tcPr>
            <w:tcW w:w="2148" w:type="dxa"/>
            <w:tcBorders>
              <w:top w:val="single" w:sz="4" w:space="0" w:color="auto"/>
              <w:bottom w:val="single" w:sz="4" w:space="0" w:color="auto"/>
            </w:tcBorders>
            <w:shd w:val="clear" w:color="auto" w:fill="auto"/>
          </w:tcPr>
          <w:p w14:paraId="37DB7918" w14:textId="77777777" w:rsidR="003A33A6" w:rsidRPr="00B30A12" w:rsidRDefault="003A33A6" w:rsidP="00F35CB5">
            <w:pPr>
              <w:pStyle w:val="Table"/>
              <w:keepLines w:val="0"/>
              <w:widowControl w:val="0"/>
              <w:tabs>
                <w:tab w:val="left" w:pos="0"/>
              </w:tabs>
              <w:rPr>
                <w:rFonts w:ascii="Times New Roman" w:hAnsi="Times New Roman"/>
                <w:color w:val="000000"/>
                <w:sz w:val="22"/>
                <w:szCs w:val="22"/>
              </w:rPr>
            </w:pPr>
            <w:r w:rsidRPr="00B30A12">
              <w:rPr>
                <w:rFonts w:ascii="Times New Roman" w:hAnsi="Times New Roman"/>
                <w:color w:val="000000"/>
                <w:sz w:val="22"/>
                <w:szCs w:val="22"/>
              </w:rPr>
              <w:t>Konsolidierungs-therapie</w:t>
            </w:r>
          </w:p>
        </w:tc>
        <w:tc>
          <w:tcPr>
            <w:tcW w:w="6732" w:type="dxa"/>
            <w:gridSpan w:val="4"/>
            <w:tcBorders>
              <w:top w:val="single" w:sz="4" w:space="0" w:color="auto"/>
              <w:bottom w:val="single" w:sz="4" w:space="0" w:color="auto"/>
            </w:tcBorders>
            <w:shd w:val="clear" w:color="auto" w:fill="auto"/>
          </w:tcPr>
          <w:p w14:paraId="79C16DEC"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Alternierender Chemotherapiezyklus: Hochdosis-Chemotherapie mit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 und Ara-C 2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(q 12 h), Tage 2-3, über 4 Zyklen</w:t>
            </w:r>
          </w:p>
        </w:tc>
      </w:tr>
      <w:tr w:rsidR="003A33A6" w:rsidRPr="009D20BB" w14:paraId="5CE85FB7" w14:textId="77777777" w:rsidTr="00DA7B0B">
        <w:trPr>
          <w:cantSplit/>
        </w:trPr>
        <w:tc>
          <w:tcPr>
            <w:tcW w:w="2148" w:type="dxa"/>
            <w:tcBorders>
              <w:top w:val="single" w:sz="4" w:space="0" w:color="auto"/>
              <w:bottom w:val="single" w:sz="4" w:space="0" w:color="auto"/>
            </w:tcBorders>
            <w:shd w:val="clear" w:color="auto" w:fill="auto"/>
          </w:tcPr>
          <w:p w14:paraId="643597EE" w14:textId="77777777" w:rsidR="003A33A6" w:rsidRPr="00B30A12" w:rsidRDefault="003A33A6" w:rsidP="0054140C">
            <w:pPr>
              <w:pStyle w:val="Table"/>
              <w:keepNext w:val="0"/>
              <w:keepLines w:val="0"/>
              <w:widowControl w:val="0"/>
              <w:tabs>
                <w:tab w:val="left" w:pos="0"/>
              </w:tabs>
              <w:rPr>
                <w:rFonts w:ascii="Times New Roman" w:hAnsi="Times New Roman"/>
                <w:color w:val="000000"/>
                <w:sz w:val="22"/>
                <w:szCs w:val="22"/>
              </w:rPr>
            </w:pPr>
            <w:r w:rsidRPr="00B30A12">
              <w:rPr>
                <w:rFonts w:ascii="Times New Roman" w:hAnsi="Times New Roman"/>
                <w:color w:val="000000"/>
                <w:sz w:val="22"/>
                <w:szCs w:val="22"/>
              </w:rPr>
              <w:t>Erhaltung</w:t>
            </w:r>
          </w:p>
        </w:tc>
        <w:tc>
          <w:tcPr>
            <w:tcW w:w="6732" w:type="dxa"/>
            <w:gridSpan w:val="4"/>
            <w:tcBorders>
              <w:top w:val="single" w:sz="4" w:space="0" w:color="auto"/>
              <w:bottom w:val="single" w:sz="4" w:space="0" w:color="auto"/>
            </w:tcBorders>
            <w:shd w:val="clear" w:color="auto" w:fill="auto"/>
          </w:tcPr>
          <w:p w14:paraId="77127A7F" w14:textId="77777777" w:rsidR="003A33A6" w:rsidRPr="00B30A12" w:rsidRDefault="003A33A6" w:rsidP="0054140C">
            <w:pPr>
              <w:pStyle w:val="Table"/>
              <w:keepNext w:val="0"/>
              <w:keepLines w:val="0"/>
              <w:widowControl w:val="0"/>
              <w:rPr>
                <w:rFonts w:ascii="Times New Roman" w:hAnsi="Times New Roman"/>
                <w:color w:val="000000"/>
                <w:sz w:val="22"/>
                <w:szCs w:val="22"/>
                <w:lang w:val="sv-SE"/>
              </w:rPr>
            </w:pPr>
            <w:smartTag w:uri="urn:schemas-microsoft-com:office:smarttags" w:element="stockticker">
              <w:r w:rsidRPr="00B30A12">
                <w:rPr>
                  <w:rFonts w:ascii="Times New Roman" w:hAnsi="Times New Roman"/>
                  <w:color w:val="000000"/>
                  <w:sz w:val="22"/>
                  <w:szCs w:val="22"/>
                  <w:lang w:val="sv-SE"/>
                </w:rPr>
                <w:t>VCR</w:t>
              </w:r>
            </w:smartTag>
            <w:r w:rsidRPr="00B30A12">
              <w:rPr>
                <w:rFonts w:ascii="Times New Roman" w:hAnsi="Times New Roman"/>
                <w:color w:val="000000"/>
                <w:sz w:val="22"/>
                <w:szCs w:val="22"/>
                <w:lang w:val="sv-SE"/>
              </w:rPr>
              <w:t xml:space="preserve"> 1,3 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i.v., Tag 1;</w:t>
            </w:r>
          </w:p>
          <w:p w14:paraId="1AF24FB4" w14:textId="77777777" w:rsidR="003A33A6" w:rsidRPr="00B30A12" w:rsidRDefault="003A33A6" w:rsidP="0054140C">
            <w:pPr>
              <w:pStyle w:val="Table"/>
              <w:keepNext w:val="0"/>
              <w:keepLines w:val="0"/>
              <w:widowControl w:val="0"/>
              <w:rPr>
                <w:rFonts w:ascii="Times New Roman" w:hAnsi="Times New Roman"/>
                <w:color w:val="000000"/>
                <w:sz w:val="22"/>
                <w:szCs w:val="22"/>
                <w:lang w:val="sv-SE"/>
              </w:rPr>
            </w:pPr>
            <w:r w:rsidRPr="00B30A12">
              <w:rPr>
                <w:rFonts w:ascii="Times New Roman" w:hAnsi="Times New Roman"/>
                <w:color w:val="000000"/>
                <w:sz w:val="22"/>
                <w:szCs w:val="22"/>
                <w:lang w:val="sv-SE"/>
              </w:rPr>
              <w:t>Prednisolon 60 mg/m</w:t>
            </w:r>
            <w:r w:rsidRPr="00B30A12">
              <w:rPr>
                <w:rFonts w:ascii="Times New Roman" w:hAnsi="Times New Roman"/>
                <w:color w:val="000000"/>
                <w:sz w:val="22"/>
                <w:szCs w:val="22"/>
                <w:vertAlign w:val="superscript"/>
                <w:lang w:val="sv-SE"/>
              </w:rPr>
              <w:t>2</w:t>
            </w:r>
            <w:r w:rsidRPr="00B30A12">
              <w:rPr>
                <w:rFonts w:ascii="Times New Roman" w:hAnsi="Times New Roman"/>
                <w:color w:val="000000"/>
                <w:sz w:val="22"/>
                <w:szCs w:val="22"/>
                <w:lang w:val="sv-SE"/>
              </w:rPr>
              <w:t xml:space="preserve"> oral, Tage 1-5</w:t>
            </w:r>
          </w:p>
        </w:tc>
      </w:tr>
      <w:tr w:rsidR="003A33A6" w:rsidRPr="00B30A12" w14:paraId="7CFB37B6" w14:textId="77777777" w:rsidTr="00DA7B0B">
        <w:trPr>
          <w:cantSplit/>
        </w:trPr>
        <w:tc>
          <w:tcPr>
            <w:tcW w:w="4800" w:type="dxa"/>
            <w:gridSpan w:val="2"/>
            <w:tcBorders>
              <w:top w:val="single" w:sz="4" w:space="0" w:color="auto"/>
              <w:bottom w:val="single" w:sz="4" w:space="0" w:color="auto"/>
            </w:tcBorders>
            <w:shd w:val="clear" w:color="auto" w:fill="auto"/>
          </w:tcPr>
          <w:p w14:paraId="59ACD994"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b/>
                <w:color w:val="000000"/>
                <w:sz w:val="22"/>
                <w:szCs w:val="22"/>
              </w:rPr>
              <w:lastRenderedPageBreak/>
              <w:t>Studie AUS01</w:t>
            </w:r>
          </w:p>
        </w:tc>
        <w:tc>
          <w:tcPr>
            <w:tcW w:w="1080" w:type="dxa"/>
            <w:tcBorders>
              <w:top w:val="single" w:sz="4" w:space="0" w:color="auto"/>
              <w:bottom w:val="single" w:sz="4" w:space="0" w:color="auto"/>
            </w:tcBorders>
          </w:tcPr>
          <w:p w14:paraId="5723E465"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16FDEA89" w14:textId="77777777" w:rsidR="003A33A6" w:rsidRPr="00B30A12" w:rsidRDefault="003A33A6" w:rsidP="00F35CB5">
            <w:pPr>
              <w:pStyle w:val="Table"/>
              <w:keepLines w:val="0"/>
              <w:widowControl w:val="0"/>
              <w:rPr>
                <w:rFonts w:ascii="Times New Roman" w:hAnsi="Times New Roman"/>
                <w:color w:val="000000"/>
                <w:sz w:val="22"/>
                <w:szCs w:val="22"/>
              </w:rPr>
            </w:pPr>
          </w:p>
        </w:tc>
        <w:tc>
          <w:tcPr>
            <w:tcW w:w="1620" w:type="dxa"/>
            <w:tcBorders>
              <w:top w:val="single" w:sz="4" w:space="0" w:color="auto"/>
              <w:bottom w:val="single" w:sz="4" w:space="0" w:color="auto"/>
            </w:tcBorders>
          </w:tcPr>
          <w:p w14:paraId="261B3634" w14:textId="77777777" w:rsidR="003A33A6" w:rsidRPr="00B30A12" w:rsidRDefault="003A33A6" w:rsidP="00F35CB5">
            <w:pPr>
              <w:pStyle w:val="Table"/>
              <w:keepLines w:val="0"/>
              <w:widowControl w:val="0"/>
              <w:rPr>
                <w:rFonts w:ascii="Times New Roman" w:hAnsi="Times New Roman"/>
                <w:color w:val="000000"/>
                <w:sz w:val="22"/>
                <w:szCs w:val="22"/>
              </w:rPr>
            </w:pPr>
          </w:p>
        </w:tc>
      </w:tr>
      <w:tr w:rsidR="003A33A6" w:rsidRPr="00B30A12" w14:paraId="5DA7F528" w14:textId="77777777" w:rsidTr="00DA7B0B">
        <w:trPr>
          <w:cantSplit/>
        </w:trPr>
        <w:tc>
          <w:tcPr>
            <w:tcW w:w="2148" w:type="dxa"/>
            <w:tcBorders>
              <w:top w:val="single" w:sz="4" w:space="0" w:color="auto"/>
              <w:bottom w:val="single" w:sz="4" w:space="0" w:color="auto"/>
            </w:tcBorders>
            <w:shd w:val="clear" w:color="auto" w:fill="auto"/>
          </w:tcPr>
          <w:p w14:paraId="4C95449E"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Induktions-Konsolidierungs-therapie</w:t>
            </w:r>
          </w:p>
        </w:tc>
        <w:tc>
          <w:tcPr>
            <w:tcW w:w="6732" w:type="dxa"/>
            <w:gridSpan w:val="4"/>
            <w:tcBorders>
              <w:top w:val="single" w:sz="4" w:space="0" w:color="auto"/>
              <w:bottom w:val="single" w:sz="4" w:space="0" w:color="auto"/>
            </w:tcBorders>
            <w:shd w:val="clear" w:color="auto" w:fill="auto"/>
          </w:tcPr>
          <w:p w14:paraId="157632D9"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Hyper-CVAD-Regime: CP 300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(3 h, q 12 h), Tage 1-3; Vincristin 2 mg i.v., Tage 4, 11;</w:t>
            </w:r>
          </w:p>
          <w:p w14:paraId="72897350"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Doxorubicin 50 mg/m</w:t>
            </w:r>
            <w:r w:rsidRPr="00B30A12">
              <w:rPr>
                <w:rFonts w:ascii="Times New Roman" w:hAnsi="Times New Roman"/>
                <w:color w:val="000000"/>
                <w:sz w:val="22"/>
                <w:szCs w:val="22"/>
                <w:vertAlign w:val="superscript"/>
              </w:rPr>
              <w:t>2</w:t>
            </w:r>
            <w:r w:rsidRPr="00B30A12">
              <w:rPr>
                <w:rFonts w:ascii="Times New Roman" w:hAnsi="Times New Roman"/>
                <w:color w:val="000000"/>
                <w:sz w:val="22"/>
                <w:szCs w:val="22"/>
              </w:rPr>
              <w:t xml:space="preserve"> i.v. (24 h), Tag 4;</w:t>
            </w:r>
          </w:p>
          <w:p w14:paraId="1E19C504"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DEX 40 mg/Tag an den Tagen 1-4 und 11-14, alternierend mit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(24 h), Tag 1, Ara-C 1 g/m</w:t>
            </w:r>
            <w:r w:rsidRPr="00B30A12">
              <w:rPr>
                <w:rFonts w:ascii="Times New Roman" w:hAnsi="Times New Roman"/>
                <w:color w:val="000000"/>
                <w:sz w:val="22"/>
                <w:szCs w:val="22"/>
                <w:vertAlign w:val="superscript"/>
                <w:lang w:val="de-DE"/>
              </w:rPr>
              <w:t>2</w:t>
            </w:r>
            <w:r w:rsidRPr="00B30A12">
              <w:rPr>
                <w:rFonts w:ascii="Times New Roman" w:hAnsi="Times New Roman"/>
                <w:color w:val="000000"/>
                <w:sz w:val="22"/>
                <w:szCs w:val="22"/>
                <w:lang w:val="de-DE"/>
              </w:rPr>
              <w:t xml:space="preserve"> i.v. (2 h, q 12 h), Tage 2-3 (insgesamt 8 Zyklen)</w:t>
            </w:r>
          </w:p>
        </w:tc>
      </w:tr>
      <w:tr w:rsidR="003A33A6" w:rsidRPr="00B30A12" w14:paraId="2C300C65" w14:textId="77777777" w:rsidTr="00DA7B0B">
        <w:trPr>
          <w:cantSplit/>
        </w:trPr>
        <w:tc>
          <w:tcPr>
            <w:tcW w:w="2148" w:type="dxa"/>
            <w:tcBorders>
              <w:top w:val="single" w:sz="4" w:space="0" w:color="auto"/>
              <w:bottom w:val="single" w:sz="4" w:space="0" w:color="auto"/>
            </w:tcBorders>
            <w:shd w:val="clear" w:color="auto" w:fill="auto"/>
          </w:tcPr>
          <w:p w14:paraId="0F74DD0C" w14:textId="77777777" w:rsidR="003A33A6" w:rsidRPr="00B30A12" w:rsidRDefault="003A33A6" w:rsidP="00F35CB5">
            <w:pPr>
              <w:pStyle w:val="Table"/>
              <w:keepLines w:val="0"/>
              <w:widowControl w:val="0"/>
              <w:rPr>
                <w:rFonts w:ascii="Times New Roman" w:hAnsi="Times New Roman"/>
                <w:color w:val="000000"/>
                <w:sz w:val="22"/>
                <w:szCs w:val="22"/>
              </w:rPr>
            </w:pPr>
            <w:r w:rsidRPr="00B30A12">
              <w:rPr>
                <w:rFonts w:ascii="Times New Roman" w:hAnsi="Times New Roman"/>
                <w:color w:val="000000"/>
                <w:sz w:val="22"/>
                <w:szCs w:val="22"/>
              </w:rPr>
              <w:t>Erhaltung</w:t>
            </w:r>
          </w:p>
        </w:tc>
        <w:tc>
          <w:tcPr>
            <w:tcW w:w="6732" w:type="dxa"/>
            <w:gridSpan w:val="4"/>
            <w:tcBorders>
              <w:top w:val="single" w:sz="4" w:space="0" w:color="auto"/>
              <w:bottom w:val="single" w:sz="4" w:space="0" w:color="auto"/>
            </w:tcBorders>
            <w:shd w:val="clear" w:color="auto" w:fill="auto"/>
          </w:tcPr>
          <w:p w14:paraId="1150BCDA" w14:textId="77777777" w:rsidR="003A33A6" w:rsidRPr="00B30A12" w:rsidRDefault="003A33A6" w:rsidP="00F35CB5">
            <w:pPr>
              <w:pStyle w:val="Table"/>
              <w:keepLines w:val="0"/>
              <w:widowControl w:val="0"/>
              <w:rPr>
                <w:rFonts w:ascii="Times New Roman" w:hAnsi="Times New Roman"/>
                <w:color w:val="000000"/>
                <w:sz w:val="22"/>
                <w:szCs w:val="22"/>
                <w:lang w:val="de-DE"/>
              </w:rPr>
            </w:pPr>
            <w:smartTag w:uri="urn:schemas-microsoft-com:office:smarttags" w:element="stockticker">
              <w:r w:rsidRPr="00B30A12">
                <w:rPr>
                  <w:rFonts w:ascii="Times New Roman" w:hAnsi="Times New Roman"/>
                  <w:color w:val="000000"/>
                  <w:sz w:val="22"/>
                  <w:szCs w:val="22"/>
                  <w:lang w:val="de-DE"/>
                </w:rPr>
                <w:t>VCR</w:t>
              </w:r>
            </w:smartTag>
            <w:r w:rsidRPr="00B30A12">
              <w:rPr>
                <w:rFonts w:ascii="Times New Roman" w:hAnsi="Times New Roman"/>
                <w:color w:val="000000"/>
                <w:sz w:val="22"/>
                <w:szCs w:val="22"/>
                <w:lang w:val="de-DE"/>
              </w:rPr>
              <w:t xml:space="preserve"> 2 mg i.v. monatlich über 13 Monate;</w:t>
            </w:r>
          </w:p>
          <w:p w14:paraId="6169A01B"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Prednisolon 200 mg oral, 5 Tage pro Monat über 13 Monate</w:t>
            </w:r>
          </w:p>
        </w:tc>
      </w:tr>
      <w:tr w:rsidR="003A33A6" w:rsidRPr="00B30A12" w14:paraId="354FC45F" w14:textId="77777777" w:rsidTr="00DA7B0B">
        <w:trPr>
          <w:cantSplit/>
        </w:trPr>
        <w:tc>
          <w:tcPr>
            <w:tcW w:w="8880" w:type="dxa"/>
            <w:gridSpan w:val="5"/>
            <w:tcBorders>
              <w:top w:val="single" w:sz="4" w:space="0" w:color="auto"/>
              <w:bottom w:val="single" w:sz="4" w:space="0" w:color="auto"/>
            </w:tcBorders>
            <w:shd w:val="clear" w:color="auto" w:fill="auto"/>
          </w:tcPr>
          <w:p w14:paraId="4A583756" w14:textId="77777777" w:rsidR="003A33A6" w:rsidRPr="00B30A12" w:rsidRDefault="003A33A6" w:rsidP="00F35CB5">
            <w:pPr>
              <w:pStyle w:val="Table"/>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Alle Behandlungsregime schließen die Gabe von Steroiden zur ZNS-Prophylaxe ein.</w:t>
            </w:r>
          </w:p>
        </w:tc>
      </w:tr>
      <w:tr w:rsidR="003A33A6" w:rsidRPr="00B30A12" w14:paraId="721A6C6E" w14:textId="77777777" w:rsidTr="00DA7B0B">
        <w:trPr>
          <w:cantSplit/>
        </w:trPr>
        <w:tc>
          <w:tcPr>
            <w:tcW w:w="8880" w:type="dxa"/>
            <w:gridSpan w:val="5"/>
            <w:tcBorders>
              <w:top w:val="single" w:sz="4" w:space="0" w:color="auto"/>
              <w:bottom w:val="single" w:sz="4" w:space="0" w:color="auto"/>
            </w:tcBorders>
            <w:shd w:val="clear" w:color="auto" w:fill="auto"/>
          </w:tcPr>
          <w:p w14:paraId="502D3A17" w14:textId="77777777" w:rsidR="003A33A6" w:rsidRPr="00B30A12" w:rsidRDefault="003A33A6" w:rsidP="00DA7B0B">
            <w:pPr>
              <w:pStyle w:val="Table"/>
              <w:keepNext w:val="0"/>
              <w:keepLines w:val="0"/>
              <w:widowControl w:val="0"/>
              <w:rPr>
                <w:rFonts w:ascii="Times New Roman" w:hAnsi="Times New Roman"/>
                <w:color w:val="000000"/>
                <w:sz w:val="22"/>
                <w:szCs w:val="22"/>
                <w:lang w:val="de-DE"/>
              </w:rPr>
            </w:pPr>
            <w:r w:rsidRPr="00B30A12">
              <w:rPr>
                <w:rFonts w:ascii="Times New Roman" w:hAnsi="Times New Roman"/>
                <w:color w:val="000000"/>
                <w:sz w:val="22"/>
                <w:szCs w:val="22"/>
                <w:lang w:val="de-DE"/>
              </w:rPr>
              <w:t xml:space="preserve">Ara-C: Cytosinarabinosid; CP: Cyclophosphamid; DEX: Dexamethason; </w:t>
            </w:r>
            <w:smartTag w:uri="urn:schemas-microsoft-com:office:smarttags" w:element="stockticker">
              <w:r w:rsidRPr="00B30A12">
                <w:rPr>
                  <w:rFonts w:ascii="Times New Roman" w:hAnsi="Times New Roman"/>
                  <w:color w:val="000000"/>
                  <w:sz w:val="22"/>
                  <w:szCs w:val="22"/>
                  <w:lang w:val="de-DE"/>
                </w:rPr>
                <w:t>MTX</w:t>
              </w:r>
            </w:smartTag>
            <w:r w:rsidRPr="00B30A12">
              <w:rPr>
                <w:rFonts w:ascii="Times New Roman" w:hAnsi="Times New Roman"/>
                <w:color w:val="000000"/>
                <w:sz w:val="22"/>
                <w:szCs w:val="22"/>
                <w:lang w:val="de-DE"/>
              </w:rPr>
              <w:t xml:space="preserve">: Methotrexat; 6-MP: 6-Mercaptopurin; VM26: Teniposid; </w:t>
            </w:r>
            <w:smartTag w:uri="urn:schemas-microsoft-com:office:smarttags" w:element="stockticker">
              <w:r w:rsidRPr="00B30A12">
                <w:rPr>
                  <w:rFonts w:ascii="Times New Roman" w:hAnsi="Times New Roman"/>
                  <w:color w:val="000000"/>
                  <w:sz w:val="22"/>
                  <w:szCs w:val="22"/>
                  <w:lang w:val="de-DE"/>
                </w:rPr>
                <w:t>VCR</w:t>
              </w:r>
            </w:smartTag>
            <w:r w:rsidRPr="00B30A12">
              <w:rPr>
                <w:rFonts w:ascii="Times New Roman" w:hAnsi="Times New Roman"/>
                <w:color w:val="000000"/>
                <w:sz w:val="22"/>
                <w:szCs w:val="22"/>
                <w:lang w:val="de-DE"/>
              </w:rPr>
              <w:t xml:space="preserve">: Vincristin; </w:t>
            </w:r>
            <w:smartTag w:uri="urn:schemas-microsoft-com:office:smarttags" w:element="stockticker">
              <w:r w:rsidRPr="00B30A12">
                <w:rPr>
                  <w:rFonts w:ascii="Times New Roman" w:hAnsi="Times New Roman"/>
                  <w:color w:val="000000"/>
                  <w:sz w:val="22"/>
                  <w:szCs w:val="22"/>
                  <w:lang w:val="de-DE"/>
                </w:rPr>
                <w:t>IDA</w:t>
              </w:r>
            </w:smartTag>
            <w:r w:rsidRPr="00B30A12">
              <w:rPr>
                <w:rFonts w:ascii="Times New Roman" w:hAnsi="Times New Roman"/>
                <w:color w:val="000000"/>
                <w:sz w:val="22"/>
                <w:szCs w:val="22"/>
                <w:lang w:val="de-DE"/>
              </w:rPr>
              <w:t>: Idarubicin; i.v.: intravenös</w:t>
            </w:r>
          </w:p>
        </w:tc>
      </w:tr>
    </w:tbl>
    <w:p w14:paraId="7ABE9D43" w14:textId="77777777" w:rsidR="003A33A6" w:rsidRPr="00B30A12" w:rsidRDefault="003A33A6" w:rsidP="0054140C">
      <w:pPr>
        <w:pStyle w:val="EndnoteText"/>
        <w:widowControl w:val="0"/>
        <w:rPr>
          <w:color w:val="000000"/>
          <w:sz w:val="22"/>
          <w:szCs w:val="22"/>
          <w:lang w:val="de-DE"/>
        </w:rPr>
      </w:pPr>
    </w:p>
    <w:p w14:paraId="7DA4035B" w14:textId="77777777" w:rsidR="003A33A6" w:rsidRPr="00B30A12" w:rsidRDefault="003A33A6" w:rsidP="0054140C">
      <w:pPr>
        <w:pStyle w:val="EndnoteText"/>
        <w:widowControl w:val="0"/>
        <w:rPr>
          <w:color w:val="000000"/>
          <w:sz w:val="22"/>
          <w:szCs w:val="22"/>
          <w:lang w:val="de-DE"/>
        </w:rPr>
      </w:pPr>
      <w:r w:rsidRPr="00B30A12">
        <w:rPr>
          <w:i/>
          <w:color w:val="000000"/>
          <w:sz w:val="22"/>
          <w:szCs w:val="22"/>
          <w:lang w:val="de-DE"/>
        </w:rPr>
        <w:t>Kinder:</w:t>
      </w:r>
      <w:r w:rsidRPr="00B30A12">
        <w:rPr>
          <w:color w:val="000000"/>
          <w:sz w:val="22"/>
          <w:szCs w:val="22"/>
          <w:lang w:val="de-DE"/>
        </w:rPr>
        <w:t xml:space="preserve"> In der Studie I2301 wurde eine Gesamtanzahl von 93 Kindern, Jugendlichen und jungen erwachsenen Patienten (im Alter von 1 bis 22 Jahren) mit Ph+ ALL in eine offene, multizentrische, sequenzielle, nicht-randomisierte Phase-III-Kohortenstudie eingeschlossen und nach einer Induktions-Phase mit Glivec (340 mg/m²/Tag) in Kombination mit einer intensiven Chemotherapie behandelt. Glivec wurde in den Kohorten 1 bis 5 intermittierend mit ansteigender Dauer und zunehmend früherem Behandlungsstart von Kohorte zu Kohorte verabreicht. Kohorte 1 erhielt Glivec in der niedrigsten und Kohorte 5 in der höchsten Intensität (längste Dauer in Tagen mit kontinuierlicher täglicher Dosierung mit Glivec während des ersten Chemotherapie-Zyklus). Die kontinuierliche tägliche Gabe von Glivec bei Patienten aus Kohorte 5 (n=50) in Kombination mit einer Chemotherapie in der frühen Behandlungsphase verbesserte die Ereignis-freie Überlebenszeit (EFS) über 4 Jahre, verglichen mit historischen Kontrollen (n=120), die eine Standardchemotherapie ohne Glivec erhielten (entspricht 69,6% vs 31,6%). Das geschätzte 4-Jahres-Gesamtüberleben bei Patienten in Kohorte 5 lag bei 83,6% verglichen mit 44,8% bei den historischen Kontrollen. 20 von 50 (40%) Patienten in Kohorte 5 bekamen hämatopoetische Stammzelltransplantationen.</w:t>
      </w:r>
    </w:p>
    <w:p w14:paraId="1821A92E" w14:textId="77777777" w:rsidR="003A33A6" w:rsidRPr="00B30A12" w:rsidRDefault="003A33A6" w:rsidP="0054140C">
      <w:pPr>
        <w:pStyle w:val="EndnoteText"/>
        <w:widowControl w:val="0"/>
        <w:rPr>
          <w:color w:val="000000"/>
          <w:sz w:val="22"/>
          <w:szCs w:val="22"/>
          <w:lang w:val="de-DE"/>
        </w:rPr>
      </w:pPr>
    </w:p>
    <w:p w14:paraId="5E640B92" w14:textId="77777777" w:rsidR="003A33A6" w:rsidRPr="00B30A12" w:rsidRDefault="003A33A6" w:rsidP="00F35CB5">
      <w:pPr>
        <w:pStyle w:val="EndnoteText"/>
        <w:keepNext/>
        <w:widowControl w:val="0"/>
        <w:ind w:left="1134" w:hanging="1134"/>
        <w:rPr>
          <w:b/>
          <w:color w:val="000000"/>
          <w:sz w:val="22"/>
          <w:szCs w:val="22"/>
          <w:lang w:val="de-CH"/>
        </w:rPr>
      </w:pPr>
      <w:r w:rsidRPr="00B30A12">
        <w:rPr>
          <w:b/>
          <w:color w:val="000000"/>
          <w:sz w:val="22"/>
          <w:szCs w:val="22"/>
          <w:lang w:val="de-CH"/>
        </w:rPr>
        <w:t>Tabelle </w:t>
      </w:r>
      <w:r w:rsidR="00512273" w:rsidRPr="00B30A12">
        <w:rPr>
          <w:b/>
          <w:color w:val="000000"/>
          <w:sz w:val="22"/>
          <w:szCs w:val="22"/>
          <w:lang w:val="de-CH"/>
        </w:rPr>
        <w:t>5</w:t>
      </w:r>
      <w:r w:rsidRPr="00B30A12">
        <w:rPr>
          <w:b/>
          <w:color w:val="000000"/>
          <w:sz w:val="22"/>
          <w:szCs w:val="22"/>
          <w:lang w:val="de-CH"/>
        </w:rPr>
        <w:tab/>
        <w:t>Angewendete Chemotherapie-Schemata in Kombination mit Imatinib in der Studie I2301</w:t>
      </w:r>
    </w:p>
    <w:p w14:paraId="3F1CD347" w14:textId="77777777" w:rsidR="003A33A6" w:rsidRPr="00B30A12" w:rsidRDefault="003A33A6" w:rsidP="00F35CB5">
      <w:pPr>
        <w:pStyle w:val="EndnoteText"/>
        <w:keepNext/>
        <w:widowControl w:val="0"/>
        <w:rPr>
          <w:color w:val="000000"/>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6699"/>
      </w:tblGrid>
      <w:tr w:rsidR="003A33A6" w:rsidRPr="00B30A12" w14:paraId="07FD74B5" w14:textId="77777777" w:rsidTr="00DA7B0B">
        <w:trPr>
          <w:cantSplit/>
        </w:trPr>
        <w:tc>
          <w:tcPr>
            <w:tcW w:w="2358" w:type="dxa"/>
            <w:shd w:val="clear" w:color="auto" w:fill="auto"/>
          </w:tcPr>
          <w:p w14:paraId="4FE23291" w14:textId="77777777" w:rsidR="003A33A6" w:rsidRPr="00B30A12" w:rsidRDefault="003A33A6" w:rsidP="00DA7B0B">
            <w:pPr>
              <w:pStyle w:val="EndnoteText"/>
              <w:keepNext/>
              <w:widowControl w:val="0"/>
              <w:rPr>
                <w:color w:val="000000"/>
                <w:sz w:val="22"/>
                <w:szCs w:val="22"/>
              </w:rPr>
            </w:pPr>
            <w:r w:rsidRPr="00B30A12">
              <w:rPr>
                <w:color w:val="000000"/>
                <w:sz w:val="22"/>
                <w:szCs w:val="22"/>
              </w:rPr>
              <w:t>Konsolidierungsblock 1</w:t>
            </w:r>
          </w:p>
          <w:p w14:paraId="33BAD478" w14:textId="77777777" w:rsidR="003A33A6" w:rsidRPr="00B30A12" w:rsidRDefault="003A33A6" w:rsidP="00DA7B0B">
            <w:pPr>
              <w:pStyle w:val="EndnoteText"/>
              <w:keepNext/>
              <w:widowControl w:val="0"/>
              <w:rPr>
                <w:color w:val="000000"/>
                <w:sz w:val="22"/>
                <w:szCs w:val="22"/>
              </w:rPr>
            </w:pPr>
            <w:r w:rsidRPr="00B30A12">
              <w:rPr>
                <w:color w:val="000000"/>
                <w:sz w:val="22"/>
                <w:szCs w:val="22"/>
              </w:rPr>
              <w:t>(3 Wochen)</w:t>
            </w:r>
          </w:p>
        </w:tc>
        <w:tc>
          <w:tcPr>
            <w:tcW w:w="6923" w:type="dxa"/>
            <w:shd w:val="clear" w:color="auto" w:fill="auto"/>
          </w:tcPr>
          <w:p w14:paraId="2175D9BC"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/Tag, i.v.): Tage 1</w:t>
            </w:r>
            <w:r w:rsidRPr="00B30A12">
              <w:rPr>
                <w:color w:val="000000"/>
                <w:sz w:val="22"/>
                <w:szCs w:val="22"/>
                <w:lang w:val="de-DE"/>
              </w:rPr>
              <w:noBreakHyphen/>
              <w:t>5</w:t>
            </w:r>
          </w:p>
          <w:p w14:paraId="412EC87B"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Ifosfamid (1,8 g/m</w:t>
            </w:r>
            <w:r w:rsidRPr="00B30A12">
              <w:rPr>
                <w:color w:val="000000"/>
                <w:sz w:val="22"/>
                <w:szCs w:val="22"/>
                <w:vertAlign w:val="superscript"/>
                <w:lang w:val="de-DE"/>
              </w:rPr>
              <w:t>2</w:t>
            </w:r>
            <w:r w:rsidRPr="00B30A12">
              <w:rPr>
                <w:color w:val="000000"/>
                <w:sz w:val="22"/>
                <w:szCs w:val="22"/>
                <w:lang w:val="de-DE"/>
              </w:rPr>
              <w:t>/Tag, i.v.): Tage 1</w:t>
            </w:r>
            <w:r w:rsidRPr="00B30A12">
              <w:rPr>
                <w:color w:val="000000"/>
                <w:sz w:val="22"/>
                <w:szCs w:val="22"/>
                <w:lang w:val="de-DE"/>
              </w:rPr>
              <w:noBreakHyphen/>
              <w:t>5</w:t>
            </w:r>
          </w:p>
          <w:p w14:paraId="3ACDDF97"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MESNA (360 mg/m</w:t>
            </w:r>
            <w:r w:rsidRPr="00B30A12">
              <w:rPr>
                <w:color w:val="000000"/>
                <w:sz w:val="22"/>
                <w:szCs w:val="22"/>
                <w:vertAlign w:val="superscript"/>
                <w:lang w:val="de-DE"/>
              </w:rPr>
              <w:t>2</w:t>
            </w:r>
            <w:r w:rsidRPr="00B30A12">
              <w:rPr>
                <w:color w:val="000000"/>
                <w:sz w:val="22"/>
                <w:szCs w:val="22"/>
                <w:lang w:val="de-DE"/>
              </w:rPr>
              <w:t>/Dosis q3h, x 8 Dosen/Tag, i.v.): Tage 1</w:t>
            </w:r>
            <w:r w:rsidRPr="00B30A12">
              <w:rPr>
                <w:color w:val="000000"/>
                <w:sz w:val="22"/>
                <w:szCs w:val="22"/>
                <w:lang w:val="de-DE"/>
              </w:rPr>
              <w:noBreakHyphen/>
              <w:t>5</w:t>
            </w:r>
          </w:p>
          <w:p w14:paraId="07077395"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6</w:t>
            </w:r>
            <w:r w:rsidRPr="00B30A12">
              <w:rPr>
                <w:color w:val="000000"/>
                <w:sz w:val="22"/>
                <w:szCs w:val="22"/>
                <w:lang w:val="de-DE"/>
              </w:rPr>
              <w:noBreakHyphen/>
              <w:t>15 oder bis ANC &gt; 1500 post nadir</w:t>
            </w:r>
          </w:p>
          <w:p w14:paraId="43E9D8CC"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i.th. Methotrexat (alters-angepasst): Tag 1 AUSSCHLIESSLICH</w:t>
            </w:r>
          </w:p>
          <w:p w14:paraId="7D2ED064" w14:textId="77777777" w:rsidR="003A33A6" w:rsidRPr="00B30A12" w:rsidRDefault="003A33A6" w:rsidP="00DA7B0B">
            <w:pPr>
              <w:pStyle w:val="EndnoteText"/>
              <w:keepNext/>
              <w:widowControl w:val="0"/>
              <w:rPr>
                <w:color w:val="000000"/>
                <w:sz w:val="22"/>
                <w:szCs w:val="22"/>
                <w:lang w:val="de-DE"/>
              </w:rPr>
            </w:pPr>
            <w:r w:rsidRPr="00B30A12">
              <w:rPr>
                <w:color w:val="000000"/>
                <w:sz w:val="22"/>
                <w:szCs w:val="22"/>
                <w:lang w:val="de-DE"/>
              </w:rPr>
              <w:t>Dreifach-i.th.-Therapie (alters-angepasst): Tag 8, 15</w:t>
            </w:r>
          </w:p>
        </w:tc>
      </w:tr>
      <w:tr w:rsidR="003A33A6" w:rsidRPr="00B30A12" w14:paraId="3E051F2B" w14:textId="77777777" w:rsidTr="00DA7B0B">
        <w:trPr>
          <w:cantSplit/>
        </w:trPr>
        <w:tc>
          <w:tcPr>
            <w:tcW w:w="2358" w:type="dxa"/>
            <w:shd w:val="clear" w:color="auto" w:fill="auto"/>
          </w:tcPr>
          <w:p w14:paraId="2172F84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Konsolidierungsblock 2</w:t>
            </w:r>
          </w:p>
          <w:p w14:paraId="52ABA24B"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(3 Wochen)</w:t>
            </w:r>
          </w:p>
        </w:tc>
        <w:tc>
          <w:tcPr>
            <w:tcW w:w="6923" w:type="dxa"/>
            <w:shd w:val="clear" w:color="auto" w:fill="auto"/>
          </w:tcPr>
          <w:p w14:paraId="1D7E03AB"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Methotrexat (5 g/m</w:t>
            </w:r>
            <w:r w:rsidRPr="00B30A12">
              <w:rPr>
                <w:color w:val="000000"/>
                <w:sz w:val="22"/>
                <w:szCs w:val="22"/>
                <w:vertAlign w:val="superscript"/>
                <w:lang w:val="de-DE"/>
              </w:rPr>
              <w:t>2</w:t>
            </w:r>
            <w:r w:rsidRPr="00B30A12">
              <w:rPr>
                <w:color w:val="000000"/>
                <w:sz w:val="22"/>
                <w:szCs w:val="22"/>
                <w:lang w:val="de-DE"/>
              </w:rPr>
              <w:t xml:space="preserve"> über 24 Stunden, i.v.): Tag 1</w:t>
            </w:r>
          </w:p>
          <w:p w14:paraId="065F8A9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bei Stunde 36, i.v.; 15 mg/m</w:t>
            </w:r>
            <w:r w:rsidRPr="00B30A12">
              <w:rPr>
                <w:color w:val="000000"/>
                <w:sz w:val="22"/>
                <w:szCs w:val="22"/>
                <w:vertAlign w:val="superscript"/>
                <w:lang w:val="de-DE"/>
              </w:rPr>
              <w:t>2</w:t>
            </w:r>
            <w:r w:rsidRPr="00B30A12">
              <w:rPr>
                <w:color w:val="000000"/>
                <w:sz w:val="22"/>
                <w:szCs w:val="22"/>
                <w:lang w:val="de-DE"/>
              </w:rPr>
              <w:t xml:space="preserve"> i.v. oder p.o. q6h x 6 Dosen)iii: Tage 2 und 3</w:t>
            </w:r>
          </w:p>
          <w:p w14:paraId="1A54AA09"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Dreifach-i.th.-Therapie (alters-angepasst): Tag 1</w:t>
            </w:r>
          </w:p>
          <w:p w14:paraId="3D0BD351"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ARA-C (3 g/m</w:t>
            </w:r>
            <w:r w:rsidRPr="00B30A12">
              <w:rPr>
                <w:color w:val="000000"/>
                <w:sz w:val="22"/>
                <w:szCs w:val="22"/>
                <w:vertAlign w:val="superscript"/>
                <w:lang w:val="de-DE"/>
              </w:rPr>
              <w:t>2</w:t>
            </w:r>
            <w:r w:rsidRPr="00B30A12">
              <w:rPr>
                <w:color w:val="000000"/>
                <w:sz w:val="22"/>
                <w:szCs w:val="22"/>
                <w:lang w:val="de-DE"/>
              </w:rPr>
              <w:t>/Dosis q 12 h x 4, i.v.): Tage 2 und 3</w:t>
            </w:r>
          </w:p>
          <w:p w14:paraId="09B69F2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4</w:t>
            </w:r>
            <w:r w:rsidRPr="00B30A12">
              <w:rPr>
                <w:color w:val="000000"/>
                <w:sz w:val="22"/>
                <w:szCs w:val="22"/>
                <w:lang w:val="de-DE"/>
              </w:rPr>
              <w:noBreakHyphen/>
              <w:t>13 oder bis ANC &gt; 1500 post nadir</w:t>
            </w:r>
          </w:p>
        </w:tc>
      </w:tr>
      <w:tr w:rsidR="003A33A6" w:rsidRPr="00B30A12" w14:paraId="2A4F83C3" w14:textId="77777777" w:rsidTr="00DA7B0B">
        <w:trPr>
          <w:cantSplit/>
        </w:trPr>
        <w:tc>
          <w:tcPr>
            <w:tcW w:w="2358" w:type="dxa"/>
            <w:shd w:val="clear" w:color="auto" w:fill="auto"/>
          </w:tcPr>
          <w:p w14:paraId="658999B3" w14:textId="77777777" w:rsidR="003A33A6" w:rsidRPr="00B30A12" w:rsidRDefault="003A33A6" w:rsidP="0054140C">
            <w:pPr>
              <w:pStyle w:val="EndnoteText"/>
              <w:widowControl w:val="0"/>
              <w:rPr>
                <w:color w:val="000000"/>
                <w:sz w:val="22"/>
                <w:szCs w:val="22"/>
              </w:rPr>
            </w:pPr>
            <w:r w:rsidRPr="00B30A12">
              <w:rPr>
                <w:color w:val="000000"/>
                <w:sz w:val="22"/>
                <w:szCs w:val="22"/>
              </w:rPr>
              <w:t>Reinduktionsblock 1</w:t>
            </w:r>
          </w:p>
          <w:p w14:paraId="6ADA4323" w14:textId="77777777" w:rsidR="003A33A6" w:rsidRPr="00B30A12" w:rsidRDefault="003A33A6" w:rsidP="0054140C">
            <w:pPr>
              <w:pStyle w:val="EndnoteText"/>
              <w:widowControl w:val="0"/>
              <w:rPr>
                <w:color w:val="000000"/>
                <w:sz w:val="22"/>
                <w:szCs w:val="22"/>
              </w:rPr>
            </w:pPr>
            <w:r w:rsidRPr="00B30A12">
              <w:rPr>
                <w:color w:val="000000"/>
                <w:sz w:val="22"/>
                <w:szCs w:val="22"/>
              </w:rPr>
              <w:t>(3 Wochen)</w:t>
            </w:r>
          </w:p>
        </w:tc>
        <w:tc>
          <w:tcPr>
            <w:tcW w:w="6923" w:type="dxa"/>
            <w:shd w:val="clear" w:color="auto" w:fill="auto"/>
          </w:tcPr>
          <w:p w14:paraId="524E911F"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VCR (1,5 mg/m</w:t>
            </w:r>
            <w:r w:rsidRPr="00B30A12">
              <w:rPr>
                <w:color w:val="000000"/>
                <w:sz w:val="22"/>
                <w:szCs w:val="22"/>
                <w:vertAlign w:val="superscript"/>
                <w:lang w:val="de-DE"/>
              </w:rPr>
              <w:t>2</w:t>
            </w:r>
            <w:r w:rsidRPr="00B30A12">
              <w:rPr>
                <w:color w:val="000000"/>
                <w:sz w:val="22"/>
                <w:szCs w:val="22"/>
                <w:lang w:val="de-DE"/>
              </w:rPr>
              <w:t>/Tag, i.v.): Tage 1, 8, und 15</w:t>
            </w:r>
          </w:p>
          <w:p w14:paraId="2B223265" w14:textId="77777777" w:rsidR="003A33A6" w:rsidRPr="00B30A12" w:rsidRDefault="003A33A6" w:rsidP="0054140C">
            <w:pPr>
              <w:pStyle w:val="EndnoteText"/>
              <w:widowControl w:val="0"/>
              <w:rPr>
                <w:color w:val="000000"/>
                <w:sz w:val="22"/>
                <w:szCs w:val="22"/>
                <w:lang w:val="de-CH"/>
              </w:rPr>
            </w:pPr>
            <w:r w:rsidRPr="00B30A12">
              <w:rPr>
                <w:color w:val="000000"/>
                <w:sz w:val="22"/>
                <w:szCs w:val="22"/>
                <w:lang w:val="de-CH"/>
              </w:rPr>
              <w:t>DAUN (45 mg/m</w:t>
            </w:r>
            <w:r w:rsidRPr="00B30A12">
              <w:rPr>
                <w:color w:val="000000"/>
                <w:sz w:val="22"/>
                <w:szCs w:val="22"/>
                <w:vertAlign w:val="superscript"/>
                <w:lang w:val="de-CH"/>
              </w:rPr>
              <w:t>2</w:t>
            </w:r>
            <w:r w:rsidRPr="00B30A12">
              <w:rPr>
                <w:color w:val="000000"/>
                <w:sz w:val="22"/>
                <w:szCs w:val="22"/>
                <w:lang w:val="de-CH"/>
              </w:rPr>
              <w:t xml:space="preserve">/Tag </w:t>
            </w:r>
            <w:r w:rsidRPr="00B30A12">
              <w:rPr>
                <w:color w:val="000000"/>
                <w:sz w:val="22"/>
                <w:szCs w:val="22"/>
                <w:lang w:val="de-DE"/>
              </w:rPr>
              <w:t>Bolus</w:t>
            </w:r>
            <w:r w:rsidRPr="00B30A12">
              <w:rPr>
                <w:color w:val="000000"/>
                <w:sz w:val="22"/>
                <w:szCs w:val="22"/>
                <w:lang w:val="de-CH"/>
              </w:rPr>
              <w:t xml:space="preserve">, </w:t>
            </w:r>
            <w:r w:rsidRPr="00B30A12">
              <w:rPr>
                <w:color w:val="000000"/>
                <w:sz w:val="22"/>
                <w:szCs w:val="22"/>
                <w:lang w:val="de-DE"/>
              </w:rPr>
              <w:t>i.v.</w:t>
            </w:r>
            <w:r w:rsidRPr="00B30A12">
              <w:rPr>
                <w:color w:val="000000"/>
                <w:sz w:val="22"/>
                <w:szCs w:val="22"/>
                <w:lang w:val="de-CH"/>
              </w:rPr>
              <w:t xml:space="preserve">): </w:t>
            </w:r>
            <w:r w:rsidRPr="00B30A12">
              <w:rPr>
                <w:color w:val="000000"/>
                <w:sz w:val="22"/>
                <w:szCs w:val="22"/>
                <w:lang w:val="de-DE"/>
              </w:rPr>
              <w:t>Tage 1 u</w:t>
            </w:r>
            <w:r w:rsidRPr="00B30A12">
              <w:rPr>
                <w:color w:val="000000"/>
                <w:sz w:val="22"/>
                <w:szCs w:val="22"/>
                <w:lang w:val="de-CH"/>
              </w:rPr>
              <w:t>nd 2</w:t>
            </w:r>
          </w:p>
          <w:p w14:paraId="59F42841" w14:textId="77777777" w:rsidR="003A33A6" w:rsidRPr="00B30A12" w:rsidRDefault="003A33A6" w:rsidP="0054140C">
            <w:pPr>
              <w:pStyle w:val="EndnoteText"/>
              <w:widowControl w:val="0"/>
              <w:rPr>
                <w:color w:val="000000"/>
                <w:sz w:val="22"/>
                <w:szCs w:val="22"/>
                <w:lang w:val="de-CH"/>
              </w:rPr>
            </w:pPr>
            <w:r w:rsidRPr="00B30A12">
              <w:rPr>
                <w:color w:val="000000"/>
                <w:sz w:val="22"/>
                <w:szCs w:val="22"/>
                <w:lang w:val="de-CH"/>
              </w:rPr>
              <w:t>CPM (250 mg/m</w:t>
            </w:r>
            <w:r w:rsidRPr="00B30A12">
              <w:rPr>
                <w:color w:val="000000"/>
                <w:sz w:val="22"/>
                <w:szCs w:val="22"/>
                <w:vertAlign w:val="superscript"/>
                <w:lang w:val="de-CH"/>
              </w:rPr>
              <w:t>2</w:t>
            </w:r>
            <w:r w:rsidRPr="00B30A12">
              <w:rPr>
                <w:color w:val="000000"/>
                <w:sz w:val="22"/>
                <w:szCs w:val="22"/>
                <w:lang w:val="de-CH"/>
              </w:rPr>
              <w:t xml:space="preserve">/Dosis q12h x 4 Dosen, i.v.): </w:t>
            </w:r>
            <w:r w:rsidRPr="00B30A12">
              <w:rPr>
                <w:color w:val="000000"/>
                <w:sz w:val="22"/>
                <w:szCs w:val="22"/>
                <w:lang w:val="de-DE"/>
              </w:rPr>
              <w:t>Tage</w:t>
            </w:r>
            <w:r w:rsidRPr="00B30A12">
              <w:rPr>
                <w:color w:val="000000"/>
                <w:sz w:val="22"/>
                <w:szCs w:val="22"/>
                <w:lang w:val="de-CH"/>
              </w:rPr>
              <w:t> 3 und 4</w:t>
            </w:r>
          </w:p>
          <w:p w14:paraId="06B91E1B" w14:textId="77777777" w:rsidR="003A33A6" w:rsidRPr="00B30A12" w:rsidRDefault="003A33A6" w:rsidP="0054140C">
            <w:pPr>
              <w:pStyle w:val="EndnoteText"/>
              <w:widowControl w:val="0"/>
              <w:rPr>
                <w:color w:val="000000"/>
                <w:sz w:val="22"/>
                <w:szCs w:val="22"/>
                <w:lang w:val="de-CH"/>
              </w:rPr>
            </w:pPr>
            <w:r w:rsidRPr="00B30A12">
              <w:rPr>
                <w:color w:val="000000"/>
                <w:sz w:val="22"/>
                <w:szCs w:val="22"/>
                <w:lang w:val="de-CH"/>
              </w:rPr>
              <w:t>PEG-ASP (2500 </w:t>
            </w:r>
            <w:r w:rsidRPr="00B30A12">
              <w:rPr>
                <w:color w:val="000000"/>
                <w:sz w:val="22"/>
                <w:szCs w:val="22"/>
                <w:lang w:val="de-DE"/>
              </w:rPr>
              <w:t>IE/</w:t>
            </w:r>
            <w:r w:rsidRPr="00B30A12">
              <w:rPr>
                <w:color w:val="000000"/>
                <w:sz w:val="22"/>
                <w:szCs w:val="22"/>
                <w:lang w:val="de-CH"/>
              </w:rPr>
              <w:t>m</w:t>
            </w:r>
            <w:r w:rsidRPr="00B30A12">
              <w:rPr>
                <w:color w:val="000000"/>
                <w:sz w:val="22"/>
                <w:szCs w:val="22"/>
                <w:vertAlign w:val="superscript"/>
                <w:lang w:val="de-CH"/>
              </w:rPr>
              <w:t>2</w:t>
            </w:r>
            <w:r w:rsidRPr="00B30A12">
              <w:rPr>
                <w:color w:val="000000"/>
                <w:sz w:val="22"/>
                <w:szCs w:val="22"/>
                <w:lang w:val="de-CH"/>
              </w:rPr>
              <w:t xml:space="preserve">, </w:t>
            </w:r>
            <w:r w:rsidRPr="00B30A12">
              <w:rPr>
                <w:color w:val="000000"/>
                <w:sz w:val="22"/>
                <w:szCs w:val="22"/>
                <w:lang w:val="de-DE"/>
              </w:rPr>
              <w:t>i.m.</w:t>
            </w:r>
            <w:r w:rsidRPr="00B30A12">
              <w:rPr>
                <w:color w:val="000000"/>
                <w:sz w:val="22"/>
                <w:szCs w:val="22"/>
                <w:lang w:val="de-CH"/>
              </w:rPr>
              <w:t>): Tag 4</w:t>
            </w:r>
          </w:p>
          <w:p w14:paraId="06C4B925" w14:textId="77777777" w:rsidR="003A33A6" w:rsidRPr="00B30A12" w:rsidRDefault="003A33A6" w:rsidP="0054140C">
            <w:pPr>
              <w:pStyle w:val="EndnoteText"/>
              <w:widowControl w:val="0"/>
              <w:rPr>
                <w:color w:val="000000"/>
                <w:sz w:val="22"/>
                <w:szCs w:val="22"/>
                <w:lang w:val="de-CH"/>
              </w:rPr>
            </w:pPr>
            <w:r w:rsidRPr="00B30A12">
              <w:rPr>
                <w:color w:val="000000"/>
                <w:sz w:val="22"/>
                <w:szCs w:val="22"/>
                <w:lang w:val="de-CH"/>
              </w:rPr>
              <w:t>G-CSF (5 </w:t>
            </w:r>
            <w:r w:rsidRPr="00B30A12">
              <w:rPr>
                <w:color w:val="000000"/>
                <w:sz w:val="22"/>
                <w:szCs w:val="22"/>
              </w:rPr>
              <w:t>μ</w:t>
            </w:r>
            <w:r w:rsidRPr="00B30A12">
              <w:rPr>
                <w:color w:val="000000"/>
                <w:sz w:val="22"/>
                <w:szCs w:val="22"/>
                <w:lang w:val="de-CH"/>
              </w:rPr>
              <w:t>g/kg, s.c.): Tage 5</w:t>
            </w:r>
            <w:r w:rsidRPr="00B30A12">
              <w:rPr>
                <w:color w:val="000000"/>
                <w:sz w:val="22"/>
                <w:szCs w:val="22"/>
                <w:lang w:val="de-CH"/>
              </w:rPr>
              <w:noBreakHyphen/>
              <w:t>14 oder bis ANC &gt; 1500 post nadir</w:t>
            </w:r>
          </w:p>
          <w:p w14:paraId="43FF70E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 xml:space="preserve">Dreifach-i.th.-Therapie </w:t>
            </w:r>
            <w:r w:rsidRPr="00B30A12">
              <w:rPr>
                <w:color w:val="000000"/>
                <w:sz w:val="22"/>
                <w:szCs w:val="22"/>
                <w:lang w:val="de-CH"/>
              </w:rPr>
              <w:t>(</w:t>
            </w:r>
            <w:r w:rsidRPr="00B30A12">
              <w:rPr>
                <w:color w:val="000000"/>
                <w:sz w:val="22"/>
                <w:szCs w:val="22"/>
                <w:lang w:val="de-DE"/>
              </w:rPr>
              <w:t>alters-angepasst</w:t>
            </w:r>
            <w:r w:rsidRPr="00B30A12">
              <w:rPr>
                <w:color w:val="000000"/>
                <w:sz w:val="22"/>
                <w:szCs w:val="22"/>
                <w:lang w:val="de-CH"/>
              </w:rPr>
              <w:t>): Tage</w:t>
            </w:r>
            <w:r w:rsidRPr="00B30A12">
              <w:rPr>
                <w:color w:val="000000"/>
                <w:sz w:val="22"/>
                <w:szCs w:val="22"/>
                <w:lang w:val="de-DE"/>
              </w:rPr>
              <w:t> 1 und 15</w:t>
            </w:r>
          </w:p>
          <w:p w14:paraId="399BD537"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7 und 15</w:t>
            </w:r>
            <w:r w:rsidRPr="00B30A12">
              <w:rPr>
                <w:color w:val="000000"/>
                <w:sz w:val="22"/>
                <w:szCs w:val="22"/>
                <w:lang w:val="de-DE"/>
              </w:rPr>
              <w:noBreakHyphen/>
              <w:t>21</w:t>
            </w:r>
          </w:p>
        </w:tc>
      </w:tr>
      <w:tr w:rsidR="003A33A6" w:rsidRPr="00B30A12" w14:paraId="5881DFDE" w14:textId="77777777" w:rsidTr="00DA7B0B">
        <w:trPr>
          <w:cantSplit/>
        </w:trPr>
        <w:tc>
          <w:tcPr>
            <w:tcW w:w="2358" w:type="dxa"/>
            <w:shd w:val="clear" w:color="auto" w:fill="auto"/>
          </w:tcPr>
          <w:p w14:paraId="477E8F14" w14:textId="77777777" w:rsidR="003A33A6" w:rsidRPr="00B30A12" w:rsidRDefault="003A33A6" w:rsidP="0054140C">
            <w:pPr>
              <w:pStyle w:val="EndnoteText"/>
              <w:widowControl w:val="0"/>
              <w:rPr>
                <w:color w:val="000000"/>
                <w:sz w:val="22"/>
                <w:szCs w:val="22"/>
              </w:rPr>
            </w:pPr>
            <w:r w:rsidRPr="00B30A12">
              <w:rPr>
                <w:color w:val="000000"/>
                <w:sz w:val="22"/>
                <w:szCs w:val="22"/>
              </w:rPr>
              <w:lastRenderedPageBreak/>
              <w:t>Intensivierungsblock 1</w:t>
            </w:r>
          </w:p>
          <w:p w14:paraId="5D43D7CB" w14:textId="77777777" w:rsidR="003A33A6" w:rsidRPr="00B30A12" w:rsidRDefault="003A33A6" w:rsidP="0054140C">
            <w:pPr>
              <w:pStyle w:val="EndnoteText"/>
              <w:widowControl w:val="0"/>
              <w:rPr>
                <w:color w:val="000000"/>
                <w:sz w:val="22"/>
                <w:szCs w:val="22"/>
              </w:rPr>
            </w:pPr>
            <w:r w:rsidRPr="00B30A12">
              <w:rPr>
                <w:color w:val="000000"/>
                <w:sz w:val="22"/>
                <w:szCs w:val="22"/>
              </w:rPr>
              <w:t>(9 Wochen)</w:t>
            </w:r>
          </w:p>
        </w:tc>
        <w:tc>
          <w:tcPr>
            <w:tcW w:w="6923" w:type="dxa"/>
            <w:shd w:val="clear" w:color="auto" w:fill="auto"/>
          </w:tcPr>
          <w:p w14:paraId="0EBA654F"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Methotrexat (5 g/m</w:t>
            </w:r>
            <w:r w:rsidRPr="00B30A12">
              <w:rPr>
                <w:color w:val="000000"/>
                <w:sz w:val="22"/>
                <w:szCs w:val="22"/>
                <w:vertAlign w:val="superscript"/>
                <w:lang w:val="de-DE"/>
              </w:rPr>
              <w:t>2</w:t>
            </w:r>
            <w:r w:rsidRPr="00B30A12">
              <w:rPr>
                <w:color w:val="000000"/>
                <w:sz w:val="22"/>
                <w:szCs w:val="22"/>
                <w:lang w:val="de-DE"/>
              </w:rPr>
              <w:t xml:space="preserve"> über 24 Stunden, i.v.): Tage 1 und 15</w:t>
            </w:r>
          </w:p>
          <w:p w14:paraId="1FCD4405"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bei Stunde 36, i.v.; 15 mg/m</w:t>
            </w:r>
            <w:r w:rsidRPr="00B30A12">
              <w:rPr>
                <w:color w:val="000000"/>
                <w:sz w:val="22"/>
                <w:szCs w:val="22"/>
                <w:vertAlign w:val="superscript"/>
                <w:lang w:val="de-DE"/>
              </w:rPr>
              <w:t>2</w:t>
            </w:r>
            <w:r w:rsidRPr="00B30A12">
              <w:rPr>
                <w:color w:val="000000"/>
                <w:sz w:val="22"/>
                <w:szCs w:val="22"/>
                <w:lang w:val="de-DE"/>
              </w:rPr>
              <w:t xml:space="preserve"> i.v. oder p.o. q6h x 6 Dosen)iii: Tage 2, 3, 16 and 17</w:t>
            </w:r>
          </w:p>
          <w:p w14:paraId="20B72FC3"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Dreifach-i.th.-Therapie (alters-angepasst): Tage 1 und 22</w:t>
            </w:r>
          </w:p>
          <w:p w14:paraId="2EB00B4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32AE836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6BF3FEFA"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MESNA (150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0A89A0A1"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27</w:t>
            </w:r>
            <w:r w:rsidRPr="00B30A12">
              <w:rPr>
                <w:color w:val="000000"/>
                <w:sz w:val="22"/>
                <w:szCs w:val="22"/>
                <w:lang w:val="de-DE"/>
              </w:rPr>
              <w:noBreakHyphen/>
              <w:t>36 oder bis ANC &gt; 1500 post nadir</w:t>
            </w:r>
          </w:p>
          <w:p w14:paraId="5CE3F1D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ARA-C (3 g/m</w:t>
            </w:r>
            <w:r w:rsidRPr="00B30A12">
              <w:rPr>
                <w:color w:val="000000"/>
                <w:sz w:val="22"/>
                <w:szCs w:val="22"/>
                <w:vertAlign w:val="superscript"/>
                <w:lang w:val="de-DE"/>
              </w:rPr>
              <w:t>2</w:t>
            </w:r>
            <w:r w:rsidRPr="00B30A12">
              <w:rPr>
                <w:color w:val="000000"/>
                <w:sz w:val="22"/>
                <w:szCs w:val="22"/>
                <w:lang w:val="de-DE"/>
              </w:rPr>
              <w:t>, q12h, i.v.): Tage 43, 44</w:t>
            </w:r>
          </w:p>
          <w:p w14:paraId="2FC2A006"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L-ASP (6000 IE/m</w:t>
            </w:r>
            <w:r w:rsidRPr="00B30A12">
              <w:rPr>
                <w:color w:val="000000"/>
                <w:sz w:val="22"/>
                <w:szCs w:val="22"/>
                <w:vertAlign w:val="superscript"/>
                <w:lang w:val="de-DE"/>
              </w:rPr>
              <w:t>2</w:t>
            </w:r>
            <w:r w:rsidRPr="00B30A12">
              <w:rPr>
                <w:color w:val="000000"/>
                <w:sz w:val="22"/>
                <w:szCs w:val="22"/>
                <w:lang w:val="de-DE"/>
              </w:rPr>
              <w:t>, i.m.): Tag 44</w:t>
            </w:r>
          </w:p>
        </w:tc>
      </w:tr>
      <w:tr w:rsidR="003A33A6" w:rsidRPr="00B30A12" w14:paraId="391E39E0" w14:textId="77777777" w:rsidTr="00DA7B0B">
        <w:trPr>
          <w:cantSplit/>
        </w:trPr>
        <w:tc>
          <w:tcPr>
            <w:tcW w:w="2358" w:type="dxa"/>
            <w:shd w:val="clear" w:color="auto" w:fill="auto"/>
          </w:tcPr>
          <w:p w14:paraId="097631C0" w14:textId="77777777" w:rsidR="003A33A6" w:rsidRPr="00B30A12" w:rsidRDefault="003A33A6" w:rsidP="0054140C">
            <w:pPr>
              <w:pStyle w:val="EndnoteText"/>
              <w:widowControl w:val="0"/>
              <w:rPr>
                <w:color w:val="000000"/>
                <w:sz w:val="22"/>
                <w:szCs w:val="22"/>
              </w:rPr>
            </w:pPr>
            <w:r w:rsidRPr="00B30A12">
              <w:rPr>
                <w:color w:val="000000"/>
                <w:sz w:val="22"/>
                <w:szCs w:val="22"/>
              </w:rPr>
              <w:t>Reinduktionsblock 2</w:t>
            </w:r>
          </w:p>
          <w:p w14:paraId="165F4E05" w14:textId="77777777" w:rsidR="003A33A6" w:rsidRPr="00B30A12" w:rsidRDefault="003A33A6" w:rsidP="0054140C">
            <w:pPr>
              <w:pStyle w:val="EndnoteText"/>
              <w:widowControl w:val="0"/>
              <w:rPr>
                <w:color w:val="000000"/>
                <w:sz w:val="22"/>
                <w:szCs w:val="22"/>
              </w:rPr>
            </w:pPr>
            <w:r w:rsidRPr="00B30A12">
              <w:rPr>
                <w:color w:val="000000"/>
                <w:sz w:val="22"/>
                <w:szCs w:val="22"/>
              </w:rPr>
              <w:t>(3 Wochen)</w:t>
            </w:r>
          </w:p>
        </w:tc>
        <w:tc>
          <w:tcPr>
            <w:tcW w:w="6923" w:type="dxa"/>
            <w:shd w:val="clear" w:color="auto" w:fill="auto"/>
          </w:tcPr>
          <w:p w14:paraId="6140E34A"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VCR (1,5 mg/m</w:t>
            </w:r>
            <w:r w:rsidRPr="00B30A12">
              <w:rPr>
                <w:color w:val="000000"/>
                <w:sz w:val="22"/>
                <w:szCs w:val="22"/>
                <w:vertAlign w:val="superscript"/>
                <w:lang w:val="de-DE"/>
              </w:rPr>
              <w:t>2</w:t>
            </w:r>
            <w:r w:rsidRPr="00B30A12">
              <w:rPr>
                <w:color w:val="000000"/>
                <w:sz w:val="22"/>
                <w:szCs w:val="22"/>
                <w:lang w:val="de-DE"/>
              </w:rPr>
              <w:t>/Tag, i.v.): Tage 1, 8 und 15</w:t>
            </w:r>
          </w:p>
          <w:p w14:paraId="115C870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DAUN (45 mg/m</w:t>
            </w:r>
            <w:r w:rsidRPr="00B30A12">
              <w:rPr>
                <w:color w:val="000000"/>
                <w:sz w:val="22"/>
                <w:szCs w:val="22"/>
                <w:vertAlign w:val="superscript"/>
                <w:lang w:val="de-DE"/>
              </w:rPr>
              <w:t>2</w:t>
            </w:r>
            <w:r w:rsidRPr="00B30A12">
              <w:rPr>
                <w:color w:val="000000"/>
                <w:sz w:val="22"/>
                <w:szCs w:val="22"/>
                <w:lang w:val="de-DE"/>
              </w:rPr>
              <w:t>/Tag Bolus, i.v.): Tage 1 und 2</w:t>
            </w:r>
          </w:p>
          <w:p w14:paraId="25B57FD3"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CPM (250 mg/m</w:t>
            </w:r>
            <w:r w:rsidRPr="00B30A12">
              <w:rPr>
                <w:color w:val="000000"/>
                <w:sz w:val="22"/>
                <w:szCs w:val="22"/>
                <w:vertAlign w:val="superscript"/>
                <w:lang w:val="de-DE"/>
              </w:rPr>
              <w:t>2</w:t>
            </w:r>
            <w:r w:rsidRPr="00B30A12">
              <w:rPr>
                <w:color w:val="000000"/>
                <w:sz w:val="22"/>
                <w:szCs w:val="22"/>
                <w:lang w:val="de-DE"/>
              </w:rPr>
              <w:t>/Dosis q12h x 4 Dosen, i.v.): Tage 3 und 4</w:t>
            </w:r>
          </w:p>
          <w:p w14:paraId="3EF5786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PEG-ASP (2500 IE/m</w:t>
            </w:r>
            <w:r w:rsidRPr="00B30A12">
              <w:rPr>
                <w:color w:val="000000"/>
                <w:sz w:val="22"/>
                <w:szCs w:val="22"/>
                <w:vertAlign w:val="superscript"/>
                <w:lang w:val="de-DE"/>
              </w:rPr>
              <w:t>2</w:t>
            </w:r>
            <w:r w:rsidRPr="00B30A12">
              <w:rPr>
                <w:color w:val="000000"/>
                <w:sz w:val="22"/>
                <w:szCs w:val="22"/>
                <w:lang w:val="de-DE"/>
              </w:rPr>
              <w:t>, i.m.): Tag 4</w:t>
            </w:r>
          </w:p>
          <w:p w14:paraId="6A19BEF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5</w:t>
            </w:r>
            <w:r w:rsidRPr="00B30A12">
              <w:rPr>
                <w:color w:val="000000"/>
                <w:sz w:val="22"/>
                <w:szCs w:val="22"/>
                <w:lang w:val="de-DE"/>
              </w:rPr>
              <w:noBreakHyphen/>
              <w:t>14 oder bis ANC &gt; 1500 post nadir</w:t>
            </w:r>
          </w:p>
          <w:p w14:paraId="78C013F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Dreifach-i.th.-Therapie (alters-angepasst): Tage 1 und 15</w:t>
            </w:r>
          </w:p>
          <w:p w14:paraId="7BCB162A"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7 und 15</w:t>
            </w:r>
            <w:r w:rsidRPr="00B30A12">
              <w:rPr>
                <w:color w:val="000000"/>
                <w:sz w:val="22"/>
                <w:szCs w:val="22"/>
                <w:lang w:val="de-DE"/>
              </w:rPr>
              <w:noBreakHyphen/>
              <w:t>21</w:t>
            </w:r>
          </w:p>
        </w:tc>
      </w:tr>
      <w:tr w:rsidR="003A33A6" w:rsidRPr="00B30A12" w14:paraId="32A4AED7" w14:textId="77777777" w:rsidTr="00DA7B0B">
        <w:trPr>
          <w:cantSplit/>
        </w:trPr>
        <w:tc>
          <w:tcPr>
            <w:tcW w:w="2358" w:type="dxa"/>
            <w:shd w:val="clear" w:color="auto" w:fill="auto"/>
          </w:tcPr>
          <w:p w14:paraId="579F2083" w14:textId="77777777" w:rsidR="003A33A6" w:rsidRPr="00B30A12" w:rsidRDefault="003A33A6" w:rsidP="0054140C">
            <w:pPr>
              <w:pStyle w:val="EndnoteText"/>
              <w:widowControl w:val="0"/>
              <w:rPr>
                <w:color w:val="000000"/>
                <w:sz w:val="22"/>
                <w:szCs w:val="22"/>
              </w:rPr>
            </w:pPr>
            <w:r w:rsidRPr="00B30A12">
              <w:rPr>
                <w:color w:val="000000"/>
                <w:sz w:val="22"/>
                <w:szCs w:val="22"/>
              </w:rPr>
              <w:t>Intensivierungsblock 2</w:t>
            </w:r>
          </w:p>
          <w:p w14:paraId="0EAF2F23" w14:textId="77777777" w:rsidR="003A33A6" w:rsidRPr="00B30A12" w:rsidRDefault="003A33A6" w:rsidP="0054140C">
            <w:pPr>
              <w:pStyle w:val="EndnoteText"/>
              <w:widowControl w:val="0"/>
              <w:rPr>
                <w:color w:val="000000"/>
                <w:sz w:val="22"/>
                <w:szCs w:val="22"/>
              </w:rPr>
            </w:pPr>
            <w:r w:rsidRPr="00B30A12">
              <w:rPr>
                <w:color w:val="000000"/>
                <w:sz w:val="22"/>
                <w:szCs w:val="22"/>
              </w:rPr>
              <w:t>(9 Wochen)</w:t>
            </w:r>
          </w:p>
        </w:tc>
        <w:tc>
          <w:tcPr>
            <w:tcW w:w="6923" w:type="dxa"/>
            <w:shd w:val="clear" w:color="auto" w:fill="auto"/>
          </w:tcPr>
          <w:p w14:paraId="71B01A9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Methotrexat (5 g/m</w:t>
            </w:r>
            <w:r w:rsidRPr="00B30A12">
              <w:rPr>
                <w:color w:val="000000"/>
                <w:sz w:val="22"/>
                <w:szCs w:val="22"/>
                <w:vertAlign w:val="superscript"/>
                <w:lang w:val="de-DE"/>
              </w:rPr>
              <w:t>2</w:t>
            </w:r>
            <w:r w:rsidRPr="00B30A12">
              <w:rPr>
                <w:color w:val="000000"/>
                <w:sz w:val="22"/>
                <w:szCs w:val="22"/>
                <w:lang w:val="de-DE"/>
              </w:rPr>
              <w:t xml:space="preserve"> über 24 Stunden, i.v.): Tage 1 und 15</w:t>
            </w:r>
          </w:p>
          <w:p w14:paraId="0BFA157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bei Stunde 36, i.v.; 15 mg/m</w:t>
            </w:r>
            <w:r w:rsidRPr="00B30A12">
              <w:rPr>
                <w:color w:val="000000"/>
                <w:sz w:val="22"/>
                <w:szCs w:val="22"/>
                <w:vertAlign w:val="superscript"/>
                <w:lang w:val="de-DE"/>
              </w:rPr>
              <w:t>2</w:t>
            </w:r>
            <w:r w:rsidRPr="00B30A12">
              <w:rPr>
                <w:color w:val="000000"/>
                <w:sz w:val="22"/>
                <w:szCs w:val="22"/>
                <w:lang w:val="de-DE"/>
              </w:rPr>
              <w:t xml:space="preserve"> i.v. oder p.o. q6h x 6 Dosen)iii: Tage 2, 3, 16 und 17</w:t>
            </w:r>
          </w:p>
          <w:p w14:paraId="14171A14"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Dreifach-i.th.-Therapie (alters-angepasst): Tage 1 und 22</w:t>
            </w:r>
          </w:p>
          <w:p w14:paraId="5550378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016FDE3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3BAD7E9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MESNA (150 mg/m</w:t>
            </w:r>
            <w:r w:rsidRPr="00B30A12">
              <w:rPr>
                <w:color w:val="000000"/>
                <w:sz w:val="22"/>
                <w:szCs w:val="22"/>
                <w:vertAlign w:val="superscript"/>
                <w:lang w:val="de-DE"/>
              </w:rPr>
              <w:t>2</w:t>
            </w:r>
            <w:r w:rsidRPr="00B30A12">
              <w:rPr>
                <w:color w:val="000000"/>
                <w:sz w:val="22"/>
                <w:szCs w:val="22"/>
                <w:lang w:val="de-DE"/>
              </w:rPr>
              <w:t>/Tag, i.v.): Tage 22</w:t>
            </w:r>
            <w:r w:rsidRPr="00B30A12">
              <w:rPr>
                <w:color w:val="000000"/>
                <w:sz w:val="22"/>
                <w:szCs w:val="22"/>
                <w:lang w:val="de-DE"/>
              </w:rPr>
              <w:noBreakHyphen/>
              <w:t>26</w:t>
            </w:r>
          </w:p>
          <w:p w14:paraId="09DF0636"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27</w:t>
            </w:r>
            <w:r w:rsidRPr="00B30A12">
              <w:rPr>
                <w:color w:val="000000"/>
                <w:sz w:val="22"/>
                <w:szCs w:val="22"/>
                <w:lang w:val="de-DE"/>
              </w:rPr>
              <w:noBreakHyphen/>
              <w:t>36 oder bis ANC &gt; 1500 post nadir</w:t>
            </w:r>
          </w:p>
          <w:p w14:paraId="4BFDF4E6"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ARA-C (3 g/m</w:t>
            </w:r>
            <w:r w:rsidRPr="00B30A12">
              <w:rPr>
                <w:color w:val="000000"/>
                <w:sz w:val="22"/>
                <w:szCs w:val="22"/>
                <w:vertAlign w:val="superscript"/>
                <w:lang w:val="de-DE"/>
              </w:rPr>
              <w:t>2</w:t>
            </w:r>
            <w:r w:rsidRPr="00B30A12">
              <w:rPr>
                <w:color w:val="000000"/>
                <w:sz w:val="22"/>
                <w:szCs w:val="22"/>
                <w:lang w:val="de-DE"/>
              </w:rPr>
              <w:t>, q12h, i.v.): Tage 43, 44</w:t>
            </w:r>
          </w:p>
          <w:p w14:paraId="68A8E6A1"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L-ASP (6000 IE/m</w:t>
            </w:r>
            <w:r w:rsidRPr="00B30A12">
              <w:rPr>
                <w:color w:val="000000"/>
                <w:sz w:val="22"/>
                <w:szCs w:val="22"/>
                <w:vertAlign w:val="superscript"/>
                <w:lang w:val="de-DE"/>
              </w:rPr>
              <w:t>2</w:t>
            </w:r>
            <w:r w:rsidRPr="00B30A12">
              <w:rPr>
                <w:color w:val="000000"/>
                <w:sz w:val="22"/>
                <w:szCs w:val="22"/>
                <w:lang w:val="de-DE"/>
              </w:rPr>
              <w:t>, i.m.): Tag 44</w:t>
            </w:r>
          </w:p>
        </w:tc>
      </w:tr>
      <w:tr w:rsidR="003A33A6" w:rsidRPr="00B30A12" w14:paraId="5AAB5960" w14:textId="77777777" w:rsidTr="00DA7B0B">
        <w:trPr>
          <w:cantSplit/>
        </w:trPr>
        <w:tc>
          <w:tcPr>
            <w:tcW w:w="2358" w:type="dxa"/>
            <w:shd w:val="clear" w:color="auto" w:fill="auto"/>
          </w:tcPr>
          <w:p w14:paraId="72D44DB6" w14:textId="77777777" w:rsidR="003A33A6" w:rsidRPr="00B30A12" w:rsidRDefault="003A33A6" w:rsidP="0054140C">
            <w:pPr>
              <w:pStyle w:val="EndnoteText"/>
              <w:widowControl w:val="0"/>
              <w:rPr>
                <w:color w:val="000000"/>
                <w:sz w:val="22"/>
                <w:szCs w:val="22"/>
              </w:rPr>
            </w:pPr>
            <w:r w:rsidRPr="00B30A12">
              <w:rPr>
                <w:color w:val="000000"/>
                <w:sz w:val="22"/>
                <w:szCs w:val="22"/>
              </w:rPr>
              <w:t>Erhaltung</w:t>
            </w:r>
          </w:p>
          <w:p w14:paraId="55B636A0" w14:textId="77777777" w:rsidR="003A33A6" w:rsidRPr="00B30A12" w:rsidRDefault="003A33A6" w:rsidP="0054140C">
            <w:pPr>
              <w:pStyle w:val="EndnoteText"/>
              <w:widowControl w:val="0"/>
              <w:rPr>
                <w:color w:val="000000"/>
                <w:sz w:val="22"/>
                <w:szCs w:val="22"/>
              </w:rPr>
            </w:pPr>
            <w:r w:rsidRPr="00B30A12">
              <w:rPr>
                <w:color w:val="000000"/>
                <w:sz w:val="22"/>
                <w:szCs w:val="22"/>
              </w:rPr>
              <w:t>(8-Wochenzyklen)</w:t>
            </w:r>
          </w:p>
          <w:p w14:paraId="4A5A8D8A" w14:textId="77777777" w:rsidR="003A33A6" w:rsidRPr="00B30A12" w:rsidRDefault="003A33A6" w:rsidP="0054140C">
            <w:pPr>
              <w:pStyle w:val="EndnoteText"/>
              <w:widowControl w:val="0"/>
              <w:rPr>
                <w:color w:val="000000"/>
                <w:sz w:val="22"/>
                <w:szCs w:val="22"/>
              </w:rPr>
            </w:pPr>
            <w:r w:rsidRPr="00B30A12">
              <w:rPr>
                <w:color w:val="000000"/>
                <w:sz w:val="22"/>
                <w:szCs w:val="22"/>
              </w:rPr>
              <w:t>Zyklen 1–4</w:t>
            </w:r>
          </w:p>
        </w:tc>
        <w:tc>
          <w:tcPr>
            <w:tcW w:w="6923" w:type="dxa"/>
            <w:shd w:val="clear" w:color="auto" w:fill="auto"/>
          </w:tcPr>
          <w:p w14:paraId="0EF4B2D0"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MTX (5 g/m</w:t>
            </w:r>
            <w:r w:rsidRPr="00B30A12">
              <w:rPr>
                <w:color w:val="000000"/>
                <w:sz w:val="22"/>
                <w:szCs w:val="22"/>
                <w:vertAlign w:val="superscript"/>
                <w:lang w:val="de-DE"/>
              </w:rPr>
              <w:t>2</w:t>
            </w:r>
            <w:r w:rsidRPr="00B30A12">
              <w:rPr>
                <w:color w:val="000000"/>
                <w:sz w:val="22"/>
                <w:szCs w:val="22"/>
                <w:lang w:val="de-DE"/>
              </w:rPr>
              <w:t xml:space="preserve"> über 24 Stunden, i.v.): Tag 1</w:t>
            </w:r>
          </w:p>
          <w:p w14:paraId="5C7C9A92"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Leucovorin (75 mg/m</w:t>
            </w:r>
            <w:r w:rsidRPr="00B30A12">
              <w:rPr>
                <w:color w:val="000000"/>
                <w:sz w:val="22"/>
                <w:szCs w:val="22"/>
                <w:vertAlign w:val="superscript"/>
                <w:lang w:val="de-DE"/>
              </w:rPr>
              <w:t>2</w:t>
            </w:r>
            <w:r w:rsidRPr="00B30A12">
              <w:rPr>
                <w:color w:val="000000"/>
                <w:sz w:val="22"/>
                <w:szCs w:val="22"/>
                <w:lang w:val="de-DE"/>
              </w:rPr>
              <w:t xml:space="preserve"> bei Stunde 36, i.v.; 15 mg/m</w:t>
            </w:r>
            <w:r w:rsidRPr="00B30A12">
              <w:rPr>
                <w:color w:val="000000"/>
                <w:sz w:val="22"/>
                <w:szCs w:val="22"/>
                <w:vertAlign w:val="superscript"/>
                <w:lang w:val="de-DE"/>
              </w:rPr>
              <w:t>2</w:t>
            </w:r>
            <w:r w:rsidRPr="00B30A12">
              <w:rPr>
                <w:color w:val="000000"/>
                <w:sz w:val="22"/>
                <w:szCs w:val="22"/>
                <w:lang w:val="de-DE"/>
              </w:rPr>
              <w:t xml:space="preserve"> i.v. or p.o. q6h x 6 Dosen)iii: Tage 2 und 3</w:t>
            </w:r>
          </w:p>
          <w:p w14:paraId="3342B80B"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Dreifach-i.th.-Therapie (alters-angepasst): Tage 1, 29</w:t>
            </w:r>
          </w:p>
          <w:p w14:paraId="219B5225"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VCR (1,5 mg/m</w:t>
            </w:r>
            <w:r w:rsidRPr="00B30A12">
              <w:rPr>
                <w:color w:val="000000"/>
                <w:sz w:val="22"/>
                <w:szCs w:val="22"/>
                <w:vertAlign w:val="superscript"/>
                <w:lang w:val="de-DE"/>
              </w:rPr>
              <w:t>2</w:t>
            </w:r>
            <w:r w:rsidRPr="00B30A12">
              <w:rPr>
                <w:color w:val="000000"/>
                <w:sz w:val="22"/>
                <w:szCs w:val="22"/>
                <w:lang w:val="de-DE"/>
              </w:rPr>
              <w:t>, i.v.): Tage 1, 29</w:t>
            </w:r>
          </w:p>
          <w:p w14:paraId="5EAB083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5; 29</w:t>
            </w:r>
            <w:r w:rsidRPr="00B30A12">
              <w:rPr>
                <w:color w:val="000000"/>
                <w:sz w:val="22"/>
                <w:szCs w:val="22"/>
                <w:lang w:val="de-DE"/>
              </w:rPr>
              <w:noBreakHyphen/>
              <w:t>33</w:t>
            </w:r>
          </w:p>
          <w:p w14:paraId="62681235"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/Tag, p.o.): Tage 8-28</w:t>
            </w:r>
          </w:p>
          <w:p w14:paraId="4D8F535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/Woche, p.o.): Tage 8, 15, 22</w:t>
            </w:r>
          </w:p>
          <w:p w14:paraId="0E7E2E5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VP-16 (100 mg/m</w:t>
            </w:r>
            <w:r w:rsidRPr="00B30A12">
              <w:rPr>
                <w:color w:val="000000"/>
                <w:sz w:val="22"/>
                <w:szCs w:val="22"/>
                <w:vertAlign w:val="superscript"/>
                <w:lang w:val="de-DE"/>
              </w:rPr>
              <w:t>2</w:t>
            </w:r>
            <w:r w:rsidRPr="00B30A12">
              <w:rPr>
                <w:color w:val="000000"/>
                <w:sz w:val="22"/>
                <w:szCs w:val="22"/>
                <w:lang w:val="de-DE"/>
              </w:rPr>
              <w:t>, i.v.): Tage 29</w:t>
            </w:r>
            <w:r w:rsidRPr="00B30A12">
              <w:rPr>
                <w:color w:val="000000"/>
                <w:sz w:val="22"/>
                <w:szCs w:val="22"/>
                <w:lang w:val="de-DE"/>
              </w:rPr>
              <w:noBreakHyphen/>
              <w:t>33</w:t>
            </w:r>
          </w:p>
          <w:p w14:paraId="19C5913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CPM (300 mg/m</w:t>
            </w:r>
            <w:r w:rsidRPr="00B30A12">
              <w:rPr>
                <w:color w:val="000000"/>
                <w:sz w:val="22"/>
                <w:szCs w:val="22"/>
                <w:vertAlign w:val="superscript"/>
                <w:lang w:val="de-DE"/>
              </w:rPr>
              <w:t>2</w:t>
            </w:r>
            <w:r w:rsidRPr="00B30A12">
              <w:rPr>
                <w:color w:val="000000"/>
                <w:sz w:val="22"/>
                <w:szCs w:val="22"/>
                <w:lang w:val="de-DE"/>
              </w:rPr>
              <w:t>, i.v.): Tage 29</w:t>
            </w:r>
            <w:r w:rsidRPr="00B30A12">
              <w:rPr>
                <w:color w:val="000000"/>
                <w:sz w:val="22"/>
                <w:szCs w:val="22"/>
                <w:lang w:val="de-DE"/>
              </w:rPr>
              <w:noBreakHyphen/>
              <w:t>33</w:t>
            </w:r>
          </w:p>
          <w:p w14:paraId="4B61706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MESNA i.v. Tage 29</w:t>
            </w:r>
            <w:r w:rsidRPr="00B30A12">
              <w:rPr>
                <w:color w:val="000000"/>
                <w:sz w:val="22"/>
                <w:szCs w:val="22"/>
                <w:lang w:val="de-DE"/>
              </w:rPr>
              <w:noBreakHyphen/>
              <w:t>33</w:t>
            </w:r>
          </w:p>
          <w:p w14:paraId="742215C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G-CSF (5 </w:t>
            </w:r>
            <w:r w:rsidRPr="00B30A12">
              <w:rPr>
                <w:color w:val="000000"/>
                <w:sz w:val="22"/>
                <w:szCs w:val="22"/>
              </w:rPr>
              <w:t>μ</w:t>
            </w:r>
            <w:r w:rsidRPr="00B30A12">
              <w:rPr>
                <w:color w:val="000000"/>
                <w:sz w:val="22"/>
                <w:szCs w:val="22"/>
                <w:lang w:val="de-DE"/>
              </w:rPr>
              <w:t>g/kg, s.c.): Tage 34</w:t>
            </w:r>
            <w:r w:rsidRPr="00B30A12">
              <w:rPr>
                <w:color w:val="000000"/>
                <w:sz w:val="22"/>
                <w:szCs w:val="22"/>
                <w:lang w:val="de-DE"/>
              </w:rPr>
              <w:noBreakHyphen/>
              <w:t>43</w:t>
            </w:r>
          </w:p>
        </w:tc>
      </w:tr>
      <w:tr w:rsidR="003A33A6" w:rsidRPr="00B30A12" w14:paraId="490CAFB0" w14:textId="77777777" w:rsidTr="00DA7B0B">
        <w:trPr>
          <w:cantSplit/>
        </w:trPr>
        <w:tc>
          <w:tcPr>
            <w:tcW w:w="2358" w:type="dxa"/>
            <w:shd w:val="clear" w:color="auto" w:fill="auto"/>
          </w:tcPr>
          <w:p w14:paraId="7A90941C"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Erhaltung</w:t>
            </w:r>
          </w:p>
          <w:p w14:paraId="178EE704"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(8-Wochenzyklen)</w:t>
            </w:r>
          </w:p>
          <w:p w14:paraId="60414D35"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Zyklus 5</w:t>
            </w:r>
          </w:p>
        </w:tc>
        <w:tc>
          <w:tcPr>
            <w:tcW w:w="6923" w:type="dxa"/>
            <w:shd w:val="clear" w:color="auto" w:fill="auto"/>
          </w:tcPr>
          <w:p w14:paraId="443BD268"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Kraniale Bestrahlung (nur Block 5)</w:t>
            </w:r>
          </w:p>
          <w:p w14:paraId="4603A5B0"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12 Gy in 8 Fraktionen für alle Patienten mit CNS1 und CNS2 bei der Diagnose</w:t>
            </w:r>
          </w:p>
          <w:p w14:paraId="14F83CD6"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18 Gy in 10 Fraktionen für Patienten mit CNS3 bei der Diagnose</w:t>
            </w:r>
          </w:p>
          <w:p w14:paraId="1242A6CD"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VCR (1,5 mg/m</w:t>
            </w:r>
            <w:r w:rsidRPr="00B30A12">
              <w:rPr>
                <w:color w:val="000000"/>
                <w:sz w:val="22"/>
                <w:szCs w:val="22"/>
                <w:vertAlign w:val="superscript"/>
                <w:lang w:val="de-DE"/>
              </w:rPr>
              <w:t>2</w:t>
            </w:r>
            <w:r w:rsidRPr="00B30A12">
              <w:rPr>
                <w:color w:val="000000"/>
                <w:sz w:val="22"/>
                <w:szCs w:val="22"/>
                <w:lang w:val="de-DE"/>
              </w:rPr>
              <w:t>/Tag, i.v.): Tage 1, 29</w:t>
            </w:r>
          </w:p>
          <w:p w14:paraId="2205BDC6"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5; 29</w:t>
            </w:r>
            <w:r w:rsidRPr="00B30A12">
              <w:rPr>
                <w:color w:val="000000"/>
                <w:sz w:val="22"/>
                <w:szCs w:val="22"/>
                <w:lang w:val="de-DE"/>
              </w:rPr>
              <w:noBreakHyphen/>
              <w:t>33</w:t>
            </w:r>
          </w:p>
          <w:p w14:paraId="514E0A5A"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/Tag, p.o.): Tage 11</w:t>
            </w:r>
            <w:r w:rsidRPr="00B30A12">
              <w:rPr>
                <w:color w:val="000000"/>
                <w:sz w:val="22"/>
                <w:szCs w:val="22"/>
                <w:lang w:val="de-DE"/>
              </w:rPr>
              <w:noBreakHyphen/>
              <w:t>56 (Zurückhalten von 6-MP während der Tage 6</w:t>
            </w:r>
            <w:r w:rsidRPr="00B30A12">
              <w:rPr>
                <w:color w:val="000000"/>
                <w:sz w:val="22"/>
                <w:szCs w:val="22"/>
                <w:lang w:val="de-DE"/>
              </w:rPr>
              <w:noBreakHyphen/>
              <w:t>10 mit kranialer Bestrahlung beginnend an Tag 1 von Zyklus 5. Beginn mit 6-MP am ersten Tag nach Beendigung der kranialen Bestrahlung.)</w:t>
            </w:r>
          </w:p>
          <w:p w14:paraId="39F00C17"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/Woche, p.o.): Tage 8, 15, 22, 29, 36, 43, 50</w:t>
            </w:r>
          </w:p>
        </w:tc>
      </w:tr>
      <w:tr w:rsidR="003A33A6" w:rsidRPr="00B30A12" w14:paraId="18967FA8" w14:textId="77777777" w:rsidTr="00DA7B0B">
        <w:trPr>
          <w:cantSplit/>
        </w:trPr>
        <w:tc>
          <w:tcPr>
            <w:tcW w:w="2358" w:type="dxa"/>
            <w:shd w:val="clear" w:color="auto" w:fill="auto"/>
          </w:tcPr>
          <w:p w14:paraId="06BCCAE8" w14:textId="77777777" w:rsidR="003A33A6" w:rsidRPr="00B30A12" w:rsidRDefault="003A33A6" w:rsidP="00F35CB5">
            <w:pPr>
              <w:pStyle w:val="EndnoteText"/>
              <w:keepNext/>
              <w:widowControl w:val="0"/>
              <w:rPr>
                <w:color w:val="000000"/>
                <w:sz w:val="22"/>
                <w:szCs w:val="22"/>
              </w:rPr>
            </w:pPr>
            <w:r w:rsidRPr="00B30A12">
              <w:rPr>
                <w:color w:val="000000"/>
                <w:sz w:val="22"/>
                <w:szCs w:val="22"/>
              </w:rPr>
              <w:lastRenderedPageBreak/>
              <w:t>Erhaltung</w:t>
            </w:r>
          </w:p>
          <w:p w14:paraId="13C0E333" w14:textId="77777777" w:rsidR="003A33A6" w:rsidRPr="00B30A12" w:rsidRDefault="003A33A6" w:rsidP="00F35CB5">
            <w:pPr>
              <w:pStyle w:val="EndnoteText"/>
              <w:keepNext/>
              <w:widowControl w:val="0"/>
              <w:rPr>
                <w:color w:val="000000"/>
                <w:sz w:val="22"/>
                <w:szCs w:val="22"/>
              </w:rPr>
            </w:pPr>
            <w:r w:rsidRPr="00B30A12">
              <w:rPr>
                <w:color w:val="000000"/>
                <w:sz w:val="22"/>
                <w:szCs w:val="22"/>
              </w:rPr>
              <w:t>(8-Wochenzyklen)</w:t>
            </w:r>
          </w:p>
          <w:p w14:paraId="69D8E8DA" w14:textId="77777777" w:rsidR="003A33A6" w:rsidRPr="00B30A12" w:rsidRDefault="003A33A6" w:rsidP="00F35CB5">
            <w:pPr>
              <w:pStyle w:val="EndnoteText"/>
              <w:keepNext/>
              <w:widowControl w:val="0"/>
              <w:rPr>
                <w:color w:val="000000"/>
                <w:sz w:val="22"/>
                <w:szCs w:val="22"/>
              </w:rPr>
            </w:pPr>
            <w:r w:rsidRPr="00B30A12">
              <w:rPr>
                <w:color w:val="000000"/>
                <w:sz w:val="22"/>
                <w:szCs w:val="22"/>
              </w:rPr>
              <w:t>Zyklen 6</w:t>
            </w:r>
            <w:r w:rsidRPr="00B30A12">
              <w:rPr>
                <w:color w:val="000000"/>
                <w:sz w:val="22"/>
                <w:szCs w:val="22"/>
              </w:rPr>
              <w:noBreakHyphen/>
              <w:t>12</w:t>
            </w:r>
          </w:p>
        </w:tc>
        <w:tc>
          <w:tcPr>
            <w:tcW w:w="6923" w:type="dxa"/>
            <w:shd w:val="clear" w:color="auto" w:fill="auto"/>
          </w:tcPr>
          <w:p w14:paraId="4169DE6B" w14:textId="77777777" w:rsidR="003A33A6" w:rsidRPr="00B30A12" w:rsidRDefault="003A33A6" w:rsidP="00F35CB5">
            <w:pPr>
              <w:pStyle w:val="EndnoteText"/>
              <w:keepNext/>
              <w:widowControl w:val="0"/>
              <w:rPr>
                <w:color w:val="000000"/>
                <w:sz w:val="22"/>
                <w:szCs w:val="22"/>
                <w:lang w:val="de-DE"/>
              </w:rPr>
            </w:pPr>
            <w:r w:rsidRPr="00B30A12">
              <w:rPr>
                <w:color w:val="000000"/>
                <w:sz w:val="22"/>
                <w:szCs w:val="22"/>
                <w:lang w:val="de-DE"/>
              </w:rPr>
              <w:t>VCR (1,5 mg/m</w:t>
            </w:r>
            <w:r w:rsidRPr="00B30A12">
              <w:rPr>
                <w:color w:val="000000"/>
                <w:sz w:val="22"/>
                <w:szCs w:val="22"/>
                <w:vertAlign w:val="superscript"/>
                <w:lang w:val="de-DE"/>
              </w:rPr>
              <w:t>2</w:t>
            </w:r>
            <w:r w:rsidRPr="00B30A12">
              <w:rPr>
                <w:color w:val="000000"/>
                <w:sz w:val="22"/>
                <w:szCs w:val="22"/>
                <w:lang w:val="de-DE"/>
              </w:rPr>
              <w:t>/Tag, i.v.): Tage 1, 29</w:t>
            </w:r>
          </w:p>
          <w:p w14:paraId="158685F1" w14:textId="77777777" w:rsidR="003A33A6" w:rsidRPr="00B30A12" w:rsidRDefault="003A33A6" w:rsidP="00F35CB5">
            <w:pPr>
              <w:pStyle w:val="EndnoteText"/>
              <w:keepNext/>
              <w:widowControl w:val="0"/>
              <w:rPr>
                <w:color w:val="000000"/>
                <w:sz w:val="22"/>
                <w:szCs w:val="22"/>
                <w:lang w:val="de-DE"/>
              </w:rPr>
            </w:pPr>
            <w:r w:rsidRPr="00B30A12">
              <w:rPr>
                <w:color w:val="000000"/>
                <w:sz w:val="22"/>
                <w:szCs w:val="22"/>
                <w:lang w:val="de-DE"/>
              </w:rPr>
              <w:t>DEX (6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5; 29</w:t>
            </w:r>
            <w:r w:rsidRPr="00B30A12">
              <w:rPr>
                <w:color w:val="000000"/>
                <w:sz w:val="22"/>
                <w:szCs w:val="22"/>
                <w:lang w:val="de-DE"/>
              </w:rPr>
              <w:noBreakHyphen/>
              <w:t>33</w:t>
            </w:r>
          </w:p>
          <w:p w14:paraId="64CD2492" w14:textId="77777777" w:rsidR="003A33A6" w:rsidRPr="00B30A12" w:rsidRDefault="003A33A6" w:rsidP="00F35CB5">
            <w:pPr>
              <w:pStyle w:val="EndnoteText"/>
              <w:keepNext/>
              <w:widowControl w:val="0"/>
              <w:rPr>
                <w:color w:val="000000"/>
                <w:sz w:val="22"/>
                <w:szCs w:val="22"/>
                <w:lang w:val="de-DE"/>
              </w:rPr>
            </w:pPr>
            <w:r w:rsidRPr="00B30A12">
              <w:rPr>
                <w:color w:val="000000"/>
                <w:sz w:val="22"/>
                <w:szCs w:val="22"/>
                <w:lang w:val="de-DE"/>
              </w:rPr>
              <w:t>6-MP (75 mg/m</w:t>
            </w:r>
            <w:r w:rsidRPr="00B30A12">
              <w:rPr>
                <w:color w:val="000000"/>
                <w:sz w:val="22"/>
                <w:szCs w:val="22"/>
                <w:vertAlign w:val="superscript"/>
                <w:lang w:val="de-DE"/>
              </w:rPr>
              <w:t>2</w:t>
            </w:r>
            <w:r w:rsidRPr="00B30A12">
              <w:rPr>
                <w:color w:val="000000"/>
                <w:sz w:val="22"/>
                <w:szCs w:val="22"/>
                <w:lang w:val="de-DE"/>
              </w:rPr>
              <w:t>/Tag, p.o.): Tage 1</w:t>
            </w:r>
            <w:r w:rsidRPr="00B30A12">
              <w:rPr>
                <w:color w:val="000000"/>
                <w:sz w:val="22"/>
                <w:szCs w:val="22"/>
                <w:lang w:val="de-DE"/>
              </w:rPr>
              <w:noBreakHyphen/>
              <w:t>56</w:t>
            </w:r>
          </w:p>
          <w:p w14:paraId="2D00F3D2" w14:textId="77777777" w:rsidR="003A33A6" w:rsidRPr="00B30A12" w:rsidRDefault="003A33A6" w:rsidP="00F35CB5">
            <w:pPr>
              <w:pStyle w:val="EndnoteText"/>
              <w:keepNext/>
              <w:widowControl w:val="0"/>
              <w:rPr>
                <w:color w:val="000000"/>
                <w:sz w:val="22"/>
                <w:szCs w:val="22"/>
                <w:lang w:val="de-CH"/>
              </w:rPr>
            </w:pPr>
            <w:r w:rsidRPr="00B30A12">
              <w:rPr>
                <w:color w:val="000000"/>
                <w:sz w:val="22"/>
                <w:szCs w:val="22"/>
                <w:lang w:val="de-DE"/>
              </w:rPr>
              <w:t>Methotrexat (20 mg/m</w:t>
            </w:r>
            <w:r w:rsidRPr="00B30A12">
              <w:rPr>
                <w:color w:val="000000"/>
                <w:sz w:val="22"/>
                <w:szCs w:val="22"/>
                <w:vertAlign w:val="superscript"/>
                <w:lang w:val="de-DE"/>
              </w:rPr>
              <w:t>2</w:t>
            </w:r>
            <w:r w:rsidRPr="00B30A12">
              <w:rPr>
                <w:color w:val="000000"/>
                <w:sz w:val="22"/>
                <w:szCs w:val="22"/>
                <w:lang w:val="de-DE"/>
              </w:rPr>
              <w:t>/Woche, p.o.): Tage 1, 8, 15, 22, 29, 36, 43, 50</w:t>
            </w:r>
          </w:p>
        </w:tc>
      </w:tr>
    </w:tbl>
    <w:p w14:paraId="60AC04A1" w14:textId="77777777" w:rsidR="003A33A6" w:rsidRPr="00B30A12" w:rsidRDefault="003A33A6" w:rsidP="00DA7B0B">
      <w:pPr>
        <w:pStyle w:val="EndnoteText"/>
        <w:keepLines/>
        <w:widowControl w:val="0"/>
        <w:rPr>
          <w:color w:val="000000"/>
          <w:sz w:val="22"/>
          <w:szCs w:val="22"/>
          <w:lang w:val="de-DE"/>
        </w:rPr>
      </w:pPr>
      <w:r w:rsidRPr="00B30A12">
        <w:rPr>
          <w:color w:val="000000"/>
          <w:sz w:val="22"/>
          <w:szCs w:val="22"/>
          <w:lang w:val="de-DE"/>
        </w:rPr>
        <w:t>G-CSF = Granulozyten-Kolonie stimulierender Faktor, VP-16 = Etoposid, MTX = Methotrexat, i.v. = intravenös, s.c. = subkutan, i.th. = intrathekal, p.o. = oral, i.m. = intramuskulär, ARA-C = Cytarabin, CPM = Cyclophosphamid, VCR = Vincristin, DEX = Dexamethason, DAUN = Daunorubicin, 6-MP = 6-Mercaptopurin, E.Coli L-ASP = L-Asparaginase, PEG-ASP = PEG Asparaginase, MESNA= Natrium-2-mercapto-ethansulfonat, iii= oder bis MTX-Spiegel &lt; 0,1 µM ist, q6h = alle 6 Stunden, Gy= Gray</w:t>
      </w:r>
    </w:p>
    <w:p w14:paraId="423A81F5" w14:textId="77777777" w:rsidR="003A33A6" w:rsidRPr="00B30A12" w:rsidRDefault="003A33A6" w:rsidP="0054140C">
      <w:pPr>
        <w:pStyle w:val="EndnoteText"/>
        <w:widowControl w:val="0"/>
        <w:rPr>
          <w:color w:val="000000"/>
          <w:sz w:val="22"/>
          <w:szCs w:val="22"/>
          <w:lang w:val="de-DE"/>
        </w:rPr>
      </w:pPr>
    </w:p>
    <w:p w14:paraId="59987C4E" w14:textId="77777777" w:rsidR="003A33A6" w:rsidRPr="00B30A12" w:rsidRDefault="003A33A6" w:rsidP="0054140C">
      <w:pPr>
        <w:pStyle w:val="EndnoteText"/>
        <w:widowControl w:val="0"/>
        <w:rPr>
          <w:color w:val="000000"/>
          <w:sz w:val="22"/>
          <w:szCs w:val="22"/>
          <w:lang w:val="de-DE"/>
        </w:rPr>
      </w:pPr>
      <w:r w:rsidRPr="00B30A12">
        <w:rPr>
          <w:color w:val="000000"/>
          <w:sz w:val="22"/>
          <w:szCs w:val="22"/>
          <w:lang w:val="de-DE"/>
        </w:rPr>
        <w:t>Die Studie AIT07 war eine multizentrische, offene, randomisierte Phase-II/III-Studie, die 128 Patienten (1 bis &lt; 18 Jahren) einschloss, die mit Imatinib in Kombination mit einer Chemotherapie behandelt wurden. Sicherheitsdaten dieser Studie scheinen in Einklang mit dem Sicherheitsprofil von Imatinib bei Patienten mit Ph+ ALL zu sein.</w:t>
      </w:r>
    </w:p>
    <w:p w14:paraId="49E5902E" w14:textId="77777777" w:rsidR="003A33A6" w:rsidRPr="00B30A12" w:rsidRDefault="003A33A6" w:rsidP="0054140C">
      <w:pPr>
        <w:pStyle w:val="EndnoteText"/>
        <w:widowControl w:val="0"/>
        <w:rPr>
          <w:color w:val="000000"/>
          <w:sz w:val="22"/>
          <w:szCs w:val="22"/>
          <w:lang w:val="de-DE"/>
        </w:rPr>
      </w:pPr>
    </w:p>
    <w:p w14:paraId="06D9185F" w14:textId="77777777" w:rsidR="003A33A6" w:rsidRPr="00B30A12" w:rsidRDefault="003A33A6" w:rsidP="0054140C">
      <w:pPr>
        <w:widowControl w:val="0"/>
        <w:rPr>
          <w:color w:val="000000"/>
          <w:sz w:val="22"/>
          <w:szCs w:val="22"/>
        </w:rPr>
      </w:pPr>
      <w:r w:rsidRPr="00B30A12">
        <w:rPr>
          <w:i/>
          <w:color w:val="000000"/>
          <w:sz w:val="22"/>
          <w:szCs w:val="22"/>
        </w:rPr>
        <w:t>Rezidivierende/refraktäre Ph+ </w:t>
      </w:r>
      <w:smartTag w:uri="urn:schemas-microsoft-com:office:smarttags" w:element="stockticker">
        <w:r w:rsidRPr="00B30A12">
          <w:rPr>
            <w:i/>
            <w:color w:val="000000"/>
            <w:sz w:val="22"/>
            <w:szCs w:val="22"/>
          </w:rPr>
          <w:t>ALL</w:t>
        </w:r>
      </w:smartTag>
      <w:r w:rsidRPr="00B30A12">
        <w:rPr>
          <w:i/>
          <w:color w:val="000000"/>
          <w:sz w:val="22"/>
          <w:szCs w:val="22"/>
        </w:rPr>
        <w:t xml:space="preserve">: </w:t>
      </w:r>
      <w:r w:rsidRPr="00B30A12">
        <w:rPr>
          <w:color w:val="000000"/>
          <w:sz w:val="22"/>
          <w:szCs w:val="22"/>
        </w:rPr>
        <w:t>Die Anwendung von Imatinib als Monotherapie bei Patienten mit rezidivierender/refraktärer Ph+ </w:t>
      </w:r>
      <w:smartTag w:uri="urn:schemas-microsoft-com:office:smarttags" w:element="stockticker">
        <w:r w:rsidRPr="00B30A12">
          <w:rPr>
            <w:color w:val="000000"/>
            <w:sz w:val="22"/>
            <w:szCs w:val="22"/>
          </w:rPr>
          <w:t>ALL</w:t>
        </w:r>
      </w:smartTag>
      <w:r w:rsidRPr="00B30A12">
        <w:rPr>
          <w:color w:val="000000"/>
          <w:sz w:val="22"/>
          <w:szCs w:val="22"/>
        </w:rPr>
        <w:t xml:space="preserve"> ergab bei 53 von 411 Patienten, die hinsichtlich eines Ansprechens auswertbar waren, eine hämatologische Ansprechrate von 30% (9% komplettes Ansprechen) und eine gute zytogenetische Ansprechrate von 23%. (Von den 411 Patienten wurden 353 in einem „expanded access program“ ohne Sammlung der primären Ansprechdaten behandelt.) Die mediane Zeit bis zum Fortschreiten der Erkrankung reichte bei der Gesamtpopulation von 411 Patienten mit rezidivierender/refraktärer Ph+ </w:t>
      </w:r>
      <w:smartTag w:uri="urn:schemas-microsoft-com:office:smarttags" w:element="stockticker">
        <w:r w:rsidRPr="00B30A12">
          <w:rPr>
            <w:color w:val="000000"/>
            <w:sz w:val="22"/>
            <w:szCs w:val="22"/>
          </w:rPr>
          <w:t>ALL</w:t>
        </w:r>
      </w:smartTag>
      <w:r w:rsidRPr="00B30A12">
        <w:rPr>
          <w:color w:val="000000"/>
          <w:sz w:val="22"/>
          <w:szCs w:val="22"/>
        </w:rPr>
        <w:t xml:space="preserve"> von 2,6 bis 3,1 Monaten, und das mediane Gesamtüberleben bei den 401 auswertbaren Patienten reichte von 4,9 bis 9 Monaten. Die Daten waren ähnlich, wenn bei einer Re-Analyse nur Patienten eingeschlossen wurden, die 55 Jahre oder älter waren.</w:t>
      </w:r>
    </w:p>
    <w:p w14:paraId="518897F4" w14:textId="77777777" w:rsidR="003A33A6" w:rsidRPr="00B30A12" w:rsidRDefault="003A33A6" w:rsidP="0054140C">
      <w:pPr>
        <w:widowControl w:val="0"/>
        <w:rPr>
          <w:color w:val="000000"/>
          <w:sz w:val="22"/>
          <w:szCs w:val="22"/>
        </w:rPr>
      </w:pPr>
    </w:p>
    <w:p w14:paraId="003A4243" w14:textId="77777777" w:rsidR="003A33A6" w:rsidRPr="00B30A12" w:rsidRDefault="003A33A6" w:rsidP="00F35CB5">
      <w:pPr>
        <w:keepNext/>
        <w:widowControl w:val="0"/>
        <w:rPr>
          <w:color w:val="000000"/>
          <w:sz w:val="22"/>
          <w:szCs w:val="22"/>
          <w:u w:val="single"/>
        </w:rPr>
      </w:pPr>
      <w:r w:rsidRPr="00B30A12">
        <w:rPr>
          <w:color w:val="000000"/>
          <w:sz w:val="22"/>
          <w:szCs w:val="22"/>
          <w:u w:val="single"/>
        </w:rPr>
        <w:t xml:space="preserve">Klinische Studien bei </w:t>
      </w:r>
      <w:smartTag w:uri="urn:schemas-microsoft-com:office:smarttags" w:element="stockticker">
        <w:r w:rsidRPr="00B30A12">
          <w:rPr>
            <w:color w:val="000000"/>
            <w:sz w:val="22"/>
            <w:szCs w:val="22"/>
            <w:u w:val="single"/>
          </w:rPr>
          <w:t>MDS</w:t>
        </w:r>
      </w:smartTag>
      <w:r w:rsidRPr="00B30A12">
        <w:rPr>
          <w:color w:val="000000"/>
          <w:sz w:val="22"/>
          <w:szCs w:val="22"/>
          <w:u w:val="single"/>
        </w:rPr>
        <w:t>/MPD</w:t>
      </w:r>
    </w:p>
    <w:p w14:paraId="560CB6EA" w14:textId="77777777" w:rsidR="007F485A" w:rsidRPr="00B30A12" w:rsidRDefault="007F485A" w:rsidP="0054140C">
      <w:pPr>
        <w:widowControl w:val="0"/>
        <w:rPr>
          <w:color w:val="000000"/>
          <w:sz w:val="22"/>
          <w:szCs w:val="22"/>
        </w:rPr>
      </w:pPr>
      <w:r w:rsidRPr="00B30A12">
        <w:rPr>
          <w:color w:val="000000"/>
          <w:sz w:val="22"/>
          <w:szCs w:val="22"/>
        </w:rPr>
        <w:t xml:space="preserve">Erfahrungen mit Glivec in dieser Indikation sind sehr begrenzt. Sie beruhen auf den hämatologischen und zytogenetischen Ansprechraten. Es gibt keine kontrollierten Studien, die einen klinischen Nutzen oder ein verlängertes Überleben zeigen. Es wurde eine offene, multizentrische Phase-II-Studie (Studie B2225) durchgeführt, in der Glivec bei Patienten mit verschiedenen lebensbedrohlichen Erkrankungen in Verbindung mit Abl-, Kit- oder PDGFR-Protein-Tyrosinkinasen untersucht wurde. In diese Studie waren 7 Patienten mit </w:t>
      </w:r>
      <w:smartTag w:uri="urn:schemas-microsoft-com:office:smarttags" w:element="stockticker">
        <w:r w:rsidRPr="00B30A12">
          <w:rPr>
            <w:color w:val="000000"/>
            <w:sz w:val="22"/>
            <w:szCs w:val="22"/>
          </w:rPr>
          <w:t>MDS</w:t>
        </w:r>
      </w:smartTag>
      <w:r w:rsidRPr="00B30A12">
        <w:rPr>
          <w:color w:val="000000"/>
          <w:sz w:val="22"/>
          <w:szCs w:val="22"/>
        </w:rPr>
        <w:t>/MPD eingeschlossen, die mit täglich 400 mg Glivec behandelt wurden. Drei Patienten hatten eine komplette hämatologische Remission (</w:t>
      </w:r>
      <w:smartTag w:uri="urn:schemas-microsoft-com:office:smarttags" w:element="stockticker">
        <w:r w:rsidRPr="00B30A12">
          <w:rPr>
            <w:color w:val="000000"/>
            <w:sz w:val="22"/>
            <w:szCs w:val="22"/>
          </w:rPr>
          <w:t>CHR</w:t>
        </w:r>
      </w:smartTag>
      <w:r w:rsidRPr="00B30A12">
        <w:rPr>
          <w:color w:val="000000"/>
          <w:sz w:val="22"/>
          <w:szCs w:val="22"/>
        </w:rPr>
        <w:t>) und ein Patient eine partielle hämatologische Remission (</w:t>
      </w:r>
      <w:smartTag w:uri="urn:schemas-microsoft-com:office:smarttags" w:element="stockticker">
        <w:r w:rsidRPr="00B30A12">
          <w:rPr>
            <w:color w:val="000000"/>
            <w:sz w:val="22"/>
            <w:szCs w:val="22"/>
          </w:rPr>
          <w:t>PHR</w:t>
        </w:r>
      </w:smartTag>
      <w:r w:rsidRPr="00B30A12">
        <w:rPr>
          <w:color w:val="000000"/>
          <w:sz w:val="22"/>
          <w:szCs w:val="22"/>
        </w:rPr>
        <w:t>). Zum Zeitpunkt der ursprünglichen Analyse entwickelten drei von vier Patienten mit entdeckter PDGFR-Genumlagerung eine hämatologische Remission (2 </w:t>
      </w:r>
      <w:smartTag w:uri="urn:schemas-microsoft-com:office:smarttags" w:element="stockticker">
        <w:r w:rsidRPr="00B30A12">
          <w:rPr>
            <w:color w:val="000000"/>
            <w:sz w:val="22"/>
            <w:szCs w:val="22"/>
          </w:rPr>
          <w:t>CHR</w:t>
        </w:r>
      </w:smartTag>
      <w:r w:rsidRPr="00B30A12">
        <w:rPr>
          <w:color w:val="000000"/>
          <w:sz w:val="22"/>
          <w:szCs w:val="22"/>
        </w:rPr>
        <w:t xml:space="preserve"> und 1 </w:t>
      </w:r>
      <w:smartTag w:uri="urn:schemas-microsoft-com:office:smarttags" w:element="stockticker">
        <w:r w:rsidRPr="00B30A12">
          <w:rPr>
            <w:color w:val="000000"/>
            <w:sz w:val="22"/>
            <w:szCs w:val="22"/>
          </w:rPr>
          <w:t>PHR</w:t>
        </w:r>
      </w:smartTag>
      <w:r w:rsidRPr="00B30A12">
        <w:rPr>
          <w:color w:val="000000"/>
          <w:sz w:val="22"/>
          <w:szCs w:val="22"/>
        </w:rPr>
        <w:t>). Das Alter dieser Patienten betrug 20 bis 72 Jahre.</w:t>
      </w:r>
    </w:p>
    <w:p w14:paraId="40D22027" w14:textId="77777777" w:rsidR="007F485A" w:rsidRPr="00B30A12" w:rsidRDefault="007F485A" w:rsidP="0054140C">
      <w:pPr>
        <w:widowControl w:val="0"/>
        <w:rPr>
          <w:color w:val="000000"/>
          <w:sz w:val="22"/>
          <w:szCs w:val="22"/>
        </w:rPr>
      </w:pPr>
    </w:p>
    <w:p w14:paraId="582844AB" w14:textId="77777777" w:rsidR="007F485A" w:rsidRPr="00B30A12" w:rsidRDefault="007F485A" w:rsidP="0054140C">
      <w:pPr>
        <w:widowControl w:val="0"/>
        <w:rPr>
          <w:color w:val="000000"/>
          <w:sz w:val="22"/>
          <w:szCs w:val="22"/>
        </w:rPr>
      </w:pPr>
      <w:r w:rsidRPr="00B30A12">
        <w:rPr>
          <w:color w:val="000000"/>
          <w:sz w:val="22"/>
          <w:szCs w:val="22"/>
        </w:rPr>
        <w:t xml:space="preserve">Es wurde eine Beobachtungsstudie in Form eines Registers (Studie L2401) durchgeführt, um Langzeitdaten zur Sicherheit und Wirksamkeit bei Patienten, die an myeloproliferativen Neoplasien mit PDGFR-β-Umlagerung leiden und mit Glivec behandelt wurden, zu sammeln. Die 23 Patienten, die in das Register aufgenommen wurden, erhielten im Median eine Tagesdosis von 264 mg (Spanne: 100 bis 400 mg) über eine mediane Zeitdauer von 7,2 Jahren (Spanne: 0,1 bis 12,7 Jahre). Wegen des beobachtenden Charakters dieses Registers waren Daten zu hämatologischen, zytogenetischen und molekularen Bewertungen von 22 bzw. 9 bzw. 17 der 23 eingeschlossenen Patienten verfügbar. Unter der konservativen Annahme, dass Patienten mit fehlenden Daten als </w:t>
      </w:r>
      <w:r w:rsidRPr="00B30A12">
        <w:rPr>
          <w:i/>
          <w:color w:val="000000"/>
          <w:sz w:val="22"/>
          <w:szCs w:val="22"/>
        </w:rPr>
        <w:t>„Non-Responder“</w:t>
      </w:r>
      <w:r w:rsidRPr="00B30A12">
        <w:rPr>
          <w:color w:val="000000"/>
          <w:sz w:val="22"/>
          <w:szCs w:val="22"/>
        </w:rPr>
        <w:t xml:space="preserve"> betrachtet werden, wurde ein CHR bei 20/23 (87%), ein CCyR bei 9/23 (39,1%) und ein MR bei 11/23 (47,8%) Patienten beobachtet. Wenn die </w:t>
      </w:r>
      <w:r w:rsidRPr="00B30A12">
        <w:rPr>
          <w:i/>
          <w:color w:val="000000"/>
          <w:sz w:val="22"/>
          <w:szCs w:val="22"/>
        </w:rPr>
        <w:t>„Response Rate</w:t>
      </w:r>
      <w:r w:rsidRPr="00B30A12">
        <w:rPr>
          <w:color w:val="000000"/>
          <w:sz w:val="22"/>
          <w:szCs w:val="22"/>
        </w:rPr>
        <w:t>“ bei Patienten mit mindestens einer validen Bewertung berechnet wurde, betrug diese für CHR 20/22 (90,9%), für CCyR 9/9 (100%) und für MR 11/17 (64,7%).</w:t>
      </w:r>
    </w:p>
    <w:p w14:paraId="1BDF3F6C" w14:textId="77777777" w:rsidR="007F485A" w:rsidRPr="00B30A12" w:rsidRDefault="007F485A" w:rsidP="0054140C">
      <w:pPr>
        <w:widowControl w:val="0"/>
        <w:rPr>
          <w:color w:val="000000"/>
          <w:sz w:val="22"/>
          <w:szCs w:val="22"/>
        </w:rPr>
      </w:pPr>
    </w:p>
    <w:p w14:paraId="5E90C9E8" w14:textId="77777777" w:rsidR="007F485A" w:rsidRPr="00B30A12" w:rsidRDefault="007F485A" w:rsidP="0054140C">
      <w:pPr>
        <w:widowControl w:val="0"/>
        <w:rPr>
          <w:color w:val="000000"/>
          <w:sz w:val="22"/>
          <w:szCs w:val="22"/>
        </w:rPr>
      </w:pPr>
      <w:r w:rsidRPr="00B30A12">
        <w:rPr>
          <w:color w:val="000000"/>
          <w:sz w:val="22"/>
          <w:szCs w:val="22"/>
        </w:rPr>
        <w:t xml:space="preserve">Über weitere 24 Patienten mit </w:t>
      </w:r>
      <w:smartTag w:uri="urn:schemas-microsoft-com:office:smarttags" w:element="stockticker">
        <w:r w:rsidRPr="00B30A12">
          <w:rPr>
            <w:color w:val="000000"/>
            <w:sz w:val="22"/>
            <w:szCs w:val="22"/>
          </w:rPr>
          <w:t>MDS</w:t>
        </w:r>
      </w:smartTag>
      <w:r w:rsidRPr="00B30A12">
        <w:rPr>
          <w:color w:val="000000"/>
          <w:sz w:val="22"/>
          <w:szCs w:val="22"/>
        </w:rPr>
        <w:t xml:space="preserve">/MPD wurde in 13 Publikationen berichtet. 21 Patienten erhielten Glivec in einer Dosierung von täglich 400 mg, während die anderen drei Patienten niedrigere Dosen erhielten. Bei elf Patienten wurde eine PDGFR-Genumlagerung entdeckt. 9 von Ihnen erzielten eine </w:t>
      </w:r>
      <w:smartTag w:uri="urn:schemas-microsoft-com:office:smarttags" w:element="stockticker">
        <w:r w:rsidRPr="00B30A12">
          <w:rPr>
            <w:color w:val="000000"/>
            <w:sz w:val="22"/>
            <w:szCs w:val="22"/>
          </w:rPr>
          <w:t>CHR</w:t>
        </w:r>
      </w:smartTag>
      <w:r w:rsidRPr="00B30A12">
        <w:rPr>
          <w:color w:val="000000"/>
          <w:sz w:val="22"/>
          <w:szCs w:val="22"/>
        </w:rPr>
        <w:t xml:space="preserve"> und ein Patient eine </w:t>
      </w:r>
      <w:smartTag w:uri="urn:schemas-microsoft-com:office:smarttags" w:element="stockticker">
        <w:r w:rsidRPr="00B30A12">
          <w:rPr>
            <w:color w:val="000000"/>
            <w:sz w:val="22"/>
            <w:szCs w:val="22"/>
          </w:rPr>
          <w:t>PHR</w:t>
        </w:r>
      </w:smartTag>
      <w:r w:rsidRPr="00B30A12">
        <w:rPr>
          <w:color w:val="000000"/>
          <w:sz w:val="22"/>
          <w:szCs w:val="22"/>
        </w:rPr>
        <w:t xml:space="preserve">. Das Alter dieser Patienten lag zwischen 2 und 79 Jahren. Nach der aktualisierten Information in einer kürzlich erschienenen Publikation wurde gezeigt, dass all diese </w:t>
      </w:r>
      <w:r w:rsidRPr="00B30A12">
        <w:rPr>
          <w:color w:val="000000"/>
          <w:sz w:val="22"/>
          <w:szCs w:val="22"/>
        </w:rPr>
        <w:lastRenderedPageBreak/>
        <w:t>Patienten in der zytogenetischen Remission verblieben sind (Dauer 32</w:t>
      </w:r>
      <w:r w:rsidRPr="00B30A12">
        <w:rPr>
          <w:color w:val="000000"/>
          <w:sz w:val="22"/>
          <w:szCs w:val="22"/>
        </w:rPr>
        <w:noBreakHyphen/>
        <w:t>28 Monate). Dieselbe Publikation berichtete über Langzeit-Folgedaten von 12 </w:t>
      </w:r>
      <w:smartTag w:uri="urn:schemas-microsoft-com:office:smarttags" w:element="stockticker">
        <w:r w:rsidRPr="00B30A12">
          <w:rPr>
            <w:color w:val="000000"/>
            <w:sz w:val="22"/>
            <w:szCs w:val="22"/>
          </w:rPr>
          <w:t>MDS</w:t>
        </w:r>
      </w:smartTag>
      <w:r w:rsidRPr="00B30A12">
        <w:rPr>
          <w:color w:val="000000"/>
          <w:sz w:val="22"/>
          <w:szCs w:val="22"/>
        </w:rPr>
        <w:t xml:space="preserve">/MPD-Patienten mit PDGFR-Genumlagerung (5 Patienten aus der Studie B2225). Diese Patienten erhielten Glivec über median 47 Monate (24 Tage – 60 Monate). Bei 6 von diesen Patienten beträgt der Follow-up jetzt mehr als 4 Jahre. Elf Patienten erzielten eine schnelle </w:t>
      </w:r>
      <w:smartTag w:uri="urn:schemas-microsoft-com:office:smarttags" w:element="stockticker">
        <w:r w:rsidRPr="00B30A12">
          <w:rPr>
            <w:color w:val="000000"/>
            <w:sz w:val="22"/>
            <w:szCs w:val="22"/>
          </w:rPr>
          <w:t>CHR</w:t>
        </w:r>
      </w:smartTag>
      <w:r w:rsidRPr="00B30A12">
        <w:rPr>
          <w:color w:val="000000"/>
          <w:sz w:val="22"/>
          <w:szCs w:val="22"/>
        </w:rPr>
        <w:t>; bei zehn verschwanden die zytogenetischen Anomalien komplett und es trat eine Verminderung oder ein Verschwinden der Fusionstranskripte ein, gemessen mittels RT-</w:t>
      </w:r>
      <w:smartTag w:uri="urn:schemas-microsoft-com:office:smarttags" w:element="stockticker">
        <w:r w:rsidRPr="00B30A12">
          <w:rPr>
            <w:color w:val="000000"/>
            <w:sz w:val="22"/>
            <w:szCs w:val="22"/>
          </w:rPr>
          <w:t>PCR</w:t>
        </w:r>
      </w:smartTag>
      <w:r w:rsidRPr="00B30A12">
        <w:rPr>
          <w:color w:val="000000"/>
          <w:sz w:val="22"/>
          <w:szCs w:val="22"/>
        </w:rPr>
        <w:t>. Hämatologische und zytogenetische Remissionen wurden über einen medianen Zeitraum von 49 (19</w:t>
      </w:r>
      <w:r w:rsidRPr="00B30A12">
        <w:rPr>
          <w:color w:val="000000"/>
          <w:sz w:val="22"/>
          <w:szCs w:val="22"/>
        </w:rPr>
        <w:noBreakHyphen/>
        <w:t>60) Monaten bzw. 47 (16</w:t>
      </w:r>
      <w:r w:rsidRPr="00B30A12">
        <w:rPr>
          <w:color w:val="000000"/>
          <w:sz w:val="22"/>
          <w:szCs w:val="22"/>
        </w:rPr>
        <w:noBreakHyphen/>
        <w:t>59) Monaten aufrechterhalten. Das Gesamtüberleben liegt bei 65 (25</w:t>
      </w:r>
      <w:r w:rsidRPr="00B30A12">
        <w:rPr>
          <w:color w:val="000000"/>
          <w:sz w:val="22"/>
          <w:szCs w:val="22"/>
        </w:rPr>
        <w:noBreakHyphen/>
        <w:t>234) Monaten seit Diagnosestellung. Bei Gabe von Glivec an Patienten ohne genetische Translokation wird generell keine Verbesserung erzielt.</w:t>
      </w:r>
    </w:p>
    <w:p w14:paraId="739EA18B" w14:textId="77777777" w:rsidR="003A33A6" w:rsidRPr="00B30A12" w:rsidRDefault="003A33A6" w:rsidP="0054140C">
      <w:pPr>
        <w:widowControl w:val="0"/>
        <w:rPr>
          <w:color w:val="000000"/>
          <w:sz w:val="22"/>
          <w:szCs w:val="22"/>
        </w:rPr>
      </w:pPr>
    </w:p>
    <w:p w14:paraId="27A850A7" w14:textId="77777777" w:rsidR="003A33A6" w:rsidRPr="00B30A12" w:rsidRDefault="003A33A6" w:rsidP="0054140C">
      <w:pPr>
        <w:widowControl w:val="0"/>
        <w:rPr>
          <w:color w:val="000000"/>
          <w:sz w:val="22"/>
          <w:szCs w:val="22"/>
        </w:rPr>
      </w:pPr>
      <w:r w:rsidRPr="00B30A12">
        <w:rPr>
          <w:color w:val="000000"/>
          <w:sz w:val="22"/>
          <w:szCs w:val="22"/>
        </w:rPr>
        <w:t>Es gibt keine kontrollierten Studien bei Kindern und Jugendlichen mit MDS/MPD. In 4 Publikationen wurde über 5 Patienten mit MDS/MPD in Zusammenhang mit PDGFR-Genumlagerungen berichtet. Das Alter dieser Patienten reichte von 3 Monaten bis 4 Jahren und Imatinib wurde in einer Dosierung von 50 mg täglich oder in Dosen von 92,5 bis 340 mg/m² täglich gegeben. Alle Patienten zeigten komplettes hämatologisches, zytogenetisches und/oder klinisches Ansprechen.</w:t>
      </w:r>
    </w:p>
    <w:p w14:paraId="7F2AD395" w14:textId="77777777" w:rsidR="003A33A6" w:rsidRPr="00B30A12" w:rsidRDefault="003A33A6" w:rsidP="0054140C">
      <w:pPr>
        <w:widowControl w:val="0"/>
        <w:rPr>
          <w:color w:val="000000"/>
          <w:sz w:val="22"/>
          <w:szCs w:val="22"/>
        </w:rPr>
      </w:pPr>
    </w:p>
    <w:p w14:paraId="2903EED2" w14:textId="77777777" w:rsidR="003A33A6" w:rsidRPr="00B30A12" w:rsidRDefault="003A33A6" w:rsidP="004A5850">
      <w:pPr>
        <w:keepNext/>
        <w:widowControl w:val="0"/>
        <w:rPr>
          <w:color w:val="000000"/>
          <w:sz w:val="22"/>
          <w:szCs w:val="22"/>
          <w:u w:val="single"/>
        </w:rPr>
      </w:pPr>
      <w:r w:rsidRPr="00B30A12">
        <w:rPr>
          <w:color w:val="000000"/>
          <w:sz w:val="22"/>
          <w:szCs w:val="22"/>
          <w:u w:val="single"/>
        </w:rPr>
        <w:t>Klinische Studien bei HES/</w:t>
      </w:r>
      <w:smartTag w:uri="urn:schemas-microsoft-com:office:smarttags" w:element="stockticker">
        <w:r w:rsidRPr="00B30A12">
          <w:rPr>
            <w:color w:val="000000"/>
            <w:sz w:val="22"/>
            <w:szCs w:val="22"/>
            <w:u w:val="single"/>
          </w:rPr>
          <w:t>CEL</w:t>
        </w:r>
      </w:smartTag>
    </w:p>
    <w:p w14:paraId="16EDB327" w14:textId="77777777" w:rsidR="003A33A6" w:rsidRPr="00B30A12" w:rsidRDefault="003A33A6" w:rsidP="0054140C">
      <w:pPr>
        <w:widowControl w:val="0"/>
        <w:rPr>
          <w:color w:val="000000"/>
          <w:sz w:val="22"/>
          <w:szCs w:val="22"/>
        </w:rPr>
      </w:pPr>
      <w:r w:rsidRPr="00B30A12">
        <w:rPr>
          <w:color w:val="000000"/>
          <w:sz w:val="22"/>
          <w:szCs w:val="22"/>
        </w:rPr>
        <w:t>Es wurde eine offene, multizentrische Phase-II-Studie (Studie B2225) durchgeführt, in der Glivec bei verschiedenen Patientenpopulationen mit lebensbedrohenden Erkrankungen in Verbindung mit Abl-, Kit- oder PDGFR-Protein-Tyrosinkinasen untersucht wurde. In dieser Studie wurden 14 Patienten mit HES/</w:t>
      </w:r>
      <w:smartTag w:uri="urn:schemas-microsoft-com:office:smarttags" w:element="stockticker">
        <w:r w:rsidRPr="00B30A12">
          <w:rPr>
            <w:color w:val="000000"/>
            <w:sz w:val="22"/>
            <w:szCs w:val="22"/>
          </w:rPr>
          <w:t>CEL</w:t>
        </w:r>
      </w:smartTag>
      <w:r w:rsidRPr="00B30A12">
        <w:rPr>
          <w:color w:val="000000"/>
          <w:sz w:val="22"/>
          <w:szCs w:val="22"/>
        </w:rPr>
        <w:t xml:space="preserve"> mit täglich 100 mg bis 1.000 mg Glivec behandelt. Weitere 162 Patienten mit HES/</w:t>
      </w:r>
      <w:smartTag w:uri="urn:schemas-microsoft-com:office:smarttags" w:element="stockticker">
        <w:r w:rsidRPr="00B30A12">
          <w:rPr>
            <w:color w:val="000000"/>
            <w:sz w:val="22"/>
            <w:szCs w:val="22"/>
          </w:rPr>
          <w:t>CEL</w:t>
        </w:r>
      </w:smartTag>
      <w:r w:rsidRPr="00B30A12">
        <w:rPr>
          <w:color w:val="000000"/>
          <w:sz w:val="22"/>
          <w:szCs w:val="22"/>
        </w:rPr>
        <w:t>, über die in 35 Fallberichten und Fallreihen berichtet wurde, erhielten Glivec in Dosen von täglich 75 mg bis 800 mg. Zytogenetische Anomalien wurden bei 117 aus der Gesamtpopulation von 176 Patienten festgestellt. Bei 61 von diesen 117 Patienten wurde eine FIP1L1-PDGFR</w:t>
      </w:r>
      <w:r w:rsidRPr="00B30A12">
        <w:rPr>
          <w:color w:val="000000"/>
          <w:sz w:val="22"/>
          <w:szCs w:val="22"/>
        </w:rPr>
        <w:sym w:font="Symbol" w:char="F061"/>
      </w:r>
      <w:r w:rsidRPr="00B30A12">
        <w:rPr>
          <w:color w:val="000000"/>
          <w:sz w:val="22"/>
          <w:szCs w:val="22"/>
        </w:rPr>
        <w:t>-Fusionskinase identifiziert. In 3 weiteren Publikationen wurden vier Patienten gefunden, die ebenfalls FIP1L1-PDGFR</w:t>
      </w:r>
      <w:r w:rsidRPr="00B30A12">
        <w:rPr>
          <w:color w:val="000000"/>
          <w:sz w:val="22"/>
          <w:szCs w:val="22"/>
        </w:rPr>
        <w:sym w:font="Symbol" w:char="F061"/>
      </w:r>
      <w:r w:rsidRPr="00B30A12">
        <w:rPr>
          <w:color w:val="000000"/>
          <w:sz w:val="22"/>
          <w:szCs w:val="22"/>
        </w:rPr>
        <w:t>-positiv waren. Alle 65 FIP1L1-PDGFR</w:t>
      </w:r>
      <w:r w:rsidRPr="00B30A12">
        <w:rPr>
          <w:color w:val="000000"/>
          <w:sz w:val="22"/>
          <w:szCs w:val="22"/>
        </w:rPr>
        <w:sym w:font="Symbol" w:char="F061"/>
      </w:r>
      <w:r w:rsidRPr="00B30A12">
        <w:rPr>
          <w:color w:val="000000"/>
          <w:sz w:val="22"/>
          <w:szCs w:val="22"/>
        </w:rPr>
        <w:t>-Fusionskinase-positiven Patienten erzielten eine komplette hämatologische Remission, die über Monate anhielt (von 1+ bis 44+ Monaten, zensiert zum Berichtszeitpunkt). Wie in einer kürzlich veröffentlichten Publikation berichtet, erzielten 21 dieser 65 Patienten auch eine komplette molekulare Remission mit einem medianen Follow-up von 28 Monaten (13</w:t>
      </w:r>
      <w:r w:rsidRPr="00B30A12">
        <w:rPr>
          <w:color w:val="000000"/>
          <w:sz w:val="22"/>
          <w:szCs w:val="22"/>
        </w:rPr>
        <w:noBreakHyphen/>
        <w:t>67 Monate). Das Alter dieser Patienten lag zwischen 25 und 72 Jahren. Zusätzlich wurden von den Prüfern in den Fallberichten Verbesserungen in der Symptomatologie und anderen anormalen organischen Dysfunktionen berichtet. Über Verbesserungen wurde berichtet beim Herzen, Nervensystem, Haut-/Unterhautzellgewebe, Atemwege/Brustraum/Mediastinum, Skelettmuskulatur/Bindegewebe/Gefäße und Gastrointestinaltrakt.</w:t>
      </w:r>
    </w:p>
    <w:p w14:paraId="37FE8FDF" w14:textId="77777777" w:rsidR="003A33A6" w:rsidRPr="00B30A12" w:rsidRDefault="003A33A6" w:rsidP="0054140C">
      <w:pPr>
        <w:widowControl w:val="0"/>
        <w:rPr>
          <w:color w:val="000000"/>
          <w:sz w:val="22"/>
          <w:szCs w:val="22"/>
        </w:rPr>
      </w:pPr>
    </w:p>
    <w:p w14:paraId="3BE23A66" w14:textId="77777777" w:rsidR="003A33A6" w:rsidRPr="00B30A12" w:rsidRDefault="003A33A6" w:rsidP="0054140C">
      <w:pPr>
        <w:widowControl w:val="0"/>
        <w:rPr>
          <w:color w:val="000000"/>
          <w:sz w:val="22"/>
          <w:szCs w:val="22"/>
        </w:rPr>
      </w:pPr>
      <w:r w:rsidRPr="00B30A12">
        <w:rPr>
          <w:color w:val="000000"/>
          <w:sz w:val="22"/>
          <w:szCs w:val="22"/>
        </w:rPr>
        <w:t>Es gibt keine kontrollierten Studien bei Kindern und Jugendlichen mit HES/CEL. In 3 Publikationen wurde über 3 Patienten mit HES und CEL in Zusammenhang mit PDGFR-Genumlagerungen berichtet. Das Alter dieser Patienten reichte von 2 bis 16 Jahren und Imatinib wurde in einer Dosierung von 300 mg</w:t>
      </w:r>
      <w:r w:rsidR="008F71F0" w:rsidRPr="00B30A12">
        <w:rPr>
          <w:color w:val="000000"/>
          <w:sz w:val="22"/>
          <w:szCs w:val="22"/>
        </w:rPr>
        <w:t>/m²</w:t>
      </w:r>
      <w:r w:rsidRPr="00B30A12">
        <w:rPr>
          <w:color w:val="000000"/>
          <w:sz w:val="22"/>
          <w:szCs w:val="22"/>
        </w:rPr>
        <w:t xml:space="preserve"> täglich oder in Dosen von 200 bis 400 mg täglich gegeben. Alle Patienten zeigten komplettes hämatologisches, komplettes zytogenetisches und/oder komplettes molekulares Ansprechen.</w:t>
      </w:r>
    </w:p>
    <w:p w14:paraId="70E73378" w14:textId="77777777" w:rsidR="003A33A6" w:rsidRPr="00B30A12" w:rsidRDefault="003A33A6" w:rsidP="0054140C">
      <w:pPr>
        <w:widowControl w:val="0"/>
        <w:rPr>
          <w:color w:val="000000"/>
          <w:sz w:val="22"/>
          <w:szCs w:val="22"/>
        </w:rPr>
      </w:pPr>
    </w:p>
    <w:p w14:paraId="70AE6951" w14:textId="77777777" w:rsidR="003A33A6" w:rsidRPr="00B30A12" w:rsidRDefault="003A33A6" w:rsidP="004A5850">
      <w:pPr>
        <w:pStyle w:val="Heading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B30A12">
        <w:rPr>
          <w:i w:val="0"/>
          <w:color w:val="000000"/>
          <w:szCs w:val="22"/>
          <w:u w:val="single"/>
          <w:lang w:val="de-DE"/>
        </w:rPr>
        <w:t>Klinische Studien bei nicht-resezierbaren und/oder metastasierten GIST</w:t>
      </w:r>
    </w:p>
    <w:p w14:paraId="6E0B49D3" w14:textId="77777777" w:rsidR="003A33A6" w:rsidRPr="00B30A12" w:rsidRDefault="003A33A6" w:rsidP="0054140C">
      <w:pPr>
        <w:widowControl w:val="0"/>
        <w:rPr>
          <w:color w:val="000000"/>
          <w:sz w:val="22"/>
          <w:szCs w:val="22"/>
        </w:rPr>
      </w:pPr>
      <w:r w:rsidRPr="00B30A12">
        <w:rPr>
          <w:color w:val="000000"/>
          <w:sz w:val="22"/>
          <w:szCs w:val="22"/>
        </w:rPr>
        <w:t>Eine offene, randomisierte, unkontrollierte, multinationale Phase II-Studie wurde bei Patienten mit nicht resezierbaren oder metastasierten malignen gastrointestinalen Stromatumoren (GIST) durchgeführt. In diese Studie wurden 147 Patienten aufgenommen und in 2 Gruppen randomisiert, die entweder 400 mg oder 600 mg Imatinib einmal täglich oral bis zu 36 Monate erhielten. Die Patienten hatten ein Alter zwi</w:t>
      </w:r>
      <w:r w:rsidRPr="00B30A12">
        <w:rPr>
          <w:color w:val="000000"/>
          <w:sz w:val="22"/>
          <w:szCs w:val="22"/>
        </w:rPr>
        <w:softHyphen/>
        <w:t>schen 18 und 83 Jahren und die pathologische Diagnose eines Kit-positiven, malignen, nicht resezierba</w:t>
      </w:r>
      <w:r w:rsidRPr="00B30A12">
        <w:rPr>
          <w:color w:val="000000"/>
          <w:sz w:val="22"/>
          <w:szCs w:val="22"/>
        </w:rPr>
        <w:softHyphen/>
        <w:t>ren und/oder metastasierten GIST. Die Immunhistochemie wurde routinemäßig mit einem Kit-Antikör</w:t>
      </w:r>
      <w:r w:rsidRPr="00B30A12">
        <w:rPr>
          <w:color w:val="000000"/>
          <w:sz w:val="22"/>
          <w:szCs w:val="22"/>
        </w:rPr>
        <w:softHyphen/>
        <w:t>per (A-4502, polyklonales Kaninchen-Antiserum, 1:100; DAKO Corporation, Carpinteria, Kali</w:t>
      </w:r>
      <w:r w:rsidRPr="00B30A12">
        <w:rPr>
          <w:color w:val="000000"/>
          <w:sz w:val="22"/>
          <w:szCs w:val="22"/>
        </w:rPr>
        <w:softHyphen/>
        <w:t>fornien) durchgeführt entsprechend einem Analyseprotokoll, das einen Avidin-Biotin-Peroxidase-Kom</w:t>
      </w:r>
      <w:r w:rsidRPr="00B30A12">
        <w:rPr>
          <w:color w:val="000000"/>
          <w:sz w:val="22"/>
          <w:szCs w:val="22"/>
        </w:rPr>
        <w:softHyphen/>
        <w:t>plex nach Antigen-Demaskierung verwendet.</w:t>
      </w:r>
    </w:p>
    <w:p w14:paraId="421C182B" w14:textId="77777777" w:rsidR="003A33A6" w:rsidRPr="00B30A12" w:rsidRDefault="003A33A6" w:rsidP="0054140C">
      <w:pPr>
        <w:widowControl w:val="0"/>
        <w:rPr>
          <w:color w:val="000000"/>
          <w:sz w:val="22"/>
          <w:szCs w:val="22"/>
        </w:rPr>
      </w:pPr>
    </w:p>
    <w:p w14:paraId="4AD7EE7B" w14:textId="77777777" w:rsidR="003A33A6" w:rsidRPr="00B30A12" w:rsidRDefault="003A33A6" w:rsidP="0054140C">
      <w:pPr>
        <w:widowControl w:val="0"/>
        <w:rPr>
          <w:color w:val="000000"/>
          <w:sz w:val="22"/>
          <w:szCs w:val="22"/>
        </w:rPr>
      </w:pPr>
      <w:r w:rsidRPr="00B30A12">
        <w:rPr>
          <w:color w:val="000000"/>
          <w:sz w:val="22"/>
          <w:szCs w:val="22"/>
        </w:rPr>
        <w:t xml:space="preserve">Der primäre Wirksamkeitsnachweis basierte auf den objektiven Ansprechraten. Die Tumoren mussten an mindestens einer Stelle messbar sein, und die Definition der Remission beruhte auf den Kriterien </w:t>
      </w:r>
      <w:r w:rsidRPr="00B30A12">
        <w:rPr>
          <w:color w:val="000000"/>
          <w:sz w:val="22"/>
          <w:szCs w:val="22"/>
        </w:rPr>
        <w:lastRenderedPageBreak/>
        <w:t>der Southwestern Oncology Group (SWOG). Die Resultate sind in Tabelle </w:t>
      </w:r>
      <w:r w:rsidR="00512273" w:rsidRPr="00B30A12">
        <w:rPr>
          <w:color w:val="000000"/>
          <w:sz w:val="22"/>
          <w:szCs w:val="22"/>
        </w:rPr>
        <w:t>6</w:t>
      </w:r>
      <w:r w:rsidRPr="00B30A12">
        <w:rPr>
          <w:color w:val="000000"/>
          <w:sz w:val="22"/>
          <w:szCs w:val="22"/>
        </w:rPr>
        <w:t xml:space="preserve"> dargestellt.</w:t>
      </w:r>
    </w:p>
    <w:p w14:paraId="58E4BBC0" w14:textId="77777777" w:rsidR="003A33A6" w:rsidRPr="00B30A12" w:rsidRDefault="003A33A6" w:rsidP="0054140C">
      <w:pPr>
        <w:widowControl w:val="0"/>
        <w:rPr>
          <w:color w:val="000000"/>
          <w:sz w:val="22"/>
          <w:szCs w:val="22"/>
        </w:rPr>
      </w:pPr>
    </w:p>
    <w:p w14:paraId="5A039123" w14:textId="77777777" w:rsidR="003A33A6" w:rsidRPr="00B30A12" w:rsidRDefault="003A33A6" w:rsidP="004A5850">
      <w:pPr>
        <w:keepNext/>
        <w:widowControl w:val="0"/>
        <w:tabs>
          <w:tab w:val="left" w:pos="1134"/>
        </w:tabs>
        <w:rPr>
          <w:b/>
          <w:color w:val="000000"/>
          <w:sz w:val="22"/>
          <w:szCs w:val="22"/>
        </w:rPr>
      </w:pPr>
      <w:r w:rsidRPr="00B30A12">
        <w:rPr>
          <w:b/>
          <w:color w:val="000000"/>
          <w:sz w:val="22"/>
          <w:szCs w:val="22"/>
        </w:rPr>
        <w:t>Tabelle </w:t>
      </w:r>
      <w:r w:rsidR="008F4874" w:rsidRPr="00B30A12">
        <w:rPr>
          <w:b/>
          <w:color w:val="000000"/>
          <w:sz w:val="22"/>
          <w:szCs w:val="22"/>
        </w:rPr>
        <w:t>6</w:t>
      </w:r>
      <w:r w:rsidRPr="00B30A12">
        <w:rPr>
          <w:b/>
          <w:color w:val="000000"/>
          <w:sz w:val="22"/>
          <w:szCs w:val="22"/>
        </w:rPr>
        <w:tab/>
        <w:t>Beste Tumorremission in der Studie STIB2222 (GIST)</w:t>
      </w:r>
    </w:p>
    <w:p w14:paraId="55E3C421"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0"/>
        <w:gridCol w:w="4640"/>
      </w:tblGrid>
      <w:tr w:rsidR="003A33A6" w:rsidRPr="00B30A12" w14:paraId="77EBEDFA" w14:textId="77777777" w:rsidTr="00DA7B0B">
        <w:trPr>
          <w:cantSplit/>
        </w:trPr>
        <w:tc>
          <w:tcPr>
            <w:tcW w:w="4640" w:type="dxa"/>
            <w:tcBorders>
              <w:left w:val="nil"/>
              <w:bottom w:val="nil"/>
              <w:right w:val="nil"/>
            </w:tcBorders>
          </w:tcPr>
          <w:p w14:paraId="1DE80CB8"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p>
          <w:p w14:paraId="6A3CA371"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p>
          <w:p w14:paraId="33571386"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p>
          <w:p w14:paraId="2E94BD9E"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Beste Remission</w:t>
            </w:r>
          </w:p>
        </w:tc>
        <w:tc>
          <w:tcPr>
            <w:tcW w:w="4640" w:type="dxa"/>
            <w:tcBorders>
              <w:left w:val="nil"/>
              <w:bottom w:val="nil"/>
              <w:right w:val="nil"/>
            </w:tcBorders>
          </w:tcPr>
          <w:p w14:paraId="1B3B2A3F"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Beide Dosierungen (n=147)</w:t>
            </w:r>
          </w:p>
          <w:p w14:paraId="47D0702E"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400 mg (n=73)</w:t>
            </w:r>
          </w:p>
          <w:p w14:paraId="226C5E84"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600 mg (n=74)</w:t>
            </w:r>
          </w:p>
          <w:p w14:paraId="3272C492"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n (%)</w:t>
            </w:r>
          </w:p>
        </w:tc>
      </w:tr>
      <w:tr w:rsidR="003A33A6" w:rsidRPr="00B30A12" w14:paraId="484DAB4D" w14:textId="77777777" w:rsidTr="00DA7B0B">
        <w:trPr>
          <w:cantSplit/>
        </w:trPr>
        <w:tc>
          <w:tcPr>
            <w:tcW w:w="4640" w:type="dxa"/>
            <w:tcBorders>
              <w:left w:val="nil"/>
              <w:bottom w:val="nil"/>
              <w:right w:val="nil"/>
            </w:tcBorders>
          </w:tcPr>
          <w:p w14:paraId="311580F7"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Komplette Remission</w:t>
            </w:r>
          </w:p>
        </w:tc>
        <w:tc>
          <w:tcPr>
            <w:tcW w:w="4640" w:type="dxa"/>
            <w:tcBorders>
              <w:left w:val="nil"/>
              <w:bottom w:val="nil"/>
              <w:right w:val="nil"/>
            </w:tcBorders>
          </w:tcPr>
          <w:p w14:paraId="21014200"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1 (0,7)</w:t>
            </w:r>
          </w:p>
        </w:tc>
      </w:tr>
      <w:tr w:rsidR="003A33A6" w:rsidRPr="00B30A12" w14:paraId="4321D91A" w14:textId="77777777" w:rsidTr="00DA7B0B">
        <w:trPr>
          <w:cantSplit/>
        </w:trPr>
        <w:tc>
          <w:tcPr>
            <w:tcW w:w="4640" w:type="dxa"/>
            <w:tcBorders>
              <w:top w:val="nil"/>
              <w:left w:val="nil"/>
              <w:bottom w:val="nil"/>
              <w:right w:val="nil"/>
            </w:tcBorders>
          </w:tcPr>
          <w:p w14:paraId="66B196BE"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Partielle Remission</w:t>
            </w:r>
          </w:p>
        </w:tc>
        <w:tc>
          <w:tcPr>
            <w:tcW w:w="4640" w:type="dxa"/>
            <w:tcBorders>
              <w:top w:val="nil"/>
              <w:left w:val="nil"/>
              <w:bottom w:val="nil"/>
              <w:right w:val="nil"/>
            </w:tcBorders>
          </w:tcPr>
          <w:p w14:paraId="45F0D4D5"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98 (66,7)</w:t>
            </w:r>
          </w:p>
        </w:tc>
      </w:tr>
      <w:tr w:rsidR="003A33A6" w:rsidRPr="00B30A12" w14:paraId="3F6454AE" w14:textId="77777777" w:rsidTr="00DA7B0B">
        <w:trPr>
          <w:cantSplit/>
        </w:trPr>
        <w:tc>
          <w:tcPr>
            <w:tcW w:w="4640" w:type="dxa"/>
            <w:tcBorders>
              <w:top w:val="nil"/>
              <w:left w:val="nil"/>
              <w:bottom w:val="nil"/>
              <w:right w:val="nil"/>
            </w:tcBorders>
          </w:tcPr>
          <w:p w14:paraId="04929F9A"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Unveränderter Zustand</w:t>
            </w:r>
          </w:p>
        </w:tc>
        <w:tc>
          <w:tcPr>
            <w:tcW w:w="4640" w:type="dxa"/>
            <w:tcBorders>
              <w:top w:val="nil"/>
              <w:left w:val="nil"/>
              <w:bottom w:val="nil"/>
              <w:right w:val="nil"/>
            </w:tcBorders>
          </w:tcPr>
          <w:p w14:paraId="080192AB"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23 (15,6)</w:t>
            </w:r>
          </w:p>
        </w:tc>
      </w:tr>
      <w:tr w:rsidR="003A33A6" w:rsidRPr="00B30A12" w14:paraId="44E44F76" w14:textId="77777777" w:rsidTr="00DA7B0B">
        <w:trPr>
          <w:cantSplit/>
        </w:trPr>
        <w:tc>
          <w:tcPr>
            <w:tcW w:w="4640" w:type="dxa"/>
            <w:tcBorders>
              <w:top w:val="nil"/>
              <w:left w:val="nil"/>
              <w:bottom w:val="nil"/>
              <w:right w:val="nil"/>
            </w:tcBorders>
          </w:tcPr>
          <w:p w14:paraId="071177A6"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Krankheitsprogression</w:t>
            </w:r>
          </w:p>
        </w:tc>
        <w:tc>
          <w:tcPr>
            <w:tcW w:w="4640" w:type="dxa"/>
            <w:tcBorders>
              <w:top w:val="nil"/>
              <w:left w:val="nil"/>
              <w:bottom w:val="nil"/>
              <w:right w:val="nil"/>
            </w:tcBorders>
          </w:tcPr>
          <w:p w14:paraId="4427C604"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18 (12,2)</w:t>
            </w:r>
          </w:p>
        </w:tc>
      </w:tr>
      <w:tr w:rsidR="003A33A6" w:rsidRPr="00B30A12" w14:paraId="3E8429CF" w14:textId="77777777" w:rsidTr="00DA7B0B">
        <w:trPr>
          <w:cantSplit/>
        </w:trPr>
        <w:tc>
          <w:tcPr>
            <w:tcW w:w="4640" w:type="dxa"/>
            <w:tcBorders>
              <w:top w:val="nil"/>
              <w:left w:val="nil"/>
              <w:bottom w:val="nil"/>
              <w:right w:val="nil"/>
            </w:tcBorders>
          </w:tcPr>
          <w:p w14:paraId="05C92AB4" w14:textId="77777777" w:rsidR="003A33A6" w:rsidRPr="00B30A12" w:rsidRDefault="003A33A6" w:rsidP="004A5850">
            <w:pPr>
              <w:pStyle w:val="Header"/>
              <w:keepNext/>
              <w:widowControl w:val="0"/>
              <w:tabs>
                <w:tab w:val="clear" w:pos="4320"/>
                <w:tab w:val="clear" w:pos="8640"/>
                <w:tab w:val="right" w:leader="underscore" w:pos="9072"/>
              </w:tabs>
              <w:rPr>
                <w:color w:val="000000"/>
                <w:szCs w:val="22"/>
              </w:rPr>
            </w:pPr>
            <w:r w:rsidRPr="00B30A12">
              <w:rPr>
                <w:color w:val="000000"/>
                <w:szCs w:val="22"/>
              </w:rPr>
              <w:t>Nicht auswertbar</w:t>
            </w:r>
          </w:p>
        </w:tc>
        <w:tc>
          <w:tcPr>
            <w:tcW w:w="4640" w:type="dxa"/>
            <w:tcBorders>
              <w:top w:val="nil"/>
              <w:left w:val="nil"/>
              <w:bottom w:val="nil"/>
              <w:right w:val="nil"/>
            </w:tcBorders>
          </w:tcPr>
          <w:p w14:paraId="1177DDC9" w14:textId="77777777" w:rsidR="003A33A6" w:rsidRPr="00B30A12" w:rsidRDefault="003A33A6" w:rsidP="004A5850">
            <w:pPr>
              <w:pStyle w:val="Header"/>
              <w:keepNext/>
              <w:widowControl w:val="0"/>
              <w:tabs>
                <w:tab w:val="clear" w:pos="4320"/>
                <w:tab w:val="clear" w:pos="8640"/>
                <w:tab w:val="right" w:leader="underscore" w:pos="9072"/>
              </w:tabs>
              <w:jc w:val="center"/>
              <w:rPr>
                <w:color w:val="000000"/>
                <w:szCs w:val="22"/>
              </w:rPr>
            </w:pPr>
            <w:r w:rsidRPr="00B30A12">
              <w:rPr>
                <w:color w:val="000000"/>
                <w:szCs w:val="22"/>
              </w:rPr>
              <w:t>5 (3,4)</w:t>
            </w:r>
          </w:p>
        </w:tc>
      </w:tr>
      <w:tr w:rsidR="003A33A6" w:rsidRPr="00B30A12" w14:paraId="57D9D3CF" w14:textId="77777777" w:rsidTr="00DA7B0B">
        <w:trPr>
          <w:cantSplit/>
        </w:trPr>
        <w:tc>
          <w:tcPr>
            <w:tcW w:w="4640" w:type="dxa"/>
            <w:tcBorders>
              <w:top w:val="nil"/>
              <w:left w:val="nil"/>
              <w:right w:val="nil"/>
            </w:tcBorders>
          </w:tcPr>
          <w:p w14:paraId="6F44B01B" w14:textId="77777777" w:rsidR="003A33A6" w:rsidRPr="00B30A12" w:rsidRDefault="003A33A6" w:rsidP="0054140C">
            <w:pPr>
              <w:pStyle w:val="Header"/>
              <w:widowControl w:val="0"/>
              <w:tabs>
                <w:tab w:val="clear" w:pos="4320"/>
                <w:tab w:val="clear" w:pos="8640"/>
                <w:tab w:val="right" w:leader="underscore" w:pos="9072"/>
              </w:tabs>
              <w:rPr>
                <w:color w:val="000000"/>
                <w:szCs w:val="22"/>
              </w:rPr>
            </w:pPr>
            <w:r w:rsidRPr="00B30A12">
              <w:rPr>
                <w:color w:val="000000"/>
                <w:szCs w:val="22"/>
              </w:rPr>
              <w:t>Unbekannt</w:t>
            </w:r>
          </w:p>
        </w:tc>
        <w:tc>
          <w:tcPr>
            <w:tcW w:w="4640" w:type="dxa"/>
            <w:tcBorders>
              <w:top w:val="nil"/>
              <w:left w:val="nil"/>
              <w:right w:val="nil"/>
            </w:tcBorders>
          </w:tcPr>
          <w:p w14:paraId="3924E7B5" w14:textId="77777777" w:rsidR="003A33A6" w:rsidRPr="00B30A12" w:rsidRDefault="003A33A6" w:rsidP="0054140C">
            <w:pPr>
              <w:pStyle w:val="Header"/>
              <w:widowControl w:val="0"/>
              <w:tabs>
                <w:tab w:val="clear" w:pos="4320"/>
                <w:tab w:val="clear" w:pos="8640"/>
                <w:tab w:val="right" w:leader="underscore" w:pos="9072"/>
              </w:tabs>
              <w:jc w:val="center"/>
              <w:rPr>
                <w:color w:val="000000"/>
                <w:szCs w:val="22"/>
              </w:rPr>
            </w:pPr>
            <w:r w:rsidRPr="00B30A12">
              <w:rPr>
                <w:color w:val="000000"/>
                <w:szCs w:val="22"/>
              </w:rPr>
              <w:t>2 (1,4)</w:t>
            </w:r>
          </w:p>
        </w:tc>
      </w:tr>
    </w:tbl>
    <w:p w14:paraId="5A9F89DC" w14:textId="77777777" w:rsidR="003A33A6" w:rsidRPr="00B30A12" w:rsidRDefault="003A33A6" w:rsidP="0054140C">
      <w:pPr>
        <w:pStyle w:val="Header"/>
        <w:widowControl w:val="0"/>
        <w:tabs>
          <w:tab w:val="clear" w:pos="4320"/>
          <w:tab w:val="clear" w:pos="8640"/>
          <w:tab w:val="right" w:leader="underscore" w:pos="9072"/>
        </w:tabs>
        <w:rPr>
          <w:color w:val="000000"/>
          <w:szCs w:val="22"/>
        </w:rPr>
      </w:pPr>
    </w:p>
    <w:p w14:paraId="357898B6"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gab keinen Unterschied in den Ansprechraten zwischen den 2 Dosierungen. Eine beträchtliche Zahl der Patienten, die zum Zeitpunkt der Interimanalyse einen unveränderten Krankheitszustand aufwiesen, erreichte bei längerer Behandlung (medianer Follow-up 31 Monate) eine partielle Remission. Die mediane Zeit bis zur Remission betrug 13 Wochen (95%</w:t>
      </w:r>
      <w:r w:rsidR="008B0DF4" w:rsidRPr="00B30A12">
        <w:rPr>
          <w:color w:val="000000"/>
          <w:szCs w:val="22"/>
        </w:rPr>
        <w:t>-KI</w:t>
      </w:r>
      <w:r w:rsidRPr="00B30A12">
        <w:rPr>
          <w:color w:val="000000"/>
          <w:szCs w:val="22"/>
        </w:rPr>
        <w:t xml:space="preserve"> 12–23). Die mediane Zeit bis zum Therapieversagen betrug bei Respondern 122 Wochen (95%</w:t>
      </w:r>
      <w:r w:rsidR="008B0DF4" w:rsidRPr="00B30A12">
        <w:rPr>
          <w:color w:val="000000"/>
          <w:szCs w:val="22"/>
        </w:rPr>
        <w:t>-KI</w:t>
      </w:r>
      <w:r w:rsidRPr="00B30A12">
        <w:rPr>
          <w:color w:val="000000"/>
          <w:szCs w:val="22"/>
        </w:rPr>
        <w:t xml:space="preserve"> 106–147), während sie bei der Gesamtstudienpopulation bei 84 Wochen lag (95%</w:t>
      </w:r>
      <w:r w:rsidR="008B0DF4" w:rsidRPr="00B30A12">
        <w:rPr>
          <w:color w:val="000000"/>
          <w:szCs w:val="22"/>
        </w:rPr>
        <w:t>-KI</w:t>
      </w:r>
      <w:r w:rsidRPr="00B30A12">
        <w:rPr>
          <w:color w:val="000000"/>
          <w:szCs w:val="22"/>
        </w:rPr>
        <w:t xml:space="preserve"> 71–109). Das mediane Gesamtüberleben wurde nicht erreicht. Die Kaplan-Meier-Schätzung für das Überleben nach 36 Monaten beträgt 68%.</w:t>
      </w:r>
    </w:p>
    <w:p w14:paraId="6E874526"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5674A423"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In zwei klinischen Studien (Studie B2222 und Intergroup-Studie S0033) wurde die tägliche Dosis von Glivec auf 800 mg bei Patienten erhöht, die unter den niedrigeren Dosen von 400 mg oder 600 mg täglich progredient waren. Die tägliche Dosis wurde bei insgesamt 103 Patienten auf 800 mg erhöht. Nach der Dosissteigerung erreichten 6 Patienten eine partielle Remission und 21 Patienten eine Stabilisierung ihrer Erkrankung, entsprechend einem klinischen Gesamtnutzen von 26%. Auf der Grundlage der verfügbaren Sicherheitsdaten scheint bei Patienten, die unter den niedrigeren Dosen von 400 mg oder 600 mg täglich progredient waren, eine Erhöhung der Dosis auf 800 mg täglich das Sicherheitsprofil von Glivec nicht zu beeinflussen.</w:t>
      </w:r>
    </w:p>
    <w:p w14:paraId="53C9AAC1"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7AA8985C" w14:textId="77777777" w:rsidR="003A33A6" w:rsidRPr="00B30A12" w:rsidRDefault="003A33A6" w:rsidP="004A5850">
      <w:pPr>
        <w:pStyle w:val="Header"/>
        <w:keepNext/>
        <w:widowControl w:val="0"/>
        <w:tabs>
          <w:tab w:val="clear" w:pos="4320"/>
          <w:tab w:val="clear" w:pos="8640"/>
          <w:tab w:val="center" w:pos="6804"/>
          <w:tab w:val="right" w:leader="underscore" w:pos="9072"/>
        </w:tabs>
        <w:rPr>
          <w:color w:val="000000"/>
          <w:szCs w:val="22"/>
        </w:rPr>
      </w:pPr>
      <w:r w:rsidRPr="00B30A12">
        <w:rPr>
          <w:color w:val="000000"/>
          <w:szCs w:val="22"/>
          <w:u w:val="single"/>
        </w:rPr>
        <w:t>Klinische Studien bei adjuvanter Behandlung der GIST</w:t>
      </w:r>
    </w:p>
    <w:p w14:paraId="30E9F0FE"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In der adjuvanten Indikation wurde Glivec in einer multizentrischen, doppelblinden, Placebo-kontrollierten Langzeit-Phase-</w:t>
      </w:r>
      <w:smartTag w:uri="urn:schemas-microsoft-com:office:smarttags" w:element="stockticker">
        <w:r w:rsidRPr="00B30A12">
          <w:rPr>
            <w:color w:val="000000"/>
            <w:szCs w:val="22"/>
          </w:rPr>
          <w:t>III</w:t>
        </w:r>
      </w:smartTag>
      <w:r w:rsidRPr="00B30A12">
        <w:rPr>
          <w:color w:val="000000"/>
          <w:szCs w:val="22"/>
        </w:rPr>
        <w:t>-Studie (Z9001), in die 773 Patienten eingeschlossen waren, untersucht. Das Alter dieser Patienten reichte von 18 bis 91 Jahren. Es wurden Patienten mit histologischer Diagnose von primären, aufgrund immunochemischer Untersuchungen Kit-Protein exprimierenden GIST mit einer Tumorgröße von ≥ 3 cm in der maximalen Ausdehnung und mit vollständiger Resektion der primären GIST innerhalb von 14</w:t>
      </w:r>
      <w:r w:rsidRPr="00B30A12">
        <w:rPr>
          <w:color w:val="000000"/>
          <w:szCs w:val="22"/>
        </w:rPr>
        <w:noBreakHyphen/>
        <w:t>70 Tagen vor dem Einschluss in die Studie aufgenommen. Nach der Resektion der primären GIST wurden die Patienten in einen der beiden Studienarme randomisiert: ein Jahr lang 400 mg Glivec oder Placebo.</w:t>
      </w:r>
    </w:p>
    <w:p w14:paraId="19CF0596"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3615FFA5"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Der primäre Endpunkt der Studie war das rezidivfreie Überleben (recurrence-free survival – </w:t>
      </w:r>
      <w:smartTag w:uri="urn:schemas-microsoft-com:office:smarttags" w:element="stockticker">
        <w:r w:rsidRPr="00B30A12">
          <w:rPr>
            <w:color w:val="000000"/>
            <w:szCs w:val="22"/>
          </w:rPr>
          <w:t>RFS</w:t>
        </w:r>
      </w:smartTag>
      <w:r w:rsidRPr="00B30A12">
        <w:rPr>
          <w:color w:val="000000"/>
          <w:szCs w:val="22"/>
        </w:rPr>
        <w:t>), definiert als Zeitspanne vom Zeitpunkt der Randomisierung bis zum Zeitpunkt des Rezidivs oder des Todeszeitpunktes, gleich welcher Ursache.</w:t>
      </w:r>
    </w:p>
    <w:p w14:paraId="04FD209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7DD88E9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Glivec verlängerte das </w:t>
      </w:r>
      <w:smartTag w:uri="urn:schemas-microsoft-com:office:smarttags" w:element="stockticker">
        <w:r w:rsidRPr="00B30A12">
          <w:rPr>
            <w:color w:val="000000"/>
            <w:szCs w:val="22"/>
          </w:rPr>
          <w:t>RFS</w:t>
        </w:r>
      </w:smartTag>
      <w:r w:rsidRPr="00B30A12">
        <w:rPr>
          <w:color w:val="000000"/>
          <w:szCs w:val="22"/>
        </w:rPr>
        <w:t xml:space="preserve"> signifikant, wobei der 75%-Anteil rezidivfreier Patienten in der Glivec-Gruppe 38</w:t>
      </w:r>
      <w:r w:rsidRPr="00B30A12">
        <w:t> </w:t>
      </w:r>
      <w:r w:rsidRPr="00B30A12">
        <w:rPr>
          <w:color w:val="000000"/>
          <w:szCs w:val="22"/>
        </w:rPr>
        <w:t>Monate betrug gegenüber 20 Monate in der Placebo-Gruppe (95%</w:t>
      </w:r>
      <w:r w:rsidR="008B0DF4" w:rsidRPr="00B30A12">
        <w:rPr>
          <w:color w:val="000000"/>
          <w:szCs w:val="22"/>
        </w:rPr>
        <w:t>-KI</w:t>
      </w:r>
      <w:r w:rsidRPr="00B30A12">
        <w:rPr>
          <w:color w:val="000000"/>
          <w:szCs w:val="22"/>
        </w:rPr>
        <w:t>s 30 bis nicht schätzbar bzw. 14 bis nicht schätzbar; Hazard Ratio = 0,398 [0,259</w:t>
      </w:r>
      <w:r w:rsidRPr="00B30A12">
        <w:rPr>
          <w:color w:val="000000"/>
          <w:szCs w:val="22"/>
        </w:rPr>
        <w:noBreakHyphen/>
        <w:t>0,610], p&lt;0,0001). Nach einem Jahr war das Gesamt-</w:t>
      </w:r>
      <w:smartTag w:uri="urn:schemas-microsoft-com:office:smarttags" w:element="stockticker">
        <w:r w:rsidRPr="00B30A12">
          <w:rPr>
            <w:color w:val="000000"/>
            <w:szCs w:val="22"/>
          </w:rPr>
          <w:t>RFS</w:t>
        </w:r>
      </w:smartTag>
      <w:r w:rsidRPr="00B30A12">
        <w:rPr>
          <w:color w:val="000000"/>
          <w:szCs w:val="22"/>
        </w:rPr>
        <w:t xml:space="preserve"> unter Glivec signifikant besser als unter Placebo ((97,7% vs. 82,3%, p&lt;0,0001). Das Rezidivrisiko war somit im Vergleich zu Placebo um etwa 89% reduziert (Hazard Ratio = 0,113 [0,049</w:t>
      </w:r>
      <w:r w:rsidRPr="00B30A12">
        <w:rPr>
          <w:color w:val="000000"/>
          <w:szCs w:val="22"/>
        </w:rPr>
        <w:noBreakHyphen/>
        <w:t>0,264].</w:t>
      </w:r>
    </w:p>
    <w:p w14:paraId="77E3C844"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7886D18F"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Das Rezidivrisiko bei Patienten nach Operation der primären GIST wurde retrospektiv auf der Basis der folgenden prognostischen Faktoren beurteilt: Tumorgröße, mitotischer Index, Tumorlokalisation. Die Daten zum mitotischen Index waren für 556 der 713 Patienten der intent-to-treat (</w:t>
      </w:r>
      <w:smartTag w:uri="urn:schemas-microsoft-com:office:smarttags" w:element="stockticker">
        <w:r w:rsidRPr="00B30A12">
          <w:rPr>
            <w:color w:val="000000"/>
            <w:szCs w:val="22"/>
          </w:rPr>
          <w:t>ITT</w:t>
        </w:r>
      </w:smartTag>
      <w:r w:rsidRPr="00B30A12">
        <w:rPr>
          <w:color w:val="000000"/>
          <w:szCs w:val="22"/>
        </w:rPr>
        <w:t xml:space="preserve">)-Population verfügbar. Die Ergebnisse der Subgruppenanalysen nach der Risikoklassifikation des United States </w:t>
      </w:r>
      <w:r w:rsidRPr="00B30A12">
        <w:rPr>
          <w:color w:val="000000"/>
          <w:szCs w:val="22"/>
        </w:rPr>
        <w:lastRenderedPageBreak/>
        <w:t>National Institutes of Health (NIH) und des Armed Forces Institute of Pathology (AFIP) werden in Tabelle </w:t>
      </w:r>
      <w:r w:rsidR="008F4874" w:rsidRPr="00B30A12">
        <w:rPr>
          <w:color w:val="000000"/>
          <w:szCs w:val="22"/>
        </w:rPr>
        <w:t>7</w:t>
      </w:r>
      <w:r w:rsidRPr="00B30A12">
        <w:rPr>
          <w:color w:val="000000"/>
          <w:szCs w:val="22"/>
        </w:rPr>
        <w:t xml:space="preserve"> gezeigt. In den Gruppen mit einem niedrigen und sehr niedrigen Risiko wurde kein Vorteil festgestellt. Es wurde kein Gesamtüberlebensvorteil festgestellt.</w:t>
      </w:r>
    </w:p>
    <w:p w14:paraId="67225AB3" w14:textId="77777777" w:rsidR="003A33A6" w:rsidRPr="00B30A12" w:rsidRDefault="003A33A6" w:rsidP="0054140C">
      <w:pPr>
        <w:pStyle w:val="Text"/>
        <w:widowControl w:val="0"/>
        <w:spacing w:before="0"/>
        <w:jc w:val="left"/>
        <w:rPr>
          <w:lang w:val="de-DE"/>
        </w:rPr>
      </w:pPr>
    </w:p>
    <w:p w14:paraId="2BFE79B1" w14:textId="77777777" w:rsidR="003A33A6" w:rsidRPr="00B30A12" w:rsidRDefault="003A33A6" w:rsidP="00DA7B0B">
      <w:pPr>
        <w:pStyle w:val="Heading6"/>
        <w:keepLines/>
        <w:widowControl w:val="0"/>
        <w:numPr>
          <w:ilvl w:val="0"/>
          <w:numId w:val="0"/>
        </w:numPr>
        <w:tabs>
          <w:tab w:val="clear" w:pos="567"/>
          <w:tab w:val="clear" w:pos="4536"/>
          <w:tab w:val="left" w:pos="1134"/>
        </w:tabs>
        <w:suppressAutoHyphens w:val="0"/>
        <w:spacing w:line="240" w:lineRule="auto"/>
        <w:ind w:left="1134" w:hanging="1134"/>
        <w:rPr>
          <w:rFonts w:eastAsia="MS Mincho"/>
          <w:b/>
          <w:i w:val="0"/>
          <w:color w:val="000000"/>
          <w:szCs w:val="22"/>
          <w:lang w:val="de-DE" w:eastAsia="ja-JP"/>
        </w:rPr>
      </w:pPr>
      <w:r w:rsidRPr="00B30A12">
        <w:rPr>
          <w:rFonts w:eastAsia="MS Mincho"/>
          <w:b/>
          <w:i w:val="0"/>
          <w:color w:val="000000"/>
          <w:szCs w:val="22"/>
          <w:lang w:val="de-DE" w:eastAsia="ja-JP"/>
        </w:rPr>
        <w:t>Tabelle </w:t>
      </w:r>
      <w:r w:rsidR="008F4874" w:rsidRPr="00B30A12">
        <w:rPr>
          <w:rFonts w:eastAsia="MS Mincho"/>
          <w:b/>
          <w:i w:val="0"/>
          <w:color w:val="000000"/>
          <w:szCs w:val="22"/>
          <w:lang w:val="de-DE" w:eastAsia="ja-JP"/>
        </w:rPr>
        <w:t>7</w:t>
      </w:r>
      <w:r w:rsidRPr="00B30A12">
        <w:rPr>
          <w:rFonts w:eastAsia="MS Mincho"/>
          <w:b/>
          <w:i w:val="0"/>
          <w:color w:val="000000"/>
          <w:szCs w:val="22"/>
          <w:lang w:val="de-DE" w:eastAsia="ja-JP"/>
        </w:rPr>
        <w:tab/>
        <w:t xml:space="preserve">Übersicht der </w:t>
      </w:r>
      <w:smartTag w:uri="urn:schemas-microsoft-com:office:smarttags" w:element="stockticker">
        <w:r w:rsidRPr="00B30A12">
          <w:rPr>
            <w:rFonts w:eastAsia="MS Mincho"/>
            <w:b/>
            <w:i w:val="0"/>
            <w:color w:val="000000"/>
            <w:szCs w:val="22"/>
            <w:lang w:val="de-DE" w:eastAsia="ja-JP"/>
          </w:rPr>
          <w:t>RFS</w:t>
        </w:r>
      </w:smartTag>
      <w:r w:rsidRPr="00B30A12">
        <w:rPr>
          <w:rFonts w:eastAsia="MS Mincho"/>
          <w:b/>
          <w:i w:val="0"/>
          <w:color w:val="000000"/>
          <w:szCs w:val="22"/>
          <w:lang w:val="de-DE" w:eastAsia="ja-JP"/>
        </w:rPr>
        <w:t>-Analysen der Z9001-Studie nach der NIH und AFIP-Risikoklassifikation</w:t>
      </w:r>
    </w:p>
    <w:p w14:paraId="5C8F4E05" w14:textId="77777777" w:rsidR="003A33A6" w:rsidRPr="00B30A12" w:rsidRDefault="003A33A6" w:rsidP="00DA7B0B">
      <w:pPr>
        <w:keepNext/>
        <w:widowControl w:val="0"/>
        <w:rPr>
          <w:rFonts w:eastAsia="MS Mincho"/>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3A33A6" w:rsidRPr="00B30A12" w14:paraId="136B17F7" w14:textId="77777777" w:rsidTr="00DA7B0B">
        <w:trPr>
          <w:cantSplit/>
        </w:trPr>
        <w:tc>
          <w:tcPr>
            <w:tcW w:w="934" w:type="dxa"/>
            <w:vMerge w:val="restart"/>
          </w:tcPr>
          <w:p w14:paraId="00B1040A" w14:textId="77777777" w:rsidR="003A33A6" w:rsidRPr="00B30A12" w:rsidRDefault="003A33A6" w:rsidP="00DA7B0B">
            <w:pPr>
              <w:pStyle w:val="Table"/>
              <w:keepLines w:val="0"/>
              <w:widowControl w:val="0"/>
              <w:tabs>
                <w:tab w:val="left" w:pos="567"/>
              </w:tabs>
              <w:spacing w:before="120" w:line="260" w:lineRule="exact"/>
              <w:jc w:val="center"/>
              <w:rPr>
                <w:rFonts w:ascii="Times New Roman" w:hAnsi="Times New Roman"/>
                <w:b/>
                <w:sz w:val="22"/>
                <w:szCs w:val="22"/>
              </w:rPr>
            </w:pPr>
            <w:r w:rsidRPr="00B30A12">
              <w:rPr>
                <w:rFonts w:ascii="Times New Roman" w:hAnsi="Times New Roman"/>
                <w:b/>
                <w:sz w:val="22"/>
                <w:szCs w:val="22"/>
              </w:rPr>
              <w:t>Risiko-faktor</w:t>
            </w:r>
          </w:p>
        </w:tc>
        <w:tc>
          <w:tcPr>
            <w:tcW w:w="1417" w:type="dxa"/>
            <w:vMerge w:val="restart"/>
            <w:tcBorders>
              <w:right w:val="single" w:sz="4" w:space="0" w:color="auto"/>
            </w:tcBorders>
          </w:tcPr>
          <w:p w14:paraId="21F4AE87" w14:textId="77777777" w:rsidR="003A33A6" w:rsidRPr="00B30A12" w:rsidRDefault="003A33A6" w:rsidP="00DA7B0B">
            <w:pPr>
              <w:pStyle w:val="Table"/>
              <w:keepLines w:val="0"/>
              <w:widowControl w:val="0"/>
              <w:tabs>
                <w:tab w:val="left" w:pos="567"/>
              </w:tabs>
              <w:spacing w:before="120" w:line="260" w:lineRule="exact"/>
              <w:rPr>
                <w:rFonts w:ascii="Times New Roman" w:hAnsi="Times New Roman"/>
                <w:b/>
                <w:sz w:val="22"/>
                <w:szCs w:val="22"/>
              </w:rPr>
            </w:pPr>
            <w:r w:rsidRPr="00B30A12">
              <w:rPr>
                <w:rFonts w:ascii="Times New Roman" w:hAnsi="Times New Roman"/>
                <w:b/>
                <w:sz w:val="22"/>
                <w:szCs w:val="22"/>
              </w:rPr>
              <w:t>Risikostufe</w:t>
            </w:r>
          </w:p>
          <w:p w14:paraId="42D8420B" w14:textId="77777777" w:rsidR="003A33A6" w:rsidRPr="00B30A12" w:rsidRDefault="003A33A6" w:rsidP="00DA7B0B">
            <w:pPr>
              <w:pStyle w:val="Table"/>
              <w:keepLines w:val="0"/>
              <w:widowControl w:val="0"/>
              <w:tabs>
                <w:tab w:val="left" w:pos="567"/>
              </w:tabs>
              <w:spacing w:before="120" w:line="260" w:lineRule="exact"/>
              <w:rPr>
                <w:rFonts w:ascii="Times New Roman" w:hAnsi="Times New Roman"/>
                <w:b/>
                <w:sz w:val="22"/>
                <w:szCs w:val="22"/>
              </w:rPr>
            </w:pPr>
          </w:p>
        </w:tc>
        <w:tc>
          <w:tcPr>
            <w:tcW w:w="986" w:type="dxa"/>
            <w:vMerge w:val="restart"/>
            <w:tcBorders>
              <w:left w:val="single" w:sz="4" w:space="0" w:color="auto"/>
              <w:right w:val="single" w:sz="4" w:space="0" w:color="auto"/>
            </w:tcBorders>
          </w:tcPr>
          <w:p w14:paraId="7D6A6C88" w14:textId="77777777" w:rsidR="003A33A6" w:rsidRPr="00B30A12" w:rsidRDefault="003A33A6" w:rsidP="00DA7B0B">
            <w:pPr>
              <w:pStyle w:val="Table"/>
              <w:keepLines w:val="0"/>
              <w:widowControl w:val="0"/>
              <w:tabs>
                <w:tab w:val="left" w:pos="567"/>
              </w:tabs>
              <w:spacing w:before="120" w:line="260" w:lineRule="exact"/>
              <w:jc w:val="center"/>
              <w:rPr>
                <w:rFonts w:ascii="Times New Roman" w:hAnsi="Times New Roman"/>
                <w:b/>
                <w:sz w:val="22"/>
                <w:szCs w:val="22"/>
              </w:rPr>
            </w:pPr>
            <w:r w:rsidRPr="00B30A12">
              <w:rPr>
                <w:rFonts w:ascii="Times New Roman" w:hAnsi="Times New Roman"/>
                <w:b/>
                <w:sz w:val="22"/>
                <w:szCs w:val="22"/>
              </w:rPr>
              <w:t>% Patien-ten</w:t>
            </w:r>
          </w:p>
        </w:tc>
        <w:tc>
          <w:tcPr>
            <w:tcW w:w="2083" w:type="dxa"/>
            <w:vMerge w:val="restart"/>
            <w:tcBorders>
              <w:left w:val="single" w:sz="4" w:space="0" w:color="auto"/>
              <w:right w:val="single" w:sz="4" w:space="0" w:color="auto"/>
            </w:tcBorders>
          </w:tcPr>
          <w:p w14:paraId="76D29F54" w14:textId="77777777" w:rsidR="003A33A6" w:rsidRPr="00B30A12" w:rsidRDefault="003A33A6" w:rsidP="00DA7B0B">
            <w:pPr>
              <w:pStyle w:val="Table"/>
              <w:keepLines w:val="0"/>
              <w:widowControl w:val="0"/>
              <w:tabs>
                <w:tab w:val="left" w:pos="567"/>
              </w:tabs>
              <w:spacing w:before="120" w:line="260" w:lineRule="exact"/>
              <w:jc w:val="center"/>
              <w:rPr>
                <w:rFonts w:ascii="Times New Roman" w:hAnsi="Times New Roman"/>
                <w:b/>
                <w:sz w:val="22"/>
                <w:szCs w:val="22"/>
                <w:lang w:val="de-AT"/>
              </w:rPr>
            </w:pPr>
            <w:r w:rsidRPr="00B30A12">
              <w:rPr>
                <w:rFonts w:ascii="Times New Roman" w:hAnsi="Times New Roman"/>
                <w:b/>
                <w:sz w:val="22"/>
                <w:szCs w:val="22"/>
                <w:lang w:val="de-AT"/>
              </w:rPr>
              <w:t>Zahl der Ereignisse/</w:t>
            </w:r>
            <w:r w:rsidRPr="00B30A12">
              <w:rPr>
                <w:rFonts w:ascii="Times New Roman" w:hAnsi="Times New Roman"/>
                <w:b/>
                <w:sz w:val="22"/>
                <w:szCs w:val="22"/>
                <w:lang w:val="de-AT"/>
              </w:rPr>
              <w:br/>
              <w:t>Zahl der Patienten</w:t>
            </w:r>
          </w:p>
        </w:tc>
        <w:tc>
          <w:tcPr>
            <w:tcW w:w="1800" w:type="dxa"/>
            <w:vMerge w:val="restart"/>
            <w:tcBorders>
              <w:left w:val="single" w:sz="4" w:space="0" w:color="auto"/>
              <w:right w:val="single" w:sz="4" w:space="0" w:color="auto"/>
            </w:tcBorders>
          </w:tcPr>
          <w:p w14:paraId="09375886"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Gesamt-Hazard Ratio (95%</w:t>
            </w:r>
            <w:r w:rsidR="0021532B" w:rsidRPr="00B30A12">
              <w:rPr>
                <w:rFonts w:ascii="Times New Roman" w:hAnsi="Times New Roman"/>
                <w:b/>
                <w:sz w:val="22"/>
                <w:szCs w:val="22"/>
              </w:rPr>
              <w:t>-KI</w:t>
            </w:r>
            <w:r w:rsidRPr="00B30A12">
              <w:rPr>
                <w:rFonts w:ascii="Times New Roman" w:hAnsi="Times New Roman"/>
                <w:b/>
                <w:sz w:val="22"/>
                <w:szCs w:val="22"/>
              </w:rPr>
              <w:t>)*</w:t>
            </w:r>
          </w:p>
        </w:tc>
        <w:tc>
          <w:tcPr>
            <w:tcW w:w="2800" w:type="dxa"/>
            <w:gridSpan w:val="2"/>
            <w:tcBorders>
              <w:left w:val="single" w:sz="4" w:space="0" w:color="auto"/>
            </w:tcBorders>
          </w:tcPr>
          <w:p w14:paraId="2B4BBBA9"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smartTag w:uri="urn:schemas-microsoft-com:office:smarttags" w:element="stockticker">
              <w:r w:rsidRPr="00B30A12">
                <w:rPr>
                  <w:rFonts w:ascii="Times New Roman" w:hAnsi="Times New Roman"/>
                  <w:b/>
                  <w:sz w:val="22"/>
                  <w:szCs w:val="22"/>
                </w:rPr>
                <w:t>RFS</w:t>
              </w:r>
            </w:smartTag>
            <w:r w:rsidRPr="00B30A12">
              <w:rPr>
                <w:rFonts w:ascii="Times New Roman" w:hAnsi="Times New Roman"/>
                <w:b/>
                <w:sz w:val="22"/>
                <w:szCs w:val="22"/>
              </w:rPr>
              <w:t xml:space="preserve"> Anteil (%)</w:t>
            </w:r>
          </w:p>
        </w:tc>
      </w:tr>
      <w:tr w:rsidR="003A33A6" w:rsidRPr="00B30A12" w14:paraId="2C66FBAF" w14:textId="77777777" w:rsidTr="00DA7B0B">
        <w:trPr>
          <w:cantSplit/>
        </w:trPr>
        <w:tc>
          <w:tcPr>
            <w:tcW w:w="934" w:type="dxa"/>
            <w:vMerge/>
          </w:tcPr>
          <w:p w14:paraId="0E8322D8"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57DC7037"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3EC9CD37"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5ED28BA6"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4E4442E2"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2BC6C14D"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12 Monate</w:t>
            </w:r>
          </w:p>
        </w:tc>
        <w:tc>
          <w:tcPr>
            <w:tcW w:w="1360" w:type="dxa"/>
            <w:tcBorders>
              <w:left w:val="single" w:sz="4" w:space="0" w:color="auto"/>
            </w:tcBorders>
          </w:tcPr>
          <w:p w14:paraId="02F281B7"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24 Monate</w:t>
            </w:r>
          </w:p>
        </w:tc>
      </w:tr>
      <w:tr w:rsidR="003A33A6" w:rsidRPr="00B30A12" w14:paraId="68B0BE60" w14:textId="77777777" w:rsidTr="00DA7B0B">
        <w:trPr>
          <w:cantSplit/>
        </w:trPr>
        <w:tc>
          <w:tcPr>
            <w:tcW w:w="934" w:type="dxa"/>
            <w:vMerge/>
          </w:tcPr>
          <w:p w14:paraId="05D236E1"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1417" w:type="dxa"/>
            <w:vMerge/>
            <w:tcBorders>
              <w:right w:val="single" w:sz="4" w:space="0" w:color="auto"/>
            </w:tcBorders>
          </w:tcPr>
          <w:p w14:paraId="6C901919"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6F1FB93C"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2F121507"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63BD8C7A"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79C3037A"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c>
          <w:tcPr>
            <w:tcW w:w="1360" w:type="dxa"/>
            <w:tcBorders>
              <w:left w:val="single" w:sz="4" w:space="0" w:color="auto"/>
            </w:tcBorders>
          </w:tcPr>
          <w:p w14:paraId="49695362"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b/>
                <w:sz w:val="22"/>
                <w:szCs w:val="22"/>
              </w:rPr>
            </w:pPr>
            <w:r w:rsidRPr="00B30A12">
              <w:rPr>
                <w:rFonts w:ascii="Times New Roman" w:hAnsi="Times New Roman"/>
                <w:b/>
                <w:sz w:val="22"/>
                <w:szCs w:val="22"/>
              </w:rPr>
              <w:t>Glivec vs Placebo</w:t>
            </w:r>
          </w:p>
        </w:tc>
      </w:tr>
      <w:tr w:rsidR="003A33A6" w:rsidRPr="00B30A12" w14:paraId="6641AA17" w14:textId="77777777" w:rsidTr="00DA7B0B">
        <w:trPr>
          <w:cantSplit/>
        </w:trPr>
        <w:tc>
          <w:tcPr>
            <w:tcW w:w="934" w:type="dxa"/>
            <w:vMerge w:val="restart"/>
            <w:shd w:val="clear" w:color="auto" w:fill="auto"/>
          </w:tcPr>
          <w:p w14:paraId="5F8458AB" w14:textId="77777777" w:rsidR="003A33A6" w:rsidRPr="00B30A12" w:rsidRDefault="003A33A6" w:rsidP="00DA7B0B">
            <w:pPr>
              <w:pStyle w:val="Nottoc-headings"/>
              <w:keepLines w:val="0"/>
              <w:widowControl w:val="0"/>
              <w:tabs>
                <w:tab w:val="left" w:pos="567"/>
              </w:tabs>
              <w:spacing w:before="360" w:line="260" w:lineRule="exact"/>
              <w:ind w:left="0" w:firstLine="0"/>
              <w:rPr>
                <w:rFonts w:ascii="Times New Roman" w:hAnsi="Times New Roman"/>
                <w:b w:val="0"/>
                <w:sz w:val="22"/>
                <w:szCs w:val="22"/>
              </w:rPr>
            </w:pPr>
            <w:r w:rsidRPr="00B30A12">
              <w:rPr>
                <w:rFonts w:ascii="Times New Roman" w:hAnsi="Times New Roman"/>
                <w:b w:val="0"/>
                <w:sz w:val="22"/>
                <w:szCs w:val="22"/>
              </w:rPr>
              <w:t>NIH</w:t>
            </w:r>
          </w:p>
          <w:p w14:paraId="734A7242" w14:textId="77777777" w:rsidR="003A33A6" w:rsidRPr="00B30A12" w:rsidRDefault="003A33A6" w:rsidP="00DA7B0B">
            <w:pPr>
              <w:keepNext/>
              <w:widowControl w:val="0"/>
              <w:tabs>
                <w:tab w:val="left" w:pos="567"/>
              </w:tabs>
              <w:spacing w:before="40" w:after="20" w:line="260" w:lineRule="exact"/>
              <w:rPr>
                <w:sz w:val="22"/>
                <w:szCs w:val="22"/>
              </w:rPr>
            </w:pPr>
          </w:p>
        </w:tc>
        <w:tc>
          <w:tcPr>
            <w:tcW w:w="1417" w:type="dxa"/>
            <w:tcBorders>
              <w:bottom w:val="nil"/>
              <w:right w:val="single" w:sz="4" w:space="0" w:color="auto"/>
            </w:tcBorders>
            <w:vAlign w:val="bottom"/>
          </w:tcPr>
          <w:p w14:paraId="0A0E3B86" w14:textId="77777777" w:rsidR="003A33A6" w:rsidRPr="00B30A12" w:rsidRDefault="003A33A6"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Gering</w:t>
            </w:r>
          </w:p>
        </w:tc>
        <w:tc>
          <w:tcPr>
            <w:tcW w:w="986" w:type="dxa"/>
            <w:tcBorders>
              <w:left w:val="single" w:sz="4" w:space="0" w:color="auto"/>
              <w:bottom w:val="nil"/>
              <w:right w:val="single" w:sz="4" w:space="0" w:color="auto"/>
            </w:tcBorders>
            <w:vAlign w:val="bottom"/>
          </w:tcPr>
          <w:p w14:paraId="5F0E4CBC" w14:textId="77777777" w:rsidR="003A33A6" w:rsidRPr="00B30A12" w:rsidRDefault="003A33A6" w:rsidP="00DA7B0B">
            <w:pPr>
              <w:pStyle w:val="Nottoc-headings"/>
              <w:keepLines w:val="0"/>
              <w:widowControl w:val="0"/>
              <w:tabs>
                <w:tab w:val="left" w:pos="567"/>
              </w:tabs>
              <w:spacing w:before="40" w:after="20" w:line="260" w:lineRule="exact"/>
              <w:ind w:left="57" w:hanging="57"/>
              <w:jc w:val="center"/>
              <w:rPr>
                <w:rFonts w:ascii="Times New Roman" w:hAnsi="Times New Roman"/>
                <w:b w:val="0"/>
                <w:sz w:val="22"/>
                <w:szCs w:val="22"/>
              </w:rPr>
            </w:pPr>
            <w:r w:rsidRPr="00B30A12">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42A2A5F5" w14:textId="77777777" w:rsidR="003A33A6" w:rsidRPr="00B30A12" w:rsidRDefault="003A33A6"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74C583CA" w14:textId="77777777" w:rsidR="003A33A6" w:rsidRPr="00B30A12" w:rsidRDefault="003A33A6"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rPr>
            </w:pPr>
            <w:r w:rsidRPr="00B30A12">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585DC9C7" w14:textId="77777777" w:rsidR="003A33A6" w:rsidRPr="00B30A12" w:rsidRDefault="003A33A6"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lang w:val="de-CH"/>
              </w:rPr>
            </w:pPr>
            <w:r w:rsidRPr="00B30A12">
              <w:rPr>
                <w:rFonts w:ascii="Times New Roman" w:hAnsi="Times New Roman"/>
                <w:b w:val="0"/>
                <w:sz w:val="22"/>
                <w:szCs w:val="22"/>
                <w:lang w:val="de-CH"/>
              </w:rPr>
              <w:t>100 vs. 98,7</w:t>
            </w:r>
          </w:p>
        </w:tc>
        <w:tc>
          <w:tcPr>
            <w:tcW w:w="1360" w:type="dxa"/>
            <w:tcBorders>
              <w:left w:val="single" w:sz="4" w:space="0" w:color="auto"/>
              <w:bottom w:val="nil"/>
            </w:tcBorders>
            <w:vAlign w:val="bottom"/>
          </w:tcPr>
          <w:p w14:paraId="2112B8A1" w14:textId="77777777" w:rsidR="003A33A6" w:rsidRPr="00B30A12" w:rsidRDefault="003A33A6" w:rsidP="00DA7B0B">
            <w:pPr>
              <w:pStyle w:val="Nottoc-headings"/>
              <w:keepLines w:val="0"/>
              <w:widowControl w:val="0"/>
              <w:tabs>
                <w:tab w:val="left" w:pos="567"/>
              </w:tabs>
              <w:spacing w:before="40" w:after="20" w:line="260" w:lineRule="exact"/>
              <w:ind w:left="57" w:hanging="57"/>
              <w:rPr>
                <w:rFonts w:ascii="Times New Roman" w:hAnsi="Times New Roman"/>
                <w:b w:val="0"/>
                <w:sz w:val="22"/>
                <w:szCs w:val="22"/>
                <w:lang w:val="de-CH"/>
              </w:rPr>
            </w:pPr>
            <w:r w:rsidRPr="00B30A12">
              <w:rPr>
                <w:rFonts w:ascii="Times New Roman" w:hAnsi="Times New Roman"/>
                <w:b w:val="0"/>
                <w:sz w:val="22"/>
                <w:szCs w:val="22"/>
                <w:lang w:val="de-CH"/>
              </w:rPr>
              <w:t>100 vs. 95,5</w:t>
            </w:r>
          </w:p>
        </w:tc>
      </w:tr>
      <w:tr w:rsidR="003A33A6" w:rsidRPr="00B30A12" w14:paraId="767F4008" w14:textId="77777777" w:rsidTr="00DA7B0B">
        <w:trPr>
          <w:cantSplit/>
        </w:trPr>
        <w:tc>
          <w:tcPr>
            <w:tcW w:w="934" w:type="dxa"/>
            <w:vMerge/>
            <w:shd w:val="clear" w:color="auto" w:fill="auto"/>
          </w:tcPr>
          <w:p w14:paraId="002717A4" w14:textId="77777777" w:rsidR="003A33A6" w:rsidRPr="00B30A12" w:rsidRDefault="003A33A6" w:rsidP="00DA7B0B">
            <w:pPr>
              <w:pStyle w:val="Nottoc-headings"/>
              <w:keepLines w:val="0"/>
              <w:widowControl w:val="0"/>
              <w:tabs>
                <w:tab w:val="left" w:pos="567"/>
              </w:tabs>
              <w:spacing w:line="260" w:lineRule="exact"/>
              <w:rPr>
                <w:rFonts w:ascii="Times New Roman" w:hAnsi="Times New Roman"/>
                <w:b w:val="0"/>
                <w:sz w:val="22"/>
                <w:szCs w:val="22"/>
                <w:lang w:val="de-CH"/>
              </w:rPr>
            </w:pPr>
          </w:p>
        </w:tc>
        <w:tc>
          <w:tcPr>
            <w:tcW w:w="1417" w:type="dxa"/>
            <w:tcBorders>
              <w:top w:val="nil"/>
              <w:bottom w:val="nil"/>
              <w:right w:val="single" w:sz="4" w:space="0" w:color="auto"/>
            </w:tcBorders>
            <w:vAlign w:val="bottom"/>
          </w:tcPr>
          <w:p w14:paraId="76C2958A"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Intermediär</w:t>
            </w:r>
          </w:p>
        </w:tc>
        <w:tc>
          <w:tcPr>
            <w:tcW w:w="986" w:type="dxa"/>
            <w:tcBorders>
              <w:top w:val="nil"/>
              <w:left w:val="single" w:sz="4" w:space="0" w:color="auto"/>
              <w:bottom w:val="nil"/>
              <w:right w:val="single" w:sz="4" w:space="0" w:color="auto"/>
            </w:tcBorders>
            <w:vAlign w:val="bottom"/>
          </w:tcPr>
          <w:p w14:paraId="21EFBA5C"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sz w:val="22"/>
                <w:szCs w:val="22"/>
                <w:lang w:val="de-CH"/>
              </w:rPr>
            </w:pPr>
            <w:r w:rsidRPr="00B30A12">
              <w:rPr>
                <w:rFonts w:ascii="Times New Roman" w:hAnsi="Times New Roman"/>
                <w:sz w:val="22"/>
                <w:szCs w:val="22"/>
                <w:lang w:val="de-CH"/>
              </w:rPr>
              <w:t>25,7</w:t>
            </w:r>
          </w:p>
        </w:tc>
        <w:tc>
          <w:tcPr>
            <w:tcW w:w="2083" w:type="dxa"/>
            <w:tcBorders>
              <w:top w:val="nil"/>
              <w:left w:val="single" w:sz="4" w:space="0" w:color="auto"/>
              <w:bottom w:val="nil"/>
              <w:right w:val="single" w:sz="4" w:space="0" w:color="auto"/>
            </w:tcBorders>
            <w:vAlign w:val="bottom"/>
          </w:tcPr>
          <w:p w14:paraId="04CD1A9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4/75 vs. 6/78</w:t>
            </w:r>
          </w:p>
        </w:tc>
        <w:tc>
          <w:tcPr>
            <w:tcW w:w="1800" w:type="dxa"/>
            <w:tcBorders>
              <w:top w:val="nil"/>
              <w:left w:val="single" w:sz="4" w:space="0" w:color="auto"/>
              <w:bottom w:val="nil"/>
              <w:right w:val="single" w:sz="4" w:space="0" w:color="auto"/>
            </w:tcBorders>
            <w:vAlign w:val="bottom"/>
          </w:tcPr>
          <w:p w14:paraId="4B81CB0D"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0,59 (0,17; 2,10)</w:t>
            </w:r>
          </w:p>
        </w:tc>
        <w:tc>
          <w:tcPr>
            <w:tcW w:w="1440" w:type="dxa"/>
            <w:tcBorders>
              <w:top w:val="nil"/>
              <w:left w:val="single" w:sz="4" w:space="0" w:color="auto"/>
              <w:bottom w:val="nil"/>
              <w:right w:val="single" w:sz="4" w:space="0" w:color="auto"/>
            </w:tcBorders>
            <w:vAlign w:val="bottom"/>
          </w:tcPr>
          <w:p w14:paraId="4D57946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100 vs. 94,8</w:t>
            </w:r>
          </w:p>
        </w:tc>
        <w:tc>
          <w:tcPr>
            <w:tcW w:w="1360" w:type="dxa"/>
            <w:tcBorders>
              <w:top w:val="nil"/>
              <w:left w:val="single" w:sz="4" w:space="0" w:color="auto"/>
              <w:bottom w:val="nil"/>
            </w:tcBorders>
            <w:vAlign w:val="bottom"/>
          </w:tcPr>
          <w:p w14:paraId="33E515BA"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97,8 vs. 89,5</w:t>
            </w:r>
          </w:p>
        </w:tc>
      </w:tr>
      <w:tr w:rsidR="003A33A6" w:rsidRPr="00B30A12" w14:paraId="0459BFF0" w14:textId="77777777" w:rsidTr="00DA7B0B">
        <w:trPr>
          <w:cantSplit/>
        </w:trPr>
        <w:tc>
          <w:tcPr>
            <w:tcW w:w="934" w:type="dxa"/>
            <w:vMerge/>
            <w:shd w:val="clear" w:color="auto" w:fill="auto"/>
          </w:tcPr>
          <w:p w14:paraId="0AC86D58"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p>
        </w:tc>
        <w:tc>
          <w:tcPr>
            <w:tcW w:w="1417" w:type="dxa"/>
            <w:tcBorders>
              <w:top w:val="nil"/>
              <w:right w:val="single" w:sz="4" w:space="0" w:color="auto"/>
            </w:tcBorders>
            <w:vAlign w:val="bottom"/>
          </w:tcPr>
          <w:p w14:paraId="461774F4"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Hoch</w:t>
            </w:r>
          </w:p>
        </w:tc>
        <w:tc>
          <w:tcPr>
            <w:tcW w:w="986" w:type="dxa"/>
            <w:tcBorders>
              <w:top w:val="nil"/>
              <w:left w:val="single" w:sz="4" w:space="0" w:color="auto"/>
              <w:right w:val="single" w:sz="4" w:space="0" w:color="auto"/>
            </w:tcBorders>
            <w:vAlign w:val="bottom"/>
          </w:tcPr>
          <w:p w14:paraId="0CEE8006"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sz w:val="22"/>
                <w:szCs w:val="22"/>
                <w:lang w:val="de-CH"/>
              </w:rPr>
            </w:pPr>
            <w:r w:rsidRPr="00B30A12">
              <w:rPr>
                <w:rFonts w:ascii="Times New Roman" w:hAnsi="Times New Roman"/>
                <w:sz w:val="22"/>
                <w:szCs w:val="22"/>
                <w:lang w:val="de-CH"/>
              </w:rPr>
              <w:t>44,8</w:t>
            </w:r>
          </w:p>
        </w:tc>
        <w:tc>
          <w:tcPr>
            <w:tcW w:w="2083" w:type="dxa"/>
            <w:tcBorders>
              <w:top w:val="nil"/>
              <w:left w:val="single" w:sz="4" w:space="0" w:color="auto"/>
              <w:right w:val="single" w:sz="4" w:space="0" w:color="auto"/>
            </w:tcBorders>
            <w:vAlign w:val="bottom"/>
          </w:tcPr>
          <w:p w14:paraId="34B20F51"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lang w:val="de-CH"/>
              </w:rPr>
            </w:pPr>
            <w:r w:rsidRPr="00B30A12">
              <w:rPr>
                <w:rFonts w:ascii="Times New Roman" w:hAnsi="Times New Roman"/>
                <w:sz w:val="22"/>
                <w:szCs w:val="22"/>
                <w:lang w:val="de-CH"/>
              </w:rPr>
              <w:t>21/140 vs. 51/127</w:t>
            </w:r>
          </w:p>
        </w:tc>
        <w:tc>
          <w:tcPr>
            <w:tcW w:w="1800" w:type="dxa"/>
            <w:tcBorders>
              <w:top w:val="nil"/>
              <w:left w:val="single" w:sz="4" w:space="0" w:color="auto"/>
              <w:right w:val="single" w:sz="4" w:space="0" w:color="auto"/>
            </w:tcBorders>
            <w:vAlign w:val="bottom"/>
          </w:tcPr>
          <w:p w14:paraId="2E02658D"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lang w:val="de-CH"/>
              </w:rPr>
              <w:t>0,29 (0</w:t>
            </w:r>
            <w:r w:rsidRPr="00B30A12">
              <w:rPr>
                <w:rFonts w:ascii="Times New Roman" w:hAnsi="Times New Roman"/>
                <w:sz w:val="22"/>
                <w:szCs w:val="22"/>
              </w:rPr>
              <w:t>,18; 0,49)</w:t>
            </w:r>
          </w:p>
        </w:tc>
        <w:tc>
          <w:tcPr>
            <w:tcW w:w="1440" w:type="dxa"/>
            <w:tcBorders>
              <w:top w:val="nil"/>
              <w:left w:val="single" w:sz="4" w:space="0" w:color="auto"/>
              <w:right w:val="single" w:sz="4" w:space="0" w:color="auto"/>
            </w:tcBorders>
            <w:vAlign w:val="bottom"/>
          </w:tcPr>
          <w:p w14:paraId="2CFEA4DF"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94,8 vs. 64,0</w:t>
            </w:r>
          </w:p>
        </w:tc>
        <w:tc>
          <w:tcPr>
            <w:tcW w:w="1360" w:type="dxa"/>
            <w:tcBorders>
              <w:top w:val="nil"/>
              <w:left w:val="single" w:sz="4" w:space="0" w:color="auto"/>
            </w:tcBorders>
            <w:vAlign w:val="bottom"/>
          </w:tcPr>
          <w:p w14:paraId="4007BFE6"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80,7 vs. 46,6</w:t>
            </w:r>
          </w:p>
        </w:tc>
      </w:tr>
      <w:tr w:rsidR="003A33A6" w:rsidRPr="00B30A12" w14:paraId="024BAF6E" w14:textId="77777777" w:rsidTr="00DA7B0B">
        <w:trPr>
          <w:cantSplit/>
        </w:trPr>
        <w:tc>
          <w:tcPr>
            <w:tcW w:w="934" w:type="dxa"/>
            <w:vMerge w:val="restart"/>
            <w:shd w:val="clear" w:color="auto" w:fill="auto"/>
          </w:tcPr>
          <w:p w14:paraId="02250473" w14:textId="77777777" w:rsidR="003A33A6" w:rsidRPr="00B30A12" w:rsidRDefault="003A33A6" w:rsidP="00DA7B0B">
            <w:pPr>
              <w:pStyle w:val="Table"/>
              <w:keepLines w:val="0"/>
              <w:widowControl w:val="0"/>
              <w:tabs>
                <w:tab w:val="left" w:pos="567"/>
              </w:tabs>
              <w:spacing w:before="480" w:line="260" w:lineRule="exact"/>
              <w:rPr>
                <w:rFonts w:ascii="Times New Roman" w:hAnsi="Times New Roman"/>
                <w:sz w:val="22"/>
                <w:szCs w:val="22"/>
              </w:rPr>
            </w:pPr>
            <w:r w:rsidRPr="00B30A12">
              <w:rPr>
                <w:rFonts w:ascii="Times New Roman" w:hAnsi="Times New Roman"/>
                <w:sz w:val="22"/>
                <w:szCs w:val="22"/>
              </w:rPr>
              <w:t>AFIP</w:t>
            </w:r>
          </w:p>
          <w:p w14:paraId="61287456"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p>
        </w:tc>
        <w:tc>
          <w:tcPr>
            <w:tcW w:w="1417" w:type="dxa"/>
            <w:tcBorders>
              <w:bottom w:val="nil"/>
              <w:right w:val="single" w:sz="4" w:space="0" w:color="auto"/>
            </w:tcBorders>
            <w:vAlign w:val="bottom"/>
          </w:tcPr>
          <w:p w14:paraId="6803E8CD"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Sehr gering</w:t>
            </w:r>
          </w:p>
        </w:tc>
        <w:tc>
          <w:tcPr>
            <w:tcW w:w="986" w:type="dxa"/>
            <w:tcBorders>
              <w:left w:val="single" w:sz="4" w:space="0" w:color="auto"/>
              <w:bottom w:val="nil"/>
              <w:right w:val="single" w:sz="4" w:space="0" w:color="auto"/>
            </w:tcBorders>
            <w:vAlign w:val="bottom"/>
          </w:tcPr>
          <w:p w14:paraId="7906DDFB"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177EDA66"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788D4A6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5F6C38F8"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98,1</w:t>
            </w:r>
          </w:p>
        </w:tc>
        <w:tc>
          <w:tcPr>
            <w:tcW w:w="1360" w:type="dxa"/>
            <w:tcBorders>
              <w:left w:val="single" w:sz="4" w:space="0" w:color="auto"/>
              <w:bottom w:val="nil"/>
            </w:tcBorders>
            <w:vAlign w:val="bottom"/>
          </w:tcPr>
          <w:p w14:paraId="55D25D21"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93,0</w:t>
            </w:r>
          </w:p>
        </w:tc>
      </w:tr>
      <w:tr w:rsidR="003A33A6" w:rsidRPr="00B30A12" w14:paraId="2DC19C8F" w14:textId="77777777" w:rsidTr="00DA7B0B">
        <w:trPr>
          <w:cantSplit/>
        </w:trPr>
        <w:tc>
          <w:tcPr>
            <w:tcW w:w="934" w:type="dxa"/>
            <w:vMerge/>
            <w:shd w:val="clear" w:color="auto" w:fill="auto"/>
          </w:tcPr>
          <w:p w14:paraId="2C95CCC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p>
        </w:tc>
        <w:tc>
          <w:tcPr>
            <w:tcW w:w="1417" w:type="dxa"/>
            <w:tcBorders>
              <w:top w:val="nil"/>
              <w:bottom w:val="nil"/>
              <w:right w:val="single" w:sz="4" w:space="0" w:color="auto"/>
            </w:tcBorders>
            <w:vAlign w:val="bottom"/>
          </w:tcPr>
          <w:p w14:paraId="09DDC285"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Gering</w:t>
            </w:r>
          </w:p>
        </w:tc>
        <w:tc>
          <w:tcPr>
            <w:tcW w:w="986" w:type="dxa"/>
            <w:tcBorders>
              <w:top w:val="nil"/>
              <w:left w:val="single" w:sz="4" w:space="0" w:color="auto"/>
              <w:bottom w:val="nil"/>
              <w:right w:val="single" w:sz="4" w:space="0" w:color="auto"/>
            </w:tcBorders>
            <w:vAlign w:val="bottom"/>
          </w:tcPr>
          <w:p w14:paraId="1B7C12BA"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01E73C12"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1EF8317E"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328F7609"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100 vs. 100</w:t>
            </w:r>
          </w:p>
        </w:tc>
        <w:tc>
          <w:tcPr>
            <w:tcW w:w="1360" w:type="dxa"/>
            <w:tcBorders>
              <w:top w:val="nil"/>
              <w:left w:val="single" w:sz="4" w:space="0" w:color="auto"/>
              <w:bottom w:val="nil"/>
            </w:tcBorders>
            <w:vAlign w:val="bottom"/>
          </w:tcPr>
          <w:p w14:paraId="44AFF7C8"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97,8 vs. 100</w:t>
            </w:r>
          </w:p>
        </w:tc>
      </w:tr>
      <w:tr w:rsidR="003A33A6" w:rsidRPr="00B30A12" w14:paraId="480BDC79" w14:textId="77777777" w:rsidTr="00DA7B0B">
        <w:trPr>
          <w:cantSplit/>
        </w:trPr>
        <w:tc>
          <w:tcPr>
            <w:tcW w:w="934" w:type="dxa"/>
            <w:vMerge/>
            <w:shd w:val="clear" w:color="auto" w:fill="auto"/>
          </w:tcPr>
          <w:p w14:paraId="779FD8D0" w14:textId="77777777" w:rsidR="003A33A6" w:rsidRPr="00B30A12" w:rsidRDefault="003A33A6" w:rsidP="00DA7B0B">
            <w:pPr>
              <w:pStyle w:val="Table"/>
              <w:keepLines w:val="0"/>
              <w:widowControl w:val="0"/>
              <w:tabs>
                <w:tab w:val="left" w:pos="567"/>
              </w:tabs>
              <w:spacing w:line="260" w:lineRule="exact"/>
              <w:rPr>
                <w:rFonts w:ascii="Times New Roman" w:hAnsi="Times New Roman"/>
                <w:b/>
                <w:sz w:val="22"/>
                <w:szCs w:val="22"/>
              </w:rPr>
            </w:pPr>
          </w:p>
        </w:tc>
        <w:tc>
          <w:tcPr>
            <w:tcW w:w="1417" w:type="dxa"/>
            <w:tcBorders>
              <w:top w:val="nil"/>
              <w:bottom w:val="nil"/>
              <w:right w:val="single" w:sz="4" w:space="0" w:color="auto"/>
            </w:tcBorders>
            <w:vAlign w:val="bottom"/>
          </w:tcPr>
          <w:p w14:paraId="4A4D8C9D"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Moderat</w:t>
            </w:r>
          </w:p>
        </w:tc>
        <w:tc>
          <w:tcPr>
            <w:tcW w:w="986" w:type="dxa"/>
            <w:tcBorders>
              <w:top w:val="nil"/>
              <w:left w:val="single" w:sz="4" w:space="0" w:color="auto"/>
              <w:bottom w:val="nil"/>
              <w:right w:val="single" w:sz="4" w:space="0" w:color="auto"/>
            </w:tcBorders>
            <w:vAlign w:val="bottom"/>
          </w:tcPr>
          <w:p w14:paraId="1C182FFD" w14:textId="77777777" w:rsidR="003A33A6" w:rsidRPr="00B30A12" w:rsidRDefault="003A33A6" w:rsidP="00DA7B0B">
            <w:pPr>
              <w:pStyle w:val="Table"/>
              <w:keepLines w:val="0"/>
              <w:widowControl w:val="0"/>
              <w:tabs>
                <w:tab w:val="left" w:pos="567"/>
              </w:tabs>
              <w:spacing w:line="260" w:lineRule="exact"/>
              <w:jc w:val="center"/>
              <w:rPr>
                <w:rFonts w:ascii="Times New Roman" w:hAnsi="Times New Roman"/>
                <w:sz w:val="22"/>
                <w:szCs w:val="22"/>
              </w:rPr>
            </w:pPr>
            <w:r w:rsidRPr="00B30A12">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66F5C54A"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7D9E938D"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478F8919"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97,9 vs. 90,8</w:t>
            </w:r>
          </w:p>
        </w:tc>
        <w:tc>
          <w:tcPr>
            <w:tcW w:w="1360" w:type="dxa"/>
            <w:tcBorders>
              <w:top w:val="nil"/>
              <w:left w:val="single" w:sz="4" w:space="0" w:color="auto"/>
              <w:bottom w:val="nil"/>
            </w:tcBorders>
            <w:vAlign w:val="bottom"/>
          </w:tcPr>
          <w:p w14:paraId="688B6E1A"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97,9 vs. 73,3</w:t>
            </w:r>
          </w:p>
        </w:tc>
      </w:tr>
      <w:tr w:rsidR="003A33A6" w:rsidRPr="00B30A12" w14:paraId="48207801" w14:textId="77777777" w:rsidTr="00DA7B0B">
        <w:trPr>
          <w:cantSplit/>
        </w:trPr>
        <w:tc>
          <w:tcPr>
            <w:tcW w:w="934" w:type="dxa"/>
            <w:vMerge/>
            <w:tcBorders>
              <w:bottom w:val="single" w:sz="4" w:space="0" w:color="auto"/>
            </w:tcBorders>
            <w:shd w:val="clear" w:color="auto" w:fill="auto"/>
          </w:tcPr>
          <w:p w14:paraId="0A15DF8F"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p>
        </w:tc>
        <w:tc>
          <w:tcPr>
            <w:tcW w:w="1417" w:type="dxa"/>
            <w:tcBorders>
              <w:top w:val="nil"/>
              <w:bottom w:val="single" w:sz="4" w:space="0" w:color="auto"/>
              <w:right w:val="single" w:sz="4" w:space="0" w:color="auto"/>
            </w:tcBorders>
            <w:vAlign w:val="bottom"/>
          </w:tcPr>
          <w:p w14:paraId="042E1D03"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Hoch</w:t>
            </w:r>
          </w:p>
        </w:tc>
        <w:tc>
          <w:tcPr>
            <w:tcW w:w="986" w:type="dxa"/>
            <w:tcBorders>
              <w:top w:val="nil"/>
              <w:left w:val="single" w:sz="4" w:space="0" w:color="auto"/>
              <w:bottom w:val="single" w:sz="4" w:space="0" w:color="auto"/>
              <w:right w:val="single" w:sz="4" w:space="0" w:color="auto"/>
            </w:tcBorders>
            <w:vAlign w:val="bottom"/>
          </w:tcPr>
          <w:p w14:paraId="781BA812" w14:textId="77777777" w:rsidR="003A33A6" w:rsidRPr="00B30A12" w:rsidRDefault="003A33A6" w:rsidP="00DA7B0B">
            <w:pPr>
              <w:pStyle w:val="Table"/>
              <w:keepLines w:val="0"/>
              <w:widowControl w:val="0"/>
              <w:tabs>
                <w:tab w:val="left" w:pos="567"/>
              </w:tabs>
              <w:spacing w:line="260" w:lineRule="exact"/>
              <w:ind w:right="-3"/>
              <w:jc w:val="center"/>
              <w:rPr>
                <w:rFonts w:ascii="Times New Roman" w:hAnsi="Times New Roman"/>
                <w:sz w:val="22"/>
                <w:szCs w:val="22"/>
              </w:rPr>
            </w:pPr>
            <w:r w:rsidRPr="00B30A12">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580BAC4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52DD15CE"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069A5CE7"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6AEAADF5" w14:textId="77777777" w:rsidR="003A33A6" w:rsidRPr="00B30A12" w:rsidRDefault="003A33A6" w:rsidP="00DA7B0B">
            <w:pPr>
              <w:pStyle w:val="Table"/>
              <w:keepLines w:val="0"/>
              <w:widowControl w:val="0"/>
              <w:tabs>
                <w:tab w:val="left" w:pos="567"/>
              </w:tabs>
              <w:spacing w:line="260" w:lineRule="exact"/>
              <w:rPr>
                <w:rFonts w:ascii="Times New Roman" w:hAnsi="Times New Roman"/>
                <w:sz w:val="22"/>
                <w:szCs w:val="22"/>
              </w:rPr>
            </w:pPr>
            <w:r w:rsidRPr="00B30A12">
              <w:rPr>
                <w:rFonts w:ascii="Times New Roman" w:hAnsi="Times New Roman"/>
                <w:sz w:val="22"/>
                <w:szCs w:val="22"/>
              </w:rPr>
              <w:t>79,9 vs. 41,5</w:t>
            </w:r>
          </w:p>
        </w:tc>
      </w:tr>
    </w:tbl>
    <w:p w14:paraId="20A89CB3" w14:textId="77777777" w:rsidR="003A33A6" w:rsidRPr="00B30A12" w:rsidRDefault="003A33A6" w:rsidP="00DA7B0B">
      <w:pPr>
        <w:pStyle w:val="Text"/>
        <w:widowControl w:val="0"/>
        <w:spacing w:before="0"/>
        <w:rPr>
          <w:sz w:val="22"/>
          <w:szCs w:val="22"/>
          <w:lang w:val="de-DE"/>
        </w:rPr>
      </w:pPr>
      <w:r w:rsidRPr="00B30A12">
        <w:rPr>
          <w:sz w:val="22"/>
          <w:szCs w:val="22"/>
          <w:lang w:val="de-DE"/>
        </w:rPr>
        <w:t>* Gesamte Follow-up-Periode; NE – Nicht bestimmbar</w:t>
      </w:r>
    </w:p>
    <w:p w14:paraId="7F904CCD"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5DDF4324"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Eine zweite multizentrische, offene Phase-III-Studie (SSG XVIII/AIO) verglich eine Behandlung mit täglich 400 mg Glivec über 12 Monate mit einer Behandlung über 36 Monate bei GIST-Patienten nach chirurgischer Resektion und einem der folgenden Merkmale: Tumordurchmesser &gt; 5 cm und Mitoserate &gt; 5/50 High Power Fields (HPF); oder Tumordurchmesser &gt; 10 cm mit jeglichem Mitoserate oder Tumor jeglicher Größe mit Mitoserate &gt; 10/50 HPF oder Tumorruptur in die peritoneale Kavität. Insgesamt 397 Patienten stimmten der Studienteilnahme zu und wurden randomisiert (199 Patienten im 12-Monatsarm und 198 Patienten im 36-Monatsarm), das mediane Alter betrug 61 Jahre (Bereich von 22 bis 84 Jahre). Die mediane Beobachtungszeit betrug 54 Monate (vom Tag der Randomisierung bis zum Tag der letzten Datenerhebung). Die Zeitspanne zwischen der Randomisierung des ersten Patienten und dem Tag der letzten Datenerhebung betrug 83 Monate.</w:t>
      </w:r>
    </w:p>
    <w:p w14:paraId="591FA0D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2D6AD72A"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Der primäre Endpunkt der Studie war das Rezidiv-freie Überleben (RFS) und wurde definiert als die Zeit vom Tag der Randomisierung bis zum Tag des Auftreten des Rezidivs oder des Todes aufgrund jeglicher Ursache.</w:t>
      </w:r>
    </w:p>
    <w:p w14:paraId="76CD256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37217EC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Die Behandlung mit Glivec über einen Zeitraum von 36 Monaten verlängerte signifikant das RFS im Vergleich mit 12 Monaten Behandlung (mit einer Gesamt-Hazard Ratio (HR) = 0,46 [0,32, 0,65], p&lt;0,0001) (Tabelle </w:t>
      </w:r>
      <w:r w:rsidR="008F4874" w:rsidRPr="00B30A12">
        <w:rPr>
          <w:color w:val="000000"/>
          <w:szCs w:val="22"/>
        </w:rPr>
        <w:t>8</w:t>
      </w:r>
      <w:r w:rsidRPr="00B30A12">
        <w:rPr>
          <w:color w:val="000000"/>
          <w:szCs w:val="22"/>
        </w:rPr>
        <w:t>, Abbildung 1).</w:t>
      </w:r>
    </w:p>
    <w:p w14:paraId="1B0A1494"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6CC43BA4"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 xml:space="preserve">Zusätzlich verlängerte die 36-monatige Behandlung mit Glivec signifikant das Gesamtüberleben im Vergleich mit der 12-monatigen Behandlung (HR = 0,45 [0,22, 0,89], </w:t>
      </w:r>
      <w:r w:rsidRPr="00B30A12">
        <w:t>p = </w:t>
      </w:r>
      <w:r w:rsidRPr="00B30A12">
        <w:rPr>
          <w:color w:val="000000"/>
          <w:szCs w:val="22"/>
        </w:rPr>
        <w:t>0,0187) (Tabelle </w:t>
      </w:r>
      <w:r w:rsidR="008F4874" w:rsidRPr="00B30A12">
        <w:rPr>
          <w:color w:val="000000"/>
          <w:szCs w:val="22"/>
        </w:rPr>
        <w:t>8</w:t>
      </w:r>
      <w:r w:rsidRPr="00B30A12">
        <w:rPr>
          <w:color w:val="000000"/>
          <w:szCs w:val="22"/>
        </w:rPr>
        <w:t>, Abbildung 2).</w:t>
      </w:r>
    </w:p>
    <w:p w14:paraId="3F310687"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56D43DF0"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Eine längere Behandlungsdauer (&gt; 36 Monate) könnte die Entstehung eines weiteren Rezidivs hinauszögern. Der Einfluss dieser Erkenntnis auf das Gesamtüberleben bleibt jedoch unbekannt.</w:t>
      </w:r>
    </w:p>
    <w:p w14:paraId="2758F250"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1A549D8A"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Die Gesamtzahl an Todesfällen betrug 25 für den 12-Monatsarm und 12 für den 36-Monatsarm.</w:t>
      </w:r>
    </w:p>
    <w:p w14:paraId="3B2C6CA2"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325050DA"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Die Behandlung mit Imatinib über einen Zeitraum von 36 Monaten war in der ITT-Analyse, das heißt unter Auswertung der gesamten Studienpopulation, der Behandlung über einen Zeitraum von 12 Monaten überlegen. In einer geplanten Subgruppenanalyse nach Mutationstyp lag die HR für RFS bei 0,35 [95%</w:t>
      </w:r>
      <w:r w:rsidR="0021532B" w:rsidRPr="00B30A12">
        <w:rPr>
          <w:color w:val="000000"/>
          <w:szCs w:val="22"/>
        </w:rPr>
        <w:t>-KI</w:t>
      </w:r>
      <w:r w:rsidRPr="00B30A12">
        <w:rPr>
          <w:color w:val="000000"/>
          <w:szCs w:val="22"/>
        </w:rPr>
        <w:t xml:space="preserve">: 0,22, 0,56] für eine 36-monatige Behandlung für Patienten mit Exon-11-Mutation. Wegen der geringen Anzahl an beobachteten Ereignissen können keine Rückschlusse auf andere, </w:t>
      </w:r>
      <w:r w:rsidRPr="00B30A12">
        <w:rPr>
          <w:color w:val="000000"/>
          <w:szCs w:val="22"/>
        </w:rPr>
        <w:lastRenderedPageBreak/>
        <w:t>weniger häufig auftretende Mutationssubgruppen gezogen werden.</w:t>
      </w:r>
    </w:p>
    <w:p w14:paraId="4E3A9868"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u w:val="single"/>
        </w:rPr>
      </w:pPr>
    </w:p>
    <w:p w14:paraId="38F5A61F" w14:textId="77777777" w:rsidR="003A33A6" w:rsidRPr="00B30A12" w:rsidRDefault="003A33A6" w:rsidP="00DA7B0B">
      <w:pPr>
        <w:keepNext/>
        <w:widowControl w:val="0"/>
        <w:ind w:left="1134" w:hanging="1134"/>
        <w:rPr>
          <w:rFonts w:eastAsia="MS Mincho"/>
          <w:b/>
          <w:sz w:val="22"/>
          <w:szCs w:val="22"/>
          <w:lang w:eastAsia="ja-JP"/>
        </w:rPr>
      </w:pPr>
      <w:r w:rsidRPr="00B30A12">
        <w:rPr>
          <w:rFonts w:eastAsia="MS Mincho"/>
          <w:b/>
          <w:sz w:val="22"/>
          <w:szCs w:val="22"/>
        </w:rPr>
        <w:t>Tabelle </w:t>
      </w:r>
      <w:r w:rsidR="008F4874" w:rsidRPr="00B30A12">
        <w:rPr>
          <w:rFonts w:eastAsia="MS Mincho"/>
          <w:b/>
          <w:sz w:val="22"/>
          <w:szCs w:val="22"/>
        </w:rPr>
        <w:t>8</w:t>
      </w:r>
      <w:r w:rsidRPr="00B30A12">
        <w:rPr>
          <w:rFonts w:eastAsia="MS Mincho"/>
          <w:sz w:val="22"/>
          <w:szCs w:val="22"/>
        </w:rPr>
        <w:tab/>
      </w:r>
      <w:r w:rsidRPr="00B30A12">
        <w:rPr>
          <w:rFonts w:eastAsia="MS Mincho"/>
          <w:b/>
          <w:sz w:val="22"/>
          <w:szCs w:val="22"/>
          <w:lang w:eastAsia="ja-JP"/>
        </w:rPr>
        <w:t>12-monatige und 36-monatige Behandlung mit Glivec (SSGXVIII/AIO-Studie)</w:t>
      </w:r>
    </w:p>
    <w:p w14:paraId="42F2D305" w14:textId="77777777" w:rsidR="003A33A6" w:rsidRPr="00B30A12" w:rsidRDefault="003A33A6" w:rsidP="00DA7B0B">
      <w:pPr>
        <w:keepNext/>
        <w:widowControl w:val="0"/>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3A33A6" w:rsidRPr="00B30A12" w14:paraId="24F5AD14" w14:textId="77777777" w:rsidTr="00DA7B0B">
        <w:trPr>
          <w:cantSplit/>
        </w:trPr>
        <w:tc>
          <w:tcPr>
            <w:tcW w:w="3099" w:type="dxa"/>
            <w:tcBorders>
              <w:top w:val="single" w:sz="4" w:space="0" w:color="auto"/>
              <w:bottom w:val="nil"/>
            </w:tcBorders>
            <w:shd w:val="clear" w:color="auto" w:fill="auto"/>
          </w:tcPr>
          <w:p w14:paraId="789645E6" w14:textId="77777777" w:rsidR="003A33A6" w:rsidRPr="00B30A12" w:rsidRDefault="003A33A6" w:rsidP="00DA7B0B">
            <w:pPr>
              <w:keepNext/>
              <w:widowControl w:val="0"/>
              <w:tabs>
                <w:tab w:val="left" w:pos="284"/>
              </w:tabs>
              <w:rPr>
                <w:rFonts w:eastAsia="MS Mincho"/>
                <w:sz w:val="22"/>
                <w:szCs w:val="22"/>
              </w:rPr>
            </w:pPr>
          </w:p>
        </w:tc>
        <w:tc>
          <w:tcPr>
            <w:tcW w:w="3100" w:type="dxa"/>
            <w:tcBorders>
              <w:top w:val="single" w:sz="4" w:space="0" w:color="auto"/>
              <w:bottom w:val="nil"/>
            </w:tcBorders>
            <w:shd w:val="clear" w:color="auto" w:fill="auto"/>
          </w:tcPr>
          <w:p w14:paraId="380475A7"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12-monatige Behandlung</w:t>
            </w:r>
          </w:p>
        </w:tc>
        <w:tc>
          <w:tcPr>
            <w:tcW w:w="3100" w:type="dxa"/>
            <w:tcBorders>
              <w:top w:val="single" w:sz="4" w:space="0" w:color="auto"/>
              <w:bottom w:val="nil"/>
            </w:tcBorders>
            <w:shd w:val="clear" w:color="auto" w:fill="auto"/>
          </w:tcPr>
          <w:p w14:paraId="1E224D21"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36-monatige Behandlung</w:t>
            </w:r>
          </w:p>
        </w:tc>
      </w:tr>
      <w:tr w:rsidR="003A33A6" w:rsidRPr="00B30A12" w14:paraId="5E809BCE" w14:textId="77777777" w:rsidTr="00DA7B0B">
        <w:trPr>
          <w:cantSplit/>
        </w:trPr>
        <w:tc>
          <w:tcPr>
            <w:tcW w:w="3099" w:type="dxa"/>
            <w:tcBorders>
              <w:top w:val="nil"/>
            </w:tcBorders>
            <w:shd w:val="clear" w:color="auto" w:fill="auto"/>
          </w:tcPr>
          <w:p w14:paraId="7FFD93AE"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RFS</w:t>
            </w:r>
          </w:p>
        </w:tc>
        <w:tc>
          <w:tcPr>
            <w:tcW w:w="3100" w:type="dxa"/>
            <w:tcBorders>
              <w:top w:val="nil"/>
            </w:tcBorders>
            <w:shd w:val="clear" w:color="auto" w:fill="auto"/>
          </w:tcPr>
          <w:p w14:paraId="3E177BFD"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w:t>
            </w:r>
            <w:r w:rsidR="0021532B" w:rsidRPr="00B30A12">
              <w:rPr>
                <w:rFonts w:eastAsia="MS Mincho"/>
                <w:b/>
                <w:sz w:val="22"/>
                <w:szCs w:val="22"/>
              </w:rPr>
              <w:t>KI</w:t>
            </w:r>
            <w:r w:rsidRPr="00B30A12">
              <w:rPr>
                <w:rFonts w:eastAsia="MS Mincho"/>
                <w:b/>
                <w:sz w:val="22"/>
                <w:szCs w:val="22"/>
              </w:rPr>
              <w:t>)</w:t>
            </w:r>
          </w:p>
        </w:tc>
        <w:tc>
          <w:tcPr>
            <w:tcW w:w="3100" w:type="dxa"/>
            <w:tcBorders>
              <w:top w:val="nil"/>
            </w:tcBorders>
            <w:shd w:val="clear" w:color="auto" w:fill="auto"/>
          </w:tcPr>
          <w:p w14:paraId="25FC6377"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w:t>
            </w:r>
            <w:r w:rsidR="0021532B" w:rsidRPr="00B30A12">
              <w:rPr>
                <w:rFonts w:eastAsia="MS Mincho"/>
                <w:b/>
                <w:sz w:val="22"/>
                <w:szCs w:val="22"/>
              </w:rPr>
              <w:t>KI</w:t>
            </w:r>
            <w:r w:rsidRPr="00B30A12">
              <w:rPr>
                <w:rFonts w:eastAsia="MS Mincho"/>
                <w:b/>
                <w:sz w:val="22"/>
                <w:szCs w:val="22"/>
              </w:rPr>
              <w:t>)</w:t>
            </w:r>
          </w:p>
        </w:tc>
      </w:tr>
      <w:tr w:rsidR="003A33A6" w:rsidRPr="00B30A12" w14:paraId="7959DFD6" w14:textId="77777777" w:rsidTr="00DA7B0B">
        <w:trPr>
          <w:cantSplit/>
        </w:trPr>
        <w:tc>
          <w:tcPr>
            <w:tcW w:w="3099" w:type="dxa"/>
            <w:shd w:val="clear" w:color="auto" w:fill="auto"/>
          </w:tcPr>
          <w:p w14:paraId="06E603EF"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12</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41318FFC"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93,7 (89,2</w:t>
            </w:r>
            <w:r w:rsidRPr="00B30A12">
              <w:rPr>
                <w:rFonts w:eastAsia="MS Mincho"/>
                <w:sz w:val="22"/>
                <w:szCs w:val="22"/>
              </w:rPr>
              <w:noBreakHyphen/>
              <w:t>96,4)</w:t>
            </w:r>
          </w:p>
        </w:tc>
        <w:tc>
          <w:tcPr>
            <w:tcW w:w="3100" w:type="dxa"/>
            <w:shd w:val="clear" w:color="auto" w:fill="auto"/>
          </w:tcPr>
          <w:p w14:paraId="256D9E2D"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95,9 (91,9</w:t>
            </w:r>
            <w:r w:rsidRPr="00B30A12">
              <w:rPr>
                <w:rFonts w:eastAsia="MS Mincho"/>
                <w:sz w:val="22"/>
                <w:szCs w:val="22"/>
              </w:rPr>
              <w:noBreakHyphen/>
              <w:t>97,9)</w:t>
            </w:r>
          </w:p>
        </w:tc>
      </w:tr>
      <w:tr w:rsidR="003A33A6" w:rsidRPr="00B30A12" w14:paraId="37E3D555" w14:textId="77777777" w:rsidTr="00DA7B0B">
        <w:trPr>
          <w:cantSplit/>
        </w:trPr>
        <w:tc>
          <w:tcPr>
            <w:tcW w:w="3099" w:type="dxa"/>
            <w:shd w:val="clear" w:color="auto" w:fill="auto"/>
          </w:tcPr>
          <w:p w14:paraId="07ED1D7D"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24</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2E910AEB"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75,4 (68,6</w:t>
            </w:r>
            <w:r w:rsidRPr="00B30A12">
              <w:rPr>
                <w:rFonts w:eastAsia="MS Mincho"/>
                <w:sz w:val="22"/>
                <w:szCs w:val="22"/>
              </w:rPr>
              <w:noBreakHyphen/>
              <w:t>81,0)</w:t>
            </w:r>
          </w:p>
        </w:tc>
        <w:tc>
          <w:tcPr>
            <w:tcW w:w="3100" w:type="dxa"/>
            <w:shd w:val="clear" w:color="auto" w:fill="auto"/>
          </w:tcPr>
          <w:p w14:paraId="0D5CB04B"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90,7 (85,6</w:t>
            </w:r>
            <w:r w:rsidRPr="00B30A12">
              <w:rPr>
                <w:rFonts w:eastAsia="MS Mincho"/>
                <w:sz w:val="22"/>
                <w:szCs w:val="22"/>
              </w:rPr>
              <w:noBreakHyphen/>
              <w:t>94,0)</w:t>
            </w:r>
          </w:p>
        </w:tc>
      </w:tr>
      <w:tr w:rsidR="003A33A6" w:rsidRPr="00B30A12" w14:paraId="4CE954A5" w14:textId="77777777" w:rsidTr="00DA7B0B">
        <w:trPr>
          <w:cantSplit/>
        </w:trPr>
        <w:tc>
          <w:tcPr>
            <w:tcW w:w="3099" w:type="dxa"/>
            <w:shd w:val="clear" w:color="auto" w:fill="auto"/>
          </w:tcPr>
          <w:p w14:paraId="3A7BFE89"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36</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41E0B3BF"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60,1 (52,5</w:t>
            </w:r>
            <w:r w:rsidRPr="00B30A12">
              <w:rPr>
                <w:rFonts w:eastAsia="MS Mincho"/>
                <w:sz w:val="22"/>
                <w:szCs w:val="22"/>
              </w:rPr>
              <w:noBreakHyphen/>
              <w:t>66,9)</w:t>
            </w:r>
          </w:p>
        </w:tc>
        <w:tc>
          <w:tcPr>
            <w:tcW w:w="3100" w:type="dxa"/>
            <w:shd w:val="clear" w:color="auto" w:fill="auto"/>
          </w:tcPr>
          <w:p w14:paraId="645C8864"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86,6 (80,8</w:t>
            </w:r>
            <w:r w:rsidRPr="00B30A12">
              <w:rPr>
                <w:rFonts w:eastAsia="MS Mincho"/>
                <w:sz w:val="22"/>
                <w:szCs w:val="22"/>
              </w:rPr>
              <w:noBreakHyphen/>
              <w:t>90,8)</w:t>
            </w:r>
          </w:p>
        </w:tc>
      </w:tr>
      <w:tr w:rsidR="003A33A6" w:rsidRPr="00B30A12" w14:paraId="6A1FBF80" w14:textId="77777777" w:rsidTr="00DA7B0B">
        <w:trPr>
          <w:cantSplit/>
        </w:trPr>
        <w:tc>
          <w:tcPr>
            <w:tcW w:w="3099" w:type="dxa"/>
            <w:shd w:val="clear" w:color="auto" w:fill="auto"/>
          </w:tcPr>
          <w:p w14:paraId="2E61227F"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48</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F7532D5"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52,3 (44,0</w:t>
            </w:r>
            <w:r w:rsidRPr="00B30A12">
              <w:rPr>
                <w:rFonts w:eastAsia="MS Mincho"/>
                <w:sz w:val="22"/>
                <w:szCs w:val="22"/>
              </w:rPr>
              <w:noBreakHyphen/>
              <w:t>59,8)</w:t>
            </w:r>
          </w:p>
        </w:tc>
        <w:tc>
          <w:tcPr>
            <w:tcW w:w="3100" w:type="dxa"/>
            <w:shd w:val="clear" w:color="auto" w:fill="auto"/>
          </w:tcPr>
          <w:p w14:paraId="2E2C0745"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78,3 (70,8</w:t>
            </w:r>
            <w:r w:rsidRPr="00B30A12">
              <w:rPr>
                <w:rFonts w:eastAsia="MS Mincho"/>
                <w:sz w:val="22"/>
                <w:szCs w:val="22"/>
              </w:rPr>
              <w:noBreakHyphen/>
              <w:t>84,1)</w:t>
            </w:r>
          </w:p>
        </w:tc>
      </w:tr>
      <w:tr w:rsidR="003A33A6" w:rsidRPr="00B30A12" w14:paraId="77FF70D0" w14:textId="77777777" w:rsidTr="00DA7B0B">
        <w:trPr>
          <w:cantSplit/>
        </w:trPr>
        <w:tc>
          <w:tcPr>
            <w:tcW w:w="3099" w:type="dxa"/>
            <w:shd w:val="clear" w:color="auto" w:fill="auto"/>
          </w:tcPr>
          <w:p w14:paraId="5F027EBE"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60</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7DC538C7"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47,9 (39,0</w:t>
            </w:r>
            <w:r w:rsidRPr="00B30A12">
              <w:rPr>
                <w:rFonts w:eastAsia="MS Mincho"/>
                <w:sz w:val="22"/>
                <w:szCs w:val="22"/>
              </w:rPr>
              <w:noBreakHyphen/>
              <w:t>56,3)</w:t>
            </w:r>
          </w:p>
        </w:tc>
        <w:tc>
          <w:tcPr>
            <w:tcW w:w="3100" w:type="dxa"/>
            <w:shd w:val="clear" w:color="auto" w:fill="auto"/>
          </w:tcPr>
          <w:p w14:paraId="122030DE"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65,6 (56,1</w:t>
            </w:r>
            <w:r w:rsidRPr="00B30A12">
              <w:rPr>
                <w:rFonts w:eastAsia="MS Mincho"/>
                <w:sz w:val="22"/>
                <w:szCs w:val="22"/>
              </w:rPr>
              <w:noBreakHyphen/>
              <w:t>73,4)</w:t>
            </w:r>
          </w:p>
        </w:tc>
      </w:tr>
      <w:tr w:rsidR="003A33A6" w:rsidRPr="00B30A12" w14:paraId="4C2B9B68" w14:textId="77777777" w:rsidTr="00DA7B0B">
        <w:trPr>
          <w:cantSplit/>
        </w:trPr>
        <w:tc>
          <w:tcPr>
            <w:tcW w:w="3099" w:type="dxa"/>
            <w:shd w:val="clear" w:color="auto" w:fill="auto"/>
          </w:tcPr>
          <w:p w14:paraId="1D97D64C" w14:textId="77777777" w:rsidR="003A33A6" w:rsidRPr="00B30A12" w:rsidRDefault="003A33A6" w:rsidP="00DA7B0B">
            <w:pPr>
              <w:keepNext/>
              <w:widowControl w:val="0"/>
              <w:tabs>
                <w:tab w:val="left" w:pos="284"/>
              </w:tabs>
              <w:rPr>
                <w:rFonts w:eastAsia="MS Mincho"/>
                <w:b/>
                <w:sz w:val="22"/>
                <w:szCs w:val="22"/>
              </w:rPr>
            </w:pPr>
            <w:r w:rsidRPr="00B30A12">
              <w:rPr>
                <w:rFonts w:eastAsia="MS Mincho"/>
                <w:b/>
                <w:sz w:val="22"/>
                <w:szCs w:val="22"/>
              </w:rPr>
              <w:t>Überleben</w:t>
            </w:r>
          </w:p>
        </w:tc>
        <w:tc>
          <w:tcPr>
            <w:tcW w:w="3100" w:type="dxa"/>
            <w:shd w:val="clear" w:color="auto" w:fill="auto"/>
          </w:tcPr>
          <w:p w14:paraId="6504E977" w14:textId="77777777" w:rsidR="003A33A6" w:rsidRPr="00B30A12" w:rsidRDefault="003A33A6" w:rsidP="00DA7B0B">
            <w:pPr>
              <w:keepNext/>
              <w:widowControl w:val="0"/>
              <w:tabs>
                <w:tab w:val="left" w:pos="284"/>
              </w:tabs>
              <w:rPr>
                <w:rFonts w:eastAsia="MS Mincho"/>
                <w:sz w:val="22"/>
                <w:szCs w:val="22"/>
              </w:rPr>
            </w:pPr>
          </w:p>
        </w:tc>
        <w:tc>
          <w:tcPr>
            <w:tcW w:w="3100" w:type="dxa"/>
            <w:shd w:val="clear" w:color="auto" w:fill="auto"/>
          </w:tcPr>
          <w:p w14:paraId="087D5B7E" w14:textId="77777777" w:rsidR="003A33A6" w:rsidRPr="00B30A12" w:rsidRDefault="003A33A6" w:rsidP="00DA7B0B">
            <w:pPr>
              <w:keepNext/>
              <w:widowControl w:val="0"/>
              <w:tabs>
                <w:tab w:val="left" w:pos="284"/>
              </w:tabs>
              <w:rPr>
                <w:rFonts w:eastAsia="MS Mincho"/>
                <w:sz w:val="22"/>
                <w:szCs w:val="22"/>
              </w:rPr>
            </w:pPr>
          </w:p>
        </w:tc>
      </w:tr>
      <w:tr w:rsidR="003A33A6" w:rsidRPr="00B30A12" w14:paraId="78E7E167" w14:textId="77777777" w:rsidTr="00DA7B0B">
        <w:trPr>
          <w:cantSplit/>
        </w:trPr>
        <w:tc>
          <w:tcPr>
            <w:tcW w:w="3099" w:type="dxa"/>
            <w:shd w:val="clear" w:color="auto" w:fill="auto"/>
          </w:tcPr>
          <w:p w14:paraId="3FF5CC2F"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36</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53A6F406"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94,0 (89,5</w:t>
            </w:r>
            <w:r w:rsidRPr="00B30A12">
              <w:rPr>
                <w:rFonts w:eastAsia="MS Mincho"/>
                <w:sz w:val="22"/>
                <w:szCs w:val="22"/>
              </w:rPr>
              <w:noBreakHyphen/>
              <w:t>96,7)</w:t>
            </w:r>
          </w:p>
        </w:tc>
        <w:tc>
          <w:tcPr>
            <w:tcW w:w="3100" w:type="dxa"/>
            <w:shd w:val="clear" w:color="auto" w:fill="auto"/>
          </w:tcPr>
          <w:p w14:paraId="46EC78EC"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96,3 (92,4</w:t>
            </w:r>
            <w:r w:rsidRPr="00B30A12">
              <w:rPr>
                <w:rFonts w:eastAsia="MS Mincho"/>
                <w:sz w:val="22"/>
                <w:szCs w:val="22"/>
              </w:rPr>
              <w:noBreakHyphen/>
              <w:t>98,2)</w:t>
            </w:r>
          </w:p>
        </w:tc>
      </w:tr>
      <w:tr w:rsidR="003A33A6" w:rsidRPr="00B30A12" w14:paraId="47840467" w14:textId="77777777" w:rsidTr="00DA7B0B">
        <w:trPr>
          <w:cantSplit/>
        </w:trPr>
        <w:tc>
          <w:tcPr>
            <w:tcW w:w="3099" w:type="dxa"/>
            <w:shd w:val="clear" w:color="auto" w:fill="auto"/>
          </w:tcPr>
          <w:p w14:paraId="72BF2D4B" w14:textId="77777777" w:rsidR="003A33A6" w:rsidRPr="00B30A12" w:rsidRDefault="003A33A6" w:rsidP="00DA7B0B">
            <w:pPr>
              <w:keepNext/>
              <w:widowControl w:val="0"/>
              <w:ind w:left="284"/>
              <w:rPr>
                <w:rFonts w:eastAsia="MS Mincho"/>
                <w:sz w:val="22"/>
                <w:szCs w:val="22"/>
              </w:rPr>
            </w:pPr>
            <w:r w:rsidRPr="00B30A12">
              <w:rPr>
                <w:rFonts w:eastAsia="MS Mincho"/>
                <w:sz w:val="22"/>
                <w:szCs w:val="22"/>
              </w:rPr>
              <w:t>48</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2B398045"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87,9 (81,1</w:t>
            </w:r>
            <w:r w:rsidRPr="00B30A12">
              <w:rPr>
                <w:rFonts w:eastAsia="MS Mincho"/>
                <w:sz w:val="22"/>
                <w:szCs w:val="22"/>
              </w:rPr>
              <w:noBreakHyphen/>
              <w:t>92,3)</w:t>
            </w:r>
          </w:p>
        </w:tc>
        <w:tc>
          <w:tcPr>
            <w:tcW w:w="3100" w:type="dxa"/>
            <w:shd w:val="clear" w:color="auto" w:fill="auto"/>
          </w:tcPr>
          <w:p w14:paraId="57FAB1CE" w14:textId="77777777" w:rsidR="003A33A6" w:rsidRPr="00B30A12" w:rsidRDefault="003A33A6" w:rsidP="00DA7B0B">
            <w:pPr>
              <w:keepNext/>
              <w:widowControl w:val="0"/>
              <w:tabs>
                <w:tab w:val="left" w:pos="284"/>
              </w:tabs>
              <w:rPr>
                <w:rFonts w:eastAsia="MS Mincho"/>
                <w:sz w:val="22"/>
                <w:szCs w:val="22"/>
              </w:rPr>
            </w:pPr>
            <w:r w:rsidRPr="00B30A12">
              <w:rPr>
                <w:rFonts w:eastAsia="MS Mincho"/>
                <w:sz w:val="22"/>
                <w:szCs w:val="22"/>
              </w:rPr>
              <w:t>95,6 (91,2</w:t>
            </w:r>
            <w:r w:rsidRPr="00B30A12">
              <w:rPr>
                <w:rFonts w:eastAsia="MS Mincho"/>
                <w:sz w:val="22"/>
                <w:szCs w:val="22"/>
              </w:rPr>
              <w:noBreakHyphen/>
              <w:t>97,8)</w:t>
            </w:r>
          </w:p>
        </w:tc>
      </w:tr>
      <w:tr w:rsidR="003A33A6" w:rsidRPr="00B30A12" w14:paraId="74D73EA9" w14:textId="77777777" w:rsidTr="00DA7B0B">
        <w:trPr>
          <w:cantSplit/>
        </w:trPr>
        <w:tc>
          <w:tcPr>
            <w:tcW w:w="3099" w:type="dxa"/>
            <w:shd w:val="clear" w:color="auto" w:fill="auto"/>
          </w:tcPr>
          <w:p w14:paraId="2EA9B1B8" w14:textId="77777777" w:rsidR="003A33A6" w:rsidRPr="00B30A12" w:rsidRDefault="003A33A6" w:rsidP="00DA7B0B">
            <w:pPr>
              <w:widowControl w:val="0"/>
              <w:ind w:left="284"/>
              <w:rPr>
                <w:rFonts w:eastAsia="MS Mincho"/>
                <w:sz w:val="22"/>
                <w:szCs w:val="22"/>
              </w:rPr>
            </w:pPr>
            <w:r w:rsidRPr="00B30A12">
              <w:rPr>
                <w:rFonts w:eastAsia="MS Mincho"/>
                <w:sz w:val="22"/>
                <w:szCs w:val="22"/>
              </w:rPr>
              <w:t>60</w:t>
            </w:r>
            <w:r w:rsidRPr="00B30A12">
              <w:rPr>
                <w:rFonts w:eastAsia="MS Mincho"/>
                <w:sz w:val="22"/>
                <w:szCs w:val="22"/>
                <w:lang w:eastAsia="ja-JP"/>
              </w:rPr>
              <w:t> </w:t>
            </w:r>
            <w:r w:rsidRPr="00B30A12">
              <w:rPr>
                <w:rFonts w:eastAsia="MS Mincho"/>
                <w:sz w:val="22"/>
                <w:szCs w:val="22"/>
              </w:rPr>
              <w:t>Monate</w:t>
            </w:r>
          </w:p>
        </w:tc>
        <w:tc>
          <w:tcPr>
            <w:tcW w:w="3100" w:type="dxa"/>
            <w:shd w:val="clear" w:color="auto" w:fill="auto"/>
          </w:tcPr>
          <w:p w14:paraId="3F13B291" w14:textId="77777777" w:rsidR="003A33A6" w:rsidRPr="00B30A12" w:rsidRDefault="003A33A6" w:rsidP="00DA7B0B">
            <w:pPr>
              <w:widowControl w:val="0"/>
              <w:tabs>
                <w:tab w:val="left" w:pos="284"/>
              </w:tabs>
              <w:rPr>
                <w:rFonts w:eastAsia="MS Mincho"/>
                <w:sz w:val="22"/>
                <w:szCs w:val="22"/>
              </w:rPr>
            </w:pPr>
            <w:r w:rsidRPr="00B30A12">
              <w:rPr>
                <w:rFonts w:eastAsia="MS Mincho"/>
                <w:sz w:val="22"/>
                <w:szCs w:val="22"/>
              </w:rPr>
              <w:t>81,7 (73,0</w:t>
            </w:r>
            <w:r w:rsidRPr="00B30A12">
              <w:rPr>
                <w:rFonts w:eastAsia="MS Mincho"/>
                <w:sz w:val="22"/>
                <w:szCs w:val="22"/>
              </w:rPr>
              <w:noBreakHyphen/>
              <w:t>87,8)</w:t>
            </w:r>
          </w:p>
        </w:tc>
        <w:tc>
          <w:tcPr>
            <w:tcW w:w="3100" w:type="dxa"/>
            <w:shd w:val="clear" w:color="auto" w:fill="auto"/>
          </w:tcPr>
          <w:p w14:paraId="71B62C88" w14:textId="77777777" w:rsidR="003A33A6" w:rsidRPr="00B30A12" w:rsidRDefault="003A33A6" w:rsidP="00DA7B0B">
            <w:pPr>
              <w:widowControl w:val="0"/>
              <w:tabs>
                <w:tab w:val="left" w:pos="284"/>
              </w:tabs>
              <w:rPr>
                <w:rFonts w:eastAsia="MS Mincho"/>
                <w:sz w:val="22"/>
                <w:szCs w:val="22"/>
              </w:rPr>
            </w:pPr>
            <w:r w:rsidRPr="00B30A12">
              <w:rPr>
                <w:rFonts w:eastAsia="MS Mincho"/>
                <w:sz w:val="22"/>
                <w:szCs w:val="22"/>
              </w:rPr>
              <w:t>92,0 (85,3</w:t>
            </w:r>
            <w:r w:rsidRPr="00B30A12">
              <w:rPr>
                <w:rFonts w:eastAsia="MS Mincho"/>
                <w:sz w:val="22"/>
                <w:szCs w:val="22"/>
              </w:rPr>
              <w:noBreakHyphen/>
              <w:t>95,7)</w:t>
            </w:r>
          </w:p>
        </w:tc>
      </w:tr>
    </w:tbl>
    <w:p w14:paraId="008BD0E9"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u w:val="single"/>
        </w:rPr>
      </w:pPr>
    </w:p>
    <w:p w14:paraId="0EDA2355" w14:textId="77777777" w:rsidR="003A33A6" w:rsidRPr="00B30A12" w:rsidRDefault="00367B53" w:rsidP="0031533C">
      <w:pPr>
        <w:keepNext/>
        <w:widowControl w:val="0"/>
        <w:ind w:left="1418" w:hanging="1418"/>
        <w:rPr>
          <w:rFonts w:eastAsia="MS Mincho"/>
          <w:b/>
          <w:sz w:val="22"/>
          <w:szCs w:val="22"/>
        </w:rPr>
      </w:pPr>
      <w:r w:rsidRPr="00B30A12">
        <w:rPr>
          <w:noProof/>
          <w:lang w:val="en-GB" w:eastAsia="en-GB"/>
        </w:rPr>
        <mc:AlternateContent>
          <mc:Choice Requires="wps">
            <w:drawing>
              <wp:anchor distT="0" distB="0" distL="114300" distR="114300" simplePos="0" relativeHeight="251658240" behindDoc="0" locked="0" layoutInCell="1" allowOverlap="1" wp14:anchorId="1EBA15D7" wp14:editId="63E4A3E2">
                <wp:simplePos x="0" y="0"/>
                <wp:positionH relativeFrom="column">
                  <wp:posOffset>-266700</wp:posOffset>
                </wp:positionH>
                <wp:positionV relativeFrom="paragraph">
                  <wp:posOffset>237490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9B3A4" w14:textId="77777777" w:rsidR="00055A65" w:rsidRPr="00BD7EE3" w:rsidRDefault="00055A65" w:rsidP="003A33A6">
                            <w:pPr>
                              <w:rPr>
                                <w:rFonts w:ascii="Arial" w:hAnsi="Arial" w:cs="Arial"/>
                              </w:rPr>
                            </w:pPr>
                            <w:r>
                              <w:rPr>
                                <w:rFonts w:ascii="Arial" w:hAnsi="Arial" w:cs="Arial"/>
                              </w:rPr>
                              <w:t>Wahrscheinlichkeit für Rezidiv-freies Überleben</w:t>
                            </w:r>
                          </w:p>
                          <w:p w14:paraId="60FD9ADB" w14:textId="77777777" w:rsidR="00055A65" w:rsidRPr="00A33DBA" w:rsidRDefault="00055A65" w:rsidP="003A33A6">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A15D7" id="_x0000_s1032" type="#_x0000_t202" style="position:absolute;left:0;text-align:left;margin-left:-21pt;margin-top:18.7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J3vtuvhAAAACQEAAA8AAABkcnMvZG93bnJldi54bWxMj0FLw0AUhO+C/2F5grd2&#10;t220MealiFAQBKG1LXp7zb4mwexuyG7b6K93e9LjMMPMN/liMK04ce8bZxEmYwWCbel0YyuEzfty&#10;lILwgaym1llG+GYPi+L6KqdMu7Nd8WkdKhFLrM8IoQ6hy6T0Zc2G/Nh1bKN3cL2hEGVfSd3TOZab&#10;Vk6VupeGGhsXaur4uebya300CJ+7n5S3Qb7RS5jNl7zxr4ePFPH2Znh6BBF4CH9huOBHdCgi094d&#10;rfaiRRgl0/glIMzmCYhLQD2A2CPcqUkCssjl/wfFLwAAAP//AwBQSwECLQAUAAYACAAAACEAtoM4&#10;kv4AAADhAQAAEwAAAAAAAAAAAAAAAAAAAAAAW0NvbnRlbnRfVHlwZXNdLnhtbFBLAQItABQABgAI&#10;AAAAIQA4/SH/1gAAAJQBAAALAAAAAAAAAAAAAAAAAC8BAABfcmVscy8ucmVsc1BLAQItABQABgAI&#10;AAAAIQDsZFhuFgIAABcEAAAOAAAAAAAAAAAAAAAAAC4CAABkcnMvZTJvRG9jLnhtbFBLAQItABQA&#10;BgAIAAAAIQCd77br4QAAAAkBAAAPAAAAAAAAAAAAAAAAAHAEAABkcnMvZG93bnJldi54bWxQSwUG&#10;AAAAAAQABADzAAAAfgUAAAAA&#10;" stroked="f">
                <v:fill opacity="0"/>
                <v:textbox style="layout-flow:vertical;mso-layout-flow-alt:bottom-to-top">
                  <w:txbxContent>
                    <w:p w14:paraId="7CC9B3A4" w14:textId="77777777" w:rsidR="00055A65" w:rsidRPr="00BD7EE3" w:rsidRDefault="00055A65" w:rsidP="003A33A6">
                      <w:pPr>
                        <w:rPr>
                          <w:rFonts w:ascii="Arial" w:hAnsi="Arial" w:cs="Arial"/>
                        </w:rPr>
                      </w:pPr>
                      <w:r>
                        <w:rPr>
                          <w:rFonts w:ascii="Arial" w:hAnsi="Arial" w:cs="Arial"/>
                        </w:rPr>
                        <w:t>Wahrscheinlichkeit für Rezidiv-freies Überleben</w:t>
                      </w:r>
                    </w:p>
                    <w:p w14:paraId="60FD9ADB" w14:textId="77777777" w:rsidR="00055A65" w:rsidRPr="00A33DBA" w:rsidRDefault="00055A65" w:rsidP="003A33A6">
                      <w:pPr>
                        <w:rPr>
                          <w:rFonts w:ascii="Arial" w:hAnsi="Arial" w:cs="Arial"/>
                        </w:rPr>
                      </w:pPr>
                    </w:p>
                  </w:txbxContent>
                </v:textbox>
              </v:shape>
            </w:pict>
          </mc:Fallback>
        </mc:AlternateContent>
      </w:r>
      <w:r w:rsidR="003A33A6" w:rsidRPr="00B30A12">
        <w:rPr>
          <w:rFonts w:eastAsia="MS Mincho"/>
          <w:b/>
          <w:sz w:val="22"/>
          <w:szCs w:val="22"/>
        </w:rPr>
        <w:t>Abbildung 1</w:t>
      </w:r>
      <w:r w:rsidR="003A33A6" w:rsidRPr="00B30A12">
        <w:rPr>
          <w:rFonts w:eastAsia="MS Mincho"/>
          <w:b/>
          <w:sz w:val="22"/>
          <w:szCs w:val="22"/>
        </w:rPr>
        <w:tab/>
        <w:t>Kaplan-Meier-Schätzung für den primären Endpunkt Rezidiv-freies Überleben (ITT-Population)</w:t>
      </w:r>
    </w:p>
    <w:p w14:paraId="618A3F8E" w14:textId="77777777" w:rsidR="003A33A6" w:rsidRPr="00B30A12" w:rsidRDefault="003A33A6" w:rsidP="0031533C">
      <w:pPr>
        <w:keepNext/>
        <w:widowControl w:val="0"/>
        <w:rPr>
          <w:rFonts w:eastAsia="MS Mincho"/>
          <w:sz w:val="22"/>
          <w:szCs w:val="22"/>
        </w:rPr>
      </w:pPr>
    </w:p>
    <w:p w14:paraId="0FB52177" w14:textId="77777777" w:rsidR="003A33A6" w:rsidRPr="00B30A12" w:rsidRDefault="00367B53" w:rsidP="0054140C">
      <w:pPr>
        <w:widowControl w:val="0"/>
        <w:ind w:left="1418" w:hanging="1418"/>
        <w:rPr>
          <w:rFonts w:eastAsia="MS Mincho"/>
          <w:sz w:val="22"/>
          <w:szCs w:val="22"/>
        </w:rPr>
      </w:pPr>
      <w:r w:rsidRPr="00B30A12">
        <w:rPr>
          <w:noProof/>
          <w:lang w:val="en-GB" w:eastAsia="en-GB"/>
        </w:rPr>
        <mc:AlternateContent>
          <mc:Choice Requires="wps">
            <w:drawing>
              <wp:anchor distT="0" distB="0" distL="114300" distR="114300" simplePos="0" relativeHeight="251659264" behindDoc="0" locked="0" layoutInCell="1" allowOverlap="1" wp14:anchorId="556FF994" wp14:editId="43C692DC">
                <wp:simplePos x="0" y="0"/>
                <wp:positionH relativeFrom="column">
                  <wp:posOffset>350520</wp:posOffset>
                </wp:positionH>
                <wp:positionV relativeFrom="paragraph">
                  <wp:posOffset>1156970</wp:posOffset>
                </wp:positionV>
                <wp:extent cx="4585335" cy="12763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552"/>
                              <w:gridCol w:w="763"/>
                              <w:gridCol w:w="739"/>
                              <w:gridCol w:w="850"/>
                            </w:tblGrid>
                            <w:tr w:rsidR="00055A65" w:rsidRPr="0055776F" w14:paraId="06B236DA" w14:textId="77777777" w:rsidTr="003048B7">
                              <w:trPr>
                                <w:gridAfter w:val="3"/>
                                <w:wAfter w:w="2352" w:type="dxa"/>
                              </w:trPr>
                              <w:tc>
                                <w:tcPr>
                                  <w:tcW w:w="3369" w:type="dxa"/>
                                  <w:gridSpan w:val="2"/>
                                  <w:shd w:val="clear" w:color="auto" w:fill="auto"/>
                                </w:tcPr>
                                <w:p w14:paraId="09B725CD" w14:textId="77777777" w:rsidR="00055A65" w:rsidRPr="0055776F" w:rsidRDefault="00055A65" w:rsidP="00117023">
                                  <w:pPr>
                                    <w:rPr>
                                      <w:rFonts w:ascii="Arial" w:hAnsi="Arial" w:cs="Arial"/>
                                    </w:rPr>
                                  </w:pPr>
                                  <w:r>
                                    <w:rPr>
                                      <w:rFonts w:ascii="Arial" w:hAnsi="Arial" w:cs="Arial"/>
                                    </w:rPr>
                                    <w:t>P &lt; 0,0001</w:t>
                                  </w:r>
                                </w:p>
                                <w:p w14:paraId="5231D1DC" w14:textId="77777777" w:rsidR="00055A65" w:rsidRPr="0055776F" w:rsidRDefault="00055A65" w:rsidP="00117023">
                                  <w:pPr>
                                    <w:rPr>
                                      <w:rFonts w:ascii="Arial" w:hAnsi="Arial" w:cs="Arial"/>
                                    </w:rPr>
                                  </w:pPr>
                                  <w:r>
                                    <w:rPr>
                                      <w:rFonts w:ascii="Arial" w:hAnsi="Arial" w:cs="Arial"/>
                                    </w:rPr>
                                    <w:t>Hazard ratio 0,</w:t>
                                  </w:r>
                                  <w:r w:rsidRPr="0055776F">
                                    <w:rPr>
                                      <w:rFonts w:ascii="Arial" w:hAnsi="Arial" w:cs="Arial"/>
                                    </w:rPr>
                                    <w:t>4</w:t>
                                  </w:r>
                                  <w:r>
                                    <w:rPr>
                                      <w:rFonts w:ascii="Arial" w:hAnsi="Arial" w:cs="Arial"/>
                                    </w:rPr>
                                    <w:t>6</w:t>
                                  </w:r>
                                </w:p>
                                <w:p w14:paraId="5C4CBB17" w14:textId="77777777" w:rsidR="00055A65" w:rsidRPr="0055776F" w:rsidRDefault="00055A65" w:rsidP="00117023">
                                  <w:pPr>
                                    <w:rPr>
                                      <w:rFonts w:ascii="Arial" w:hAnsi="Arial" w:cs="Arial"/>
                                    </w:rPr>
                                  </w:pPr>
                                  <w:r>
                                    <w:rPr>
                                      <w:rFonts w:ascii="Arial" w:hAnsi="Arial" w:cs="Arial"/>
                                    </w:rPr>
                                    <w:t>(95%-KI, 0,3</w:t>
                                  </w:r>
                                  <w:r w:rsidRPr="0055776F">
                                    <w:rPr>
                                      <w:rFonts w:ascii="Arial" w:hAnsi="Arial" w:cs="Arial"/>
                                    </w:rPr>
                                    <w:t>2</w:t>
                                  </w:r>
                                  <w:r>
                                    <w:rPr>
                                      <w:rFonts w:ascii="Arial" w:hAnsi="Arial" w:cs="Arial"/>
                                    </w:rPr>
                                    <w:noBreakHyphen/>
                                    <w:t>0,65</w:t>
                                  </w:r>
                                  <w:r w:rsidRPr="0055776F">
                                    <w:rPr>
                                      <w:rFonts w:ascii="Arial" w:hAnsi="Arial" w:cs="Arial"/>
                                    </w:rPr>
                                    <w:t>)</w:t>
                                  </w:r>
                                </w:p>
                              </w:tc>
                            </w:tr>
                            <w:tr w:rsidR="00055A65" w:rsidRPr="0055776F" w14:paraId="5CE63772" w14:textId="77777777" w:rsidTr="003048B7">
                              <w:tc>
                                <w:tcPr>
                                  <w:tcW w:w="817" w:type="dxa"/>
                                  <w:shd w:val="clear" w:color="auto" w:fill="auto"/>
                                </w:tcPr>
                                <w:p w14:paraId="7DEF0655" w14:textId="77777777" w:rsidR="00055A65" w:rsidRPr="0055776F" w:rsidRDefault="00055A65" w:rsidP="00FE0401">
                                  <w:pPr>
                                    <w:rPr>
                                      <w:rFonts w:ascii="Arial" w:hAnsi="Arial" w:cs="Arial"/>
                                    </w:rPr>
                                  </w:pPr>
                                </w:p>
                              </w:tc>
                              <w:tc>
                                <w:tcPr>
                                  <w:tcW w:w="2552" w:type="dxa"/>
                                  <w:shd w:val="clear" w:color="auto" w:fill="auto"/>
                                </w:tcPr>
                                <w:p w14:paraId="55D2F379" w14:textId="77777777" w:rsidR="00055A65" w:rsidRPr="0055776F" w:rsidRDefault="00055A65" w:rsidP="00FE0401">
                                  <w:pPr>
                                    <w:rPr>
                                      <w:rFonts w:ascii="Arial" w:hAnsi="Arial" w:cs="Arial"/>
                                    </w:rPr>
                                  </w:pPr>
                                </w:p>
                              </w:tc>
                              <w:tc>
                                <w:tcPr>
                                  <w:tcW w:w="763" w:type="dxa"/>
                                  <w:tcBorders>
                                    <w:bottom w:val="single" w:sz="4" w:space="0" w:color="auto"/>
                                  </w:tcBorders>
                                  <w:shd w:val="clear" w:color="auto" w:fill="auto"/>
                                </w:tcPr>
                                <w:p w14:paraId="18D347E5" w14:textId="77777777" w:rsidR="00055A65" w:rsidRPr="00200154" w:rsidRDefault="00055A65" w:rsidP="00FE0401">
                                  <w:pPr>
                                    <w:rPr>
                                      <w:rFonts w:ascii="Arial" w:hAnsi="Arial" w:cs="Arial"/>
                                    </w:rPr>
                                  </w:pPr>
                                  <w:r w:rsidRPr="00200154">
                                    <w:rPr>
                                      <w:rFonts w:ascii="Arial" w:hAnsi="Arial" w:cs="Arial"/>
                                    </w:rPr>
                                    <w:t>N</w:t>
                                  </w:r>
                                </w:p>
                              </w:tc>
                              <w:tc>
                                <w:tcPr>
                                  <w:tcW w:w="739" w:type="dxa"/>
                                  <w:tcBorders>
                                    <w:bottom w:val="single" w:sz="4" w:space="0" w:color="auto"/>
                                  </w:tcBorders>
                                  <w:shd w:val="clear" w:color="auto" w:fill="auto"/>
                                </w:tcPr>
                                <w:p w14:paraId="7C79D4FC" w14:textId="77777777" w:rsidR="00055A65" w:rsidRPr="00200154"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68ECBB9C" w14:textId="77777777" w:rsidR="00055A65" w:rsidRPr="00200154" w:rsidRDefault="00055A65" w:rsidP="00FE0401">
                                  <w:pPr>
                                    <w:rPr>
                                      <w:rFonts w:ascii="Arial" w:hAnsi="Arial" w:cs="Arial"/>
                                    </w:rPr>
                                  </w:pPr>
                                  <w:r w:rsidRPr="00200154">
                                    <w:rPr>
                                      <w:rFonts w:ascii="Arial" w:hAnsi="Arial" w:cs="Arial"/>
                                    </w:rPr>
                                    <w:t>Zens.</w:t>
                                  </w:r>
                                </w:p>
                              </w:tc>
                            </w:tr>
                            <w:tr w:rsidR="00055A65" w:rsidRPr="0055776F" w14:paraId="222A22C5" w14:textId="77777777" w:rsidTr="003048B7">
                              <w:tc>
                                <w:tcPr>
                                  <w:tcW w:w="817" w:type="dxa"/>
                                  <w:shd w:val="clear" w:color="auto" w:fill="auto"/>
                                </w:tcPr>
                                <w:p w14:paraId="06EA0036" w14:textId="77777777" w:rsidR="00055A65" w:rsidRPr="0055776F" w:rsidRDefault="00055A65" w:rsidP="00FE0401">
                                  <w:pPr>
                                    <w:rPr>
                                      <w:rFonts w:ascii="Arial" w:hAnsi="Arial" w:cs="Arial"/>
                                    </w:rPr>
                                  </w:pPr>
                                  <w:r w:rsidRPr="0055776F">
                                    <w:rPr>
                                      <w:rFonts w:ascii="Arial" w:hAnsi="Arial" w:cs="Arial"/>
                                      <w:b/>
                                    </w:rPr>
                                    <w:t>——</w:t>
                                  </w:r>
                                </w:p>
                              </w:tc>
                              <w:tc>
                                <w:tcPr>
                                  <w:tcW w:w="2552" w:type="dxa"/>
                                  <w:shd w:val="clear" w:color="auto" w:fill="auto"/>
                                </w:tcPr>
                                <w:p w14:paraId="5A16CB64"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763" w:type="dxa"/>
                                  <w:tcBorders>
                                    <w:top w:val="single" w:sz="4" w:space="0" w:color="auto"/>
                                  </w:tcBorders>
                                  <w:shd w:val="clear" w:color="auto" w:fill="auto"/>
                                </w:tcPr>
                                <w:p w14:paraId="3785A8E0" w14:textId="77777777" w:rsidR="00055A65" w:rsidRPr="0055776F" w:rsidRDefault="00055A65" w:rsidP="00FE0401">
                                  <w:pPr>
                                    <w:rPr>
                                      <w:rFonts w:ascii="Arial" w:hAnsi="Arial" w:cs="Arial"/>
                                    </w:rPr>
                                  </w:pPr>
                                  <w:r w:rsidRPr="0055776F">
                                    <w:rPr>
                                      <w:rFonts w:ascii="Arial" w:hAnsi="Arial" w:cs="Arial"/>
                                    </w:rPr>
                                    <w:t>199</w:t>
                                  </w:r>
                                </w:p>
                              </w:tc>
                              <w:tc>
                                <w:tcPr>
                                  <w:tcW w:w="739" w:type="dxa"/>
                                  <w:tcBorders>
                                    <w:top w:val="single" w:sz="4" w:space="0" w:color="auto"/>
                                  </w:tcBorders>
                                  <w:shd w:val="clear" w:color="auto" w:fill="auto"/>
                                </w:tcPr>
                                <w:p w14:paraId="1DAC6248" w14:textId="77777777" w:rsidR="00055A65" w:rsidRPr="0055776F" w:rsidRDefault="00055A65" w:rsidP="00FE0401">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794333E0" w14:textId="77777777" w:rsidR="00055A65" w:rsidRPr="0055776F" w:rsidRDefault="00055A65" w:rsidP="00FE0401">
                                  <w:pPr>
                                    <w:rPr>
                                      <w:rFonts w:ascii="Arial" w:hAnsi="Arial" w:cs="Arial"/>
                                    </w:rPr>
                                  </w:pPr>
                                  <w:r w:rsidRPr="0055776F">
                                    <w:rPr>
                                      <w:rFonts w:ascii="Arial" w:hAnsi="Arial" w:cs="Arial"/>
                                    </w:rPr>
                                    <w:t>115</w:t>
                                  </w:r>
                                </w:p>
                              </w:tc>
                            </w:tr>
                            <w:tr w:rsidR="00055A65" w:rsidRPr="0055776F" w14:paraId="1638069D" w14:textId="77777777" w:rsidTr="003048B7">
                              <w:tc>
                                <w:tcPr>
                                  <w:tcW w:w="817" w:type="dxa"/>
                                  <w:shd w:val="clear" w:color="auto" w:fill="auto"/>
                                </w:tcPr>
                                <w:p w14:paraId="4584A5ED"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0CDE3E15"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763" w:type="dxa"/>
                                  <w:tcBorders>
                                    <w:bottom w:val="single" w:sz="4" w:space="0" w:color="auto"/>
                                  </w:tcBorders>
                                  <w:shd w:val="clear" w:color="auto" w:fill="auto"/>
                                </w:tcPr>
                                <w:p w14:paraId="45005BF5" w14:textId="77777777" w:rsidR="00055A65" w:rsidRPr="0055776F" w:rsidRDefault="00055A65" w:rsidP="00FE0401">
                                  <w:pPr>
                                    <w:rPr>
                                      <w:rFonts w:ascii="Arial" w:hAnsi="Arial" w:cs="Arial"/>
                                    </w:rPr>
                                  </w:pPr>
                                  <w:r w:rsidRPr="0055776F">
                                    <w:rPr>
                                      <w:rFonts w:ascii="Arial" w:hAnsi="Arial" w:cs="Arial"/>
                                    </w:rPr>
                                    <w:t>198</w:t>
                                  </w:r>
                                </w:p>
                              </w:tc>
                              <w:tc>
                                <w:tcPr>
                                  <w:tcW w:w="739" w:type="dxa"/>
                                  <w:tcBorders>
                                    <w:bottom w:val="single" w:sz="4" w:space="0" w:color="auto"/>
                                  </w:tcBorders>
                                  <w:shd w:val="clear" w:color="auto" w:fill="auto"/>
                                </w:tcPr>
                                <w:p w14:paraId="39D4A5EA" w14:textId="77777777" w:rsidR="00055A65" w:rsidRPr="0055776F" w:rsidRDefault="00055A65" w:rsidP="00FE0401">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2DEDC8AB" w14:textId="77777777" w:rsidR="00055A65" w:rsidRPr="0055776F" w:rsidRDefault="00055A65" w:rsidP="00FE0401">
                                  <w:pPr>
                                    <w:rPr>
                                      <w:rFonts w:ascii="Arial" w:hAnsi="Arial" w:cs="Arial"/>
                                    </w:rPr>
                                  </w:pPr>
                                  <w:r w:rsidRPr="0055776F">
                                    <w:rPr>
                                      <w:rFonts w:ascii="Arial" w:hAnsi="Arial" w:cs="Arial"/>
                                    </w:rPr>
                                    <w:t>148</w:t>
                                  </w:r>
                                </w:p>
                              </w:tc>
                            </w:tr>
                            <w:tr w:rsidR="00055A65" w:rsidRPr="0055776F" w14:paraId="232400A3" w14:textId="77777777" w:rsidTr="003048B7">
                              <w:tc>
                                <w:tcPr>
                                  <w:tcW w:w="817" w:type="dxa"/>
                                  <w:shd w:val="clear" w:color="auto" w:fill="auto"/>
                                </w:tcPr>
                                <w:p w14:paraId="7E627B3D"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231EDAEF" w14:textId="77777777" w:rsidR="00055A65" w:rsidRPr="0055776F" w:rsidRDefault="00055A65" w:rsidP="00FE0401">
                                  <w:pPr>
                                    <w:rPr>
                                      <w:rFonts w:ascii="Arial" w:hAnsi="Arial" w:cs="Arial"/>
                                    </w:rPr>
                                  </w:pPr>
                                  <w:r w:rsidRPr="008558E7">
                                    <w:rPr>
                                      <w:rFonts w:ascii="Arial" w:hAnsi="Arial" w:cs="Arial"/>
                                    </w:rPr>
                                    <w:t>zensierte Beobachtungen</w:t>
                                  </w:r>
                                </w:p>
                              </w:tc>
                              <w:tc>
                                <w:tcPr>
                                  <w:tcW w:w="763" w:type="dxa"/>
                                  <w:tcBorders>
                                    <w:top w:val="single" w:sz="4" w:space="0" w:color="auto"/>
                                  </w:tcBorders>
                                  <w:shd w:val="clear" w:color="auto" w:fill="auto"/>
                                </w:tcPr>
                                <w:p w14:paraId="71C1BB64" w14:textId="77777777" w:rsidR="00055A65" w:rsidRPr="0055776F" w:rsidRDefault="00055A65" w:rsidP="00FE0401">
                                  <w:pPr>
                                    <w:rPr>
                                      <w:rFonts w:ascii="Arial" w:hAnsi="Arial" w:cs="Arial"/>
                                    </w:rPr>
                                  </w:pPr>
                                </w:p>
                              </w:tc>
                              <w:tc>
                                <w:tcPr>
                                  <w:tcW w:w="739" w:type="dxa"/>
                                  <w:tcBorders>
                                    <w:top w:val="single" w:sz="4" w:space="0" w:color="auto"/>
                                  </w:tcBorders>
                                  <w:shd w:val="clear" w:color="auto" w:fill="auto"/>
                                </w:tcPr>
                                <w:p w14:paraId="303EF0DA"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79AAA90B" w14:textId="77777777" w:rsidR="00055A65" w:rsidRPr="0055776F" w:rsidRDefault="00055A65" w:rsidP="00FE0401">
                                  <w:pPr>
                                    <w:rPr>
                                      <w:rFonts w:ascii="Arial" w:hAnsi="Arial" w:cs="Arial"/>
                                    </w:rPr>
                                  </w:pPr>
                                </w:p>
                              </w:tc>
                            </w:tr>
                          </w:tbl>
                          <w:p w14:paraId="37392796" w14:textId="77777777" w:rsidR="00055A65" w:rsidRPr="00A33DBA" w:rsidRDefault="00055A65" w:rsidP="003A33A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FF994" id="_x0000_s1033" type="#_x0000_t202" style="position:absolute;left:0;text-align:left;margin-left:27.6pt;margin-top:91.1pt;width:361.0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l09gEAAM8DAAAOAAAAZHJzL2Uyb0RvYy54bWysU9tu2zAMfR+wfxD0vjjXpjXiFF2LDgO6&#10;C9DuAxhZjoXZokYpsbOvHyUnWbq9DXsRxIsODw+p1W3fNmKvyRu0hZyMxlJoq7A0dlvIby+P766l&#10;8AFsCQ1aXciD9vJ2/fbNqnO5nmKNTalJMIj1eecKWYfg8izzqtYt+BE6bTlYIbUQ2KRtVhJ0jN42&#10;2XQ8vso6pNIRKu09ex+GoFwn/KrSKnypKq+DaArJ3EI6KZ2beGbrFeRbAlcbdaQB/8CiBWO56Bnq&#10;AQKIHZm/oFqjCD1WYaSwzbCqjNKpB+5mMv6jm+canE69sDjenWXy/w9Wfd5/JWFKnt1CCgstz+hF&#10;90G8x15Mozyd8zlnPTvOCz27OTW16t0Tqu9eWLyvwW71HRF2tYaS6U3iy+zi6YDjI8im+4Qll4Fd&#10;wATUV9RG7VgNweg8psN5NJGKYud8cb2YzZii4thkuryaLdLwMshPzx358EFjK+KlkMSzT/Cwf/Ih&#10;0oH8lBKrWXw0TZPm39hXDk6MnkQ/Mh64h37TJ6GWJ1U2WB64H8Jhq/gX8KVG+ilFxxtVSP9jB6Sl&#10;aD5a1uRmMp/HFUzGfLGcskGXkc1lBKxiqEIGKYbrfRjWdufIbGuuNEzB4h3rWJnUYRR8YHWkz1uT&#10;Gj9ueFzLSztl/f6H618AAAD//wMAUEsDBBQABgAIAAAAIQDHifVh3QAAAAoBAAAPAAAAZHJzL2Rv&#10;d25yZXYueG1sTI9NT4QwEIbvJv6HZky8ua0ggkjZGI1XjatusrcunQUinRLaXfDfO570Nh9P3nmm&#10;Wi9uECecQu9Jw/VKgUBqvO2p1fDx/nxVgAjRkDWDJ9TwjQHW9flZZUrrZ3rD0ya2gkMolEZDF+NY&#10;ShmaDp0JKz8i8e7gJ2cit1Mr7WRmDneDTJS6lc70xBc6M+Jjh83X5ug0fL4cdtsb9do+uWyc/aIk&#10;uTup9eXF8nAPIuIS/2D41Wd1qNlp749kgxg0ZFnCJM+LhAsG8jxPQew1pEWagKwr+f+F+gcAAP//&#10;AwBQSwECLQAUAAYACAAAACEAtoM4kv4AAADhAQAAEwAAAAAAAAAAAAAAAAAAAAAAW0NvbnRlbnRf&#10;VHlwZXNdLnhtbFBLAQItABQABgAIAAAAIQA4/SH/1gAAAJQBAAALAAAAAAAAAAAAAAAAAC8BAABf&#10;cmVscy8ucmVsc1BLAQItABQABgAIAAAAIQDVwcl09gEAAM8DAAAOAAAAAAAAAAAAAAAAAC4CAABk&#10;cnMvZTJvRG9jLnhtbFBLAQItABQABgAIAAAAIQDHifVh3QAAAAoBAAAPAAAAAAAAAAAAAAAAAFAE&#10;AABkcnMvZG93bnJldi54bWxQSwUGAAAAAAQABADzAAAAWgUAAAAA&#10;" filled="f" stroked="f">
                <v:textbox>
                  <w:txbxContent>
                    <w:tbl>
                      <w:tblPr>
                        <w:tblW w:w="0" w:type="auto"/>
                        <w:tblLook w:val="04A0" w:firstRow="1" w:lastRow="0" w:firstColumn="1" w:lastColumn="0" w:noHBand="0" w:noVBand="1"/>
                      </w:tblPr>
                      <w:tblGrid>
                        <w:gridCol w:w="817"/>
                        <w:gridCol w:w="2552"/>
                        <w:gridCol w:w="763"/>
                        <w:gridCol w:w="739"/>
                        <w:gridCol w:w="850"/>
                      </w:tblGrid>
                      <w:tr w:rsidR="00055A65" w:rsidRPr="0055776F" w14:paraId="06B236DA" w14:textId="77777777" w:rsidTr="003048B7">
                        <w:trPr>
                          <w:gridAfter w:val="3"/>
                          <w:wAfter w:w="2352" w:type="dxa"/>
                        </w:trPr>
                        <w:tc>
                          <w:tcPr>
                            <w:tcW w:w="3369" w:type="dxa"/>
                            <w:gridSpan w:val="2"/>
                            <w:shd w:val="clear" w:color="auto" w:fill="auto"/>
                          </w:tcPr>
                          <w:p w14:paraId="09B725CD" w14:textId="77777777" w:rsidR="00055A65" w:rsidRPr="0055776F" w:rsidRDefault="00055A65" w:rsidP="00117023">
                            <w:pPr>
                              <w:rPr>
                                <w:rFonts w:ascii="Arial" w:hAnsi="Arial" w:cs="Arial"/>
                              </w:rPr>
                            </w:pPr>
                            <w:r>
                              <w:rPr>
                                <w:rFonts w:ascii="Arial" w:hAnsi="Arial" w:cs="Arial"/>
                              </w:rPr>
                              <w:t>P &lt; 0,0001</w:t>
                            </w:r>
                          </w:p>
                          <w:p w14:paraId="5231D1DC" w14:textId="77777777" w:rsidR="00055A65" w:rsidRPr="0055776F" w:rsidRDefault="00055A65" w:rsidP="00117023">
                            <w:pPr>
                              <w:rPr>
                                <w:rFonts w:ascii="Arial" w:hAnsi="Arial" w:cs="Arial"/>
                              </w:rPr>
                            </w:pPr>
                            <w:r>
                              <w:rPr>
                                <w:rFonts w:ascii="Arial" w:hAnsi="Arial" w:cs="Arial"/>
                              </w:rPr>
                              <w:t>Hazard ratio 0,</w:t>
                            </w:r>
                            <w:r w:rsidRPr="0055776F">
                              <w:rPr>
                                <w:rFonts w:ascii="Arial" w:hAnsi="Arial" w:cs="Arial"/>
                              </w:rPr>
                              <w:t>4</w:t>
                            </w:r>
                            <w:r>
                              <w:rPr>
                                <w:rFonts w:ascii="Arial" w:hAnsi="Arial" w:cs="Arial"/>
                              </w:rPr>
                              <w:t>6</w:t>
                            </w:r>
                          </w:p>
                          <w:p w14:paraId="5C4CBB17" w14:textId="77777777" w:rsidR="00055A65" w:rsidRPr="0055776F" w:rsidRDefault="00055A65" w:rsidP="00117023">
                            <w:pPr>
                              <w:rPr>
                                <w:rFonts w:ascii="Arial" w:hAnsi="Arial" w:cs="Arial"/>
                              </w:rPr>
                            </w:pPr>
                            <w:r>
                              <w:rPr>
                                <w:rFonts w:ascii="Arial" w:hAnsi="Arial" w:cs="Arial"/>
                              </w:rPr>
                              <w:t>(95%-KI, 0,3</w:t>
                            </w:r>
                            <w:r w:rsidRPr="0055776F">
                              <w:rPr>
                                <w:rFonts w:ascii="Arial" w:hAnsi="Arial" w:cs="Arial"/>
                              </w:rPr>
                              <w:t>2</w:t>
                            </w:r>
                            <w:r>
                              <w:rPr>
                                <w:rFonts w:ascii="Arial" w:hAnsi="Arial" w:cs="Arial"/>
                              </w:rPr>
                              <w:noBreakHyphen/>
                              <w:t>0,65</w:t>
                            </w:r>
                            <w:r w:rsidRPr="0055776F">
                              <w:rPr>
                                <w:rFonts w:ascii="Arial" w:hAnsi="Arial" w:cs="Arial"/>
                              </w:rPr>
                              <w:t>)</w:t>
                            </w:r>
                          </w:p>
                        </w:tc>
                      </w:tr>
                      <w:tr w:rsidR="00055A65" w:rsidRPr="0055776F" w14:paraId="5CE63772" w14:textId="77777777" w:rsidTr="003048B7">
                        <w:tc>
                          <w:tcPr>
                            <w:tcW w:w="817" w:type="dxa"/>
                            <w:shd w:val="clear" w:color="auto" w:fill="auto"/>
                          </w:tcPr>
                          <w:p w14:paraId="7DEF0655" w14:textId="77777777" w:rsidR="00055A65" w:rsidRPr="0055776F" w:rsidRDefault="00055A65" w:rsidP="00FE0401">
                            <w:pPr>
                              <w:rPr>
                                <w:rFonts w:ascii="Arial" w:hAnsi="Arial" w:cs="Arial"/>
                              </w:rPr>
                            </w:pPr>
                          </w:p>
                        </w:tc>
                        <w:tc>
                          <w:tcPr>
                            <w:tcW w:w="2552" w:type="dxa"/>
                            <w:shd w:val="clear" w:color="auto" w:fill="auto"/>
                          </w:tcPr>
                          <w:p w14:paraId="55D2F379" w14:textId="77777777" w:rsidR="00055A65" w:rsidRPr="0055776F" w:rsidRDefault="00055A65" w:rsidP="00FE0401">
                            <w:pPr>
                              <w:rPr>
                                <w:rFonts w:ascii="Arial" w:hAnsi="Arial" w:cs="Arial"/>
                              </w:rPr>
                            </w:pPr>
                          </w:p>
                        </w:tc>
                        <w:tc>
                          <w:tcPr>
                            <w:tcW w:w="763" w:type="dxa"/>
                            <w:tcBorders>
                              <w:bottom w:val="single" w:sz="4" w:space="0" w:color="auto"/>
                            </w:tcBorders>
                            <w:shd w:val="clear" w:color="auto" w:fill="auto"/>
                          </w:tcPr>
                          <w:p w14:paraId="18D347E5" w14:textId="77777777" w:rsidR="00055A65" w:rsidRPr="00200154" w:rsidRDefault="00055A65" w:rsidP="00FE0401">
                            <w:pPr>
                              <w:rPr>
                                <w:rFonts w:ascii="Arial" w:hAnsi="Arial" w:cs="Arial"/>
                              </w:rPr>
                            </w:pPr>
                            <w:r w:rsidRPr="00200154">
                              <w:rPr>
                                <w:rFonts w:ascii="Arial" w:hAnsi="Arial" w:cs="Arial"/>
                              </w:rPr>
                              <w:t>N</w:t>
                            </w:r>
                          </w:p>
                        </w:tc>
                        <w:tc>
                          <w:tcPr>
                            <w:tcW w:w="739" w:type="dxa"/>
                            <w:tcBorders>
                              <w:bottom w:val="single" w:sz="4" w:space="0" w:color="auto"/>
                            </w:tcBorders>
                            <w:shd w:val="clear" w:color="auto" w:fill="auto"/>
                          </w:tcPr>
                          <w:p w14:paraId="7C79D4FC" w14:textId="77777777" w:rsidR="00055A65" w:rsidRPr="00200154"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68ECBB9C" w14:textId="77777777" w:rsidR="00055A65" w:rsidRPr="00200154" w:rsidRDefault="00055A65" w:rsidP="00FE0401">
                            <w:pPr>
                              <w:rPr>
                                <w:rFonts w:ascii="Arial" w:hAnsi="Arial" w:cs="Arial"/>
                              </w:rPr>
                            </w:pPr>
                            <w:r w:rsidRPr="00200154">
                              <w:rPr>
                                <w:rFonts w:ascii="Arial" w:hAnsi="Arial" w:cs="Arial"/>
                              </w:rPr>
                              <w:t>Zens.</w:t>
                            </w:r>
                          </w:p>
                        </w:tc>
                      </w:tr>
                      <w:tr w:rsidR="00055A65" w:rsidRPr="0055776F" w14:paraId="222A22C5" w14:textId="77777777" w:rsidTr="003048B7">
                        <w:tc>
                          <w:tcPr>
                            <w:tcW w:w="817" w:type="dxa"/>
                            <w:shd w:val="clear" w:color="auto" w:fill="auto"/>
                          </w:tcPr>
                          <w:p w14:paraId="06EA0036" w14:textId="77777777" w:rsidR="00055A65" w:rsidRPr="0055776F" w:rsidRDefault="00055A65" w:rsidP="00FE0401">
                            <w:pPr>
                              <w:rPr>
                                <w:rFonts w:ascii="Arial" w:hAnsi="Arial" w:cs="Arial"/>
                              </w:rPr>
                            </w:pPr>
                            <w:r w:rsidRPr="0055776F">
                              <w:rPr>
                                <w:rFonts w:ascii="Arial" w:hAnsi="Arial" w:cs="Arial"/>
                                <w:b/>
                              </w:rPr>
                              <w:t>——</w:t>
                            </w:r>
                          </w:p>
                        </w:tc>
                        <w:tc>
                          <w:tcPr>
                            <w:tcW w:w="2552" w:type="dxa"/>
                            <w:shd w:val="clear" w:color="auto" w:fill="auto"/>
                          </w:tcPr>
                          <w:p w14:paraId="5A16CB64"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763" w:type="dxa"/>
                            <w:tcBorders>
                              <w:top w:val="single" w:sz="4" w:space="0" w:color="auto"/>
                            </w:tcBorders>
                            <w:shd w:val="clear" w:color="auto" w:fill="auto"/>
                          </w:tcPr>
                          <w:p w14:paraId="3785A8E0" w14:textId="77777777" w:rsidR="00055A65" w:rsidRPr="0055776F" w:rsidRDefault="00055A65" w:rsidP="00FE0401">
                            <w:pPr>
                              <w:rPr>
                                <w:rFonts w:ascii="Arial" w:hAnsi="Arial" w:cs="Arial"/>
                              </w:rPr>
                            </w:pPr>
                            <w:r w:rsidRPr="0055776F">
                              <w:rPr>
                                <w:rFonts w:ascii="Arial" w:hAnsi="Arial" w:cs="Arial"/>
                              </w:rPr>
                              <w:t>199</w:t>
                            </w:r>
                          </w:p>
                        </w:tc>
                        <w:tc>
                          <w:tcPr>
                            <w:tcW w:w="739" w:type="dxa"/>
                            <w:tcBorders>
                              <w:top w:val="single" w:sz="4" w:space="0" w:color="auto"/>
                            </w:tcBorders>
                            <w:shd w:val="clear" w:color="auto" w:fill="auto"/>
                          </w:tcPr>
                          <w:p w14:paraId="1DAC6248" w14:textId="77777777" w:rsidR="00055A65" w:rsidRPr="0055776F" w:rsidRDefault="00055A65" w:rsidP="00FE0401">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794333E0" w14:textId="77777777" w:rsidR="00055A65" w:rsidRPr="0055776F" w:rsidRDefault="00055A65" w:rsidP="00FE0401">
                            <w:pPr>
                              <w:rPr>
                                <w:rFonts w:ascii="Arial" w:hAnsi="Arial" w:cs="Arial"/>
                              </w:rPr>
                            </w:pPr>
                            <w:r w:rsidRPr="0055776F">
                              <w:rPr>
                                <w:rFonts w:ascii="Arial" w:hAnsi="Arial" w:cs="Arial"/>
                              </w:rPr>
                              <w:t>115</w:t>
                            </w:r>
                          </w:p>
                        </w:tc>
                      </w:tr>
                      <w:tr w:rsidR="00055A65" w:rsidRPr="0055776F" w14:paraId="1638069D" w14:textId="77777777" w:rsidTr="003048B7">
                        <w:tc>
                          <w:tcPr>
                            <w:tcW w:w="817" w:type="dxa"/>
                            <w:shd w:val="clear" w:color="auto" w:fill="auto"/>
                          </w:tcPr>
                          <w:p w14:paraId="4584A5ED"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0CDE3E15"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763" w:type="dxa"/>
                            <w:tcBorders>
                              <w:bottom w:val="single" w:sz="4" w:space="0" w:color="auto"/>
                            </w:tcBorders>
                            <w:shd w:val="clear" w:color="auto" w:fill="auto"/>
                          </w:tcPr>
                          <w:p w14:paraId="45005BF5" w14:textId="77777777" w:rsidR="00055A65" w:rsidRPr="0055776F" w:rsidRDefault="00055A65" w:rsidP="00FE0401">
                            <w:pPr>
                              <w:rPr>
                                <w:rFonts w:ascii="Arial" w:hAnsi="Arial" w:cs="Arial"/>
                              </w:rPr>
                            </w:pPr>
                            <w:r w:rsidRPr="0055776F">
                              <w:rPr>
                                <w:rFonts w:ascii="Arial" w:hAnsi="Arial" w:cs="Arial"/>
                              </w:rPr>
                              <w:t>198</w:t>
                            </w:r>
                          </w:p>
                        </w:tc>
                        <w:tc>
                          <w:tcPr>
                            <w:tcW w:w="739" w:type="dxa"/>
                            <w:tcBorders>
                              <w:bottom w:val="single" w:sz="4" w:space="0" w:color="auto"/>
                            </w:tcBorders>
                            <w:shd w:val="clear" w:color="auto" w:fill="auto"/>
                          </w:tcPr>
                          <w:p w14:paraId="39D4A5EA" w14:textId="77777777" w:rsidR="00055A65" w:rsidRPr="0055776F" w:rsidRDefault="00055A65" w:rsidP="00FE0401">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2DEDC8AB" w14:textId="77777777" w:rsidR="00055A65" w:rsidRPr="0055776F" w:rsidRDefault="00055A65" w:rsidP="00FE0401">
                            <w:pPr>
                              <w:rPr>
                                <w:rFonts w:ascii="Arial" w:hAnsi="Arial" w:cs="Arial"/>
                              </w:rPr>
                            </w:pPr>
                            <w:r w:rsidRPr="0055776F">
                              <w:rPr>
                                <w:rFonts w:ascii="Arial" w:hAnsi="Arial" w:cs="Arial"/>
                              </w:rPr>
                              <w:t>148</w:t>
                            </w:r>
                          </w:p>
                        </w:tc>
                      </w:tr>
                      <w:tr w:rsidR="00055A65" w:rsidRPr="0055776F" w14:paraId="232400A3" w14:textId="77777777" w:rsidTr="003048B7">
                        <w:tc>
                          <w:tcPr>
                            <w:tcW w:w="817" w:type="dxa"/>
                            <w:shd w:val="clear" w:color="auto" w:fill="auto"/>
                          </w:tcPr>
                          <w:p w14:paraId="7E627B3D" w14:textId="77777777" w:rsidR="00055A65" w:rsidRPr="0055776F" w:rsidRDefault="00055A65" w:rsidP="00FE0401">
                            <w:pPr>
                              <w:rPr>
                                <w:rFonts w:ascii="Arial" w:hAnsi="Arial" w:cs="Arial"/>
                              </w:rPr>
                            </w:pPr>
                            <w:r w:rsidRPr="0055776F">
                              <w:rPr>
                                <w:rFonts w:ascii="Arial" w:hAnsi="Arial" w:cs="Arial"/>
                              </w:rPr>
                              <w:t>│││</w:t>
                            </w:r>
                          </w:p>
                        </w:tc>
                        <w:tc>
                          <w:tcPr>
                            <w:tcW w:w="2552" w:type="dxa"/>
                            <w:shd w:val="clear" w:color="auto" w:fill="auto"/>
                          </w:tcPr>
                          <w:p w14:paraId="231EDAEF" w14:textId="77777777" w:rsidR="00055A65" w:rsidRPr="0055776F" w:rsidRDefault="00055A65" w:rsidP="00FE0401">
                            <w:pPr>
                              <w:rPr>
                                <w:rFonts w:ascii="Arial" w:hAnsi="Arial" w:cs="Arial"/>
                              </w:rPr>
                            </w:pPr>
                            <w:r w:rsidRPr="008558E7">
                              <w:rPr>
                                <w:rFonts w:ascii="Arial" w:hAnsi="Arial" w:cs="Arial"/>
                              </w:rPr>
                              <w:t>zensierte Beobachtungen</w:t>
                            </w:r>
                          </w:p>
                        </w:tc>
                        <w:tc>
                          <w:tcPr>
                            <w:tcW w:w="763" w:type="dxa"/>
                            <w:tcBorders>
                              <w:top w:val="single" w:sz="4" w:space="0" w:color="auto"/>
                            </w:tcBorders>
                            <w:shd w:val="clear" w:color="auto" w:fill="auto"/>
                          </w:tcPr>
                          <w:p w14:paraId="71C1BB64" w14:textId="77777777" w:rsidR="00055A65" w:rsidRPr="0055776F" w:rsidRDefault="00055A65" w:rsidP="00FE0401">
                            <w:pPr>
                              <w:rPr>
                                <w:rFonts w:ascii="Arial" w:hAnsi="Arial" w:cs="Arial"/>
                              </w:rPr>
                            </w:pPr>
                          </w:p>
                        </w:tc>
                        <w:tc>
                          <w:tcPr>
                            <w:tcW w:w="739" w:type="dxa"/>
                            <w:tcBorders>
                              <w:top w:val="single" w:sz="4" w:space="0" w:color="auto"/>
                            </w:tcBorders>
                            <w:shd w:val="clear" w:color="auto" w:fill="auto"/>
                          </w:tcPr>
                          <w:p w14:paraId="303EF0DA"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79AAA90B" w14:textId="77777777" w:rsidR="00055A65" w:rsidRPr="0055776F" w:rsidRDefault="00055A65" w:rsidP="00FE0401">
                            <w:pPr>
                              <w:rPr>
                                <w:rFonts w:ascii="Arial" w:hAnsi="Arial" w:cs="Arial"/>
                              </w:rPr>
                            </w:pPr>
                          </w:p>
                        </w:tc>
                      </w:tr>
                    </w:tbl>
                    <w:p w14:paraId="37392796" w14:textId="77777777" w:rsidR="00055A65" w:rsidRPr="00A33DBA" w:rsidRDefault="00055A65" w:rsidP="003A33A6">
                      <w:pPr>
                        <w:rPr>
                          <w:rFonts w:ascii="Arial" w:hAnsi="Arial" w:cs="Arial"/>
                        </w:rPr>
                      </w:pPr>
                    </w:p>
                  </w:txbxContent>
                </v:textbox>
              </v:shape>
            </w:pict>
          </mc:Fallback>
        </mc:AlternateContent>
      </w:r>
      <w:r w:rsidRPr="00B30A12">
        <w:rPr>
          <w:noProof/>
          <w:lang w:val="en-GB" w:eastAsia="en-GB"/>
        </w:rPr>
        <w:drawing>
          <wp:inline distT="0" distB="0" distL="0" distR="0" wp14:anchorId="33FCD192" wp14:editId="0500AB1B">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2D17932" w14:textId="77777777" w:rsidR="003A33A6" w:rsidRPr="00B30A12" w:rsidRDefault="00367B53" w:rsidP="0054140C">
      <w:pPr>
        <w:widowControl w:val="0"/>
        <w:ind w:left="1418" w:hanging="1418"/>
        <w:rPr>
          <w:rFonts w:eastAsia="MS Mincho"/>
          <w:sz w:val="22"/>
          <w:szCs w:val="22"/>
        </w:rPr>
      </w:pPr>
      <w:r w:rsidRPr="00B30A12">
        <w:rPr>
          <w:noProof/>
          <w:lang w:val="en-GB" w:eastAsia="en-GB"/>
        </w:rPr>
        <mc:AlternateContent>
          <mc:Choice Requires="wps">
            <w:drawing>
              <wp:anchor distT="0" distB="0" distL="114300" distR="114300" simplePos="0" relativeHeight="251660288" behindDoc="0" locked="0" layoutInCell="1" allowOverlap="1" wp14:anchorId="05B0CEDA" wp14:editId="6AFC42D5">
                <wp:simplePos x="0" y="0"/>
                <wp:positionH relativeFrom="column">
                  <wp:posOffset>1929765</wp:posOffset>
                </wp:positionH>
                <wp:positionV relativeFrom="paragraph">
                  <wp:posOffset>26035</wp:posOffset>
                </wp:positionV>
                <wp:extent cx="1950085" cy="3263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3263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EF2C9" w14:textId="77777777" w:rsidR="00055A65" w:rsidRPr="00A33DBA" w:rsidRDefault="00055A65" w:rsidP="003A33A6">
                            <w:pPr>
                              <w:rPr>
                                <w:rFonts w:ascii="Arial" w:hAnsi="Arial" w:cs="Arial"/>
                              </w:rPr>
                            </w:pPr>
                            <w:r>
                              <w:rPr>
                                <w:rFonts w:ascii="Arial" w:hAnsi="Arial" w:cs="Arial"/>
                              </w:rPr>
                              <w:t>Überlebenszeit in Monaten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0CEDA" id="_x0000_s1034" type="#_x0000_t202" style="position:absolute;left:0;text-align:left;margin-left:151.95pt;margin-top:2.05pt;width:153.55pt;height: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fKFQIAABQEAAAOAAAAZHJzL2Uyb0RvYy54bWysU9tu2zAMfR+wfxD0vthJky4x4hRdigwD&#10;ugvQ7gNkWY6F2aJGKbG7rx8lJVm2vQ3TgyCK1CF5DrW+G/uOHRU6Dabk00nOmTISam32Jf/6vHuz&#10;5Mx5YWrRgVElf1GO321ev1oPtlAzaKGrFTICMa4YbMlb722RZU62qhduAlYZcjaAvfBk4j6rUQyE&#10;3nfZLM9vswGwtghSOUe3D8nJNxG/aZT0n5vGKc+6klNtPu4Y9yrs2WYtij0K22p5KkP8QxW90IaS&#10;XqAehBfsgPovqF5LBAeNn0joM2gaLVXsgbqZ5n9089QKq2IvRI6zF5rc/4OVn45fkOmatJtzZkRP&#10;Gj2r0bN3MLJZoGewrqCoJ0txfqRrCo2tOvsI8ptjBratMHt1jwhDq0RN5U3Dy+zqacJxAaQaPkJN&#10;acTBQwQaG+wDd8QGI3SS6eUiTShFhpSrRZ4vF5xJ8t3Mbm9WUbtMFOfXFp1/r6Bn4VByJOkjujg+&#10;Oh+qEcU5JCRz0Ol6p7suGrivth2yo6Ax2cWV3na2Fen2nM6l0Ij3G0ZnApKBgJnShZvIQWg7EeDH&#10;aoxsL8/UVlC/ECkIaTTpK9GhBfzB2UBjWXL3/SBQcdZ9METsajqfhzmOxnzxdkYGXnuqa48wkqBK&#10;7jlLx61Ps3+wqPctZUpSGrgnMRodeQqqpapO5dPoxXZP3yTM9rUdo3595s1PAAAA//8DAFBLAwQU&#10;AAYACAAAACEAFFWGHt8AAAAIAQAADwAAAGRycy9kb3ducmV2LnhtbEyPQUvDQBSE74L/YXmCF7Gb&#10;tKbENJsiRQ+CFYx632Rfk9Ts25Ddtum/7/Okx2GGmW/y9WR7ccTRd44UxLMIBFLtTEeNgq/Pl/sU&#10;hA+ajO4doYIzelgX11e5zow70Qcey9AILiGfaQVtCEMmpa9btNrP3IDE3s6NVgeWYyPNqE9cbns5&#10;j6KltLojXmj1gJsW65/yYHn3eUqH7+pts38t76r9/J26bUpK3d5MTysQAafwF4ZffEaHgpkqdyDj&#10;Ra9gES0eOargIQbB/jKO+VulIEkSkEUu/x8oLgAAAP//AwBQSwECLQAUAAYACAAAACEAtoM4kv4A&#10;AADhAQAAEwAAAAAAAAAAAAAAAAAAAAAAW0NvbnRlbnRfVHlwZXNdLnhtbFBLAQItABQABgAIAAAA&#10;IQA4/SH/1gAAAJQBAAALAAAAAAAAAAAAAAAAAC8BAABfcmVscy8ucmVsc1BLAQItABQABgAIAAAA&#10;IQD0U9fKFQIAABQEAAAOAAAAAAAAAAAAAAAAAC4CAABkcnMvZTJvRG9jLnhtbFBLAQItABQABgAI&#10;AAAAIQAUVYYe3wAAAAgBAAAPAAAAAAAAAAAAAAAAAG8EAABkcnMvZG93bnJldi54bWxQSwUGAAAA&#10;AAQABADzAAAAewUAAAAA&#10;" stroked="f">
                <v:fill opacity="0"/>
                <v:textbox>
                  <w:txbxContent>
                    <w:p w14:paraId="592EF2C9" w14:textId="77777777" w:rsidR="00055A65" w:rsidRPr="00A33DBA" w:rsidRDefault="00055A65" w:rsidP="003A33A6">
                      <w:pPr>
                        <w:rPr>
                          <w:rFonts w:ascii="Arial" w:hAnsi="Arial" w:cs="Arial"/>
                        </w:rPr>
                      </w:pPr>
                      <w:r>
                        <w:rPr>
                          <w:rFonts w:ascii="Arial" w:hAnsi="Arial" w:cs="Arial"/>
                        </w:rPr>
                        <w:t>Überlebenszeit in Monaten</w:t>
                      </w:r>
                    </w:p>
                  </w:txbxContent>
                </v:textbox>
              </v:shape>
            </w:pict>
          </mc:Fallback>
        </mc:AlternateContent>
      </w:r>
    </w:p>
    <w:p w14:paraId="29233806" w14:textId="77777777" w:rsidR="003A33A6" w:rsidRPr="00B30A12" w:rsidRDefault="003A33A6" w:rsidP="0054140C">
      <w:pPr>
        <w:widowControl w:val="0"/>
        <w:ind w:left="1418" w:hanging="1418"/>
        <w:rPr>
          <w:rFonts w:eastAsia="MS Mincho"/>
          <w:sz w:val="22"/>
          <w:szCs w:val="22"/>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A33A6" w:rsidRPr="00B30A12" w14:paraId="0E20EE47" w14:textId="77777777" w:rsidTr="00CE58F7">
        <w:tc>
          <w:tcPr>
            <w:tcW w:w="10599" w:type="dxa"/>
            <w:gridSpan w:val="16"/>
            <w:shd w:val="clear" w:color="auto" w:fill="auto"/>
          </w:tcPr>
          <w:p w14:paraId="4729153F" w14:textId="77777777" w:rsidR="003A33A6" w:rsidRPr="00B30A12" w:rsidRDefault="003A33A6" w:rsidP="0054140C">
            <w:pPr>
              <w:widowControl w:val="0"/>
              <w:ind w:left="-27"/>
              <w:rPr>
                <w:rFonts w:ascii="Arial" w:hAnsi="Arial" w:cs="Arial"/>
              </w:rPr>
            </w:pPr>
            <w:r w:rsidRPr="00B30A12">
              <w:rPr>
                <w:rFonts w:ascii="Arial" w:hAnsi="Arial" w:cs="Arial"/>
              </w:rPr>
              <w:t>Patienten mit Risiko: Ereignisse</w:t>
            </w:r>
          </w:p>
        </w:tc>
      </w:tr>
      <w:tr w:rsidR="003A33A6" w:rsidRPr="00B30A12" w14:paraId="7496123F" w14:textId="77777777" w:rsidTr="00CE58F7">
        <w:tc>
          <w:tcPr>
            <w:tcW w:w="450" w:type="dxa"/>
            <w:shd w:val="clear" w:color="auto" w:fill="auto"/>
          </w:tcPr>
          <w:p w14:paraId="2061CBD9" w14:textId="77777777" w:rsidR="003A33A6" w:rsidRPr="00B30A12" w:rsidRDefault="003A33A6" w:rsidP="0054140C">
            <w:pPr>
              <w:widowControl w:val="0"/>
              <w:rPr>
                <w:sz w:val="18"/>
                <w:szCs w:val="18"/>
              </w:rPr>
            </w:pPr>
            <w:r w:rsidRPr="00B30A12">
              <w:rPr>
                <w:sz w:val="18"/>
                <w:szCs w:val="18"/>
              </w:rPr>
              <w:t>(1)</w:t>
            </w:r>
          </w:p>
        </w:tc>
        <w:tc>
          <w:tcPr>
            <w:tcW w:w="646" w:type="dxa"/>
            <w:shd w:val="clear" w:color="auto" w:fill="auto"/>
          </w:tcPr>
          <w:p w14:paraId="62D60432" w14:textId="77777777" w:rsidR="003A33A6" w:rsidRPr="00B30A12" w:rsidRDefault="003A33A6" w:rsidP="0054140C">
            <w:pPr>
              <w:widowControl w:val="0"/>
              <w:ind w:left="-27"/>
              <w:rPr>
                <w:sz w:val="18"/>
                <w:szCs w:val="18"/>
              </w:rPr>
            </w:pPr>
            <w:r w:rsidRPr="00B30A12">
              <w:rPr>
                <w:sz w:val="18"/>
                <w:szCs w:val="18"/>
              </w:rPr>
              <w:t>199:0</w:t>
            </w:r>
          </w:p>
        </w:tc>
        <w:tc>
          <w:tcPr>
            <w:tcW w:w="645" w:type="dxa"/>
            <w:shd w:val="clear" w:color="auto" w:fill="auto"/>
          </w:tcPr>
          <w:p w14:paraId="476BCD20" w14:textId="77777777" w:rsidR="003A33A6" w:rsidRPr="00B30A12" w:rsidRDefault="003A33A6" w:rsidP="0054140C">
            <w:pPr>
              <w:widowControl w:val="0"/>
              <w:ind w:left="-27"/>
              <w:rPr>
                <w:sz w:val="18"/>
                <w:szCs w:val="18"/>
              </w:rPr>
            </w:pPr>
            <w:r w:rsidRPr="00B30A12">
              <w:rPr>
                <w:sz w:val="18"/>
                <w:szCs w:val="18"/>
              </w:rPr>
              <w:t>182:8</w:t>
            </w:r>
          </w:p>
        </w:tc>
        <w:tc>
          <w:tcPr>
            <w:tcW w:w="745" w:type="dxa"/>
            <w:shd w:val="clear" w:color="auto" w:fill="auto"/>
          </w:tcPr>
          <w:p w14:paraId="0DA93219" w14:textId="77777777" w:rsidR="003A33A6" w:rsidRPr="00B30A12" w:rsidRDefault="003A33A6" w:rsidP="0054140C">
            <w:pPr>
              <w:widowControl w:val="0"/>
              <w:ind w:left="-27"/>
              <w:rPr>
                <w:sz w:val="18"/>
                <w:szCs w:val="18"/>
              </w:rPr>
            </w:pPr>
            <w:r w:rsidRPr="00B30A12">
              <w:rPr>
                <w:sz w:val="18"/>
                <w:szCs w:val="18"/>
              </w:rPr>
              <w:t>177:12</w:t>
            </w:r>
          </w:p>
        </w:tc>
        <w:tc>
          <w:tcPr>
            <w:tcW w:w="745" w:type="dxa"/>
            <w:shd w:val="clear" w:color="auto" w:fill="auto"/>
          </w:tcPr>
          <w:p w14:paraId="2EF3AB05" w14:textId="77777777" w:rsidR="003A33A6" w:rsidRPr="00B30A12" w:rsidRDefault="003A33A6" w:rsidP="0054140C">
            <w:pPr>
              <w:widowControl w:val="0"/>
              <w:ind w:left="-27"/>
              <w:rPr>
                <w:sz w:val="18"/>
                <w:szCs w:val="18"/>
              </w:rPr>
            </w:pPr>
            <w:r w:rsidRPr="00B30A12">
              <w:rPr>
                <w:sz w:val="18"/>
                <w:szCs w:val="18"/>
              </w:rPr>
              <w:t>163:25</w:t>
            </w:r>
          </w:p>
        </w:tc>
        <w:tc>
          <w:tcPr>
            <w:tcW w:w="745" w:type="dxa"/>
            <w:shd w:val="clear" w:color="auto" w:fill="auto"/>
          </w:tcPr>
          <w:p w14:paraId="54F4B2A9" w14:textId="77777777" w:rsidR="003A33A6" w:rsidRPr="00B30A12" w:rsidRDefault="003A33A6" w:rsidP="0054140C">
            <w:pPr>
              <w:widowControl w:val="0"/>
              <w:ind w:left="-27"/>
              <w:rPr>
                <w:sz w:val="18"/>
                <w:szCs w:val="18"/>
              </w:rPr>
            </w:pPr>
            <w:r w:rsidRPr="00B30A12">
              <w:rPr>
                <w:sz w:val="18"/>
                <w:szCs w:val="18"/>
              </w:rPr>
              <w:t>137:46</w:t>
            </w:r>
          </w:p>
        </w:tc>
        <w:tc>
          <w:tcPr>
            <w:tcW w:w="752" w:type="dxa"/>
            <w:shd w:val="clear" w:color="auto" w:fill="auto"/>
          </w:tcPr>
          <w:p w14:paraId="4A76E10D" w14:textId="77777777" w:rsidR="003A33A6" w:rsidRPr="00B30A12" w:rsidRDefault="003A33A6" w:rsidP="0054140C">
            <w:pPr>
              <w:widowControl w:val="0"/>
              <w:ind w:left="-27"/>
              <w:rPr>
                <w:sz w:val="18"/>
                <w:szCs w:val="18"/>
              </w:rPr>
            </w:pPr>
            <w:r w:rsidRPr="00B30A12">
              <w:rPr>
                <w:sz w:val="18"/>
                <w:szCs w:val="18"/>
              </w:rPr>
              <w:t>105:65</w:t>
            </w:r>
          </w:p>
        </w:tc>
        <w:tc>
          <w:tcPr>
            <w:tcW w:w="745" w:type="dxa"/>
            <w:shd w:val="clear" w:color="auto" w:fill="auto"/>
          </w:tcPr>
          <w:p w14:paraId="4DA47987" w14:textId="77777777" w:rsidR="003A33A6" w:rsidRPr="00B30A12" w:rsidRDefault="003A33A6" w:rsidP="0054140C">
            <w:pPr>
              <w:widowControl w:val="0"/>
              <w:ind w:left="-27"/>
              <w:rPr>
                <w:sz w:val="18"/>
                <w:szCs w:val="18"/>
              </w:rPr>
            </w:pPr>
            <w:r w:rsidRPr="00B30A12">
              <w:rPr>
                <w:sz w:val="18"/>
                <w:szCs w:val="18"/>
              </w:rPr>
              <w:t>88:72</w:t>
            </w:r>
          </w:p>
        </w:tc>
        <w:tc>
          <w:tcPr>
            <w:tcW w:w="745" w:type="dxa"/>
            <w:shd w:val="clear" w:color="auto" w:fill="auto"/>
          </w:tcPr>
          <w:p w14:paraId="39D706A9" w14:textId="77777777" w:rsidR="003A33A6" w:rsidRPr="00B30A12" w:rsidRDefault="003A33A6" w:rsidP="0054140C">
            <w:pPr>
              <w:widowControl w:val="0"/>
              <w:ind w:left="-27"/>
              <w:rPr>
                <w:sz w:val="18"/>
                <w:szCs w:val="18"/>
              </w:rPr>
            </w:pPr>
            <w:r w:rsidRPr="00B30A12">
              <w:rPr>
                <w:sz w:val="18"/>
                <w:szCs w:val="18"/>
              </w:rPr>
              <w:t>61:77</w:t>
            </w:r>
          </w:p>
        </w:tc>
        <w:tc>
          <w:tcPr>
            <w:tcW w:w="652" w:type="dxa"/>
            <w:shd w:val="clear" w:color="auto" w:fill="auto"/>
          </w:tcPr>
          <w:p w14:paraId="09275A57" w14:textId="77777777" w:rsidR="003A33A6" w:rsidRPr="00B30A12" w:rsidRDefault="003A33A6" w:rsidP="0054140C">
            <w:pPr>
              <w:widowControl w:val="0"/>
              <w:ind w:left="-27"/>
              <w:rPr>
                <w:sz w:val="18"/>
                <w:szCs w:val="18"/>
              </w:rPr>
            </w:pPr>
            <w:r w:rsidRPr="00B30A12">
              <w:rPr>
                <w:sz w:val="18"/>
                <w:szCs w:val="18"/>
              </w:rPr>
              <w:t>49:81</w:t>
            </w:r>
          </w:p>
        </w:tc>
        <w:tc>
          <w:tcPr>
            <w:tcW w:w="652" w:type="dxa"/>
            <w:shd w:val="clear" w:color="auto" w:fill="auto"/>
          </w:tcPr>
          <w:p w14:paraId="45C16005" w14:textId="77777777" w:rsidR="003A33A6" w:rsidRPr="00B30A12" w:rsidRDefault="003A33A6" w:rsidP="0054140C">
            <w:pPr>
              <w:widowControl w:val="0"/>
              <w:ind w:left="-27"/>
              <w:rPr>
                <w:sz w:val="18"/>
                <w:szCs w:val="18"/>
              </w:rPr>
            </w:pPr>
            <w:r w:rsidRPr="00B30A12">
              <w:rPr>
                <w:sz w:val="18"/>
                <w:szCs w:val="18"/>
              </w:rPr>
              <w:t>36:83</w:t>
            </w:r>
          </w:p>
        </w:tc>
        <w:tc>
          <w:tcPr>
            <w:tcW w:w="649" w:type="dxa"/>
            <w:shd w:val="clear" w:color="auto" w:fill="auto"/>
          </w:tcPr>
          <w:p w14:paraId="268D844C" w14:textId="77777777" w:rsidR="003A33A6" w:rsidRPr="00B30A12" w:rsidRDefault="003A33A6" w:rsidP="0054140C">
            <w:pPr>
              <w:widowControl w:val="0"/>
              <w:ind w:left="-27"/>
              <w:rPr>
                <w:sz w:val="18"/>
                <w:szCs w:val="18"/>
              </w:rPr>
            </w:pPr>
            <w:r w:rsidRPr="00B30A12">
              <w:rPr>
                <w:sz w:val="18"/>
                <w:szCs w:val="18"/>
              </w:rPr>
              <w:t>27:84</w:t>
            </w:r>
          </w:p>
        </w:tc>
        <w:tc>
          <w:tcPr>
            <w:tcW w:w="660" w:type="dxa"/>
            <w:shd w:val="clear" w:color="auto" w:fill="auto"/>
          </w:tcPr>
          <w:p w14:paraId="1E192157" w14:textId="77777777" w:rsidR="003A33A6" w:rsidRPr="00B30A12" w:rsidRDefault="003A33A6" w:rsidP="0054140C">
            <w:pPr>
              <w:widowControl w:val="0"/>
              <w:ind w:left="-27"/>
              <w:rPr>
                <w:sz w:val="18"/>
                <w:szCs w:val="18"/>
              </w:rPr>
            </w:pPr>
            <w:r w:rsidRPr="00B30A12">
              <w:rPr>
                <w:sz w:val="18"/>
                <w:szCs w:val="18"/>
              </w:rPr>
              <w:t>14:84</w:t>
            </w:r>
          </w:p>
        </w:tc>
        <w:tc>
          <w:tcPr>
            <w:tcW w:w="649" w:type="dxa"/>
            <w:shd w:val="clear" w:color="auto" w:fill="auto"/>
          </w:tcPr>
          <w:p w14:paraId="4520D641" w14:textId="77777777" w:rsidR="003A33A6" w:rsidRPr="00B30A12" w:rsidRDefault="003A33A6" w:rsidP="0054140C">
            <w:pPr>
              <w:widowControl w:val="0"/>
              <w:ind w:left="-27"/>
              <w:rPr>
                <w:sz w:val="18"/>
                <w:szCs w:val="18"/>
              </w:rPr>
            </w:pPr>
            <w:r w:rsidRPr="00B30A12">
              <w:rPr>
                <w:sz w:val="18"/>
                <w:szCs w:val="18"/>
              </w:rPr>
              <w:t>10:84</w:t>
            </w:r>
          </w:p>
        </w:tc>
        <w:tc>
          <w:tcPr>
            <w:tcW w:w="564" w:type="dxa"/>
            <w:shd w:val="clear" w:color="auto" w:fill="auto"/>
          </w:tcPr>
          <w:p w14:paraId="17C858AD" w14:textId="77777777" w:rsidR="003A33A6" w:rsidRPr="00B30A12" w:rsidRDefault="003A33A6" w:rsidP="0054140C">
            <w:pPr>
              <w:widowControl w:val="0"/>
              <w:ind w:left="-27"/>
              <w:rPr>
                <w:sz w:val="18"/>
                <w:szCs w:val="18"/>
              </w:rPr>
            </w:pPr>
            <w:r w:rsidRPr="00B30A12">
              <w:rPr>
                <w:sz w:val="18"/>
                <w:szCs w:val="18"/>
              </w:rPr>
              <w:t>2:84</w:t>
            </w:r>
          </w:p>
        </w:tc>
        <w:tc>
          <w:tcPr>
            <w:tcW w:w="555" w:type="dxa"/>
            <w:shd w:val="clear" w:color="auto" w:fill="auto"/>
          </w:tcPr>
          <w:p w14:paraId="7BFEAF40" w14:textId="77777777" w:rsidR="003A33A6" w:rsidRPr="00B30A12" w:rsidRDefault="003A33A6" w:rsidP="0054140C">
            <w:pPr>
              <w:widowControl w:val="0"/>
              <w:ind w:left="-27"/>
              <w:rPr>
                <w:sz w:val="18"/>
                <w:szCs w:val="18"/>
              </w:rPr>
            </w:pPr>
            <w:r w:rsidRPr="00B30A12">
              <w:rPr>
                <w:sz w:val="18"/>
                <w:szCs w:val="18"/>
              </w:rPr>
              <w:t>0:84</w:t>
            </w:r>
          </w:p>
        </w:tc>
      </w:tr>
      <w:tr w:rsidR="003A33A6" w:rsidRPr="00B30A12" w14:paraId="02870C41" w14:textId="77777777" w:rsidTr="00CE58F7">
        <w:tc>
          <w:tcPr>
            <w:tcW w:w="450" w:type="dxa"/>
            <w:shd w:val="clear" w:color="auto" w:fill="auto"/>
          </w:tcPr>
          <w:p w14:paraId="3C46FF96" w14:textId="77777777" w:rsidR="003A33A6" w:rsidRPr="00B30A12" w:rsidRDefault="003A33A6" w:rsidP="0054140C">
            <w:pPr>
              <w:widowControl w:val="0"/>
              <w:rPr>
                <w:sz w:val="18"/>
                <w:szCs w:val="18"/>
              </w:rPr>
            </w:pPr>
            <w:r w:rsidRPr="00B30A12">
              <w:rPr>
                <w:sz w:val="18"/>
                <w:szCs w:val="18"/>
              </w:rPr>
              <w:t>(2)</w:t>
            </w:r>
          </w:p>
        </w:tc>
        <w:tc>
          <w:tcPr>
            <w:tcW w:w="646" w:type="dxa"/>
            <w:shd w:val="clear" w:color="auto" w:fill="auto"/>
          </w:tcPr>
          <w:p w14:paraId="0AC7EB59" w14:textId="77777777" w:rsidR="003A33A6" w:rsidRPr="00B30A12" w:rsidRDefault="003A33A6" w:rsidP="0054140C">
            <w:pPr>
              <w:widowControl w:val="0"/>
              <w:ind w:left="-27"/>
              <w:rPr>
                <w:sz w:val="18"/>
                <w:szCs w:val="18"/>
              </w:rPr>
            </w:pPr>
            <w:r w:rsidRPr="00B30A12">
              <w:rPr>
                <w:sz w:val="18"/>
                <w:szCs w:val="18"/>
              </w:rPr>
              <w:t>198:0</w:t>
            </w:r>
          </w:p>
        </w:tc>
        <w:tc>
          <w:tcPr>
            <w:tcW w:w="645" w:type="dxa"/>
            <w:shd w:val="clear" w:color="auto" w:fill="auto"/>
          </w:tcPr>
          <w:p w14:paraId="329C5E3E" w14:textId="77777777" w:rsidR="003A33A6" w:rsidRPr="00B30A12" w:rsidRDefault="003A33A6" w:rsidP="0054140C">
            <w:pPr>
              <w:widowControl w:val="0"/>
              <w:ind w:left="-27"/>
              <w:rPr>
                <w:sz w:val="18"/>
                <w:szCs w:val="18"/>
              </w:rPr>
            </w:pPr>
            <w:r w:rsidRPr="00B30A12">
              <w:rPr>
                <w:sz w:val="18"/>
                <w:szCs w:val="18"/>
              </w:rPr>
              <w:t>189:5</w:t>
            </w:r>
          </w:p>
        </w:tc>
        <w:tc>
          <w:tcPr>
            <w:tcW w:w="745" w:type="dxa"/>
            <w:shd w:val="clear" w:color="auto" w:fill="auto"/>
          </w:tcPr>
          <w:p w14:paraId="33D8511B" w14:textId="77777777" w:rsidR="003A33A6" w:rsidRPr="00B30A12" w:rsidRDefault="003A33A6" w:rsidP="0054140C">
            <w:pPr>
              <w:widowControl w:val="0"/>
              <w:ind w:left="-27"/>
              <w:rPr>
                <w:sz w:val="18"/>
                <w:szCs w:val="18"/>
              </w:rPr>
            </w:pPr>
            <w:r w:rsidRPr="00B30A12">
              <w:rPr>
                <w:sz w:val="18"/>
                <w:szCs w:val="18"/>
              </w:rPr>
              <w:t>184:8</w:t>
            </w:r>
          </w:p>
        </w:tc>
        <w:tc>
          <w:tcPr>
            <w:tcW w:w="745" w:type="dxa"/>
            <w:shd w:val="clear" w:color="auto" w:fill="auto"/>
          </w:tcPr>
          <w:p w14:paraId="0CAC57D2" w14:textId="77777777" w:rsidR="003A33A6" w:rsidRPr="00B30A12" w:rsidRDefault="003A33A6" w:rsidP="0054140C">
            <w:pPr>
              <w:widowControl w:val="0"/>
              <w:ind w:left="-27"/>
              <w:rPr>
                <w:sz w:val="18"/>
                <w:szCs w:val="18"/>
              </w:rPr>
            </w:pPr>
            <w:r w:rsidRPr="00B30A12">
              <w:rPr>
                <w:sz w:val="18"/>
                <w:szCs w:val="18"/>
              </w:rPr>
              <w:t>181:11</w:t>
            </w:r>
          </w:p>
        </w:tc>
        <w:tc>
          <w:tcPr>
            <w:tcW w:w="745" w:type="dxa"/>
            <w:shd w:val="clear" w:color="auto" w:fill="auto"/>
          </w:tcPr>
          <w:p w14:paraId="4AB1D30D" w14:textId="77777777" w:rsidR="003A33A6" w:rsidRPr="00B30A12" w:rsidRDefault="003A33A6" w:rsidP="0054140C">
            <w:pPr>
              <w:widowControl w:val="0"/>
              <w:ind w:left="-27"/>
              <w:rPr>
                <w:sz w:val="18"/>
                <w:szCs w:val="18"/>
              </w:rPr>
            </w:pPr>
            <w:r w:rsidRPr="00B30A12">
              <w:rPr>
                <w:sz w:val="18"/>
                <w:szCs w:val="18"/>
              </w:rPr>
              <w:t>173:18</w:t>
            </w:r>
          </w:p>
        </w:tc>
        <w:tc>
          <w:tcPr>
            <w:tcW w:w="752" w:type="dxa"/>
            <w:shd w:val="clear" w:color="auto" w:fill="auto"/>
          </w:tcPr>
          <w:p w14:paraId="22FA89AB" w14:textId="77777777" w:rsidR="003A33A6" w:rsidRPr="00B30A12" w:rsidRDefault="003A33A6" w:rsidP="0054140C">
            <w:pPr>
              <w:widowControl w:val="0"/>
              <w:ind w:left="-27"/>
              <w:rPr>
                <w:sz w:val="18"/>
                <w:szCs w:val="18"/>
              </w:rPr>
            </w:pPr>
            <w:r w:rsidRPr="00B30A12">
              <w:rPr>
                <w:sz w:val="18"/>
                <w:szCs w:val="18"/>
              </w:rPr>
              <w:t>152:22</w:t>
            </w:r>
          </w:p>
        </w:tc>
        <w:tc>
          <w:tcPr>
            <w:tcW w:w="745" w:type="dxa"/>
            <w:shd w:val="clear" w:color="auto" w:fill="auto"/>
          </w:tcPr>
          <w:p w14:paraId="008026D6" w14:textId="77777777" w:rsidR="003A33A6" w:rsidRPr="00B30A12" w:rsidRDefault="003A33A6" w:rsidP="0054140C">
            <w:pPr>
              <w:widowControl w:val="0"/>
              <w:ind w:left="-27"/>
              <w:rPr>
                <w:sz w:val="18"/>
                <w:szCs w:val="18"/>
              </w:rPr>
            </w:pPr>
            <w:r w:rsidRPr="00B30A12">
              <w:rPr>
                <w:sz w:val="18"/>
                <w:szCs w:val="18"/>
              </w:rPr>
              <w:t>133:25</w:t>
            </w:r>
          </w:p>
        </w:tc>
        <w:tc>
          <w:tcPr>
            <w:tcW w:w="745" w:type="dxa"/>
            <w:shd w:val="clear" w:color="auto" w:fill="auto"/>
          </w:tcPr>
          <w:p w14:paraId="4F5E9EAE" w14:textId="77777777" w:rsidR="003A33A6" w:rsidRPr="00B30A12" w:rsidRDefault="003A33A6" w:rsidP="0054140C">
            <w:pPr>
              <w:widowControl w:val="0"/>
              <w:ind w:left="-27"/>
              <w:rPr>
                <w:sz w:val="18"/>
                <w:szCs w:val="18"/>
              </w:rPr>
            </w:pPr>
            <w:r w:rsidRPr="00B30A12">
              <w:rPr>
                <w:sz w:val="18"/>
                <w:szCs w:val="18"/>
              </w:rPr>
              <w:t>102:29</w:t>
            </w:r>
          </w:p>
        </w:tc>
        <w:tc>
          <w:tcPr>
            <w:tcW w:w="652" w:type="dxa"/>
            <w:shd w:val="clear" w:color="auto" w:fill="auto"/>
          </w:tcPr>
          <w:p w14:paraId="7BFA693A" w14:textId="77777777" w:rsidR="003A33A6" w:rsidRPr="00B30A12" w:rsidRDefault="003A33A6" w:rsidP="0054140C">
            <w:pPr>
              <w:widowControl w:val="0"/>
              <w:ind w:left="-27"/>
              <w:rPr>
                <w:sz w:val="18"/>
                <w:szCs w:val="18"/>
              </w:rPr>
            </w:pPr>
            <w:r w:rsidRPr="00B30A12">
              <w:rPr>
                <w:sz w:val="18"/>
                <w:szCs w:val="18"/>
              </w:rPr>
              <w:t>82:35</w:t>
            </w:r>
          </w:p>
        </w:tc>
        <w:tc>
          <w:tcPr>
            <w:tcW w:w="652" w:type="dxa"/>
            <w:shd w:val="clear" w:color="auto" w:fill="auto"/>
          </w:tcPr>
          <w:p w14:paraId="50A3D094" w14:textId="77777777" w:rsidR="003A33A6" w:rsidRPr="00B30A12" w:rsidRDefault="003A33A6" w:rsidP="0054140C">
            <w:pPr>
              <w:widowControl w:val="0"/>
              <w:ind w:left="-27"/>
              <w:rPr>
                <w:sz w:val="18"/>
                <w:szCs w:val="18"/>
              </w:rPr>
            </w:pPr>
            <w:r w:rsidRPr="00B30A12">
              <w:rPr>
                <w:sz w:val="18"/>
                <w:szCs w:val="18"/>
              </w:rPr>
              <w:t>54:46</w:t>
            </w:r>
          </w:p>
        </w:tc>
        <w:tc>
          <w:tcPr>
            <w:tcW w:w="649" w:type="dxa"/>
            <w:shd w:val="clear" w:color="auto" w:fill="auto"/>
          </w:tcPr>
          <w:p w14:paraId="37859702" w14:textId="77777777" w:rsidR="003A33A6" w:rsidRPr="00B30A12" w:rsidRDefault="003A33A6" w:rsidP="0054140C">
            <w:pPr>
              <w:widowControl w:val="0"/>
              <w:ind w:left="-27"/>
              <w:rPr>
                <w:sz w:val="18"/>
                <w:szCs w:val="18"/>
              </w:rPr>
            </w:pPr>
            <w:r w:rsidRPr="00B30A12">
              <w:rPr>
                <w:sz w:val="18"/>
                <w:szCs w:val="18"/>
              </w:rPr>
              <w:t>39:47</w:t>
            </w:r>
          </w:p>
        </w:tc>
        <w:tc>
          <w:tcPr>
            <w:tcW w:w="660" w:type="dxa"/>
            <w:shd w:val="clear" w:color="auto" w:fill="auto"/>
          </w:tcPr>
          <w:p w14:paraId="1AFEE805" w14:textId="77777777" w:rsidR="003A33A6" w:rsidRPr="00B30A12" w:rsidRDefault="003A33A6" w:rsidP="0054140C">
            <w:pPr>
              <w:widowControl w:val="0"/>
              <w:ind w:left="-27"/>
              <w:rPr>
                <w:sz w:val="18"/>
                <w:szCs w:val="18"/>
              </w:rPr>
            </w:pPr>
            <w:r w:rsidRPr="00B30A12">
              <w:rPr>
                <w:sz w:val="18"/>
                <w:szCs w:val="18"/>
              </w:rPr>
              <w:t>21:49</w:t>
            </w:r>
          </w:p>
        </w:tc>
        <w:tc>
          <w:tcPr>
            <w:tcW w:w="649" w:type="dxa"/>
            <w:shd w:val="clear" w:color="auto" w:fill="auto"/>
          </w:tcPr>
          <w:p w14:paraId="4017B573" w14:textId="77777777" w:rsidR="003A33A6" w:rsidRPr="00B30A12" w:rsidRDefault="003A33A6" w:rsidP="0054140C">
            <w:pPr>
              <w:widowControl w:val="0"/>
              <w:ind w:left="-27"/>
              <w:rPr>
                <w:sz w:val="18"/>
                <w:szCs w:val="18"/>
              </w:rPr>
            </w:pPr>
            <w:r w:rsidRPr="00B30A12">
              <w:rPr>
                <w:sz w:val="18"/>
                <w:szCs w:val="18"/>
              </w:rPr>
              <w:t>8:50</w:t>
            </w:r>
          </w:p>
        </w:tc>
        <w:tc>
          <w:tcPr>
            <w:tcW w:w="564" w:type="dxa"/>
            <w:shd w:val="clear" w:color="auto" w:fill="auto"/>
          </w:tcPr>
          <w:p w14:paraId="6898C801" w14:textId="77777777" w:rsidR="003A33A6" w:rsidRPr="00B30A12" w:rsidRDefault="003A33A6" w:rsidP="0054140C">
            <w:pPr>
              <w:widowControl w:val="0"/>
              <w:ind w:left="-27"/>
              <w:rPr>
                <w:sz w:val="18"/>
                <w:szCs w:val="18"/>
              </w:rPr>
            </w:pPr>
            <w:r w:rsidRPr="00B30A12">
              <w:rPr>
                <w:sz w:val="18"/>
                <w:szCs w:val="18"/>
              </w:rPr>
              <w:t>0:50</w:t>
            </w:r>
          </w:p>
        </w:tc>
        <w:tc>
          <w:tcPr>
            <w:tcW w:w="555" w:type="dxa"/>
            <w:shd w:val="clear" w:color="auto" w:fill="auto"/>
          </w:tcPr>
          <w:p w14:paraId="483DB64A" w14:textId="77777777" w:rsidR="003A33A6" w:rsidRPr="00B30A12" w:rsidRDefault="003A33A6" w:rsidP="0054140C">
            <w:pPr>
              <w:widowControl w:val="0"/>
              <w:ind w:left="-27"/>
              <w:rPr>
                <w:sz w:val="18"/>
                <w:szCs w:val="18"/>
              </w:rPr>
            </w:pPr>
          </w:p>
        </w:tc>
      </w:tr>
    </w:tbl>
    <w:p w14:paraId="11EDC526" w14:textId="77777777" w:rsidR="003A33A6" w:rsidRPr="00B30A12" w:rsidRDefault="003A33A6" w:rsidP="0054140C">
      <w:pPr>
        <w:widowControl w:val="0"/>
        <w:ind w:left="1418" w:hanging="1418"/>
        <w:rPr>
          <w:rFonts w:eastAsia="MS Mincho"/>
          <w:sz w:val="22"/>
          <w:szCs w:val="22"/>
        </w:rPr>
      </w:pPr>
    </w:p>
    <w:p w14:paraId="69B10ABC" w14:textId="77777777" w:rsidR="003A33A6" w:rsidRPr="00B30A12" w:rsidRDefault="00367B53" w:rsidP="00463601">
      <w:pPr>
        <w:keepNext/>
        <w:widowControl w:val="0"/>
        <w:ind w:left="1134" w:hanging="1134"/>
        <w:rPr>
          <w:rFonts w:eastAsia="MS Mincho"/>
          <w:b/>
          <w:sz w:val="22"/>
          <w:szCs w:val="22"/>
        </w:rPr>
      </w:pPr>
      <w:r w:rsidRPr="00B30A12">
        <w:rPr>
          <w:noProof/>
          <w:lang w:val="en-GB" w:eastAsia="en-GB"/>
        </w:rPr>
        <w:lastRenderedPageBreak/>
        <mc:AlternateContent>
          <mc:Choice Requires="wps">
            <w:drawing>
              <wp:anchor distT="0" distB="0" distL="114300" distR="114300" simplePos="0" relativeHeight="251661312" behindDoc="0" locked="0" layoutInCell="1" allowOverlap="1" wp14:anchorId="6A9CC3B6" wp14:editId="1B0D1155">
                <wp:simplePos x="0" y="0"/>
                <wp:positionH relativeFrom="column">
                  <wp:posOffset>-266700</wp:posOffset>
                </wp:positionH>
                <wp:positionV relativeFrom="paragraph">
                  <wp:posOffset>140970</wp:posOffset>
                </wp:positionV>
                <wp:extent cx="335915" cy="24606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6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C9C27" w14:textId="77777777" w:rsidR="00055A65" w:rsidRPr="00A33DBA" w:rsidRDefault="00055A65" w:rsidP="003A33A6">
                            <w:pPr>
                              <w:rPr>
                                <w:rFonts w:ascii="Arial" w:hAnsi="Arial" w:cs="Arial"/>
                              </w:rPr>
                            </w:pPr>
                            <w:r>
                              <w:rPr>
                                <w:rFonts w:ascii="Arial" w:hAnsi="Arial" w:cs="Arial"/>
                              </w:rPr>
                              <w:t>Wahrscheinlichkeit für Gesamtüberleben</w:t>
                            </w:r>
                          </w:p>
                          <w:p w14:paraId="1F4F4056" w14:textId="77777777" w:rsidR="00055A65" w:rsidRPr="00A33DBA" w:rsidRDefault="00055A65" w:rsidP="003A33A6">
                            <w:pPr>
                              <w:rPr>
                                <w:rFonts w:ascii="Arial" w:hAnsi="Arial" w:cs="Arial"/>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9CC3B6" id="_x0000_s1035" type="#_x0000_t202" style="position:absolute;left:0;text-align:left;margin-left:-21pt;margin-top:11.1pt;width:26.45pt;height:1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fFFgIAABcEAAAOAAAAZHJzL2Uyb0RvYy54bWysU9uO0zAQfUfiHyy/07TpZWnUdLV0VYS0&#10;LEi7fIDjOImF4zG226R/z9huS4E3RB6szMVnZs4cb+7HXpGjsE6CLulsMqVEaA611G1Jv73u372n&#10;xHmma6ZAi5KehKP327dvNoMpRA4dqFpYgiDaFYMpaee9KbLM8U70zE3ACI3BBmzPPJq2zWrLBkTv&#10;VZZPp6tsAFsbC1w4h97HFKTbiN80gvsvTeOEJ6qk2JuPp41nFc5su2FFa5npJD+3wf6hi55JjUWv&#10;UI/MM3Kw8i+oXnILDho/4dBn0DSSizgDTjOb/jHNS8eMiLMgOc5caXL/D5Y/H79aImvc3ZwSzXrc&#10;0asYPfkAI8kDPYNxBWa9GMzzI7oxNY7qzBPw745o2HVMt+LBWhg6wWpsbxZuZjdXE44LINXwGWos&#10;ww4eItDY2D5wh2wQRMc1na6rCa1wdM7ny/VsSQnHUL5YTVf5MpZgxeW2sc5/FNCT8FNSi6uP6Oz4&#10;5HzohhWXlFDMgZL1XioVDdtWO2XJkaFM9vFLd5XpWPJGqSCGS6kR7zcMpQOShoCZygVP5CCMnQjw&#10;YzVGttcXaiuoT0iKhSRNfEr4E878DokYUJkldT8OzApK1CeN3K5ni0WQcjQWy7scDXsbqW4jTPMO&#10;UPCekvS780n+B2Nl22GxtE0ND7iPRkaqwuJSY+cJUH1x4vNLCfK+tWPWr/e8/QkAAP//AwBQSwME&#10;FAAGAAgAAAAhAPiQ+GjgAAAACQEAAA8AAABkcnMvZG93bnJldi54bWxMj0FLw0AUhO+C/2F5grd2&#10;17XYNGZTRCgIgmCtorfX7GsSzO6G7Gsb/fVuT/Y4zDDzTbEcXScONMQ2eAM3UwWCfBVs62sDm7fV&#10;JAMRGb3FLngy8EMRluXlRYG5DUf/Soc11yKV+JijgYa5z6WMVUMO4zT05JO3C4NDTnKopR3wmMpd&#10;J7VSd9Jh69NCgz09NlR9r/fOwNfHb0bvLF/wiW/nK9rE591nZsz11fhwD4Jp5P8wnPATOpSJaRv2&#10;3kbRGZjMdPrCBrTWIE4BtQCxNTBTiznIspDnD8o/AAAA//8DAFBLAQItABQABgAIAAAAIQC2gziS&#10;/gAAAOEBAAATAAAAAAAAAAAAAAAAAAAAAABbQ29udGVudF9UeXBlc10ueG1sUEsBAi0AFAAGAAgA&#10;AAAhADj9If/WAAAAlAEAAAsAAAAAAAAAAAAAAAAALwEAAF9yZWxzLy5yZWxzUEsBAi0AFAAGAAgA&#10;AAAhAHcI58UWAgAAFwQAAA4AAAAAAAAAAAAAAAAALgIAAGRycy9lMm9Eb2MueG1sUEsBAi0AFAAG&#10;AAgAAAAhAPiQ+GjgAAAACQEAAA8AAAAAAAAAAAAAAAAAcAQAAGRycy9kb3ducmV2LnhtbFBLBQYA&#10;AAAABAAEAPMAAAB9BQAAAAA=&#10;" stroked="f">
                <v:fill opacity="0"/>
                <v:textbox style="layout-flow:vertical;mso-layout-flow-alt:bottom-to-top">
                  <w:txbxContent>
                    <w:p w14:paraId="1A8C9C27" w14:textId="77777777" w:rsidR="00055A65" w:rsidRPr="00A33DBA" w:rsidRDefault="00055A65" w:rsidP="003A33A6">
                      <w:pPr>
                        <w:rPr>
                          <w:rFonts w:ascii="Arial" w:hAnsi="Arial" w:cs="Arial"/>
                        </w:rPr>
                      </w:pPr>
                      <w:r>
                        <w:rPr>
                          <w:rFonts w:ascii="Arial" w:hAnsi="Arial" w:cs="Arial"/>
                        </w:rPr>
                        <w:t>Wahrscheinlichkeit für Gesamtüberleben</w:t>
                      </w:r>
                    </w:p>
                    <w:p w14:paraId="1F4F4056" w14:textId="77777777" w:rsidR="00055A65" w:rsidRPr="00A33DBA" w:rsidRDefault="00055A65" w:rsidP="003A33A6">
                      <w:pPr>
                        <w:rPr>
                          <w:rFonts w:ascii="Arial" w:hAnsi="Arial" w:cs="Arial"/>
                        </w:rPr>
                      </w:pPr>
                    </w:p>
                  </w:txbxContent>
                </v:textbox>
              </v:shape>
            </w:pict>
          </mc:Fallback>
        </mc:AlternateContent>
      </w:r>
      <w:r w:rsidR="003A33A6" w:rsidRPr="00B30A12">
        <w:rPr>
          <w:rFonts w:eastAsia="MS Mincho"/>
          <w:b/>
          <w:sz w:val="22"/>
          <w:szCs w:val="22"/>
        </w:rPr>
        <w:t>Abbildung 2 Kaplan-Meier-Schätzung für das Gesamtüberleben (ITT-Population)</w:t>
      </w:r>
    </w:p>
    <w:p w14:paraId="47F5CD86" w14:textId="77777777" w:rsidR="003A33A6" w:rsidRPr="00B30A12" w:rsidRDefault="003A33A6" w:rsidP="00463601">
      <w:pPr>
        <w:keepNext/>
        <w:widowControl w:val="0"/>
        <w:ind w:left="1418" w:hanging="1418"/>
        <w:rPr>
          <w:rFonts w:eastAsia="MS Mincho"/>
          <w:sz w:val="22"/>
          <w:szCs w:val="22"/>
        </w:rPr>
      </w:pPr>
    </w:p>
    <w:p w14:paraId="3BDA77DB" w14:textId="77777777" w:rsidR="003A33A6" w:rsidRPr="00B30A12" w:rsidRDefault="00367B53" w:rsidP="0054140C">
      <w:pPr>
        <w:widowControl w:val="0"/>
        <w:ind w:left="1418" w:hanging="1418"/>
        <w:rPr>
          <w:rFonts w:eastAsia="MS Mincho"/>
          <w:sz w:val="22"/>
          <w:szCs w:val="22"/>
        </w:rPr>
      </w:pPr>
      <w:r w:rsidRPr="00B30A12">
        <w:rPr>
          <w:rFonts w:eastAsia="MS Mincho"/>
          <w:noProof/>
          <w:sz w:val="22"/>
          <w:szCs w:val="22"/>
          <w:lang w:val="en-GB" w:eastAsia="en-GB"/>
        </w:rPr>
        <mc:AlternateContent>
          <mc:Choice Requires="wps">
            <w:drawing>
              <wp:anchor distT="0" distB="0" distL="114300" distR="114300" simplePos="0" relativeHeight="251663360" behindDoc="0" locked="0" layoutInCell="1" allowOverlap="1" wp14:anchorId="5F5EB927" wp14:editId="4FF1EDC0">
                <wp:simplePos x="0" y="0"/>
                <wp:positionH relativeFrom="column">
                  <wp:posOffset>2253615</wp:posOffset>
                </wp:positionH>
                <wp:positionV relativeFrom="paragraph">
                  <wp:posOffset>2657475</wp:posOffset>
                </wp:positionV>
                <wp:extent cx="1800225" cy="2197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F09BE" w14:textId="77777777" w:rsidR="00055A65" w:rsidRPr="00A33DBA" w:rsidRDefault="00055A65" w:rsidP="003A33A6">
                            <w:pPr>
                              <w:rPr>
                                <w:rFonts w:ascii="Arial" w:hAnsi="Arial" w:cs="Arial"/>
                              </w:rPr>
                            </w:pPr>
                            <w:r>
                              <w:rPr>
                                <w:rFonts w:ascii="Arial" w:hAnsi="Arial" w:cs="Arial"/>
                              </w:rPr>
                              <w:t>Überlebenszeit in Monaten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5EB927" id="_x0000_s1036" type="#_x0000_t202" style="position:absolute;left:0;text-align:left;margin-left:177.45pt;margin-top:209.25pt;width:141.7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4EEgIAABUEAAAOAAAAZHJzL2Uyb0RvYy54bWysU9tuEzEQfUfiHyy/k70ope0qm6qkCkIq&#10;FKnlA7xe766F12NsJ7vh6xnbSRrgDeEHy3M7M3NmvLqbR0X2wjoJuqbFIqdEaA6t1H1Nv71s391Q&#10;4jzTLVOgRU0PwtG79ds3q8lUooQBVCssQRDtqsnUdPDeVFnm+CBG5hZghEZjB3ZkHkXbZ61lE6KP&#10;Kivz/H02gW2NBS6cQ+1DMtJ1xO86wf1T1znhiaop1ubjbePdhDtbr1jVW2YGyY9lsH+oYmRSY9Iz&#10;1APzjOys/AtqlNyCg84vOIwZdJ3kIvaA3RT5H908D8yI2AuS48yZJvf/YPmX/VdLZIuzKynRbMQZ&#10;vYjZkw8wkzLQMxlXodezQT8/oxpdY6vOPAL/7oiGzcB0L+6thWkQrMXyihCZXYQmHBdAmukztJiG&#10;7TxEoLmzY+AO2SCIjmM6nEcTSuEh5U2el+UVJRxtZXF7XcTZZaw6RRvr/EcBIwmPmlocfURn+0fn&#10;QzWsOrmEZA6UbLdSqSjYvtkoS/YM12QbT4pVZmBJe0rnkmvE+w1D6YCkIWCmdEETOQhtJwL83MyJ&#10;7YgXCGqgPSArFtJu4l/CxwD2JyUT7mVN3Y8ds4IS9Ukjs7fFchkWOQrLq+sSBXtpaS4tTHOEqqmn&#10;JD03Pi3/zljZD5gpzVLDPU6jk5Go16qO9ePuxX6P/yQs96UcvV5/8/oXAAAA//8DAFBLAwQUAAYA&#10;CAAAACEAyE8zauAAAAALAQAADwAAAGRycy9kb3ducmV2LnhtbEyPwU6EMBCG7ya+QzMmXoxbWGCD&#10;SNmYjR5M1ETUe6EjsNIpod1dfHvHkx5n5sv/f1NuFzuKI85+cKQgXkUgkFpnBuoUvL89XOcgfNBk&#10;9OgIFXyjh211flbqwrgTveKxDp3gEPKFVtCHMBVS+rZHq/3KTUh8+3Sz1YHHuZNm1icOt6NcR9FG&#10;Wj0QN/R6wl2P7Vd9sNx7v+TTR/O02z/WV81+/ULDc05KXV4sd7cgAi7hD4ZffVaHip0adyDjxagg&#10;ydIbRhWkcZ6BYGKT5CmIhjdZEoOsSvn/h+oHAAD//wMAUEsBAi0AFAAGAAgAAAAhALaDOJL+AAAA&#10;4QEAABMAAAAAAAAAAAAAAAAAAAAAAFtDb250ZW50X1R5cGVzXS54bWxQSwECLQAUAAYACAAAACEA&#10;OP0h/9YAAACUAQAACwAAAAAAAAAAAAAAAAAvAQAAX3JlbHMvLnJlbHNQSwECLQAUAAYACAAAACEA&#10;h0keBBICAAAVBAAADgAAAAAAAAAAAAAAAAAuAgAAZHJzL2Uyb0RvYy54bWxQSwECLQAUAAYACAAA&#10;ACEAyE8zauAAAAALAQAADwAAAAAAAAAAAAAAAABsBAAAZHJzL2Rvd25yZXYueG1sUEsFBgAAAAAE&#10;AAQA8wAAAHkFAAAAAA==&#10;" stroked="f">
                <v:fill opacity="0"/>
                <v:textbox>
                  <w:txbxContent>
                    <w:p w14:paraId="1C1F09BE" w14:textId="77777777" w:rsidR="00055A65" w:rsidRPr="00A33DBA" w:rsidRDefault="00055A65" w:rsidP="003A33A6">
                      <w:pPr>
                        <w:rPr>
                          <w:rFonts w:ascii="Arial" w:hAnsi="Arial" w:cs="Arial"/>
                        </w:rPr>
                      </w:pPr>
                      <w:r>
                        <w:rPr>
                          <w:rFonts w:ascii="Arial" w:hAnsi="Arial" w:cs="Arial"/>
                        </w:rPr>
                        <w:t>Überlebenszeit in Monaten</w:t>
                      </w:r>
                    </w:p>
                  </w:txbxContent>
                </v:textbox>
              </v:shape>
            </w:pict>
          </mc:Fallback>
        </mc:AlternateContent>
      </w:r>
      <w:r w:rsidRPr="00B30A12">
        <w:rPr>
          <w:noProof/>
          <w:lang w:val="en-GB" w:eastAsia="en-GB"/>
        </w:rPr>
        <mc:AlternateContent>
          <mc:Choice Requires="wps">
            <w:drawing>
              <wp:anchor distT="0" distB="0" distL="114300" distR="114300" simplePos="0" relativeHeight="251662336" behindDoc="0" locked="0" layoutInCell="1" allowOverlap="1" wp14:anchorId="0F3ABDC3" wp14:editId="5B8EA19A">
                <wp:simplePos x="0" y="0"/>
                <wp:positionH relativeFrom="column">
                  <wp:posOffset>350520</wp:posOffset>
                </wp:positionH>
                <wp:positionV relativeFrom="paragraph">
                  <wp:posOffset>952500</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B635" w14:textId="77777777" w:rsidR="00055A65" w:rsidRDefault="00055A65" w:rsidP="003A33A6">
                            <w:pPr>
                              <w:rPr>
                                <w:rFonts w:ascii="Arial" w:hAnsi="Arial" w:cs="Arial"/>
                              </w:rPr>
                            </w:pPr>
                          </w:p>
                          <w:tbl>
                            <w:tblPr>
                              <w:tblW w:w="0" w:type="auto"/>
                              <w:tblLook w:val="04A0" w:firstRow="1" w:lastRow="0" w:firstColumn="1" w:lastColumn="0" w:noHBand="0" w:noVBand="1"/>
                            </w:tblPr>
                            <w:tblGrid>
                              <w:gridCol w:w="817"/>
                              <w:gridCol w:w="2693"/>
                              <w:gridCol w:w="851"/>
                              <w:gridCol w:w="739"/>
                              <w:gridCol w:w="850"/>
                            </w:tblGrid>
                            <w:tr w:rsidR="00055A65" w:rsidRPr="0055776F" w14:paraId="56916BF2" w14:textId="77777777" w:rsidTr="00200154">
                              <w:tc>
                                <w:tcPr>
                                  <w:tcW w:w="5920" w:type="dxa"/>
                                  <w:gridSpan w:val="5"/>
                                  <w:shd w:val="clear" w:color="auto" w:fill="auto"/>
                                </w:tcPr>
                                <w:p w14:paraId="0C0BF5FC" w14:textId="77777777" w:rsidR="00055A65" w:rsidRPr="00F42FE0" w:rsidRDefault="00055A65" w:rsidP="00200154">
                                  <w:pPr>
                                    <w:rPr>
                                      <w:rFonts w:ascii="Arial" w:hAnsi="Arial" w:cs="Arial"/>
                                      <w:lang w:val="en-US"/>
                                    </w:rPr>
                                  </w:pPr>
                                  <w:r>
                                    <w:rPr>
                                      <w:rFonts w:ascii="Arial" w:hAnsi="Arial" w:cs="Arial"/>
                                      <w:lang w:val="en-US"/>
                                    </w:rPr>
                                    <w:t>P =</w:t>
                                  </w:r>
                                  <w:r w:rsidRPr="00F42FE0">
                                    <w:rPr>
                                      <w:rFonts w:ascii="Arial" w:hAnsi="Arial" w:cs="Arial"/>
                                      <w:lang w:val="en-US"/>
                                    </w:rPr>
                                    <w:t xml:space="preserve"> 0,</w:t>
                                  </w:r>
                                  <w:r>
                                    <w:rPr>
                                      <w:rFonts w:ascii="Arial" w:hAnsi="Arial" w:cs="Arial"/>
                                      <w:lang w:val="en-US"/>
                                    </w:rPr>
                                    <w:t>0</w:t>
                                  </w:r>
                                  <w:r w:rsidRPr="00F42FE0">
                                    <w:rPr>
                                      <w:rFonts w:ascii="Arial" w:hAnsi="Arial" w:cs="Arial"/>
                                      <w:lang w:val="en-US"/>
                                    </w:rPr>
                                    <w:t>19</w:t>
                                  </w:r>
                                </w:p>
                                <w:p w14:paraId="41E87926" w14:textId="77777777" w:rsidR="00055A65" w:rsidRPr="00F42FE0" w:rsidRDefault="00055A65" w:rsidP="00200154">
                                  <w:pPr>
                                    <w:rPr>
                                      <w:rFonts w:ascii="Arial" w:hAnsi="Arial" w:cs="Arial"/>
                                      <w:lang w:val="en-US"/>
                                    </w:rPr>
                                  </w:pPr>
                                  <w:r w:rsidRPr="00F42FE0">
                                    <w:rPr>
                                      <w:rFonts w:ascii="Arial" w:hAnsi="Arial" w:cs="Arial"/>
                                      <w:lang w:val="en-US"/>
                                    </w:rPr>
                                    <w:t>Hazard ratio 0,45</w:t>
                                  </w:r>
                                </w:p>
                                <w:p w14:paraId="0E7C6DEA" w14:textId="77777777" w:rsidR="00055A65" w:rsidRPr="0055776F" w:rsidRDefault="00055A65" w:rsidP="00200154">
                                  <w:pPr>
                                    <w:rPr>
                                      <w:rFonts w:ascii="Arial" w:hAnsi="Arial" w:cs="Arial"/>
                                    </w:rPr>
                                  </w:pPr>
                                  <w:r w:rsidRPr="00F42FE0">
                                    <w:rPr>
                                      <w:rFonts w:ascii="Arial" w:hAnsi="Arial" w:cs="Arial"/>
                                      <w:lang w:val="en-US"/>
                                    </w:rPr>
                                    <w:t>(95%</w:t>
                                  </w:r>
                                  <w:r>
                                    <w:rPr>
                                      <w:rFonts w:ascii="Arial" w:hAnsi="Arial" w:cs="Arial"/>
                                      <w:lang w:val="en-US"/>
                                    </w:rPr>
                                    <w:t>-KI</w:t>
                                  </w:r>
                                  <w:r w:rsidRPr="00F42FE0">
                                    <w:rPr>
                                      <w:rFonts w:ascii="Arial" w:hAnsi="Arial" w:cs="Arial"/>
                                      <w:lang w:val="en-US"/>
                                    </w:rPr>
                                    <w:t>, 0</w:t>
                                  </w:r>
                                  <w:r>
                                    <w:rPr>
                                      <w:rFonts w:ascii="Arial" w:hAnsi="Arial" w:cs="Arial"/>
                                      <w:lang w:val="en-US"/>
                                    </w:rPr>
                                    <w:t>,22</w:t>
                                  </w:r>
                                  <w:r>
                                    <w:rPr>
                                      <w:rFonts w:ascii="Arial" w:hAnsi="Arial" w:cs="Arial"/>
                                      <w:lang w:val="en-US"/>
                                    </w:rPr>
                                    <w:noBreakHyphen/>
                                  </w:r>
                                  <w:r w:rsidRPr="00F42FE0">
                                    <w:rPr>
                                      <w:rFonts w:ascii="Arial" w:hAnsi="Arial" w:cs="Arial"/>
                                      <w:lang w:val="en-US"/>
                                    </w:rPr>
                                    <w:t>0,89)</w:t>
                                  </w:r>
                                </w:p>
                              </w:tc>
                            </w:tr>
                            <w:tr w:rsidR="00055A65" w:rsidRPr="0055776F" w14:paraId="565410ED" w14:textId="77777777" w:rsidTr="00200154">
                              <w:tc>
                                <w:tcPr>
                                  <w:tcW w:w="817" w:type="dxa"/>
                                  <w:shd w:val="clear" w:color="auto" w:fill="auto"/>
                                </w:tcPr>
                                <w:p w14:paraId="23E6F6C3" w14:textId="77777777" w:rsidR="00055A65" w:rsidRPr="0055776F" w:rsidRDefault="00055A65" w:rsidP="00FE0401">
                                  <w:pPr>
                                    <w:rPr>
                                      <w:rFonts w:ascii="Arial" w:hAnsi="Arial" w:cs="Arial"/>
                                    </w:rPr>
                                  </w:pPr>
                                </w:p>
                              </w:tc>
                              <w:tc>
                                <w:tcPr>
                                  <w:tcW w:w="2693" w:type="dxa"/>
                                  <w:shd w:val="clear" w:color="auto" w:fill="auto"/>
                                </w:tcPr>
                                <w:p w14:paraId="6E955421" w14:textId="77777777" w:rsidR="00055A65" w:rsidRPr="0055776F" w:rsidRDefault="00055A65" w:rsidP="00FE0401">
                                  <w:pPr>
                                    <w:rPr>
                                      <w:rFonts w:ascii="Arial" w:hAnsi="Arial" w:cs="Arial"/>
                                    </w:rPr>
                                  </w:pPr>
                                </w:p>
                              </w:tc>
                              <w:tc>
                                <w:tcPr>
                                  <w:tcW w:w="851" w:type="dxa"/>
                                  <w:tcBorders>
                                    <w:bottom w:val="single" w:sz="4" w:space="0" w:color="auto"/>
                                  </w:tcBorders>
                                  <w:shd w:val="clear" w:color="auto" w:fill="auto"/>
                                </w:tcPr>
                                <w:p w14:paraId="71C96627" w14:textId="77777777" w:rsidR="00055A65" w:rsidRPr="0055776F" w:rsidRDefault="00055A65" w:rsidP="00FE0401">
                                  <w:pPr>
                                    <w:rPr>
                                      <w:rFonts w:ascii="Arial" w:hAnsi="Arial" w:cs="Arial"/>
                                    </w:rPr>
                                  </w:pPr>
                                  <w:r w:rsidRPr="00200154">
                                    <w:rPr>
                                      <w:rFonts w:ascii="Arial" w:hAnsi="Arial" w:cs="Arial"/>
                                    </w:rPr>
                                    <w:t>N</w:t>
                                  </w:r>
                                </w:p>
                              </w:tc>
                              <w:tc>
                                <w:tcPr>
                                  <w:tcW w:w="709" w:type="dxa"/>
                                  <w:tcBorders>
                                    <w:bottom w:val="single" w:sz="4" w:space="0" w:color="auto"/>
                                  </w:tcBorders>
                                  <w:shd w:val="clear" w:color="auto" w:fill="auto"/>
                                </w:tcPr>
                                <w:p w14:paraId="5660E339" w14:textId="77777777" w:rsidR="00055A65" w:rsidRPr="0055776F"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5DF9E1B0" w14:textId="77777777" w:rsidR="00055A65" w:rsidRPr="0055776F" w:rsidRDefault="00055A65" w:rsidP="00FE0401">
                                  <w:pPr>
                                    <w:rPr>
                                      <w:rFonts w:ascii="Arial" w:hAnsi="Arial" w:cs="Arial"/>
                                    </w:rPr>
                                  </w:pPr>
                                  <w:r w:rsidRPr="00200154">
                                    <w:rPr>
                                      <w:rFonts w:ascii="Arial" w:hAnsi="Arial" w:cs="Arial"/>
                                    </w:rPr>
                                    <w:t>Zens.</w:t>
                                  </w:r>
                                </w:p>
                              </w:tc>
                            </w:tr>
                            <w:tr w:rsidR="00055A65" w:rsidRPr="0055776F" w14:paraId="5C13D1E1" w14:textId="77777777" w:rsidTr="00200154">
                              <w:tc>
                                <w:tcPr>
                                  <w:tcW w:w="817" w:type="dxa"/>
                                  <w:shd w:val="clear" w:color="auto" w:fill="auto"/>
                                </w:tcPr>
                                <w:p w14:paraId="721A34D4" w14:textId="77777777" w:rsidR="00055A65" w:rsidRPr="0055776F" w:rsidRDefault="00055A65" w:rsidP="00FE0401">
                                  <w:pPr>
                                    <w:rPr>
                                      <w:rFonts w:ascii="Arial" w:hAnsi="Arial" w:cs="Arial"/>
                                    </w:rPr>
                                  </w:pPr>
                                  <w:r w:rsidRPr="0055776F">
                                    <w:rPr>
                                      <w:rFonts w:ascii="Arial" w:hAnsi="Arial" w:cs="Arial"/>
                                      <w:b/>
                                    </w:rPr>
                                    <w:t>——</w:t>
                                  </w:r>
                                </w:p>
                              </w:tc>
                              <w:tc>
                                <w:tcPr>
                                  <w:tcW w:w="2693" w:type="dxa"/>
                                  <w:shd w:val="clear" w:color="auto" w:fill="auto"/>
                                </w:tcPr>
                                <w:p w14:paraId="726995F5"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851" w:type="dxa"/>
                                  <w:tcBorders>
                                    <w:top w:val="single" w:sz="4" w:space="0" w:color="auto"/>
                                  </w:tcBorders>
                                  <w:shd w:val="clear" w:color="auto" w:fill="auto"/>
                                </w:tcPr>
                                <w:p w14:paraId="57AADC67" w14:textId="77777777" w:rsidR="00055A65" w:rsidRPr="0055776F" w:rsidRDefault="00055A65" w:rsidP="00FE0401">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0D633C2" w14:textId="77777777" w:rsidR="00055A65" w:rsidRPr="0055776F" w:rsidRDefault="00055A65" w:rsidP="00FE0401">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448C793C" w14:textId="77777777" w:rsidR="00055A65" w:rsidRPr="0055776F" w:rsidRDefault="00055A65" w:rsidP="00FE0401">
                                  <w:pPr>
                                    <w:rPr>
                                      <w:rFonts w:ascii="Arial" w:hAnsi="Arial" w:cs="Arial"/>
                                    </w:rPr>
                                  </w:pPr>
                                  <w:r w:rsidRPr="0055776F">
                                    <w:rPr>
                                      <w:rFonts w:ascii="Arial" w:hAnsi="Arial" w:cs="Arial"/>
                                    </w:rPr>
                                    <w:t>174</w:t>
                                  </w:r>
                                </w:p>
                              </w:tc>
                            </w:tr>
                            <w:tr w:rsidR="00055A65" w:rsidRPr="0055776F" w14:paraId="1FAE4F2E" w14:textId="77777777" w:rsidTr="00200154">
                              <w:tc>
                                <w:tcPr>
                                  <w:tcW w:w="817" w:type="dxa"/>
                                  <w:shd w:val="clear" w:color="auto" w:fill="auto"/>
                                </w:tcPr>
                                <w:p w14:paraId="7F6791D5"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43528433"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851" w:type="dxa"/>
                                  <w:tcBorders>
                                    <w:bottom w:val="single" w:sz="4" w:space="0" w:color="auto"/>
                                  </w:tcBorders>
                                  <w:shd w:val="clear" w:color="auto" w:fill="auto"/>
                                </w:tcPr>
                                <w:p w14:paraId="4FA6810D" w14:textId="77777777" w:rsidR="00055A65" w:rsidRPr="0055776F" w:rsidRDefault="00055A65" w:rsidP="00FE0401">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41B1B879" w14:textId="77777777" w:rsidR="00055A65" w:rsidRPr="0055776F" w:rsidRDefault="00055A65" w:rsidP="00FE0401">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59FED13F" w14:textId="77777777" w:rsidR="00055A65" w:rsidRPr="0055776F" w:rsidRDefault="00055A65" w:rsidP="00FE0401">
                                  <w:pPr>
                                    <w:rPr>
                                      <w:rFonts w:ascii="Arial" w:hAnsi="Arial" w:cs="Arial"/>
                                    </w:rPr>
                                  </w:pPr>
                                  <w:r w:rsidRPr="0055776F">
                                    <w:rPr>
                                      <w:rFonts w:ascii="Arial" w:hAnsi="Arial" w:cs="Arial"/>
                                    </w:rPr>
                                    <w:t>186</w:t>
                                  </w:r>
                                </w:p>
                              </w:tc>
                            </w:tr>
                            <w:tr w:rsidR="00055A65" w:rsidRPr="0055776F" w14:paraId="7FB72A3B" w14:textId="77777777" w:rsidTr="00200154">
                              <w:tc>
                                <w:tcPr>
                                  <w:tcW w:w="817" w:type="dxa"/>
                                  <w:shd w:val="clear" w:color="auto" w:fill="auto"/>
                                </w:tcPr>
                                <w:p w14:paraId="7D2063C2"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5EA017B0" w14:textId="77777777" w:rsidR="00055A65" w:rsidRPr="0055776F" w:rsidRDefault="00055A65" w:rsidP="00FE0401">
                                  <w:pPr>
                                    <w:rPr>
                                      <w:rFonts w:ascii="Arial" w:hAnsi="Arial" w:cs="Arial"/>
                                    </w:rPr>
                                  </w:pPr>
                                  <w:r>
                                    <w:rPr>
                                      <w:rFonts w:ascii="Arial" w:hAnsi="Arial" w:cs="Arial"/>
                                    </w:rPr>
                                    <w:t>z</w:t>
                                  </w:r>
                                  <w:r w:rsidRPr="0002465D">
                                    <w:rPr>
                                      <w:rFonts w:ascii="Arial" w:hAnsi="Arial" w:cs="Arial"/>
                                    </w:rPr>
                                    <w:t>ensierte Beobachtungen</w:t>
                                  </w:r>
                                </w:p>
                              </w:tc>
                              <w:tc>
                                <w:tcPr>
                                  <w:tcW w:w="851" w:type="dxa"/>
                                  <w:tcBorders>
                                    <w:top w:val="single" w:sz="4" w:space="0" w:color="auto"/>
                                  </w:tcBorders>
                                  <w:shd w:val="clear" w:color="auto" w:fill="auto"/>
                                </w:tcPr>
                                <w:p w14:paraId="3EB9B1D9" w14:textId="77777777" w:rsidR="00055A65" w:rsidRPr="0055776F" w:rsidRDefault="00055A65" w:rsidP="00FE0401">
                                  <w:pPr>
                                    <w:rPr>
                                      <w:rFonts w:ascii="Arial" w:hAnsi="Arial" w:cs="Arial"/>
                                    </w:rPr>
                                  </w:pPr>
                                </w:p>
                              </w:tc>
                              <w:tc>
                                <w:tcPr>
                                  <w:tcW w:w="709" w:type="dxa"/>
                                  <w:tcBorders>
                                    <w:top w:val="single" w:sz="4" w:space="0" w:color="auto"/>
                                  </w:tcBorders>
                                  <w:shd w:val="clear" w:color="auto" w:fill="auto"/>
                                </w:tcPr>
                                <w:p w14:paraId="74E8B5C9"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1E92C5B3" w14:textId="77777777" w:rsidR="00055A65" w:rsidRPr="0055776F" w:rsidRDefault="00055A65" w:rsidP="00FE0401">
                                  <w:pPr>
                                    <w:rPr>
                                      <w:rFonts w:ascii="Arial" w:hAnsi="Arial" w:cs="Arial"/>
                                    </w:rPr>
                                  </w:pPr>
                                </w:p>
                              </w:tc>
                            </w:tr>
                          </w:tbl>
                          <w:p w14:paraId="30DC2134" w14:textId="77777777" w:rsidR="00055A65" w:rsidRPr="00A33DBA" w:rsidRDefault="00055A65" w:rsidP="003A33A6">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BDC3" id="_x0000_s1037" type="#_x0000_t202" style="position:absolute;left:0;text-align:left;margin-left:27.6pt;margin-top:7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DwPIFx3gAAAAoBAAAPAAAAZHJzL2Rv&#10;d25yZXYueG1sTI9NT8MwDIbvSPsPkZG4sYSNUNY1nRCIK2jjQ+KWNV5brXGqJlvLv8ec4Gj70evn&#10;LTaT78QZh9gGMnAzVyCQquBaqg28vz1f34OIyZKzXSA08I0RNuXsorC5CyNt8bxLteAQirk10KTU&#10;51LGqkFv4zz0SHw7hMHbxONQSzfYkcN9JxdK3UlvW+IPje3xscHquDt5Ax8vh6/PW/VaP3ndj2FS&#10;kvxKGnN1OT2sQSSc0h8Mv/qsDiU77cOJXBSdAa0XTPJeK+7EQJZlSxB7A8tMK5BlIf9XKH8AAAD/&#10;/wMAUEsBAi0AFAAGAAgAAAAhALaDOJL+AAAA4QEAABMAAAAAAAAAAAAAAAAAAAAAAFtDb250ZW50&#10;X1R5cGVzXS54bWxQSwECLQAUAAYACAAAACEAOP0h/9YAAACUAQAACwAAAAAAAAAAAAAAAAAvAQAA&#10;X3JlbHMvLnJlbHNQSwECLQAUAAYACAAAACEAbRnHQfYBAADQAwAADgAAAAAAAAAAAAAAAAAuAgAA&#10;ZHJzL2Uyb0RvYy54bWxQSwECLQAUAAYACAAAACEA8DyBcd4AAAAKAQAADwAAAAAAAAAAAAAAAABQ&#10;BAAAZHJzL2Rvd25yZXYueG1sUEsFBgAAAAAEAAQA8wAAAFsFAAAAAA==&#10;" filled="f" stroked="f">
                <v:textbox>
                  <w:txbxContent>
                    <w:p w14:paraId="4F65B635" w14:textId="77777777" w:rsidR="00055A65" w:rsidRDefault="00055A65" w:rsidP="003A33A6">
                      <w:pPr>
                        <w:rPr>
                          <w:rFonts w:ascii="Arial" w:hAnsi="Arial" w:cs="Arial"/>
                        </w:rPr>
                      </w:pPr>
                    </w:p>
                    <w:tbl>
                      <w:tblPr>
                        <w:tblW w:w="0" w:type="auto"/>
                        <w:tblLook w:val="04A0" w:firstRow="1" w:lastRow="0" w:firstColumn="1" w:lastColumn="0" w:noHBand="0" w:noVBand="1"/>
                      </w:tblPr>
                      <w:tblGrid>
                        <w:gridCol w:w="817"/>
                        <w:gridCol w:w="2693"/>
                        <w:gridCol w:w="851"/>
                        <w:gridCol w:w="739"/>
                        <w:gridCol w:w="850"/>
                      </w:tblGrid>
                      <w:tr w:rsidR="00055A65" w:rsidRPr="0055776F" w14:paraId="56916BF2" w14:textId="77777777" w:rsidTr="00200154">
                        <w:tc>
                          <w:tcPr>
                            <w:tcW w:w="5920" w:type="dxa"/>
                            <w:gridSpan w:val="5"/>
                            <w:shd w:val="clear" w:color="auto" w:fill="auto"/>
                          </w:tcPr>
                          <w:p w14:paraId="0C0BF5FC" w14:textId="77777777" w:rsidR="00055A65" w:rsidRPr="00F42FE0" w:rsidRDefault="00055A65" w:rsidP="00200154">
                            <w:pPr>
                              <w:rPr>
                                <w:rFonts w:ascii="Arial" w:hAnsi="Arial" w:cs="Arial"/>
                                <w:lang w:val="en-US"/>
                              </w:rPr>
                            </w:pPr>
                            <w:r>
                              <w:rPr>
                                <w:rFonts w:ascii="Arial" w:hAnsi="Arial" w:cs="Arial"/>
                                <w:lang w:val="en-US"/>
                              </w:rPr>
                              <w:t>P =</w:t>
                            </w:r>
                            <w:r w:rsidRPr="00F42FE0">
                              <w:rPr>
                                <w:rFonts w:ascii="Arial" w:hAnsi="Arial" w:cs="Arial"/>
                                <w:lang w:val="en-US"/>
                              </w:rPr>
                              <w:t xml:space="preserve"> 0,</w:t>
                            </w:r>
                            <w:r>
                              <w:rPr>
                                <w:rFonts w:ascii="Arial" w:hAnsi="Arial" w:cs="Arial"/>
                                <w:lang w:val="en-US"/>
                              </w:rPr>
                              <w:t>0</w:t>
                            </w:r>
                            <w:r w:rsidRPr="00F42FE0">
                              <w:rPr>
                                <w:rFonts w:ascii="Arial" w:hAnsi="Arial" w:cs="Arial"/>
                                <w:lang w:val="en-US"/>
                              </w:rPr>
                              <w:t>19</w:t>
                            </w:r>
                          </w:p>
                          <w:p w14:paraId="41E87926" w14:textId="77777777" w:rsidR="00055A65" w:rsidRPr="00F42FE0" w:rsidRDefault="00055A65" w:rsidP="00200154">
                            <w:pPr>
                              <w:rPr>
                                <w:rFonts w:ascii="Arial" w:hAnsi="Arial" w:cs="Arial"/>
                                <w:lang w:val="en-US"/>
                              </w:rPr>
                            </w:pPr>
                            <w:r w:rsidRPr="00F42FE0">
                              <w:rPr>
                                <w:rFonts w:ascii="Arial" w:hAnsi="Arial" w:cs="Arial"/>
                                <w:lang w:val="en-US"/>
                              </w:rPr>
                              <w:t>Hazard ratio 0,45</w:t>
                            </w:r>
                          </w:p>
                          <w:p w14:paraId="0E7C6DEA" w14:textId="77777777" w:rsidR="00055A65" w:rsidRPr="0055776F" w:rsidRDefault="00055A65" w:rsidP="00200154">
                            <w:pPr>
                              <w:rPr>
                                <w:rFonts w:ascii="Arial" w:hAnsi="Arial" w:cs="Arial"/>
                              </w:rPr>
                            </w:pPr>
                            <w:r w:rsidRPr="00F42FE0">
                              <w:rPr>
                                <w:rFonts w:ascii="Arial" w:hAnsi="Arial" w:cs="Arial"/>
                                <w:lang w:val="en-US"/>
                              </w:rPr>
                              <w:t>(95%</w:t>
                            </w:r>
                            <w:r>
                              <w:rPr>
                                <w:rFonts w:ascii="Arial" w:hAnsi="Arial" w:cs="Arial"/>
                                <w:lang w:val="en-US"/>
                              </w:rPr>
                              <w:t>-KI</w:t>
                            </w:r>
                            <w:r w:rsidRPr="00F42FE0">
                              <w:rPr>
                                <w:rFonts w:ascii="Arial" w:hAnsi="Arial" w:cs="Arial"/>
                                <w:lang w:val="en-US"/>
                              </w:rPr>
                              <w:t>, 0</w:t>
                            </w:r>
                            <w:r>
                              <w:rPr>
                                <w:rFonts w:ascii="Arial" w:hAnsi="Arial" w:cs="Arial"/>
                                <w:lang w:val="en-US"/>
                              </w:rPr>
                              <w:t>,22</w:t>
                            </w:r>
                            <w:r>
                              <w:rPr>
                                <w:rFonts w:ascii="Arial" w:hAnsi="Arial" w:cs="Arial"/>
                                <w:lang w:val="en-US"/>
                              </w:rPr>
                              <w:noBreakHyphen/>
                            </w:r>
                            <w:r w:rsidRPr="00F42FE0">
                              <w:rPr>
                                <w:rFonts w:ascii="Arial" w:hAnsi="Arial" w:cs="Arial"/>
                                <w:lang w:val="en-US"/>
                              </w:rPr>
                              <w:t>0,89)</w:t>
                            </w:r>
                          </w:p>
                        </w:tc>
                      </w:tr>
                      <w:tr w:rsidR="00055A65" w:rsidRPr="0055776F" w14:paraId="565410ED" w14:textId="77777777" w:rsidTr="00200154">
                        <w:tc>
                          <w:tcPr>
                            <w:tcW w:w="817" w:type="dxa"/>
                            <w:shd w:val="clear" w:color="auto" w:fill="auto"/>
                          </w:tcPr>
                          <w:p w14:paraId="23E6F6C3" w14:textId="77777777" w:rsidR="00055A65" w:rsidRPr="0055776F" w:rsidRDefault="00055A65" w:rsidP="00FE0401">
                            <w:pPr>
                              <w:rPr>
                                <w:rFonts w:ascii="Arial" w:hAnsi="Arial" w:cs="Arial"/>
                              </w:rPr>
                            </w:pPr>
                          </w:p>
                        </w:tc>
                        <w:tc>
                          <w:tcPr>
                            <w:tcW w:w="2693" w:type="dxa"/>
                            <w:shd w:val="clear" w:color="auto" w:fill="auto"/>
                          </w:tcPr>
                          <w:p w14:paraId="6E955421" w14:textId="77777777" w:rsidR="00055A65" w:rsidRPr="0055776F" w:rsidRDefault="00055A65" w:rsidP="00FE0401">
                            <w:pPr>
                              <w:rPr>
                                <w:rFonts w:ascii="Arial" w:hAnsi="Arial" w:cs="Arial"/>
                              </w:rPr>
                            </w:pPr>
                          </w:p>
                        </w:tc>
                        <w:tc>
                          <w:tcPr>
                            <w:tcW w:w="851" w:type="dxa"/>
                            <w:tcBorders>
                              <w:bottom w:val="single" w:sz="4" w:space="0" w:color="auto"/>
                            </w:tcBorders>
                            <w:shd w:val="clear" w:color="auto" w:fill="auto"/>
                          </w:tcPr>
                          <w:p w14:paraId="71C96627" w14:textId="77777777" w:rsidR="00055A65" w:rsidRPr="0055776F" w:rsidRDefault="00055A65" w:rsidP="00FE0401">
                            <w:pPr>
                              <w:rPr>
                                <w:rFonts w:ascii="Arial" w:hAnsi="Arial" w:cs="Arial"/>
                              </w:rPr>
                            </w:pPr>
                            <w:r w:rsidRPr="00200154">
                              <w:rPr>
                                <w:rFonts w:ascii="Arial" w:hAnsi="Arial" w:cs="Arial"/>
                              </w:rPr>
                              <w:t>N</w:t>
                            </w:r>
                          </w:p>
                        </w:tc>
                        <w:tc>
                          <w:tcPr>
                            <w:tcW w:w="709" w:type="dxa"/>
                            <w:tcBorders>
                              <w:bottom w:val="single" w:sz="4" w:space="0" w:color="auto"/>
                            </w:tcBorders>
                            <w:shd w:val="clear" w:color="auto" w:fill="auto"/>
                          </w:tcPr>
                          <w:p w14:paraId="5660E339" w14:textId="77777777" w:rsidR="00055A65" w:rsidRPr="0055776F" w:rsidRDefault="00055A65" w:rsidP="00FE0401">
                            <w:pPr>
                              <w:rPr>
                                <w:rFonts w:ascii="Arial" w:hAnsi="Arial" w:cs="Arial"/>
                              </w:rPr>
                            </w:pPr>
                            <w:r w:rsidRPr="00200154">
                              <w:rPr>
                                <w:rFonts w:ascii="Arial" w:hAnsi="Arial" w:cs="Arial"/>
                              </w:rPr>
                              <w:t>Ereig</w:t>
                            </w:r>
                            <w:r>
                              <w:rPr>
                                <w:rFonts w:ascii="Arial" w:hAnsi="Arial" w:cs="Arial"/>
                              </w:rPr>
                              <w:t>.</w:t>
                            </w:r>
                          </w:p>
                        </w:tc>
                        <w:tc>
                          <w:tcPr>
                            <w:tcW w:w="850" w:type="dxa"/>
                            <w:tcBorders>
                              <w:bottom w:val="single" w:sz="4" w:space="0" w:color="auto"/>
                            </w:tcBorders>
                            <w:shd w:val="clear" w:color="auto" w:fill="auto"/>
                          </w:tcPr>
                          <w:p w14:paraId="5DF9E1B0" w14:textId="77777777" w:rsidR="00055A65" w:rsidRPr="0055776F" w:rsidRDefault="00055A65" w:rsidP="00FE0401">
                            <w:pPr>
                              <w:rPr>
                                <w:rFonts w:ascii="Arial" w:hAnsi="Arial" w:cs="Arial"/>
                              </w:rPr>
                            </w:pPr>
                            <w:r w:rsidRPr="00200154">
                              <w:rPr>
                                <w:rFonts w:ascii="Arial" w:hAnsi="Arial" w:cs="Arial"/>
                              </w:rPr>
                              <w:t>Zens.</w:t>
                            </w:r>
                          </w:p>
                        </w:tc>
                      </w:tr>
                      <w:tr w:rsidR="00055A65" w:rsidRPr="0055776F" w14:paraId="5C13D1E1" w14:textId="77777777" w:rsidTr="00200154">
                        <w:tc>
                          <w:tcPr>
                            <w:tcW w:w="817" w:type="dxa"/>
                            <w:shd w:val="clear" w:color="auto" w:fill="auto"/>
                          </w:tcPr>
                          <w:p w14:paraId="721A34D4" w14:textId="77777777" w:rsidR="00055A65" w:rsidRPr="0055776F" w:rsidRDefault="00055A65" w:rsidP="00FE0401">
                            <w:pPr>
                              <w:rPr>
                                <w:rFonts w:ascii="Arial" w:hAnsi="Arial" w:cs="Arial"/>
                              </w:rPr>
                            </w:pPr>
                            <w:r w:rsidRPr="0055776F">
                              <w:rPr>
                                <w:rFonts w:ascii="Arial" w:hAnsi="Arial" w:cs="Arial"/>
                                <w:b/>
                              </w:rPr>
                              <w:t>——</w:t>
                            </w:r>
                          </w:p>
                        </w:tc>
                        <w:tc>
                          <w:tcPr>
                            <w:tcW w:w="2693" w:type="dxa"/>
                            <w:shd w:val="clear" w:color="auto" w:fill="auto"/>
                          </w:tcPr>
                          <w:p w14:paraId="726995F5" w14:textId="77777777" w:rsidR="00055A65" w:rsidRPr="0055776F" w:rsidRDefault="00055A65" w:rsidP="00FE0401">
                            <w:pPr>
                              <w:rPr>
                                <w:rFonts w:ascii="Arial" w:hAnsi="Arial" w:cs="Arial"/>
                              </w:rPr>
                            </w:pPr>
                            <w:r w:rsidRPr="0055776F">
                              <w:rPr>
                                <w:rFonts w:ascii="Arial" w:hAnsi="Arial" w:cs="Arial"/>
                              </w:rPr>
                              <w:t xml:space="preserve">(1) </w:t>
                            </w:r>
                            <w:r>
                              <w:rPr>
                                <w:rFonts w:ascii="Arial" w:hAnsi="Arial" w:cs="Arial"/>
                              </w:rPr>
                              <w:t>Imatinib 12 </w:t>
                            </w:r>
                            <w:r w:rsidRPr="0002465D">
                              <w:rPr>
                                <w:rFonts w:ascii="Arial" w:hAnsi="Arial" w:cs="Arial"/>
                              </w:rPr>
                              <w:t>Monate:</w:t>
                            </w:r>
                          </w:p>
                        </w:tc>
                        <w:tc>
                          <w:tcPr>
                            <w:tcW w:w="851" w:type="dxa"/>
                            <w:tcBorders>
                              <w:top w:val="single" w:sz="4" w:space="0" w:color="auto"/>
                            </w:tcBorders>
                            <w:shd w:val="clear" w:color="auto" w:fill="auto"/>
                          </w:tcPr>
                          <w:p w14:paraId="57AADC67" w14:textId="77777777" w:rsidR="00055A65" w:rsidRPr="0055776F" w:rsidRDefault="00055A65" w:rsidP="00FE0401">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0D633C2" w14:textId="77777777" w:rsidR="00055A65" w:rsidRPr="0055776F" w:rsidRDefault="00055A65" w:rsidP="00FE0401">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448C793C" w14:textId="77777777" w:rsidR="00055A65" w:rsidRPr="0055776F" w:rsidRDefault="00055A65" w:rsidP="00FE0401">
                            <w:pPr>
                              <w:rPr>
                                <w:rFonts w:ascii="Arial" w:hAnsi="Arial" w:cs="Arial"/>
                              </w:rPr>
                            </w:pPr>
                            <w:r w:rsidRPr="0055776F">
                              <w:rPr>
                                <w:rFonts w:ascii="Arial" w:hAnsi="Arial" w:cs="Arial"/>
                              </w:rPr>
                              <w:t>174</w:t>
                            </w:r>
                          </w:p>
                        </w:tc>
                      </w:tr>
                      <w:tr w:rsidR="00055A65" w:rsidRPr="0055776F" w14:paraId="1FAE4F2E" w14:textId="77777777" w:rsidTr="00200154">
                        <w:tc>
                          <w:tcPr>
                            <w:tcW w:w="817" w:type="dxa"/>
                            <w:shd w:val="clear" w:color="auto" w:fill="auto"/>
                          </w:tcPr>
                          <w:p w14:paraId="7F6791D5"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43528433" w14:textId="77777777" w:rsidR="00055A65" w:rsidRPr="0055776F" w:rsidRDefault="00055A65" w:rsidP="00FE0401">
                            <w:pPr>
                              <w:rPr>
                                <w:rFonts w:ascii="Arial" w:hAnsi="Arial" w:cs="Arial"/>
                              </w:rPr>
                            </w:pPr>
                            <w:r w:rsidRPr="0055776F">
                              <w:rPr>
                                <w:rFonts w:ascii="Arial" w:hAnsi="Arial" w:cs="Arial"/>
                              </w:rPr>
                              <w:t xml:space="preserve">(2) </w:t>
                            </w:r>
                            <w:r>
                              <w:rPr>
                                <w:rFonts w:ascii="Arial" w:hAnsi="Arial" w:cs="Arial"/>
                              </w:rPr>
                              <w:t>Imatinib 36 </w:t>
                            </w:r>
                            <w:r w:rsidRPr="0002465D">
                              <w:rPr>
                                <w:rFonts w:ascii="Arial" w:hAnsi="Arial" w:cs="Arial"/>
                              </w:rPr>
                              <w:t>Monate:</w:t>
                            </w:r>
                          </w:p>
                        </w:tc>
                        <w:tc>
                          <w:tcPr>
                            <w:tcW w:w="851" w:type="dxa"/>
                            <w:tcBorders>
                              <w:bottom w:val="single" w:sz="4" w:space="0" w:color="auto"/>
                            </w:tcBorders>
                            <w:shd w:val="clear" w:color="auto" w:fill="auto"/>
                          </w:tcPr>
                          <w:p w14:paraId="4FA6810D" w14:textId="77777777" w:rsidR="00055A65" w:rsidRPr="0055776F" w:rsidRDefault="00055A65" w:rsidP="00FE0401">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41B1B879" w14:textId="77777777" w:rsidR="00055A65" w:rsidRPr="0055776F" w:rsidRDefault="00055A65" w:rsidP="00FE0401">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59FED13F" w14:textId="77777777" w:rsidR="00055A65" w:rsidRPr="0055776F" w:rsidRDefault="00055A65" w:rsidP="00FE0401">
                            <w:pPr>
                              <w:rPr>
                                <w:rFonts w:ascii="Arial" w:hAnsi="Arial" w:cs="Arial"/>
                              </w:rPr>
                            </w:pPr>
                            <w:r w:rsidRPr="0055776F">
                              <w:rPr>
                                <w:rFonts w:ascii="Arial" w:hAnsi="Arial" w:cs="Arial"/>
                              </w:rPr>
                              <w:t>186</w:t>
                            </w:r>
                          </w:p>
                        </w:tc>
                      </w:tr>
                      <w:tr w:rsidR="00055A65" w:rsidRPr="0055776F" w14:paraId="7FB72A3B" w14:textId="77777777" w:rsidTr="00200154">
                        <w:tc>
                          <w:tcPr>
                            <w:tcW w:w="817" w:type="dxa"/>
                            <w:shd w:val="clear" w:color="auto" w:fill="auto"/>
                          </w:tcPr>
                          <w:p w14:paraId="7D2063C2" w14:textId="77777777" w:rsidR="00055A65" w:rsidRPr="0055776F" w:rsidRDefault="00055A65" w:rsidP="00FE0401">
                            <w:pPr>
                              <w:rPr>
                                <w:rFonts w:ascii="Arial" w:hAnsi="Arial" w:cs="Arial"/>
                              </w:rPr>
                            </w:pPr>
                            <w:r w:rsidRPr="0055776F">
                              <w:rPr>
                                <w:rFonts w:ascii="Arial" w:hAnsi="Arial" w:cs="Arial"/>
                              </w:rPr>
                              <w:t>│││</w:t>
                            </w:r>
                          </w:p>
                        </w:tc>
                        <w:tc>
                          <w:tcPr>
                            <w:tcW w:w="2693" w:type="dxa"/>
                            <w:shd w:val="clear" w:color="auto" w:fill="auto"/>
                          </w:tcPr>
                          <w:p w14:paraId="5EA017B0" w14:textId="77777777" w:rsidR="00055A65" w:rsidRPr="0055776F" w:rsidRDefault="00055A65" w:rsidP="00FE0401">
                            <w:pPr>
                              <w:rPr>
                                <w:rFonts w:ascii="Arial" w:hAnsi="Arial" w:cs="Arial"/>
                              </w:rPr>
                            </w:pPr>
                            <w:r>
                              <w:rPr>
                                <w:rFonts w:ascii="Arial" w:hAnsi="Arial" w:cs="Arial"/>
                              </w:rPr>
                              <w:t>z</w:t>
                            </w:r>
                            <w:r w:rsidRPr="0002465D">
                              <w:rPr>
                                <w:rFonts w:ascii="Arial" w:hAnsi="Arial" w:cs="Arial"/>
                              </w:rPr>
                              <w:t>ensierte Beobachtungen</w:t>
                            </w:r>
                          </w:p>
                        </w:tc>
                        <w:tc>
                          <w:tcPr>
                            <w:tcW w:w="851" w:type="dxa"/>
                            <w:tcBorders>
                              <w:top w:val="single" w:sz="4" w:space="0" w:color="auto"/>
                            </w:tcBorders>
                            <w:shd w:val="clear" w:color="auto" w:fill="auto"/>
                          </w:tcPr>
                          <w:p w14:paraId="3EB9B1D9" w14:textId="77777777" w:rsidR="00055A65" w:rsidRPr="0055776F" w:rsidRDefault="00055A65" w:rsidP="00FE0401">
                            <w:pPr>
                              <w:rPr>
                                <w:rFonts w:ascii="Arial" w:hAnsi="Arial" w:cs="Arial"/>
                              </w:rPr>
                            </w:pPr>
                          </w:p>
                        </w:tc>
                        <w:tc>
                          <w:tcPr>
                            <w:tcW w:w="709" w:type="dxa"/>
                            <w:tcBorders>
                              <w:top w:val="single" w:sz="4" w:space="0" w:color="auto"/>
                            </w:tcBorders>
                            <w:shd w:val="clear" w:color="auto" w:fill="auto"/>
                          </w:tcPr>
                          <w:p w14:paraId="74E8B5C9" w14:textId="77777777" w:rsidR="00055A65" w:rsidRPr="0055776F" w:rsidRDefault="00055A65" w:rsidP="00FE0401">
                            <w:pPr>
                              <w:rPr>
                                <w:rFonts w:ascii="Arial" w:hAnsi="Arial" w:cs="Arial"/>
                              </w:rPr>
                            </w:pPr>
                          </w:p>
                        </w:tc>
                        <w:tc>
                          <w:tcPr>
                            <w:tcW w:w="850" w:type="dxa"/>
                            <w:tcBorders>
                              <w:top w:val="single" w:sz="4" w:space="0" w:color="auto"/>
                            </w:tcBorders>
                            <w:shd w:val="clear" w:color="auto" w:fill="auto"/>
                          </w:tcPr>
                          <w:p w14:paraId="1E92C5B3" w14:textId="77777777" w:rsidR="00055A65" w:rsidRPr="0055776F" w:rsidRDefault="00055A65" w:rsidP="00FE0401">
                            <w:pPr>
                              <w:rPr>
                                <w:rFonts w:ascii="Arial" w:hAnsi="Arial" w:cs="Arial"/>
                              </w:rPr>
                            </w:pPr>
                          </w:p>
                        </w:tc>
                      </w:tr>
                    </w:tbl>
                    <w:p w14:paraId="30DC2134" w14:textId="77777777" w:rsidR="00055A65" w:rsidRPr="00A33DBA" w:rsidRDefault="00055A65" w:rsidP="003A33A6">
                      <w:pPr>
                        <w:rPr>
                          <w:rFonts w:ascii="Arial" w:hAnsi="Arial" w:cs="Arial"/>
                        </w:rPr>
                      </w:pPr>
                    </w:p>
                  </w:txbxContent>
                </v:textbox>
              </v:shape>
            </w:pict>
          </mc:Fallback>
        </mc:AlternateContent>
      </w:r>
      <w:r w:rsidRPr="00B30A12">
        <w:rPr>
          <w:noProof/>
          <w:lang w:val="en-GB" w:eastAsia="en-GB"/>
        </w:rPr>
        <w:drawing>
          <wp:inline distT="0" distB="0" distL="0" distR="0" wp14:anchorId="09DA80E4" wp14:editId="1E8F6C8B">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4734CECC" w14:textId="77777777" w:rsidR="003A33A6" w:rsidRPr="00B30A12" w:rsidRDefault="003A33A6" w:rsidP="00463601">
      <w:pPr>
        <w:keepNext/>
        <w:widowControl w:val="0"/>
        <w:ind w:left="1418" w:hanging="1418"/>
        <w:rPr>
          <w:rFonts w:eastAsia="MS Mincho"/>
          <w:sz w:val="22"/>
          <w:szCs w:val="22"/>
        </w:rPr>
      </w:pPr>
    </w:p>
    <w:p w14:paraId="4FEE3177" w14:textId="77777777" w:rsidR="003A33A6" w:rsidRPr="00B30A12" w:rsidRDefault="003A33A6" w:rsidP="00463601">
      <w:pPr>
        <w:keepNext/>
        <w:widowControl w:val="0"/>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A33A6" w:rsidRPr="00B30A12" w14:paraId="2D60BBB9" w14:textId="77777777" w:rsidTr="00CE58F7">
        <w:tc>
          <w:tcPr>
            <w:tcW w:w="10632" w:type="dxa"/>
            <w:gridSpan w:val="16"/>
            <w:shd w:val="clear" w:color="auto" w:fill="auto"/>
          </w:tcPr>
          <w:p w14:paraId="7FEC7566" w14:textId="77777777" w:rsidR="003A33A6" w:rsidRPr="00B30A12" w:rsidRDefault="003A33A6" w:rsidP="00463601">
            <w:pPr>
              <w:keepNext/>
              <w:widowControl w:val="0"/>
              <w:ind w:left="-28"/>
              <w:rPr>
                <w:rFonts w:ascii="Arial" w:hAnsi="Arial" w:cs="Arial"/>
                <w:sz w:val="16"/>
                <w:szCs w:val="16"/>
              </w:rPr>
            </w:pPr>
            <w:r w:rsidRPr="00B30A12">
              <w:rPr>
                <w:rFonts w:ascii="Arial" w:hAnsi="Arial" w:cs="Arial"/>
              </w:rPr>
              <w:t>Patienten mit Risiko: Ereignisse</w:t>
            </w:r>
          </w:p>
        </w:tc>
      </w:tr>
      <w:tr w:rsidR="003A33A6" w:rsidRPr="00B30A12" w14:paraId="3D710BC3" w14:textId="77777777" w:rsidTr="00CE58F7">
        <w:tc>
          <w:tcPr>
            <w:tcW w:w="450" w:type="dxa"/>
            <w:shd w:val="clear" w:color="auto" w:fill="auto"/>
          </w:tcPr>
          <w:p w14:paraId="730E70CF" w14:textId="77777777" w:rsidR="003A33A6" w:rsidRPr="00B30A12" w:rsidRDefault="003A33A6" w:rsidP="0054140C">
            <w:pPr>
              <w:widowControl w:val="0"/>
            </w:pPr>
            <w:r w:rsidRPr="00B30A12">
              <w:t>(1)</w:t>
            </w:r>
          </w:p>
        </w:tc>
        <w:tc>
          <w:tcPr>
            <w:tcW w:w="691" w:type="dxa"/>
            <w:shd w:val="clear" w:color="auto" w:fill="auto"/>
          </w:tcPr>
          <w:p w14:paraId="0C0AB5C8" w14:textId="77777777" w:rsidR="003A33A6" w:rsidRPr="00B30A12" w:rsidRDefault="003A33A6" w:rsidP="0054140C">
            <w:pPr>
              <w:widowControl w:val="0"/>
              <w:ind w:left="-45"/>
            </w:pPr>
            <w:r w:rsidRPr="00B30A12">
              <w:t>199:0</w:t>
            </w:r>
          </w:p>
        </w:tc>
        <w:tc>
          <w:tcPr>
            <w:tcW w:w="672" w:type="dxa"/>
            <w:shd w:val="clear" w:color="auto" w:fill="auto"/>
          </w:tcPr>
          <w:p w14:paraId="11EC6172" w14:textId="77777777" w:rsidR="003A33A6" w:rsidRPr="00B30A12" w:rsidRDefault="003A33A6" w:rsidP="0054140C">
            <w:pPr>
              <w:widowControl w:val="0"/>
              <w:ind w:left="-45"/>
            </w:pPr>
            <w:r w:rsidRPr="00B30A12">
              <w:t>190:2</w:t>
            </w:r>
          </w:p>
        </w:tc>
        <w:tc>
          <w:tcPr>
            <w:tcW w:w="714" w:type="dxa"/>
            <w:shd w:val="clear" w:color="auto" w:fill="auto"/>
          </w:tcPr>
          <w:p w14:paraId="34631733" w14:textId="77777777" w:rsidR="003A33A6" w:rsidRPr="00B30A12" w:rsidRDefault="003A33A6" w:rsidP="0054140C">
            <w:pPr>
              <w:widowControl w:val="0"/>
              <w:ind w:left="-45"/>
            </w:pPr>
            <w:r w:rsidRPr="00B30A12">
              <w:t>188:2</w:t>
            </w:r>
          </w:p>
        </w:tc>
        <w:tc>
          <w:tcPr>
            <w:tcW w:w="722" w:type="dxa"/>
            <w:shd w:val="clear" w:color="auto" w:fill="auto"/>
          </w:tcPr>
          <w:p w14:paraId="587DCFA0" w14:textId="77777777" w:rsidR="003A33A6" w:rsidRPr="00B30A12" w:rsidRDefault="003A33A6" w:rsidP="0054140C">
            <w:pPr>
              <w:widowControl w:val="0"/>
              <w:ind w:left="-45"/>
            </w:pPr>
            <w:r w:rsidRPr="00B30A12">
              <w:t>183:6</w:t>
            </w:r>
          </w:p>
        </w:tc>
        <w:tc>
          <w:tcPr>
            <w:tcW w:w="694" w:type="dxa"/>
            <w:shd w:val="clear" w:color="auto" w:fill="auto"/>
          </w:tcPr>
          <w:p w14:paraId="6D930DA1" w14:textId="77777777" w:rsidR="003A33A6" w:rsidRPr="00B30A12" w:rsidRDefault="003A33A6" w:rsidP="0054140C">
            <w:pPr>
              <w:widowControl w:val="0"/>
              <w:ind w:left="-45"/>
            </w:pPr>
            <w:r w:rsidRPr="00B30A12">
              <w:t>176:8</w:t>
            </w:r>
          </w:p>
        </w:tc>
        <w:tc>
          <w:tcPr>
            <w:tcW w:w="772" w:type="dxa"/>
            <w:shd w:val="clear" w:color="auto" w:fill="auto"/>
          </w:tcPr>
          <w:p w14:paraId="3D7ED7E5" w14:textId="77777777" w:rsidR="003A33A6" w:rsidRPr="00B30A12" w:rsidRDefault="003A33A6" w:rsidP="0054140C">
            <w:pPr>
              <w:widowControl w:val="0"/>
              <w:ind w:left="-45"/>
            </w:pPr>
            <w:r w:rsidRPr="00B30A12">
              <w:t>156:10</w:t>
            </w:r>
          </w:p>
        </w:tc>
        <w:tc>
          <w:tcPr>
            <w:tcW w:w="782" w:type="dxa"/>
            <w:shd w:val="clear" w:color="auto" w:fill="auto"/>
          </w:tcPr>
          <w:p w14:paraId="462D3027" w14:textId="77777777" w:rsidR="003A33A6" w:rsidRPr="00B30A12" w:rsidRDefault="003A33A6" w:rsidP="0054140C">
            <w:pPr>
              <w:widowControl w:val="0"/>
              <w:ind w:left="-45"/>
            </w:pPr>
            <w:r w:rsidRPr="00B30A12">
              <w:t>140:11</w:t>
            </w:r>
          </w:p>
        </w:tc>
        <w:tc>
          <w:tcPr>
            <w:tcW w:w="798" w:type="dxa"/>
            <w:shd w:val="clear" w:color="auto" w:fill="auto"/>
          </w:tcPr>
          <w:p w14:paraId="4E9D1857" w14:textId="77777777" w:rsidR="003A33A6" w:rsidRPr="00B30A12" w:rsidRDefault="003A33A6" w:rsidP="0054140C">
            <w:pPr>
              <w:widowControl w:val="0"/>
              <w:ind w:left="-45"/>
            </w:pPr>
            <w:r w:rsidRPr="00B30A12">
              <w:t>105:14</w:t>
            </w:r>
          </w:p>
        </w:tc>
        <w:tc>
          <w:tcPr>
            <w:tcW w:w="654" w:type="dxa"/>
            <w:shd w:val="clear" w:color="auto" w:fill="auto"/>
          </w:tcPr>
          <w:p w14:paraId="7BBBA914" w14:textId="77777777" w:rsidR="003A33A6" w:rsidRPr="00B30A12" w:rsidRDefault="003A33A6" w:rsidP="0054140C">
            <w:pPr>
              <w:widowControl w:val="0"/>
              <w:ind w:left="-45"/>
            </w:pPr>
            <w:r w:rsidRPr="00B30A12">
              <w:t>87:18</w:t>
            </w:r>
          </w:p>
        </w:tc>
        <w:tc>
          <w:tcPr>
            <w:tcW w:w="630" w:type="dxa"/>
            <w:shd w:val="clear" w:color="auto" w:fill="auto"/>
          </w:tcPr>
          <w:p w14:paraId="69525E8C" w14:textId="77777777" w:rsidR="003A33A6" w:rsidRPr="00B30A12" w:rsidRDefault="003A33A6" w:rsidP="0054140C">
            <w:pPr>
              <w:widowControl w:val="0"/>
              <w:ind w:left="-45"/>
            </w:pPr>
            <w:r w:rsidRPr="00B30A12">
              <w:t>64:22</w:t>
            </w:r>
          </w:p>
        </w:tc>
        <w:tc>
          <w:tcPr>
            <w:tcW w:w="644" w:type="dxa"/>
            <w:shd w:val="clear" w:color="auto" w:fill="auto"/>
          </w:tcPr>
          <w:p w14:paraId="18020B7C" w14:textId="77777777" w:rsidR="003A33A6" w:rsidRPr="00B30A12" w:rsidRDefault="003A33A6" w:rsidP="0054140C">
            <w:pPr>
              <w:widowControl w:val="0"/>
              <w:ind w:left="-45"/>
            </w:pPr>
            <w:r w:rsidRPr="00B30A12">
              <w:t>46:23</w:t>
            </w:r>
          </w:p>
        </w:tc>
        <w:tc>
          <w:tcPr>
            <w:tcW w:w="672" w:type="dxa"/>
            <w:shd w:val="clear" w:color="auto" w:fill="auto"/>
          </w:tcPr>
          <w:p w14:paraId="217F59BB" w14:textId="77777777" w:rsidR="003A33A6" w:rsidRPr="00B30A12" w:rsidRDefault="003A33A6" w:rsidP="0054140C">
            <w:pPr>
              <w:widowControl w:val="0"/>
              <w:ind w:left="-45"/>
            </w:pPr>
            <w:r w:rsidRPr="00B30A12">
              <w:t>27:25</w:t>
            </w:r>
          </w:p>
        </w:tc>
        <w:tc>
          <w:tcPr>
            <w:tcW w:w="686" w:type="dxa"/>
            <w:shd w:val="clear" w:color="auto" w:fill="auto"/>
          </w:tcPr>
          <w:p w14:paraId="2DA231ED" w14:textId="77777777" w:rsidR="003A33A6" w:rsidRPr="00B30A12" w:rsidRDefault="003A33A6" w:rsidP="0054140C">
            <w:pPr>
              <w:widowControl w:val="0"/>
              <w:ind w:left="-45"/>
            </w:pPr>
            <w:r w:rsidRPr="00B30A12">
              <w:t>20:25</w:t>
            </w:r>
          </w:p>
        </w:tc>
        <w:tc>
          <w:tcPr>
            <w:tcW w:w="560" w:type="dxa"/>
            <w:shd w:val="clear" w:color="auto" w:fill="auto"/>
          </w:tcPr>
          <w:p w14:paraId="42622684" w14:textId="77777777" w:rsidR="003A33A6" w:rsidRPr="00B30A12" w:rsidRDefault="003A33A6" w:rsidP="0054140C">
            <w:pPr>
              <w:widowControl w:val="0"/>
              <w:ind w:left="-45"/>
            </w:pPr>
            <w:r w:rsidRPr="00B30A12">
              <w:t>2:25</w:t>
            </w:r>
          </w:p>
        </w:tc>
        <w:tc>
          <w:tcPr>
            <w:tcW w:w="491" w:type="dxa"/>
            <w:shd w:val="clear" w:color="auto" w:fill="auto"/>
          </w:tcPr>
          <w:p w14:paraId="4A6C727D" w14:textId="77777777" w:rsidR="003A33A6" w:rsidRPr="00B30A12" w:rsidRDefault="003A33A6" w:rsidP="0054140C">
            <w:pPr>
              <w:widowControl w:val="0"/>
              <w:ind w:left="-45"/>
            </w:pPr>
            <w:r w:rsidRPr="00B30A12">
              <w:t>0:25</w:t>
            </w:r>
          </w:p>
        </w:tc>
      </w:tr>
      <w:tr w:rsidR="003A33A6" w:rsidRPr="00B30A12" w14:paraId="1EBB9962" w14:textId="77777777" w:rsidTr="00CE58F7">
        <w:tc>
          <w:tcPr>
            <w:tcW w:w="450" w:type="dxa"/>
            <w:shd w:val="clear" w:color="auto" w:fill="auto"/>
          </w:tcPr>
          <w:p w14:paraId="34DD1653" w14:textId="77777777" w:rsidR="003A33A6" w:rsidRPr="00B30A12" w:rsidRDefault="003A33A6" w:rsidP="0054140C">
            <w:pPr>
              <w:widowControl w:val="0"/>
            </w:pPr>
            <w:r w:rsidRPr="00B30A12">
              <w:t>(2)</w:t>
            </w:r>
          </w:p>
        </w:tc>
        <w:tc>
          <w:tcPr>
            <w:tcW w:w="691" w:type="dxa"/>
            <w:shd w:val="clear" w:color="auto" w:fill="auto"/>
          </w:tcPr>
          <w:p w14:paraId="20AE49DE" w14:textId="77777777" w:rsidR="003A33A6" w:rsidRPr="00B30A12" w:rsidRDefault="003A33A6" w:rsidP="0054140C">
            <w:pPr>
              <w:widowControl w:val="0"/>
              <w:ind w:left="-45"/>
            </w:pPr>
            <w:r w:rsidRPr="00B30A12">
              <w:t>198:0</w:t>
            </w:r>
          </w:p>
        </w:tc>
        <w:tc>
          <w:tcPr>
            <w:tcW w:w="672" w:type="dxa"/>
            <w:shd w:val="clear" w:color="auto" w:fill="auto"/>
          </w:tcPr>
          <w:p w14:paraId="595489B6" w14:textId="77777777" w:rsidR="003A33A6" w:rsidRPr="00B30A12" w:rsidRDefault="003A33A6" w:rsidP="0054140C">
            <w:pPr>
              <w:widowControl w:val="0"/>
              <w:ind w:left="-45"/>
            </w:pPr>
            <w:r w:rsidRPr="00B30A12">
              <w:t>196:0</w:t>
            </w:r>
          </w:p>
        </w:tc>
        <w:tc>
          <w:tcPr>
            <w:tcW w:w="714" w:type="dxa"/>
            <w:shd w:val="clear" w:color="auto" w:fill="auto"/>
          </w:tcPr>
          <w:p w14:paraId="1B33F093" w14:textId="77777777" w:rsidR="003A33A6" w:rsidRPr="00B30A12" w:rsidRDefault="003A33A6" w:rsidP="0054140C">
            <w:pPr>
              <w:widowControl w:val="0"/>
              <w:ind w:left="-45"/>
            </w:pPr>
            <w:r w:rsidRPr="00B30A12">
              <w:t>192:0</w:t>
            </w:r>
          </w:p>
        </w:tc>
        <w:tc>
          <w:tcPr>
            <w:tcW w:w="722" w:type="dxa"/>
            <w:shd w:val="clear" w:color="auto" w:fill="auto"/>
          </w:tcPr>
          <w:p w14:paraId="32A0E8A2" w14:textId="77777777" w:rsidR="003A33A6" w:rsidRPr="00B30A12" w:rsidRDefault="003A33A6" w:rsidP="0054140C">
            <w:pPr>
              <w:widowControl w:val="0"/>
              <w:ind w:left="-45"/>
            </w:pPr>
            <w:r w:rsidRPr="00B30A12">
              <w:t>187:4</w:t>
            </w:r>
          </w:p>
        </w:tc>
        <w:tc>
          <w:tcPr>
            <w:tcW w:w="694" w:type="dxa"/>
            <w:shd w:val="clear" w:color="auto" w:fill="auto"/>
          </w:tcPr>
          <w:p w14:paraId="62094F4A" w14:textId="77777777" w:rsidR="003A33A6" w:rsidRPr="00B30A12" w:rsidRDefault="003A33A6" w:rsidP="0054140C">
            <w:pPr>
              <w:widowControl w:val="0"/>
              <w:ind w:left="-45"/>
            </w:pPr>
            <w:r w:rsidRPr="00B30A12">
              <w:t>184:5</w:t>
            </w:r>
          </w:p>
        </w:tc>
        <w:tc>
          <w:tcPr>
            <w:tcW w:w="772" w:type="dxa"/>
            <w:shd w:val="clear" w:color="auto" w:fill="auto"/>
          </w:tcPr>
          <w:p w14:paraId="1A33ABD1" w14:textId="77777777" w:rsidR="003A33A6" w:rsidRPr="00B30A12" w:rsidRDefault="003A33A6" w:rsidP="0054140C">
            <w:pPr>
              <w:widowControl w:val="0"/>
              <w:ind w:left="-45"/>
            </w:pPr>
            <w:r w:rsidRPr="00B30A12">
              <w:t>164:7</w:t>
            </w:r>
          </w:p>
        </w:tc>
        <w:tc>
          <w:tcPr>
            <w:tcW w:w="782" w:type="dxa"/>
            <w:shd w:val="clear" w:color="auto" w:fill="auto"/>
          </w:tcPr>
          <w:p w14:paraId="4B5333E9" w14:textId="77777777" w:rsidR="003A33A6" w:rsidRPr="00B30A12" w:rsidRDefault="003A33A6" w:rsidP="0054140C">
            <w:pPr>
              <w:widowControl w:val="0"/>
              <w:ind w:left="-45"/>
            </w:pPr>
            <w:r w:rsidRPr="00B30A12">
              <w:t>152:7</w:t>
            </w:r>
          </w:p>
        </w:tc>
        <w:tc>
          <w:tcPr>
            <w:tcW w:w="798" w:type="dxa"/>
            <w:shd w:val="clear" w:color="auto" w:fill="auto"/>
          </w:tcPr>
          <w:p w14:paraId="51FB5A52" w14:textId="77777777" w:rsidR="003A33A6" w:rsidRPr="00B30A12" w:rsidRDefault="003A33A6" w:rsidP="0054140C">
            <w:pPr>
              <w:widowControl w:val="0"/>
              <w:ind w:left="-45"/>
            </w:pPr>
            <w:r w:rsidRPr="00B30A12">
              <w:t>119:8</w:t>
            </w:r>
          </w:p>
        </w:tc>
        <w:tc>
          <w:tcPr>
            <w:tcW w:w="654" w:type="dxa"/>
            <w:shd w:val="clear" w:color="auto" w:fill="auto"/>
          </w:tcPr>
          <w:p w14:paraId="32C4CC1D" w14:textId="77777777" w:rsidR="003A33A6" w:rsidRPr="00B30A12" w:rsidRDefault="003A33A6" w:rsidP="0054140C">
            <w:pPr>
              <w:widowControl w:val="0"/>
              <w:ind w:left="-45"/>
            </w:pPr>
            <w:r w:rsidRPr="00B30A12">
              <w:t>100:8</w:t>
            </w:r>
          </w:p>
        </w:tc>
        <w:tc>
          <w:tcPr>
            <w:tcW w:w="630" w:type="dxa"/>
            <w:shd w:val="clear" w:color="auto" w:fill="auto"/>
          </w:tcPr>
          <w:p w14:paraId="42D74396" w14:textId="77777777" w:rsidR="003A33A6" w:rsidRPr="00B30A12" w:rsidRDefault="003A33A6" w:rsidP="0054140C">
            <w:pPr>
              <w:widowControl w:val="0"/>
              <w:ind w:left="-45"/>
            </w:pPr>
            <w:r w:rsidRPr="00B30A12">
              <w:t>76:10</w:t>
            </w:r>
          </w:p>
        </w:tc>
        <w:tc>
          <w:tcPr>
            <w:tcW w:w="644" w:type="dxa"/>
            <w:shd w:val="clear" w:color="auto" w:fill="auto"/>
          </w:tcPr>
          <w:p w14:paraId="57489D2B" w14:textId="77777777" w:rsidR="003A33A6" w:rsidRPr="00B30A12" w:rsidRDefault="003A33A6" w:rsidP="0054140C">
            <w:pPr>
              <w:widowControl w:val="0"/>
              <w:ind w:left="-45"/>
            </w:pPr>
            <w:r w:rsidRPr="00B30A12">
              <w:t>56:11</w:t>
            </w:r>
          </w:p>
        </w:tc>
        <w:tc>
          <w:tcPr>
            <w:tcW w:w="672" w:type="dxa"/>
            <w:shd w:val="clear" w:color="auto" w:fill="auto"/>
          </w:tcPr>
          <w:p w14:paraId="17C265FF" w14:textId="77777777" w:rsidR="003A33A6" w:rsidRPr="00B30A12" w:rsidRDefault="003A33A6" w:rsidP="0054140C">
            <w:pPr>
              <w:widowControl w:val="0"/>
              <w:ind w:left="-45"/>
            </w:pPr>
            <w:r w:rsidRPr="00B30A12">
              <w:t>31:11</w:t>
            </w:r>
          </w:p>
        </w:tc>
        <w:tc>
          <w:tcPr>
            <w:tcW w:w="686" w:type="dxa"/>
            <w:shd w:val="clear" w:color="auto" w:fill="auto"/>
          </w:tcPr>
          <w:p w14:paraId="17CFA648" w14:textId="77777777" w:rsidR="003A33A6" w:rsidRPr="00B30A12" w:rsidRDefault="003A33A6" w:rsidP="0054140C">
            <w:pPr>
              <w:widowControl w:val="0"/>
              <w:ind w:left="-45"/>
            </w:pPr>
            <w:r w:rsidRPr="00B30A12">
              <w:t>13:12</w:t>
            </w:r>
          </w:p>
        </w:tc>
        <w:tc>
          <w:tcPr>
            <w:tcW w:w="560" w:type="dxa"/>
            <w:shd w:val="clear" w:color="auto" w:fill="auto"/>
          </w:tcPr>
          <w:p w14:paraId="142AC5F1" w14:textId="77777777" w:rsidR="003A33A6" w:rsidRPr="00B30A12" w:rsidRDefault="003A33A6" w:rsidP="0054140C">
            <w:pPr>
              <w:widowControl w:val="0"/>
              <w:ind w:left="-45"/>
            </w:pPr>
            <w:r w:rsidRPr="00B30A12">
              <w:t>0:12</w:t>
            </w:r>
          </w:p>
        </w:tc>
        <w:tc>
          <w:tcPr>
            <w:tcW w:w="491" w:type="dxa"/>
            <w:shd w:val="clear" w:color="auto" w:fill="auto"/>
          </w:tcPr>
          <w:p w14:paraId="47F8615A" w14:textId="77777777" w:rsidR="003A33A6" w:rsidRPr="00B30A12" w:rsidRDefault="003A33A6" w:rsidP="0054140C">
            <w:pPr>
              <w:widowControl w:val="0"/>
              <w:ind w:left="-45"/>
            </w:pPr>
          </w:p>
        </w:tc>
      </w:tr>
    </w:tbl>
    <w:p w14:paraId="1DF7F65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4CB2CBE9"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gibt keine kontrollierten Studien bei Kindern und Jugendlichen mit c-Kit positivem GIST. In 7 Publikationen wurde über 17 Patienten mit GIST (mit oder ohne Kit und PDGFR-Mutationen) berichtet. Das Alter dieser Patienten reichte von 8 bis 18 Jahren und Imatinib wurde in Dosen von 300 bis 800 mg täglich sowohl in der Adjuvanz als auch in der metastasierten Situation gegeben. Für die Mehrheit der pädiatrischen Patienten, die gegen GIST behandelt wurden, fehlten Daten hinsichtlich c-Kit oder PDGFR-Mutationen, die zu verschiedenen klinischen Ergebnissen geführt haben könnten.</w:t>
      </w:r>
    </w:p>
    <w:p w14:paraId="02459519"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42757F54" w14:textId="77777777" w:rsidR="003A33A6" w:rsidRPr="00B30A12" w:rsidRDefault="003A33A6" w:rsidP="00463601">
      <w:pPr>
        <w:pStyle w:val="Header"/>
        <w:keepNext/>
        <w:widowControl w:val="0"/>
        <w:tabs>
          <w:tab w:val="clear" w:pos="4320"/>
          <w:tab w:val="clear" w:pos="8640"/>
          <w:tab w:val="center" w:pos="6804"/>
          <w:tab w:val="right" w:leader="underscore" w:pos="9072"/>
        </w:tabs>
        <w:rPr>
          <w:color w:val="000000"/>
          <w:szCs w:val="22"/>
          <w:u w:val="single"/>
        </w:rPr>
      </w:pPr>
      <w:r w:rsidRPr="00B30A12">
        <w:rPr>
          <w:color w:val="000000"/>
          <w:szCs w:val="22"/>
          <w:u w:val="single"/>
        </w:rPr>
        <w:t>Klinische Studien bei DFSP</w:t>
      </w:r>
    </w:p>
    <w:p w14:paraId="30A2898B"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wurde eine offene, multizentrische Phase-II-Studie (Studie B2225) bei 12 Patienten mit DSFP durchgeführt, die mit täglich 800 mg Glivec behandelt wurden. Das Alter der DFSP-Patienten betrug 23</w:t>
      </w:r>
      <w:r w:rsidRPr="00B30A12">
        <w:rPr>
          <w:color w:val="000000"/>
          <w:szCs w:val="22"/>
        </w:rPr>
        <w:noBreakHyphen/>
        <w:t>75 Jahre; das DFSP war zum Zeitpunkt des Eintritts in die Studie metastasiert mit lokalen Rezidiven nach initialer chirurgischer Resektion und wurde als nicht behandelbar durch weitere chirurgische Resektionen beurteilt. Der primäre Wirksamkeitsnachweis beruhte auf objektiven Ansprechraten. Von den 12 eingeschlossenen Patienten sprachen 9 an, ein Patient komplett und 8 teilweise. Drei der Patienten mit teilweisem Ansprechen wurden nach anschließender Operation als krankheitsfrei eingestuft. Die mediane Behandlungsdauer in der Studie B2225 betrug 6,2 Monate bei einer maximalen Behandlungsdauer von 24,3 Monaten. Über weitere 6 DFSP-Patienten, die mit Glivec behandelt wurden, wurde in 5 publizierten Fallberichten berichtet; ihr Alter betrug 18 Monate bis 49 Jahre. Die erwachsenen Patienten, über die in der publizierten Literatur berichtet wird, wurden mit täglich 400 mg (4 Fälle) oder 800 mg (1 Fall) Glivec behandelt. Fünf Patienten sprachen an, 3 vollständig und 2 teilweise. Die mediane Behandlungsdauer lag in der publizierten Literatur zwischen 4 Wochen und mehr als 20 Monaten. Die Translokation t(17:22)[(q22:q13)] oder ihr Genprodukt waren bei fast allen Patienten, die auf die Glivec-Behandlung ansprachen, vorhanden.</w:t>
      </w:r>
    </w:p>
    <w:p w14:paraId="668363AC"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5993B6F1"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r w:rsidRPr="00B30A12">
        <w:rPr>
          <w:color w:val="000000"/>
          <w:szCs w:val="22"/>
        </w:rPr>
        <w:t>Es gibt keine kontrollierten Studien mit Kindern und Jugendlichen mit DFSP. In 3 Publikationen wurde über 5 Patienten mit DFSP und PDGFR-Genumlagerungen berichtet. Die Altersspanne dieser Patienten reichte vom Neugeborenen bis 14 Jahre und Imatinib wurde in einer Dosierung von 50 mg täglich oder in Dosen von 400 bis 520 mg/m² täglich gegeben. Alle Patienten zeigten teilweises und/oder komplettes Ansprechen.</w:t>
      </w:r>
    </w:p>
    <w:p w14:paraId="12DE2640" w14:textId="77777777" w:rsidR="003A33A6" w:rsidRPr="00B30A12" w:rsidRDefault="003A33A6" w:rsidP="0054140C">
      <w:pPr>
        <w:pStyle w:val="Header"/>
        <w:widowControl w:val="0"/>
        <w:tabs>
          <w:tab w:val="clear" w:pos="4320"/>
          <w:tab w:val="clear" w:pos="8640"/>
          <w:tab w:val="center" w:pos="6804"/>
          <w:tab w:val="right" w:leader="underscore" w:pos="9072"/>
        </w:tabs>
        <w:rPr>
          <w:color w:val="000000"/>
          <w:szCs w:val="22"/>
        </w:rPr>
      </w:pPr>
    </w:p>
    <w:p w14:paraId="6F6E31E6" w14:textId="77777777" w:rsidR="000742FC" w:rsidRPr="00B30A12" w:rsidRDefault="000742FC" w:rsidP="00463601">
      <w:pPr>
        <w:keepNext/>
        <w:widowControl w:val="0"/>
        <w:ind w:left="567" w:hanging="567"/>
        <w:rPr>
          <w:color w:val="000000"/>
          <w:sz w:val="22"/>
          <w:szCs w:val="22"/>
        </w:rPr>
      </w:pPr>
      <w:r w:rsidRPr="00B30A12">
        <w:rPr>
          <w:b/>
          <w:color w:val="000000"/>
          <w:sz w:val="22"/>
          <w:szCs w:val="22"/>
        </w:rPr>
        <w:lastRenderedPageBreak/>
        <w:t>5.2</w:t>
      </w:r>
      <w:r w:rsidRPr="00B30A12">
        <w:rPr>
          <w:b/>
          <w:color w:val="000000"/>
          <w:sz w:val="22"/>
          <w:szCs w:val="22"/>
        </w:rPr>
        <w:tab/>
        <w:t>Pharmakokinetische Eigenschaften</w:t>
      </w:r>
    </w:p>
    <w:p w14:paraId="717D3DC9" w14:textId="77777777" w:rsidR="000742FC" w:rsidRPr="00B30A12" w:rsidRDefault="000742FC" w:rsidP="00463601">
      <w:pPr>
        <w:keepNext/>
        <w:widowControl w:val="0"/>
        <w:ind w:firstLine="3"/>
        <w:rPr>
          <w:color w:val="000000"/>
          <w:sz w:val="22"/>
          <w:szCs w:val="22"/>
        </w:rPr>
      </w:pPr>
    </w:p>
    <w:p w14:paraId="6CB84453" w14:textId="77777777" w:rsidR="000742FC" w:rsidRPr="00B30A12" w:rsidRDefault="000742FC" w:rsidP="00463601">
      <w:pPr>
        <w:keepNext/>
        <w:widowControl w:val="0"/>
        <w:ind w:firstLine="3"/>
        <w:rPr>
          <w:color w:val="000000"/>
          <w:sz w:val="22"/>
          <w:szCs w:val="22"/>
          <w:u w:val="single"/>
        </w:rPr>
      </w:pPr>
      <w:r w:rsidRPr="00B30A12">
        <w:rPr>
          <w:color w:val="000000"/>
          <w:sz w:val="22"/>
          <w:szCs w:val="22"/>
          <w:u w:val="single"/>
        </w:rPr>
        <w:t>Pharmakokinetik von Glivec</w:t>
      </w:r>
    </w:p>
    <w:p w14:paraId="74220B2D" w14:textId="77777777" w:rsidR="000742FC" w:rsidRPr="00B30A12" w:rsidRDefault="000742FC" w:rsidP="0054140C">
      <w:pPr>
        <w:widowControl w:val="0"/>
        <w:ind w:firstLine="3"/>
        <w:rPr>
          <w:color w:val="000000"/>
          <w:sz w:val="22"/>
          <w:szCs w:val="22"/>
        </w:rPr>
      </w:pPr>
      <w:r w:rsidRPr="00B30A12">
        <w:rPr>
          <w:color w:val="000000"/>
          <w:sz w:val="22"/>
          <w:szCs w:val="22"/>
        </w:rPr>
        <w:t>Die Pharmakokinetik von Glivec wurde in einem Dosisbereich von 25 bis 1.000 mg untersucht. Es wur</w:t>
      </w:r>
      <w:r w:rsidRPr="00B30A12">
        <w:rPr>
          <w:color w:val="000000"/>
          <w:sz w:val="22"/>
          <w:szCs w:val="22"/>
        </w:rPr>
        <w:softHyphen/>
        <w:t>den die pharmakokinetischen Profile im Plasma am Tag 1 und am Tag 7 oder 28 untersucht, an denen die Gleichgewichtskonzentrationen (Steady-State) erreicht wurden.</w:t>
      </w:r>
    </w:p>
    <w:p w14:paraId="5913B442" w14:textId="77777777" w:rsidR="000742FC" w:rsidRPr="00B30A12" w:rsidRDefault="000742FC" w:rsidP="0054140C">
      <w:pPr>
        <w:widowControl w:val="0"/>
        <w:ind w:firstLine="3"/>
        <w:rPr>
          <w:color w:val="000000"/>
          <w:sz w:val="22"/>
          <w:szCs w:val="22"/>
        </w:rPr>
      </w:pPr>
    </w:p>
    <w:p w14:paraId="63F72C01" w14:textId="77777777" w:rsidR="009D506D" w:rsidRPr="00B30A12" w:rsidRDefault="009D506D" w:rsidP="00463601">
      <w:pPr>
        <w:keepNext/>
        <w:widowControl w:val="0"/>
        <w:ind w:firstLine="6"/>
        <w:rPr>
          <w:color w:val="000000"/>
          <w:sz w:val="22"/>
          <w:szCs w:val="22"/>
          <w:u w:val="single"/>
        </w:rPr>
      </w:pPr>
      <w:r w:rsidRPr="00B30A12">
        <w:rPr>
          <w:color w:val="000000"/>
          <w:sz w:val="22"/>
          <w:szCs w:val="22"/>
          <w:u w:val="single"/>
        </w:rPr>
        <w:t>Resorption</w:t>
      </w:r>
    </w:p>
    <w:p w14:paraId="1C600F03" w14:textId="77777777" w:rsidR="009D506D" w:rsidRPr="00B30A12" w:rsidRDefault="009D506D" w:rsidP="0054140C">
      <w:pPr>
        <w:widowControl w:val="0"/>
        <w:ind w:firstLine="3"/>
        <w:rPr>
          <w:color w:val="000000"/>
          <w:sz w:val="22"/>
          <w:szCs w:val="22"/>
        </w:rPr>
      </w:pPr>
      <w:r w:rsidRPr="00B30A12">
        <w:rPr>
          <w:color w:val="000000"/>
          <w:sz w:val="22"/>
          <w:szCs w:val="22"/>
        </w:rPr>
        <w:t xml:space="preserve">Die mittlere absolute Bioverfügbarkeit </w:t>
      </w:r>
      <w:r w:rsidR="00F76F51" w:rsidRPr="00B30A12">
        <w:rPr>
          <w:color w:val="000000"/>
          <w:sz w:val="22"/>
          <w:szCs w:val="22"/>
        </w:rPr>
        <w:t>von Imatinib</w:t>
      </w:r>
      <w:r w:rsidRPr="00B30A12">
        <w:rPr>
          <w:color w:val="000000"/>
          <w:sz w:val="22"/>
          <w:szCs w:val="22"/>
        </w:rPr>
        <w:t xml:space="preserve"> beträgt 98%. Nach einer oralen Dosis fand sich eine hohe interindividuelle Variabilität der Plasma-AUC-Spiegel von Imatinib. Nach Gabe mit einer fettreichen Mahlzeit wird die Resorptionsrate von Imatinib verglichen mit dem Nüchternzustand gering</w:t>
      </w:r>
      <w:r w:rsidRPr="00B30A12">
        <w:rPr>
          <w:color w:val="000000"/>
          <w:sz w:val="22"/>
          <w:szCs w:val="22"/>
        </w:rPr>
        <w:softHyphen/>
        <w:t>fügig vermindert (11% Abnahme der C</w:t>
      </w:r>
      <w:r w:rsidRPr="00B30A12">
        <w:rPr>
          <w:color w:val="000000"/>
          <w:sz w:val="22"/>
          <w:szCs w:val="22"/>
          <w:vertAlign w:val="subscript"/>
        </w:rPr>
        <w:t xml:space="preserve">max </w:t>
      </w:r>
      <w:r w:rsidRPr="00B30A12">
        <w:rPr>
          <w:color w:val="000000"/>
          <w:sz w:val="22"/>
          <w:szCs w:val="22"/>
        </w:rPr>
        <w:t>und Verlängerung der t</w:t>
      </w:r>
      <w:r w:rsidRPr="00B30A12">
        <w:rPr>
          <w:color w:val="000000"/>
          <w:sz w:val="22"/>
          <w:szCs w:val="22"/>
          <w:vertAlign w:val="subscript"/>
        </w:rPr>
        <w:t xml:space="preserve">max </w:t>
      </w:r>
      <w:r w:rsidRPr="00B30A12">
        <w:rPr>
          <w:color w:val="000000"/>
          <w:sz w:val="22"/>
          <w:szCs w:val="22"/>
        </w:rPr>
        <w:t>um 1,5 Stunden) mit einer gerin</w:t>
      </w:r>
      <w:r w:rsidRPr="00B30A12">
        <w:rPr>
          <w:color w:val="000000"/>
          <w:sz w:val="22"/>
          <w:szCs w:val="22"/>
        </w:rPr>
        <w:softHyphen/>
        <w:t>gen Reduktion der AUC (7,4%). Der Einfluss eines vorhergehenden gastrointestinalen Eingriffs auf die Resorption des Wirkstoffs wurde nicht untersucht.</w:t>
      </w:r>
    </w:p>
    <w:p w14:paraId="2C2CA81A" w14:textId="77777777" w:rsidR="009D506D" w:rsidRPr="00B30A12" w:rsidRDefault="009D506D" w:rsidP="0054140C">
      <w:pPr>
        <w:widowControl w:val="0"/>
        <w:ind w:firstLine="3"/>
        <w:rPr>
          <w:color w:val="000000"/>
          <w:sz w:val="22"/>
          <w:szCs w:val="22"/>
        </w:rPr>
      </w:pPr>
    </w:p>
    <w:p w14:paraId="4839C842"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Verteilung</w:t>
      </w:r>
    </w:p>
    <w:p w14:paraId="6BC46B82" w14:textId="77777777" w:rsidR="00D04F08" w:rsidRPr="00B30A12" w:rsidRDefault="00D04F08" w:rsidP="0054140C">
      <w:pPr>
        <w:widowControl w:val="0"/>
        <w:ind w:firstLine="3"/>
        <w:rPr>
          <w:color w:val="000000"/>
          <w:sz w:val="22"/>
          <w:szCs w:val="22"/>
        </w:rPr>
      </w:pPr>
      <w:r w:rsidRPr="00B30A12">
        <w:rPr>
          <w:color w:val="000000"/>
          <w:sz w:val="22"/>
          <w:szCs w:val="22"/>
        </w:rPr>
        <w:t xml:space="preserve">Bei klinisch relevanten Konzentrationen von Imatinib betrug bei </w:t>
      </w:r>
      <w:r w:rsidRPr="00B30A12">
        <w:rPr>
          <w:i/>
          <w:color w:val="000000"/>
          <w:sz w:val="22"/>
          <w:szCs w:val="22"/>
        </w:rPr>
        <w:t>In-vitro</w:t>
      </w:r>
      <w:r w:rsidRPr="00B30A12">
        <w:rPr>
          <w:color w:val="000000"/>
          <w:sz w:val="22"/>
          <w:szCs w:val="22"/>
        </w:rPr>
        <w:t>-Experimenten die Plasmapro</w:t>
      </w:r>
      <w:r w:rsidRPr="00B30A12">
        <w:rPr>
          <w:color w:val="000000"/>
          <w:sz w:val="22"/>
          <w:szCs w:val="22"/>
        </w:rPr>
        <w:softHyphen/>
        <w:t>teinbindung etwa 95%, hauptsächlich gebunden an Albumin und alpha-saures Glykoprotein und mit nur geringer Bindung an Lipoprotein.</w:t>
      </w:r>
    </w:p>
    <w:p w14:paraId="695D4AC4" w14:textId="77777777" w:rsidR="00D04F08" w:rsidRPr="00B30A12" w:rsidRDefault="00D04F08" w:rsidP="0054140C">
      <w:pPr>
        <w:widowControl w:val="0"/>
        <w:ind w:firstLine="3"/>
        <w:rPr>
          <w:color w:val="000000"/>
          <w:sz w:val="22"/>
          <w:szCs w:val="22"/>
        </w:rPr>
      </w:pPr>
    </w:p>
    <w:p w14:paraId="3B0A3AD0" w14:textId="77777777" w:rsidR="00D04F08" w:rsidRPr="00B30A12" w:rsidRDefault="00481135" w:rsidP="00463601">
      <w:pPr>
        <w:keepNext/>
        <w:widowControl w:val="0"/>
        <w:ind w:firstLine="6"/>
        <w:rPr>
          <w:color w:val="000000"/>
          <w:sz w:val="22"/>
          <w:szCs w:val="22"/>
          <w:u w:val="single"/>
        </w:rPr>
      </w:pPr>
      <w:r w:rsidRPr="00B30A12">
        <w:rPr>
          <w:color w:val="000000"/>
          <w:sz w:val="22"/>
          <w:szCs w:val="22"/>
          <w:u w:val="single"/>
        </w:rPr>
        <w:t>Biotransformation</w:t>
      </w:r>
    </w:p>
    <w:p w14:paraId="127F0FD6" w14:textId="77777777" w:rsidR="00D04F08" w:rsidRPr="00B30A12" w:rsidRDefault="00D04F08" w:rsidP="0054140C">
      <w:pPr>
        <w:widowControl w:val="0"/>
        <w:ind w:firstLine="3"/>
        <w:rPr>
          <w:color w:val="000000"/>
          <w:sz w:val="22"/>
          <w:szCs w:val="22"/>
        </w:rPr>
      </w:pPr>
      <w:r w:rsidRPr="00B30A12">
        <w:rPr>
          <w:color w:val="000000"/>
          <w:sz w:val="22"/>
          <w:szCs w:val="22"/>
        </w:rPr>
        <w:t xml:space="preserve">Der beim Menschen hauptsächlich zirkulierende Metabolit ist das N-demethylierte Piperazinderivat, welches </w:t>
      </w:r>
      <w:r w:rsidRPr="00B30A12">
        <w:rPr>
          <w:i/>
          <w:color w:val="000000"/>
          <w:sz w:val="22"/>
          <w:szCs w:val="22"/>
        </w:rPr>
        <w:t>in vitro</w:t>
      </w:r>
      <w:r w:rsidRPr="00B30A12">
        <w:rPr>
          <w:color w:val="000000"/>
          <w:sz w:val="22"/>
          <w:szCs w:val="22"/>
        </w:rPr>
        <w:t xml:space="preserve"> eine ähnliche Wirkung wie der unveränderte Wirkstoff aufweist. Die Plasma-AUC die</w:t>
      </w:r>
      <w:r w:rsidRPr="00B30A12">
        <w:rPr>
          <w:color w:val="000000"/>
          <w:sz w:val="22"/>
          <w:szCs w:val="22"/>
        </w:rPr>
        <w:softHyphen/>
        <w:t>ses Metaboliten beträgt nur 16% der AUC von Imatinib. Die Plasmaproteinbindung des N-demethylierten Metaboliten ist mit derjenigen der Muttersubstanz vergleichbar.</w:t>
      </w:r>
    </w:p>
    <w:p w14:paraId="2F8F4927" w14:textId="77777777" w:rsidR="00D04F08" w:rsidRPr="00B30A12" w:rsidRDefault="00D04F08" w:rsidP="0054140C">
      <w:pPr>
        <w:widowControl w:val="0"/>
        <w:ind w:firstLine="3"/>
        <w:rPr>
          <w:color w:val="000000"/>
          <w:sz w:val="22"/>
          <w:szCs w:val="22"/>
        </w:rPr>
      </w:pPr>
    </w:p>
    <w:p w14:paraId="26F630CA" w14:textId="77777777" w:rsidR="00D04F08" w:rsidRPr="00B30A12" w:rsidRDefault="00D04F08" w:rsidP="0054140C">
      <w:pPr>
        <w:widowControl w:val="0"/>
        <w:ind w:firstLine="3"/>
        <w:rPr>
          <w:color w:val="000000"/>
          <w:sz w:val="22"/>
          <w:szCs w:val="22"/>
        </w:rPr>
      </w:pPr>
      <w:r w:rsidRPr="00B30A12">
        <w:rPr>
          <w:color w:val="000000"/>
          <w:sz w:val="22"/>
          <w:szCs w:val="22"/>
        </w:rPr>
        <w:t>Imatinib und sein N-Demethyl-Metabolit machten zusammen etwa 65% der zirkulierenden Radioaktivität (AUC</w:t>
      </w:r>
      <w:r w:rsidRPr="00B30A12">
        <w:rPr>
          <w:color w:val="000000"/>
          <w:sz w:val="22"/>
          <w:szCs w:val="22"/>
          <w:vertAlign w:val="subscript"/>
        </w:rPr>
        <w:t>0-48h</w:t>
      </w:r>
      <w:r w:rsidRPr="00B30A12">
        <w:rPr>
          <w:color w:val="000000"/>
          <w:sz w:val="22"/>
          <w:szCs w:val="22"/>
        </w:rPr>
        <w:t>) aus. Die verbleibende zirkulierende Radioaktivität bestand aus einer Anzahl von Ne</w:t>
      </w:r>
      <w:r w:rsidRPr="00B30A12">
        <w:rPr>
          <w:color w:val="000000"/>
          <w:sz w:val="22"/>
          <w:szCs w:val="22"/>
        </w:rPr>
        <w:softHyphen/>
        <w:t>benmetaboliten.</w:t>
      </w:r>
    </w:p>
    <w:p w14:paraId="4DBA8422" w14:textId="77777777" w:rsidR="00D04F08" w:rsidRPr="00B30A12" w:rsidRDefault="00D04F08" w:rsidP="0054140C">
      <w:pPr>
        <w:widowControl w:val="0"/>
        <w:ind w:firstLine="3"/>
        <w:rPr>
          <w:color w:val="000000"/>
          <w:sz w:val="22"/>
          <w:szCs w:val="22"/>
        </w:rPr>
      </w:pPr>
    </w:p>
    <w:p w14:paraId="076BE286" w14:textId="77777777" w:rsidR="00D04F08" w:rsidRPr="00B30A12" w:rsidRDefault="00D04F08" w:rsidP="0054140C">
      <w:pPr>
        <w:widowControl w:val="0"/>
        <w:ind w:firstLine="3"/>
        <w:rPr>
          <w:color w:val="000000"/>
          <w:sz w:val="22"/>
          <w:szCs w:val="22"/>
        </w:rPr>
      </w:pPr>
      <w:r w:rsidRPr="00B30A12">
        <w:rPr>
          <w:i/>
          <w:color w:val="000000"/>
          <w:sz w:val="22"/>
          <w:szCs w:val="22"/>
        </w:rPr>
        <w:t>In-vitro</w:t>
      </w:r>
      <w:r w:rsidRPr="00B30A12">
        <w:rPr>
          <w:color w:val="000000"/>
          <w:sz w:val="22"/>
          <w:szCs w:val="22"/>
        </w:rPr>
        <w:t>-Untersuchungen zeigten, dass CYP3A4 das wesentliche humane P450 Enzym für die Biotrans</w:t>
      </w:r>
      <w:r w:rsidRPr="00B30A12">
        <w:rPr>
          <w:color w:val="000000"/>
          <w:sz w:val="22"/>
          <w:szCs w:val="22"/>
        </w:rPr>
        <w:softHyphen/>
        <w:t>formation von Imatinib darstellt. Aus einer Reihe potenzieller Begleitmedikationen (Paracetamol, Aci</w:t>
      </w:r>
      <w:r w:rsidRPr="00B30A12">
        <w:rPr>
          <w:color w:val="000000"/>
          <w:sz w:val="22"/>
          <w:szCs w:val="22"/>
        </w:rPr>
        <w:softHyphen/>
        <w:t>clovir, Allopurinol, Amphotericin, Cytarabin, Erythromycin, Fluconazol, Hydroxyharnstoff, Norfloxa</w:t>
      </w:r>
      <w:r w:rsidRPr="00B30A12">
        <w:rPr>
          <w:color w:val="000000"/>
          <w:sz w:val="22"/>
          <w:szCs w:val="22"/>
        </w:rPr>
        <w:softHyphen/>
        <w:t>cin, Penicillin V) zeigten nur Erythromycin (IC</w:t>
      </w:r>
      <w:r w:rsidRPr="00B30A12">
        <w:rPr>
          <w:color w:val="000000"/>
          <w:sz w:val="22"/>
          <w:szCs w:val="22"/>
          <w:vertAlign w:val="subscript"/>
        </w:rPr>
        <w:t>50</w:t>
      </w:r>
      <w:r w:rsidRPr="00B30A12">
        <w:rPr>
          <w:color w:val="000000"/>
          <w:sz w:val="22"/>
          <w:szCs w:val="22"/>
        </w:rPr>
        <w:t xml:space="preserve"> 50 µM) und Fluconazol (IC</w:t>
      </w:r>
      <w:r w:rsidRPr="00B30A12">
        <w:rPr>
          <w:color w:val="000000"/>
          <w:sz w:val="22"/>
          <w:szCs w:val="22"/>
          <w:vertAlign w:val="subscript"/>
        </w:rPr>
        <w:t>50</w:t>
      </w:r>
      <w:r w:rsidRPr="00B30A12">
        <w:rPr>
          <w:color w:val="000000"/>
          <w:sz w:val="22"/>
          <w:szCs w:val="22"/>
        </w:rPr>
        <w:t xml:space="preserve"> 118 µM) eine Hemmung des Imatinibmetabolismus, die möglicherweise klinische Relevanz hat.</w:t>
      </w:r>
    </w:p>
    <w:p w14:paraId="50DDDDCF" w14:textId="77777777" w:rsidR="00D04F08" w:rsidRPr="00B30A12" w:rsidRDefault="00D04F08" w:rsidP="0054140C">
      <w:pPr>
        <w:widowControl w:val="0"/>
        <w:ind w:firstLine="3"/>
        <w:rPr>
          <w:color w:val="000000"/>
          <w:sz w:val="22"/>
          <w:szCs w:val="22"/>
        </w:rPr>
      </w:pPr>
    </w:p>
    <w:p w14:paraId="6A9331B4" w14:textId="77777777" w:rsidR="00D04F08" w:rsidRPr="00B30A12" w:rsidRDefault="00D04F08" w:rsidP="0054140C">
      <w:pPr>
        <w:widowControl w:val="0"/>
        <w:ind w:firstLine="3"/>
        <w:rPr>
          <w:color w:val="000000"/>
          <w:sz w:val="22"/>
          <w:szCs w:val="22"/>
        </w:rPr>
      </w:pPr>
      <w:r w:rsidRPr="00B30A12">
        <w:rPr>
          <w:color w:val="000000"/>
          <w:sz w:val="22"/>
          <w:szCs w:val="22"/>
        </w:rPr>
        <w:t xml:space="preserve">Imatinib erwies sich </w:t>
      </w:r>
      <w:r w:rsidRPr="00B30A12">
        <w:rPr>
          <w:i/>
          <w:color w:val="000000"/>
          <w:sz w:val="22"/>
          <w:szCs w:val="22"/>
        </w:rPr>
        <w:t>in vitro</w:t>
      </w:r>
      <w:r w:rsidRPr="00B30A12">
        <w:rPr>
          <w:color w:val="000000"/>
          <w:sz w:val="22"/>
          <w:szCs w:val="22"/>
        </w:rPr>
        <w:t xml:space="preserve"> als ein kompetitiver Hemmstoff von Markersubstraten für CYP2C9, CYP2D6 und CYP3A4/5. Die K</w:t>
      </w:r>
      <w:r w:rsidRPr="00B30A12">
        <w:rPr>
          <w:color w:val="000000"/>
          <w:sz w:val="22"/>
          <w:szCs w:val="22"/>
          <w:vertAlign w:val="subscript"/>
        </w:rPr>
        <w:t>i</w:t>
      </w:r>
      <w:r w:rsidRPr="00B30A12">
        <w:rPr>
          <w:color w:val="000000"/>
          <w:sz w:val="22"/>
          <w:szCs w:val="22"/>
        </w:rPr>
        <w:t>-Werte in humanen Lebermikrosomen betrugen 27, 7,5 bzw. 7,9 µmol/l. Die maximalen Plasmakonzentrationen von Imatinib lagen bei Patienten zwischen 2 und 4 µmol/l. Von daher ist eine Hemmung des CYP2D6- und/oder CYP3A4/5-vermittelten Metabolismus von gleichzeitig angewendeten Arzneimitteln möglich. Imatinib interferierte nicht mit der Biotransfor</w:t>
      </w:r>
      <w:r w:rsidRPr="00B30A12">
        <w:rPr>
          <w:color w:val="000000"/>
          <w:sz w:val="22"/>
          <w:szCs w:val="22"/>
        </w:rPr>
        <w:softHyphen/>
        <w:t>mation von 5-Fluorouracil, aber es inhibierte auf Grund einer kompetitiven Hemmung von CYP2C8 (K</w:t>
      </w:r>
      <w:r w:rsidRPr="00B30A12">
        <w:rPr>
          <w:color w:val="000000"/>
          <w:sz w:val="22"/>
          <w:szCs w:val="22"/>
          <w:vertAlign w:val="subscript"/>
        </w:rPr>
        <w:t>i</w:t>
      </w:r>
      <w:r w:rsidRPr="00B30A12">
        <w:rPr>
          <w:color w:val="000000"/>
          <w:sz w:val="22"/>
          <w:szCs w:val="22"/>
        </w:rPr>
        <w:t xml:space="preserve"> = 34,7 µM) den Metabolismus von Paclitaxel. Dieser K</w:t>
      </w:r>
      <w:r w:rsidRPr="00B30A12">
        <w:rPr>
          <w:color w:val="000000"/>
          <w:sz w:val="22"/>
          <w:szCs w:val="22"/>
          <w:vertAlign w:val="subscript"/>
        </w:rPr>
        <w:t>i</w:t>
      </w:r>
      <w:r w:rsidRPr="00B30A12">
        <w:rPr>
          <w:color w:val="000000"/>
          <w:sz w:val="22"/>
          <w:szCs w:val="22"/>
        </w:rPr>
        <w:t>-Wert ist weit höher als der erwartete Plasma</w:t>
      </w:r>
      <w:r w:rsidRPr="00B30A12">
        <w:rPr>
          <w:color w:val="000000"/>
          <w:sz w:val="22"/>
          <w:szCs w:val="22"/>
        </w:rPr>
        <w:softHyphen/>
        <w:t>spiegel von Imatinib bei Patienten. Daher ist keine Interaktion bei gleichzeitiger Gabe von entweder 5-Fluorouracil oder Paclitaxel und Imatinib zu erwarten.</w:t>
      </w:r>
    </w:p>
    <w:p w14:paraId="2BE6A8A0" w14:textId="77777777" w:rsidR="00D04F08" w:rsidRPr="00B30A12" w:rsidRDefault="00D04F08" w:rsidP="0054140C">
      <w:pPr>
        <w:widowControl w:val="0"/>
        <w:ind w:firstLine="3"/>
        <w:rPr>
          <w:color w:val="000000"/>
          <w:sz w:val="22"/>
          <w:szCs w:val="22"/>
        </w:rPr>
      </w:pPr>
    </w:p>
    <w:p w14:paraId="4ADFBA9F" w14:textId="77777777" w:rsidR="00D04F08" w:rsidRPr="00B30A12" w:rsidRDefault="00481135" w:rsidP="00463601">
      <w:pPr>
        <w:keepNext/>
        <w:widowControl w:val="0"/>
        <w:ind w:firstLine="6"/>
        <w:rPr>
          <w:color w:val="000000"/>
          <w:sz w:val="22"/>
          <w:szCs w:val="22"/>
          <w:u w:val="single"/>
        </w:rPr>
      </w:pPr>
      <w:r w:rsidRPr="00B30A12">
        <w:rPr>
          <w:color w:val="000000"/>
          <w:sz w:val="22"/>
          <w:szCs w:val="22"/>
          <w:u w:val="single"/>
        </w:rPr>
        <w:t>Elimination</w:t>
      </w:r>
    </w:p>
    <w:p w14:paraId="04073DF5" w14:textId="77777777" w:rsidR="00D04F08" w:rsidRPr="00B30A12" w:rsidRDefault="00D04F08" w:rsidP="0054140C">
      <w:pPr>
        <w:widowControl w:val="0"/>
        <w:ind w:firstLine="3"/>
        <w:rPr>
          <w:color w:val="000000"/>
          <w:sz w:val="22"/>
          <w:szCs w:val="22"/>
        </w:rPr>
      </w:pPr>
      <w:r w:rsidRPr="00B30A12">
        <w:rPr>
          <w:color w:val="000000"/>
          <w:sz w:val="22"/>
          <w:szCs w:val="22"/>
        </w:rPr>
        <w:t xml:space="preserve">Basierend auf dem Wiederauffinden von Verbindungen nach einer oralen Gabe von </w:t>
      </w:r>
      <w:r w:rsidRPr="00B30A12">
        <w:rPr>
          <w:color w:val="000000"/>
          <w:sz w:val="22"/>
          <w:szCs w:val="22"/>
          <w:vertAlign w:val="superscript"/>
        </w:rPr>
        <w:t>14</w:t>
      </w:r>
      <w:r w:rsidRPr="00B30A12">
        <w:rPr>
          <w:color w:val="000000"/>
          <w:sz w:val="22"/>
          <w:szCs w:val="22"/>
        </w:rPr>
        <w:t>C-markiertem Imatinib werden etwa 81% der Dosis innerhalb von 7 Tagen in den Fäzes (68% der Dosis) und im Urin (13% der Dosis) wiedergefunden. Unverändert bleiben etwa 25% der Imatinib-Dosis (5% im Urin, 20% in den Fäzes), der Rest sind Metaboliten.</w:t>
      </w:r>
    </w:p>
    <w:p w14:paraId="24E08B77" w14:textId="77777777" w:rsidR="00D04F08" w:rsidRPr="00B30A12" w:rsidRDefault="00D04F08" w:rsidP="0054140C">
      <w:pPr>
        <w:widowControl w:val="0"/>
        <w:ind w:firstLine="3"/>
        <w:rPr>
          <w:color w:val="000000"/>
          <w:sz w:val="22"/>
          <w:szCs w:val="22"/>
        </w:rPr>
      </w:pPr>
    </w:p>
    <w:p w14:paraId="55531531"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Plasmapharmakokinetik</w:t>
      </w:r>
    </w:p>
    <w:p w14:paraId="6F60E525" w14:textId="77777777" w:rsidR="00D04F08" w:rsidRPr="00B30A12" w:rsidRDefault="00D04F08" w:rsidP="0054140C">
      <w:pPr>
        <w:widowControl w:val="0"/>
        <w:ind w:firstLine="3"/>
        <w:rPr>
          <w:color w:val="000000"/>
          <w:sz w:val="22"/>
          <w:szCs w:val="22"/>
        </w:rPr>
      </w:pPr>
      <w:r w:rsidRPr="00B30A12">
        <w:rPr>
          <w:color w:val="000000"/>
          <w:sz w:val="22"/>
          <w:szCs w:val="22"/>
        </w:rPr>
        <w:t>Nach oraler Anwendung bei Probanden betrug die Halbwertszeit t</w:t>
      </w:r>
      <w:r w:rsidRPr="00B30A12">
        <w:rPr>
          <w:color w:val="000000"/>
          <w:sz w:val="22"/>
          <w:szCs w:val="22"/>
          <w:vertAlign w:val="subscript"/>
        </w:rPr>
        <w:t>1/2</w:t>
      </w:r>
      <w:r w:rsidRPr="00B30A12">
        <w:rPr>
          <w:color w:val="000000"/>
          <w:sz w:val="22"/>
          <w:szCs w:val="22"/>
        </w:rPr>
        <w:t xml:space="preserve"> etwa 18 Stunden. Dies weist darauf hin, dass eine einmal tägliche Dosierung möglich ist. Die Zunahme der mittleren AUC war im Bereich von 25–1.000 mg Imatinib nach oraler Anwendung linear und dosisproportional. Es gab nach wieder</w:t>
      </w:r>
      <w:r w:rsidRPr="00B30A12">
        <w:rPr>
          <w:color w:val="000000"/>
          <w:sz w:val="22"/>
          <w:szCs w:val="22"/>
        </w:rPr>
        <w:softHyphen/>
        <w:t xml:space="preserve">holter Gabe von Imatinib keine Veränderungen der Kinetik und die Akkumulation betrug nach </w:t>
      </w:r>
      <w:r w:rsidRPr="00B30A12">
        <w:rPr>
          <w:color w:val="000000"/>
          <w:sz w:val="22"/>
          <w:szCs w:val="22"/>
        </w:rPr>
        <w:lastRenderedPageBreak/>
        <w:t>einmal täglicher Anwendung im Gleichgewichtszustand (Steady-State) das 1,5–2,5fache.</w:t>
      </w:r>
    </w:p>
    <w:p w14:paraId="7343AF4E" w14:textId="77777777" w:rsidR="00D04F08" w:rsidRPr="00B30A12" w:rsidRDefault="00D04F08" w:rsidP="0054140C">
      <w:pPr>
        <w:widowControl w:val="0"/>
        <w:ind w:firstLine="3"/>
        <w:rPr>
          <w:color w:val="000000"/>
          <w:sz w:val="22"/>
          <w:szCs w:val="22"/>
        </w:rPr>
      </w:pPr>
    </w:p>
    <w:p w14:paraId="06A92EB6"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Pharmakokinetik bei GIST-Patienten</w:t>
      </w:r>
    </w:p>
    <w:p w14:paraId="2371BAD6" w14:textId="77777777" w:rsidR="00D04F08" w:rsidRPr="00B30A12" w:rsidRDefault="00D04F08" w:rsidP="0054140C">
      <w:pPr>
        <w:widowControl w:val="0"/>
        <w:ind w:firstLine="3"/>
        <w:rPr>
          <w:color w:val="000000"/>
          <w:sz w:val="22"/>
          <w:szCs w:val="22"/>
        </w:rPr>
      </w:pPr>
      <w:r w:rsidRPr="00B30A12">
        <w:rPr>
          <w:color w:val="000000"/>
          <w:sz w:val="22"/>
          <w:szCs w:val="22"/>
        </w:rPr>
        <w:t>Bei GIST-Patienten war die Exposition im Steady-State 1,5fach höher als bei CML-Patienten bei gleicher Dosierung (400 mg täglich). Auf der Grundlage vorläufiger populationspharmakokinetischer Un</w:t>
      </w:r>
      <w:r w:rsidRPr="00B30A12">
        <w:rPr>
          <w:color w:val="000000"/>
          <w:sz w:val="22"/>
          <w:szCs w:val="22"/>
        </w:rPr>
        <w:softHyphen/>
        <w:t>tersuchungen bei GIST-Patienten gibt es drei Variable (Albumin, Leukozytenzahl und Bilirubin), die einen statistisch signifikanten Einfluss auf die Pharmakokinetik von Imatinib haben. Niedrige Albumin</w:t>
      </w:r>
      <w:r w:rsidRPr="00B30A12">
        <w:rPr>
          <w:color w:val="000000"/>
          <w:sz w:val="22"/>
          <w:szCs w:val="22"/>
        </w:rPr>
        <w:softHyphen/>
        <w:t>spiegel verursachten ebenso wie höhere Leukozytenzahlen eine verminderte Clearance (CL/f). Diese Auswirkungen sind jedoch nicht ausgeprägt genug, um eine Dosisanpassung zu rechtfertigen. Bei dieser Patientenpopulation können Lebermetastasen möglicherweise zu Leberinsuffizienz und reduzierter Me</w:t>
      </w:r>
      <w:r w:rsidRPr="00B30A12">
        <w:rPr>
          <w:color w:val="000000"/>
          <w:sz w:val="22"/>
          <w:szCs w:val="22"/>
        </w:rPr>
        <w:softHyphen/>
        <w:t>tabolisierung führen.</w:t>
      </w:r>
    </w:p>
    <w:p w14:paraId="5D19587E" w14:textId="77777777" w:rsidR="00D04F08" w:rsidRPr="00B30A12" w:rsidRDefault="00D04F08" w:rsidP="0054140C">
      <w:pPr>
        <w:widowControl w:val="0"/>
        <w:ind w:firstLine="3"/>
        <w:rPr>
          <w:color w:val="000000"/>
          <w:sz w:val="22"/>
          <w:szCs w:val="22"/>
        </w:rPr>
      </w:pPr>
    </w:p>
    <w:p w14:paraId="3064AED1"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Populationspharmakokinetik</w:t>
      </w:r>
    </w:p>
    <w:p w14:paraId="219367FC" w14:textId="77777777" w:rsidR="00D04F08" w:rsidRPr="00B30A12" w:rsidRDefault="00D04F08" w:rsidP="0054140C">
      <w:pPr>
        <w:widowControl w:val="0"/>
        <w:ind w:firstLine="3"/>
        <w:rPr>
          <w:color w:val="000000"/>
          <w:sz w:val="22"/>
          <w:szCs w:val="22"/>
        </w:rPr>
      </w:pPr>
      <w:r w:rsidRPr="00B30A12">
        <w:rPr>
          <w:color w:val="000000"/>
          <w:sz w:val="22"/>
          <w:szCs w:val="22"/>
        </w:rPr>
        <w:t>Die Analyse der Populationspharmakokinetik bei CML-Patienten ergab einen geringen Einfluss des Al</w:t>
      </w:r>
      <w:r w:rsidRPr="00B30A12">
        <w:rPr>
          <w:color w:val="000000"/>
          <w:sz w:val="22"/>
          <w:szCs w:val="22"/>
        </w:rPr>
        <w:softHyphen/>
        <w:t>ters auf das Verteilungsvolumen (12% Zunahme bei Patienten &gt; 65 Jahre alt). Diese Veränderung scheint klinisch nicht signifikant zu sein. Der Einfluss des Körpergewichts auf die Clearance von Imati</w:t>
      </w:r>
      <w:r w:rsidRPr="00B30A12">
        <w:rPr>
          <w:color w:val="000000"/>
          <w:sz w:val="22"/>
          <w:szCs w:val="22"/>
        </w:rPr>
        <w:softHyphen/>
        <w:t>nib zeigt sich darin, dass bei einem Patienten von 50 kg eine mittlere Clearance von 8,5 l/h erwartet werden kann, während bei einem Patienten von 100 kg die Clearance auf 11,8 l/h ansteigt. Diese Verän</w:t>
      </w:r>
      <w:r w:rsidRPr="00B30A12">
        <w:rPr>
          <w:color w:val="000000"/>
          <w:sz w:val="22"/>
          <w:szCs w:val="22"/>
        </w:rPr>
        <w:softHyphen/>
        <w:t>derungen begründen keine Dosisanpassung nach kg Körpergewicht. Es gibt keinen geschlechtspezifi</w:t>
      </w:r>
      <w:r w:rsidRPr="00B30A12">
        <w:rPr>
          <w:color w:val="000000"/>
          <w:sz w:val="22"/>
          <w:szCs w:val="22"/>
        </w:rPr>
        <w:softHyphen/>
        <w:t>schen Einfluss auf die Kinetik von Imatinib.</w:t>
      </w:r>
    </w:p>
    <w:p w14:paraId="2F090324" w14:textId="77777777" w:rsidR="00D04F08" w:rsidRPr="00B30A12" w:rsidRDefault="00D04F08" w:rsidP="0054140C">
      <w:pPr>
        <w:widowControl w:val="0"/>
        <w:ind w:firstLine="3"/>
        <w:rPr>
          <w:color w:val="000000"/>
          <w:sz w:val="22"/>
          <w:szCs w:val="22"/>
        </w:rPr>
      </w:pPr>
    </w:p>
    <w:p w14:paraId="07CA58B1"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Pharmakokinetik bei Kindern</w:t>
      </w:r>
    </w:p>
    <w:p w14:paraId="78B94541" w14:textId="77777777" w:rsidR="003719C2" w:rsidRPr="00B30A12" w:rsidRDefault="00D04F08" w:rsidP="0054140C">
      <w:pPr>
        <w:widowControl w:val="0"/>
        <w:ind w:firstLine="3"/>
        <w:rPr>
          <w:color w:val="000000"/>
          <w:sz w:val="22"/>
          <w:szCs w:val="22"/>
        </w:rPr>
      </w:pPr>
      <w:r w:rsidRPr="00B30A12">
        <w:rPr>
          <w:color w:val="000000"/>
          <w:sz w:val="22"/>
          <w:szCs w:val="22"/>
        </w:rPr>
        <w:t>Wie bei erwachsenen Patienten wurde Imatinib sowohl in Phase-I- als auch in Phase-II-Studien bei Kindern nach oraler Gabe schnell absorbiert. Bei den Kindern führten Dosierungen von 260 bzw. 340 mg/m</w:t>
      </w:r>
      <w:r w:rsidRPr="00B30A12">
        <w:rPr>
          <w:color w:val="000000"/>
          <w:sz w:val="22"/>
          <w:szCs w:val="22"/>
          <w:vertAlign w:val="superscript"/>
        </w:rPr>
        <w:t>2</w:t>
      </w:r>
      <w:r w:rsidRPr="00B30A12">
        <w:rPr>
          <w:color w:val="000000"/>
          <w:sz w:val="22"/>
          <w:szCs w:val="22"/>
        </w:rPr>
        <w:t>/Tag zu einer vergleichbaren Exposi</w:t>
      </w:r>
      <w:r w:rsidRPr="00B30A12">
        <w:rPr>
          <w:color w:val="000000"/>
          <w:sz w:val="22"/>
          <w:szCs w:val="22"/>
        </w:rPr>
        <w:softHyphen/>
        <w:t>tion wie Dosen von 400 mg bzw. 600 mg bei Erwachsenen. Der Vergleich zwischen der AUC</w:t>
      </w:r>
      <w:r w:rsidRPr="00B30A12">
        <w:rPr>
          <w:color w:val="000000"/>
          <w:sz w:val="22"/>
          <w:szCs w:val="22"/>
          <w:vertAlign w:val="subscript"/>
        </w:rPr>
        <w:t>(0-24)</w:t>
      </w:r>
      <w:r w:rsidRPr="00B30A12">
        <w:rPr>
          <w:color w:val="000000"/>
          <w:sz w:val="22"/>
          <w:szCs w:val="22"/>
        </w:rPr>
        <w:t xml:space="preserve"> am Tag 8 und am Tag 1 bei einer Dosierung von 340 mg/m</w:t>
      </w:r>
      <w:r w:rsidRPr="00B30A12">
        <w:rPr>
          <w:color w:val="000000"/>
          <w:sz w:val="22"/>
          <w:szCs w:val="22"/>
          <w:vertAlign w:val="superscript"/>
        </w:rPr>
        <w:t>2</w:t>
      </w:r>
      <w:r w:rsidRPr="00B30A12">
        <w:rPr>
          <w:color w:val="000000"/>
          <w:sz w:val="22"/>
          <w:szCs w:val="22"/>
        </w:rPr>
        <w:t>/Tag resultierte in einer 1,7fachen Akkumula</w:t>
      </w:r>
      <w:r w:rsidRPr="00B30A12">
        <w:rPr>
          <w:color w:val="000000"/>
          <w:sz w:val="22"/>
          <w:szCs w:val="22"/>
        </w:rPr>
        <w:softHyphen/>
        <w:t>tion bei wiederholter einmal täglicher Dosierung.</w:t>
      </w:r>
      <w:r w:rsidR="003719C2" w:rsidRPr="00B30A12">
        <w:rPr>
          <w:color w:val="000000"/>
          <w:sz w:val="22"/>
          <w:szCs w:val="22"/>
        </w:rPr>
        <w:t xml:space="preserve"> </w:t>
      </w:r>
    </w:p>
    <w:p w14:paraId="76A2CF56" w14:textId="77777777" w:rsidR="003719C2" w:rsidRPr="00B30A12" w:rsidRDefault="003719C2" w:rsidP="0054140C">
      <w:pPr>
        <w:widowControl w:val="0"/>
        <w:ind w:firstLine="3"/>
        <w:rPr>
          <w:color w:val="000000"/>
          <w:sz w:val="22"/>
          <w:szCs w:val="22"/>
        </w:rPr>
      </w:pPr>
    </w:p>
    <w:p w14:paraId="5EF918D7" w14:textId="77777777" w:rsidR="00D04F08" w:rsidRPr="00B30A12" w:rsidRDefault="003719C2" w:rsidP="0054140C">
      <w:pPr>
        <w:widowControl w:val="0"/>
        <w:ind w:firstLine="3"/>
        <w:rPr>
          <w:color w:val="000000"/>
          <w:sz w:val="22"/>
          <w:szCs w:val="22"/>
        </w:rPr>
      </w:pPr>
      <w:r w:rsidRPr="00B30A12">
        <w:rPr>
          <w:color w:val="000000"/>
          <w:sz w:val="22"/>
          <w:szCs w:val="22"/>
        </w:rPr>
        <w:t>Basierend auf der gepoolten Analyse der Populationspharmakokinetik bei pädiatrischen Patienten mit hämatologischen Erkrankungen (CML, Ph+ ALL oder andere hämatologische Erkrankungen, die mit Imatinib behandelt werden) steigt die Clearance von Imatinib mit zunehmender Körperoberfläche (BSA). Nach der Korrektur des BSA-Effekts haben andere demographische Faktoren wie Alter, Körpergewicht und Body-Mass-Index keine klinisch signifikanten Auswirkungen auf die Exposition von Imatinib. Die Analyse bestätigte, dass die Exposition von Imatinib bei pädiatrischen Patienten, die einmal täglich 260 mg/m² (täglich nicht mehr als 400 mg) oder einmal täglich 340 mg/m² (täglich nicht mehr als 600 mg) erhielten, vergleichbar war mit der von erwachsenen Patienten, die einmal täglich 400 mg oder 600 mg Imatinib erhielten.</w:t>
      </w:r>
    </w:p>
    <w:p w14:paraId="153AE106" w14:textId="77777777" w:rsidR="00D04F08" w:rsidRPr="00B30A12" w:rsidRDefault="00D04F08" w:rsidP="0054140C">
      <w:pPr>
        <w:widowControl w:val="0"/>
        <w:ind w:firstLine="3"/>
        <w:rPr>
          <w:color w:val="000000"/>
          <w:sz w:val="22"/>
          <w:szCs w:val="22"/>
        </w:rPr>
      </w:pPr>
    </w:p>
    <w:p w14:paraId="0ED772C2" w14:textId="77777777" w:rsidR="00D04F08" w:rsidRPr="00B30A12" w:rsidRDefault="00D04F08" w:rsidP="00463601">
      <w:pPr>
        <w:keepNext/>
        <w:widowControl w:val="0"/>
        <w:ind w:firstLine="6"/>
        <w:rPr>
          <w:color w:val="000000"/>
          <w:sz w:val="22"/>
          <w:szCs w:val="22"/>
          <w:u w:val="single"/>
        </w:rPr>
      </w:pPr>
      <w:r w:rsidRPr="00B30A12">
        <w:rPr>
          <w:color w:val="000000"/>
          <w:sz w:val="22"/>
          <w:szCs w:val="22"/>
          <w:u w:val="single"/>
        </w:rPr>
        <w:t>Beeinträchtigung der Organfunktionen</w:t>
      </w:r>
    </w:p>
    <w:p w14:paraId="7A5A2C34" w14:textId="77777777" w:rsidR="00D04F08" w:rsidRPr="00B30A12" w:rsidRDefault="00D04F08" w:rsidP="0054140C">
      <w:pPr>
        <w:widowControl w:val="0"/>
        <w:ind w:firstLine="3"/>
        <w:rPr>
          <w:color w:val="000000"/>
          <w:sz w:val="22"/>
          <w:szCs w:val="22"/>
        </w:rPr>
      </w:pPr>
      <w:r w:rsidRPr="00B30A12">
        <w:rPr>
          <w:color w:val="000000"/>
          <w:sz w:val="22"/>
          <w:szCs w:val="22"/>
        </w:rPr>
        <w:t>Imatinib und seine Metaboliten werden nicht in bedeutendem Ausmaß durch die Nieren ausgeschieden. Patienten mit leichter und mäßiger Niereninsuffizienz scheinen eine höhere Plasmaexposition zu haben als Patienten mit normaler Nierenfunktion. Der Anstieg ist etwa 1,5- bis 2-fach, entsprechend einem 1,5-fachen Anstieg von AGP im Plasma, an das Imatinib stark bindet. Die Clearance von ungebundenem Imatinib ist wahrscheinlich vergleichbar zwischen Patienten mit Niereninsuffizienz und Patienten mit normaler Nierenfunktion, da die renale Ausscheidung nur einen unbedeutenden Eliminationsweg für Imatinib darstellt (siehe Abschnitte 4.2 und 4.4).</w:t>
      </w:r>
    </w:p>
    <w:p w14:paraId="705EBBC7" w14:textId="77777777" w:rsidR="00D04F08" w:rsidRPr="00B30A12" w:rsidRDefault="00D04F08" w:rsidP="0054140C">
      <w:pPr>
        <w:widowControl w:val="0"/>
        <w:ind w:firstLine="3"/>
        <w:rPr>
          <w:color w:val="000000"/>
          <w:sz w:val="22"/>
          <w:szCs w:val="22"/>
        </w:rPr>
      </w:pPr>
    </w:p>
    <w:p w14:paraId="7D56A8EA" w14:textId="77777777" w:rsidR="00D04F08" w:rsidRPr="00B30A12" w:rsidRDefault="00D04F08" w:rsidP="0054140C">
      <w:pPr>
        <w:widowControl w:val="0"/>
        <w:ind w:firstLine="3"/>
        <w:rPr>
          <w:color w:val="000000"/>
          <w:sz w:val="22"/>
          <w:szCs w:val="22"/>
        </w:rPr>
      </w:pPr>
      <w:r w:rsidRPr="00B30A12">
        <w:rPr>
          <w:color w:val="000000"/>
          <w:sz w:val="22"/>
          <w:szCs w:val="22"/>
        </w:rPr>
        <w:t>Obwohl die Ergebnisse der pharmakokinetischen Analyse eine beträchtliche interindividuelle Variabilität zeigten, stieg die mittlere Imatinib-Exposition bei Patienten mit unterschiedlichem Ausmaß von Leberfunktionsstörungen im Vergleich zu Patienten mit normaler Leberfunktion nicht an (siehe Abschnitte 4.2, 4.4 und 4.8).</w:t>
      </w:r>
    </w:p>
    <w:p w14:paraId="009B214E" w14:textId="77777777" w:rsidR="00D04F08" w:rsidRPr="00B30A12" w:rsidRDefault="00D04F08" w:rsidP="0054140C">
      <w:pPr>
        <w:widowControl w:val="0"/>
        <w:rPr>
          <w:color w:val="000000"/>
          <w:sz w:val="22"/>
          <w:szCs w:val="22"/>
        </w:rPr>
      </w:pPr>
    </w:p>
    <w:p w14:paraId="5A597065" w14:textId="77777777" w:rsidR="00D04F08" w:rsidRPr="00B30A12" w:rsidRDefault="00D04F08" w:rsidP="00463601">
      <w:pPr>
        <w:keepNext/>
        <w:widowControl w:val="0"/>
        <w:ind w:left="567" w:hanging="567"/>
        <w:rPr>
          <w:color w:val="000000"/>
          <w:sz w:val="22"/>
          <w:szCs w:val="22"/>
        </w:rPr>
      </w:pPr>
      <w:r w:rsidRPr="00B30A12">
        <w:rPr>
          <w:b/>
          <w:color w:val="000000"/>
          <w:sz w:val="22"/>
          <w:szCs w:val="22"/>
        </w:rPr>
        <w:t>5.3</w:t>
      </w:r>
      <w:r w:rsidRPr="00B30A12">
        <w:rPr>
          <w:b/>
          <w:color w:val="000000"/>
          <w:sz w:val="22"/>
          <w:szCs w:val="22"/>
        </w:rPr>
        <w:tab/>
        <w:t>Präklinische Daten zur Sicherheit</w:t>
      </w:r>
    </w:p>
    <w:p w14:paraId="3439C256" w14:textId="77777777" w:rsidR="00D04F08" w:rsidRPr="00B30A12" w:rsidRDefault="00D04F08" w:rsidP="00463601">
      <w:pPr>
        <w:keepNext/>
        <w:widowControl w:val="0"/>
        <w:ind w:firstLine="3"/>
        <w:rPr>
          <w:color w:val="000000"/>
          <w:sz w:val="22"/>
          <w:szCs w:val="22"/>
        </w:rPr>
      </w:pPr>
    </w:p>
    <w:p w14:paraId="26E134E9" w14:textId="77777777" w:rsidR="00D04F08" w:rsidRPr="00B30A12" w:rsidRDefault="00D04F08" w:rsidP="0054140C">
      <w:pPr>
        <w:widowControl w:val="0"/>
        <w:ind w:firstLine="3"/>
        <w:rPr>
          <w:color w:val="000000"/>
          <w:sz w:val="22"/>
          <w:szCs w:val="22"/>
        </w:rPr>
      </w:pPr>
      <w:r w:rsidRPr="00B30A12">
        <w:rPr>
          <w:color w:val="000000"/>
          <w:sz w:val="22"/>
          <w:szCs w:val="22"/>
        </w:rPr>
        <w:t>Das präklinische Sicherheitsprofil von Imatinib wurde an Ratten, Hunden, Affen und Kaninchen unter</w:t>
      </w:r>
      <w:r w:rsidRPr="00B30A12">
        <w:rPr>
          <w:color w:val="000000"/>
          <w:sz w:val="22"/>
          <w:szCs w:val="22"/>
        </w:rPr>
        <w:softHyphen/>
        <w:t>sucht.</w:t>
      </w:r>
    </w:p>
    <w:p w14:paraId="28B7960E" w14:textId="77777777" w:rsidR="00D04F08" w:rsidRPr="00B30A12" w:rsidRDefault="00D04F08" w:rsidP="0054140C">
      <w:pPr>
        <w:widowControl w:val="0"/>
        <w:ind w:firstLine="3"/>
        <w:rPr>
          <w:color w:val="000000"/>
          <w:sz w:val="22"/>
          <w:szCs w:val="22"/>
        </w:rPr>
      </w:pPr>
    </w:p>
    <w:p w14:paraId="26044E89" w14:textId="77777777" w:rsidR="00D04F08" w:rsidRPr="00B30A12" w:rsidRDefault="00D04F08" w:rsidP="0054140C">
      <w:pPr>
        <w:widowControl w:val="0"/>
        <w:ind w:firstLine="3"/>
        <w:rPr>
          <w:color w:val="000000"/>
          <w:sz w:val="22"/>
          <w:szCs w:val="22"/>
        </w:rPr>
      </w:pPr>
      <w:r w:rsidRPr="00B30A12">
        <w:rPr>
          <w:color w:val="000000"/>
          <w:sz w:val="22"/>
          <w:szCs w:val="22"/>
        </w:rPr>
        <w:t>Toxizitätsstudien nach wiederholter Gabe zeigten bei Ratten, Hunden und Affen leichte bis mäßige hä</w:t>
      </w:r>
      <w:r w:rsidRPr="00B30A12">
        <w:rPr>
          <w:color w:val="000000"/>
          <w:sz w:val="22"/>
          <w:szCs w:val="22"/>
        </w:rPr>
        <w:softHyphen/>
        <w:t>matologische Veränderungen, die bei Ratten und Hunden mit Veränderungen des Knochenmarks einher</w:t>
      </w:r>
      <w:r w:rsidRPr="00B30A12">
        <w:rPr>
          <w:color w:val="000000"/>
          <w:sz w:val="22"/>
          <w:szCs w:val="22"/>
        </w:rPr>
        <w:softHyphen/>
        <w:t>gingen.</w:t>
      </w:r>
    </w:p>
    <w:p w14:paraId="0E45A122" w14:textId="77777777" w:rsidR="00D04F08" w:rsidRPr="00B30A12" w:rsidRDefault="00D04F08" w:rsidP="0054140C">
      <w:pPr>
        <w:widowControl w:val="0"/>
        <w:ind w:firstLine="3"/>
        <w:rPr>
          <w:color w:val="000000"/>
          <w:sz w:val="22"/>
          <w:szCs w:val="22"/>
        </w:rPr>
      </w:pPr>
    </w:p>
    <w:p w14:paraId="20435425" w14:textId="77777777" w:rsidR="00D04F08" w:rsidRPr="00B30A12" w:rsidRDefault="00D04F08" w:rsidP="0054140C">
      <w:pPr>
        <w:widowControl w:val="0"/>
        <w:ind w:firstLine="3"/>
        <w:rPr>
          <w:color w:val="000000"/>
          <w:sz w:val="22"/>
          <w:szCs w:val="22"/>
        </w:rPr>
      </w:pPr>
      <w:r w:rsidRPr="00B30A12">
        <w:rPr>
          <w:color w:val="000000"/>
          <w:sz w:val="22"/>
          <w:szCs w:val="22"/>
        </w:rPr>
        <w:t>Die Leber war das Zielorgan bei Ratten und Hunden. Leichte bis mäßige Anstiege der Transaminasen und geringe Abnahmen von Cholesterin, Triglyzeriden, des Gesamtproteins und der Albuminspiegel wurden in beiden Spezies beobachtet. In der Rattenleber wurden keine histopathologischen Veränderun</w:t>
      </w:r>
      <w:r w:rsidRPr="00B30A12">
        <w:rPr>
          <w:color w:val="000000"/>
          <w:sz w:val="22"/>
          <w:szCs w:val="22"/>
        </w:rPr>
        <w:softHyphen/>
        <w:t>gen gefunden. Schwere Lebertoxizität mit erhöhten Leberenzymen, Leberzellnekrose, Gallengangs</w:t>
      </w:r>
      <w:r w:rsidRPr="00B30A12">
        <w:rPr>
          <w:color w:val="000000"/>
          <w:sz w:val="22"/>
          <w:szCs w:val="22"/>
        </w:rPr>
        <w:softHyphen/>
        <w:t>nekrose und Gallengangshyperplasie wurde bei Hunden nach zweiwöchiger Behandlung beobachtet.</w:t>
      </w:r>
    </w:p>
    <w:p w14:paraId="51FFCB29" w14:textId="77777777" w:rsidR="00D04F08" w:rsidRPr="00B30A12" w:rsidRDefault="00D04F08" w:rsidP="0054140C">
      <w:pPr>
        <w:widowControl w:val="0"/>
        <w:ind w:firstLine="3"/>
        <w:rPr>
          <w:color w:val="000000"/>
          <w:sz w:val="22"/>
          <w:szCs w:val="22"/>
        </w:rPr>
      </w:pPr>
    </w:p>
    <w:p w14:paraId="5D21B4D1" w14:textId="77777777" w:rsidR="00D04F08" w:rsidRPr="00B30A12" w:rsidRDefault="00D04F08" w:rsidP="0054140C">
      <w:pPr>
        <w:widowControl w:val="0"/>
        <w:ind w:firstLine="3"/>
        <w:rPr>
          <w:color w:val="000000"/>
          <w:sz w:val="22"/>
          <w:szCs w:val="22"/>
        </w:rPr>
      </w:pPr>
      <w:r w:rsidRPr="00B30A12">
        <w:rPr>
          <w:color w:val="000000"/>
          <w:sz w:val="22"/>
          <w:szCs w:val="22"/>
        </w:rPr>
        <w:t>Nierentoxizität mit fokaler Mineralisierung und Dilatation der renalen Tubuli und einer tubulären Nekrose wurde bei Affen nach zweiwöchiger Behandlung beobachtet. Erhöhte Blutharnstoffwerte (BUN) und Kreatininspiegel wurden bei einigen dieser Tiere gefunden. Bei Ratten wurde eine Hyperpla</w:t>
      </w:r>
      <w:r w:rsidRPr="00B30A12">
        <w:rPr>
          <w:color w:val="000000"/>
          <w:sz w:val="22"/>
          <w:szCs w:val="22"/>
        </w:rPr>
        <w:softHyphen/>
        <w:t>sie des Übergangsepithels in der Nierenpapille und in der Harnblase bei Dosen &gt; 6 mg/kg in einer 13-Wochenstudie ohne Änderungen der Serum- oder Urinparameter festgestellt. Eine erhöhte Rate oppor</w:t>
      </w:r>
      <w:r w:rsidRPr="00B30A12">
        <w:rPr>
          <w:color w:val="000000"/>
          <w:sz w:val="22"/>
          <w:szCs w:val="22"/>
        </w:rPr>
        <w:softHyphen/>
        <w:t>tunistischer Infektionen trat unter chronischer Imatinib-Behandlung auf.</w:t>
      </w:r>
    </w:p>
    <w:p w14:paraId="7122965B" w14:textId="77777777" w:rsidR="00D04F08" w:rsidRPr="00B30A12" w:rsidRDefault="00D04F08" w:rsidP="0054140C">
      <w:pPr>
        <w:widowControl w:val="0"/>
        <w:ind w:firstLine="3"/>
        <w:rPr>
          <w:color w:val="000000"/>
          <w:sz w:val="22"/>
          <w:szCs w:val="22"/>
        </w:rPr>
      </w:pPr>
    </w:p>
    <w:p w14:paraId="56EF187E" w14:textId="77777777" w:rsidR="00D04F08" w:rsidRPr="00B30A12" w:rsidRDefault="00D04F08" w:rsidP="0054140C">
      <w:pPr>
        <w:widowControl w:val="0"/>
        <w:ind w:firstLine="3"/>
        <w:rPr>
          <w:color w:val="000000"/>
          <w:sz w:val="22"/>
          <w:szCs w:val="22"/>
        </w:rPr>
      </w:pPr>
      <w:r w:rsidRPr="00B30A12">
        <w:rPr>
          <w:color w:val="000000"/>
          <w:sz w:val="22"/>
          <w:szCs w:val="22"/>
        </w:rPr>
        <w:t>In einer Affenstudie über 39 Wochen konnte bei der niedrigsten Dosierung von 15 mg/kg, die etwa einem Drittel der maximalen Humandosis von 800 mg/Tag bezogen auf die Körperoberfläche entsprach, kein „No Observed Adverse Effect Level“ (NOAEL) festgestellt werden. Die Behandlung ergab bei diesen Versuchstie</w:t>
      </w:r>
      <w:r w:rsidRPr="00B30A12">
        <w:rPr>
          <w:color w:val="000000"/>
          <w:sz w:val="22"/>
          <w:szCs w:val="22"/>
        </w:rPr>
        <w:softHyphen/>
        <w:t>ren eine Verschlechterung normalerweise unterdrückter Malariainfektionen.</w:t>
      </w:r>
    </w:p>
    <w:p w14:paraId="2D8B884B" w14:textId="77777777" w:rsidR="00D04F08" w:rsidRPr="00B30A12" w:rsidRDefault="00D04F08" w:rsidP="0054140C">
      <w:pPr>
        <w:widowControl w:val="0"/>
        <w:ind w:firstLine="3"/>
        <w:rPr>
          <w:color w:val="000000"/>
          <w:sz w:val="22"/>
          <w:szCs w:val="22"/>
        </w:rPr>
      </w:pPr>
    </w:p>
    <w:p w14:paraId="5CF87C03" w14:textId="77777777" w:rsidR="00D04F08" w:rsidRPr="00B30A12" w:rsidRDefault="00D04F08" w:rsidP="0054140C">
      <w:pPr>
        <w:widowControl w:val="0"/>
        <w:ind w:firstLine="3"/>
        <w:rPr>
          <w:color w:val="000000"/>
          <w:sz w:val="22"/>
          <w:szCs w:val="22"/>
        </w:rPr>
      </w:pPr>
      <w:r w:rsidRPr="00B30A12">
        <w:rPr>
          <w:color w:val="000000"/>
          <w:sz w:val="22"/>
          <w:szCs w:val="22"/>
        </w:rPr>
        <w:t xml:space="preserve">Imatinib zeigte keine genotoxischen Eigenschaften in einem </w:t>
      </w:r>
      <w:r w:rsidRPr="00B30A12">
        <w:rPr>
          <w:i/>
          <w:color w:val="000000"/>
          <w:sz w:val="22"/>
          <w:szCs w:val="22"/>
        </w:rPr>
        <w:t>in vitro</w:t>
      </w:r>
      <w:r w:rsidRPr="00B30A12">
        <w:rPr>
          <w:color w:val="000000"/>
          <w:sz w:val="22"/>
          <w:szCs w:val="22"/>
        </w:rPr>
        <w:t xml:space="preserve"> bakteriellen Zelltest (Ames Test), einem </w:t>
      </w:r>
      <w:r w:rsidRPr="00B30A12">
        <w:rPr>
          <w:i/>
          <w:color w:val="000000"/>
          <w:sz w:val="22"/>
          <w:szCs w:val="22"/>
        </w:rPr>
        <w:t>in vitro</w:t>
      </w:r>
      <w:r w:rsidRPr="00B30A12">
        <w:rPr>
          <w:color w:val="000000"/>
          <w:sz w:val="22"/>
          <w:szCs w:val="22"/>
        </w:rPr>
        <w:t xml:space="preserve"> Säugetierzelltest (Maus-Lymphoma-Test) und einem </w:t>
      </w:r>
      <w:r w:rsidRPr="00B30A12">
        <w:rPr>
          <w:i/>
          <w:color w:val="000000"/>
          <w:sz w:val="22"/>
          <w:szCs w:val="22"/>
        </w:rPr>
        <w:t>in vivo</w:t>
      </w:r>
      <w:r w:rsidRPr="00B30A12">
        <w:rPr>
          <w:color w:val="000000"/>
          <w:sz w:val="22"/>
          <w:szCs w:val="22"/>
        </w:rPr>
        <w:t xml:space="preserve"> Rattenmikrokerntest. Positive genotoxische Effekte wurden für Imatinib in einem </w:t>
      </w:r>
      <w:r w:rsidRPr="00B30A12">
        <w:rPr>
          <w:i/>
          <w:color w:val="000000"/>
          <w:sz w:val="22"/>
          <w:szCs w:val="22"/>
        </w:rPr>
        <w:t>in vitro</w:t>
      </w:r>
      <w:r w:rsidRPr="00B30A12">
        <w:rPr>
          <w:color w:val="000000"/>
          <w:sz w:val="22"/>
          <w:szCs w:val="22"/>
        </w:rPr>
        <w:t xml:space="preserve"> Säugetierzelltest (Ovarialzellen des Chi</w:t>
      </w:r>
      <w:r w:rsidRPr="00B30A12">
        <w:rPr>
          <w:color w:val="000000"/>
          <w:sz w:val="22"/>
          <w:szCs w:val="22"/>
        </w:rPr>
        <w:softHyphen/>
        <w:t>nesischen Hamsters) auf klastogene Effekte (Chromosomenaberrationen) bei Vorliegen einer metaboli</w:t>
      </w:r>
      <w:r w:rsidRPr="00B30A12">
        <w:rPr>
          <w:color w:val="000000"/>
          <w:sz w:val="22"/>
          <w:szCs w:val="22"/>
        </w:rPr>
        <w:softHyphen/>
        <w:t>schen Aktivierung gefunden. Zwei Zwischenprodukte im Herstellungsprozess, die sich auch im Endpro</w:t>
      </w:r>
      <w:r w:rsidRPr="00B30A12">
        <w:rPr>
          <w:color w:val="000000"/>
          <w:sz w:val="22"/>
          <w:szCs w:val="22"/>
        </w:rPr>
        <w:softHyphen/>
        <w:t>dukt finden, zeigten im Ames Test Mutagenität. Eines dieser Zwischenprodukte war auch im Maus Lymphoma Test positiv.</w:t>
      </w:r>
    </w:p>
    <w:p w14:paraId="43BA65F7" w14:textId="77777777" w:rsidR="00D04F08" w:rsidRPr="00B30A12" w:rsidRDefault="00D04F08" w:rsidP="0054140C">
      <w:pPr>
        <w:widowControl w:val="0"/>
        <w:ind w:firstLine="3"/>
        <w:rPr>
          <w:color w:val="000000"/>
          <w:sz w:val="22"/>
          <w:szCs w:val="22"/>
        </w:rPr>
      </w:pPr>
    </w:p>
    <w:p w14:paraId="60E69DA1" w14:textId="77777777" w:rsidR="00D04F08" w:rsidRPr="00B30A12" w:rsidRDefault="00D04F08" w:rsidP="0054140C">
      <w:pPr>
        <w:widowControl w:val="0"/>
        <w:ind w:firstLine="3"/>
        <w:rPr>
          <w:color w:val="000000"/>
          <w:sz w:val="22"/>
          <w:szCs w:val="22"/>
        </w:rPr>
      </w:pPr>
      <w:r w:rsidRPr="00B30A12">
        <w:rPr>
          <w:color w:val="000000"/>
          <w:sz w:val="22"/>
          <w:szCs w:val="22"/>
        </w:rPr>
        <w:t>Männliche Ratten, die in einer Fertilitätsstudie 70 Tage lang mit 60 mg/kg, was etwa der maximalen klinischen Dosierung von 800 mg/Tag bezogen auf die Körperoberfläche entspricht, vor der Verpaarung behandelt wurden, zeigten ein vermindertes Hoden- und Nebenhodengewicht und eine verringerte Sper</w:t>
      </w:r>
      <w:r w:rsidRPr="00B30A12">
        <w:rPr>
          <w:color w:val="000000"/>
          <w:sz w:val="22"/>
          <w:szCs w:val="22"/>
        </w:rPr>
        <w:softHyphen/>
        <w:t>mienmotilität. Dies wurde bei Dosen ≤ 20 mg/kg nicht gefunden. Eine leichte bis mäßige Verminderung der Spermatogenese wurde auch bei Hunden unter oralen Dosen von &gt; 30 mg/kg beobachtet. Wenn weibliche Ratten 14 Tage vor der Verpaarung und bis zum 6. Tag der Gestation behandelt wurden, er</w:t>
      </w:r>
      <w:r w:rsidRPr="00B30A12">
        <w:rPr>
          <w:color w:val="000000"/>
          <w:sz w:val="22"/>
          <w:szCs w:val="22"/>
        </w:rPr>
        <w:softHyphen/>
        <w:t>gab sich kein Effekt auf die Verpaarung oder auf die Zahl trächtiger Tiere. Bei einer Dosierung von 60 mg/kg hatten weibliche Ratten einen signifikanten Verlust von Feten nach der Implantation und eine verminderte Anzahl lebender Feten. Dies war bei Dosen ≤ 20 mg/kg nicht nachweisbar.</w:t>
      </w:r>
    </w:p>
    <w:p w14:paraId="0A3A0EB8" w14:textId="77777777" w:rsidR="00D04F08" w:rsidRPr="00B30A12" w:rsidRDefault="00D04F08" w:rsidP="0054140C">
      <w:pPr>
        <w:widowControl w:val="0"/>
        <w:ind w:firstLine="3"/>
        <w:rPr>
          <w:color w:val="000000"/>
          <w:sz w:val="22"/>
          <w:szCs w:val="22"/>
        </w:rPr>
      </w:pPr>
    </w:p>
    <w:p w14:paraId="70536B87" w14:textId="77777777" w:rsidR="00D04F08" w:rsidRPr="00B30A12" w:rsidRDefault="00D04F08" w:rsidP="0054140C">
      <w:pPr>
        <w:widowControl w:val="0"/>
        <w:ind w:firstLine="3"/>
        <w:rPr>
          <w:color w:val="000000"/>
          <w:sz w:val="22"/>
          <w:szCs w:val="22"/>
        </w:rPr>
      </w:pPr>
      <w:r w:rsidRPr="00B30A12">
        <w:rPr>
          <w:color w:val="000000"/>
          <w:sz w:val="22"/>
          <w:szCs w:val="22"/>
        </w:rPr>
        <w:t>In einer oralen Studie zur prä- und postnatalen Entwicklung bei Ratten wurde in der Gruppe mit 45 mg/kg/Tag am Tag 14 oder 15 der Tragzeit ein roter vaginaler Ausfluss beobachtet. Bei der gleichen Dosis war die Anzahl der Totgeburten ebenso erhöht wie die Zahl der Nachkommen, die in den Tagen 0 bis 4 post partum starben. In der F</w:t>
      </w:r>
      <w:r w:rsidRPr="00B30A12">
        <w:rPr>
          <w:color w:val="000000"/>
          <w:sz w:val="22"/>
          <w:szCs w:val="22"/>
          <w:vertAlign w:val="subscript"/>
        </w:rPr>
        <w:t>1</w:t>
      </w:r>
      <w:r w:rsidRPr="00B30A12">
        <w:rPr>
          <w:color w:val="000000"/>
          <w:sz w:val="22"/>
          <w:szCs w:val="22"/>
        </w:rPr>
        <w:t>-Generation war in der gleichen Dosisgruppe das gemittelte Körper</w:t>
      </w:r>
      <w:r w:rsidRPr="00B30A12">
        <w:rPr>
          <w:color w:val="000000"/>
          <w:sz w:val="22"/>
          <w:szCs w:val="22"/>
        </w:rPr>
        <w:softHyphen/>
        <w:t>gewicht von der Geburt bis zur versuchsgemäßen Tötung der Tiere reduziert und die Anzahl der Jung</w:t>
      </w:r>
      <w:r w:rsidRPr="00B30A12">
        <w:rPr>
          <w:color w:val="000000"/>
          <w:sz w:val="22"/>
          <w:szCs w:val="22"/>
        </w:rPr>
        <w:softHyphen/>
        <w:t>tiere, die den Zeitpunkt der Ablösung des Präputiums erreichten, war leicht vermindert. Die Fertilität der F</w:t>
      </w:r>
      <w:r w:rsidRPr="00B30A12">
        <w:rPr>
          <w:color w:val="000000"/>
          <w:sz w:val="22"/>
          <w:szCs w:val="22"/>
          <w:vertAlign w:val="subscript"/>
        </w:rPr>
        <w:t>1</w:t>
      </w:r>
      <w:r w:rsidRPr="00B30A12">
        <w:rPr>
          <w:color w:val="000000"/>
          <w:sz w:val="22"/>
          <w:szCs w:val="22"/>
        </w:rPr>
        <w:t>-Generation war nicht beeinträchtigt, während eine erhöhte Anzahl von Resorptionen der Feten und eine verminderte Zahl von lebensfähigen Feten bei der Gruppe mit 45 mg/kg/Tag beobachtet wur</w:t>
      </w:r>
      <w:r w:rsidRPr="00B30A12">
        <w:rPr>
          <w:color w:val="000000"/>
          <w:sz w:val="22"/>
          <w:szCs w:val="22"/>
        </w:rPr>
        <w:softHyphen/>
        <w:t>den. Der „No Observed Effect Level“ (NOEL) betrug sowohl für die Muttertiere als auch für die F</w:t>
      </w:r>
      <w:r w:rsidRPr="00B30A12">
        <w:rPr>
          <w:color w:val="000000"/>
          <w:sz w:val="22"/>
          <w:szCs w:val="22"/>
          <w:vertAlign w:val="subscript"/>
        </w:rPr>
        <w:t>1</w:t>
      </w:r>
      <w:r w:rsidRPr="00B30A12">
        <w:rPr>
          <w:color w:val="000000"/>
          <w:sz w:val="22"/>
          <w:szCs w:val="22"/>
        </w:rPr>
        <w:t>-Generation 15 mg/kg/Tag (ein Viertel der maximalen Dosis beim Menschen von 800 mg).</w:t>
      </w:r>
    </w:p>
    <w:p w14:paraId="4B510D35" w14:textId="77777777" w:rsidR="00D04F08" w:rsidRPr="00B30A12" w:rsidRDefault="00D04F08" w:rsidP="0054140C">
      <w:pPr>
        <w:widowControl w:val="0"/>
        <w:ind w:firstLine="3"/>
        <w:rPr>
          <w:color w:val="000000"/>
          <w:sz w:val="22"/>
          <w:szCs w:val="22"/>
        </w:rPr>
      </w:pPr>
    </w:p>
    <w:p w14:paraId="7F748B22" w14:textId="77777777" w:rsidR="00D04F08" w:rsidRPr="00B30A12" w:rsidRDefault="00D04F08" w:rsidP="0054140C">
      <w:pPr>
        <w:widowControl w:val="0"/>
        <w:ind w:firstLine="3"/>
        <w:rPr>
          <w:color w:val="000000"/>
          <w:sz w:val="22"/>
          <w:szCs w:val="22"/>
        </w:rPr>
      </w:pPr>
      <w:r w:rsidRPr="00B30A12">
        <w:rPr>
          <w:color w:val="000000"/>
          <w:sz w:val="22"/>
          <w:szCs w:val="22"/>
        </w:rPr>
        <w:t xml:space="preserve">Imatinib war teratogen bei Ratten, wenn es während der Organogenese in Dosen von ≥ 100 mg/kg </w:t>
      </w:r>
      <w:r w:rsidRPr="00B30A12">
        <w:rPr>
          <w:color w:val="000000"/>
          <w:sz w:val="22"/>
          <w:szCs w:val="22"/>
        </w:rPr>
        <w:lastRenderedPageBreak/>
        <w:t>gege</w:t>
      </w:r>
      <w:r w:rsidRPr="00B30A12">
        <w:rPr>
          <w:color w:val="000000"/>
          <w:sz w:val="22"/>
          <w:szCs w:val="22"/>
        </w:rPr>
        <w:softHyphen/>
        <w:t>ben wurde, was etwa der maximalen klinischen Dosierung von 800 mg/Tag bezogen auf die Körper</w:t>
      </w:r>
      <w:r w:rsidRPr="00B30A12">
        <w:rPr>
          <w:color w:val="000000"/>
          <w:sz w:val="22"/>
          <w:szCs w:val="22"/>
        </w:rPr>
        <w:softHyphen/>
        <w:t>oberfläche entspricht. Die teratogenen Effekte beinhalteten Exenzephalie oder Enzephalozele sowie feh</w:t>
      </w:r>
      <w:r w:rsidRPr="00B30A12">
        <w:rPr>
          <w:color w:val="000000"/>
          <w:sz w:val="22"/>
          <w:szCs w:val="22"/>
        </w:rPr>
        <w:softHyphen/>
        <w:t>lende/reduzierte frontale sowie fehlende parietale Knochen. Diese Effekte wurden bei Dosen von ≤ 30 mg/kg nicht gesehen.</w:t>
      </w:r>
    </w:p>
    <w:p w14:paraId="350A923C" w14:textId="77777777" w:rsidR="00B87DDF" w:rsidRPr="00B30A12" w:rsidRDefault="00B87DDF" w:rsidP="0054140C">
      <w:pPr>
        <w:widowControl w:val="0"/>
        <w:ind w:firstLine="3"/>
        <w:rPr>
          <w:color w:val="000000"/>
          <w:sz w:val="22"/>
          <w:szCs w:val="22"/>
        </w:rPr>
      </w:pPr>
    </w:p>
    <w:p w14:paraId="7198DD70" w14:textId="77777777" w:rsidR="00B87DDF" w:rsidRPr="00B30A12" w:rsidRDefault="00B87DDF" w:rsidP="0054140C">
      <w:pPr>
        <w:widowControl w:val="0"/>
        <w:ind w:firstLine="3"/>
        <w:rPr>
          <w:color w:val="000000"/>
          <w:sz w:val="22"/>
          <w:szCs w:val="22"/>
        </w:rPr>
      </w:pPr>
      <w:r w:rsidRPr="00B30A12">
        <w:rPr>
          <w:color w:val="000000"/>
          <w:sz w:val="22"/>
          <w:szCs w:val="22"/>
        </w:rPr>
        <w:t>Hinsichtlich der bekannten Zielorgane bei erwachsenen Ratten wurden in der toxikologischen Studie zur juvenilen Entwicklung von Ratten (Tag 10 bis Tag 70 nach der Geburt) keine neuen Zielorgane identifiziert. In dieser Studie wurden Effekte auf das Wachstum sowie eine Verzögerung der Vaginalöffnung und der Vorhautablösung ungefähr bei der 0,3</w:t>
      </w:r>
      <w:r w:rsidRPr="00B30A12">
        <w:rPr>
          <w:color w:val="000000"/>
          <w:sz w:val="22"/>
          <w:szCs w:val="22"/>
        </w:rPr>
        <w:noBreakHyphen/>
        <w:t xml:space="preserve"> bis 2fachen durchschnittlichen pädiatrischen Exposition bei der höchsten empfohlenen Dosis von 340 mg/m</w:t>
      </w:r>
      <w:r w:rsidRPr="00B30A12">
        <w:rPr>
          <w:color w:val="000000"/>
          <w:sz w:val="22"/>
          <w:szCs w:val="22"/>
          <w:vertAlign w:val="superscript"/>
        </w:rPr>
        <w:t>2</w:t>
      </w:r>
      <w:r w:rsidRPr="00B30A12">
        <w:rPr>
          <w:color w:val="000000"/>
          <w:sz w:val="22"/>
          <w:szCs w:val="22"/>
        </w:rPr>
        <w:t xml:space="preserve"> beobachtet. Zusätzlich wurde Mortalität bei juvenilen Tieren (etwa zum Zeitpunkt des Abstillens) ungefähr bei der 2fachen durchschnittlichen pädiatrischen Exposition bei der höchsten empfohlenen Dosis von 340 mg/m</w:t>
      </w:r>
      <w:r w:rsidRPr="00B30A12">
        <w:rPr>
          <w:color w:val="000000"/>
          <w:sz w:val="22"/>
          <w:szCs w:val="22"/>
          <w:vertAlign w:val="superscript"/>
        </w:rPr>
        <w:t>2</w:t>
      </w:r>
      <w:r w:rsidRPr="00B30A12">
        <w:rPr>
          <w:color w:val="000000"/>
          <w:sz w:val="22"/>
          <w:szCs w:val="22"/>
        </w:rPr>
        <w:t xml:space="preserve"> beobachtet.</w:t>
      </w:r>
    </w:p>
    <w:p w14:paraId="10740322" w14:textId="77777777" w:rsidR="00D04F08" w:rsidRPr="00B30A12" w:rsidRDefault="00D04F08" w:rsidP="0054140C">
      <w:pPr>
        <w:widowControl w:val="0"/>
        <w:ind w:firstLine="3"/>
        <w:rPr>
          <w:color w:val="000000"/>
          <w:sz w:val="22"/>
          <w:szCs w:val="22"/>
        </w:rPr>
      </w:pPr>
    </w:p>
    <w:p w14:paraId="4DA8E320" w14:textId="77777777" w:rsidR="00D04F08" w:rsidRPr="00B30A12" w:rsidRDefault="00D04F08" w:rsidP="0054140C">
      <w:pPr>
        <w:widowControl w:val="0"/>
        <w:rPr>
          <w:color w:val="000000"/>
          <w:sz w:val="22"/>
          <w:szCs w:val="22"/>
        </w:rPr>
      </w:pPr>
      <w:r w:rsidRPr="00B30A12">
        <w:rPr>
          <w:color w:val="000000"/>
          <w:sz w:val="22"/>
          <w:szCs w:val="22"/>
        </w:rPr>
        <w:t>In einer zweijährigen Kanzerogenitätsstudie an Ratten resultierte die Gabe von 15, 30 und 60 mg/kg/Tag Imatinib in einer statistisch signifikanten Reduktion der Lebensdauer der männlichen Tiere bei 60 mg/kg/Tag und der weiblichen Tiere bei Dosen von ≥ 30 mg/kg/Tag. Die histopathologische Untersuchung der verstorbenen Tiere ergab Kardiomyopathie (beide Geschlechter), chronische progressive Nephropathie (Weibchen) und Papillome der Präputialdrüse als vorrangige Todesursache oder als Grund für die Tötung der Tiere. Die Zielorgane für neoplastische Veränderungen waren Nieren, Harnblase, Harnröhre, Präputial- und Klitorisdrüse, Dünndarm, Nebenschilddrüsen, Nebennierendrüsen und Antrum.</w:t>
      </w:r>
    </w:p>
    <w:p w14:paraId="631E302B" w14:textId="77777777" w:rsidR="00D04F08" w:rsidRPr="00B30A12" w:rsidRDefault="00D04F08" w:rsidP="0054140C">
      <w:pPr>
        <w:widowControl w:val="0"/>
        <w:rPr>
          <w:color w:val="000000"/>
          <w:sz w:val="22"/>
          <w:szCs w:val="22"/>
        </w:rPr>
      </w:pPr>
    </w:p>
    <w:p w14:paraId="182AD0E4" w14:textId="77777777" w:rsidR="00D04F08" w:rsidRPr="00B30A12" w:rsidRDefault="00D04F08" w:rsidP="0054140C">
      <w:pPr>
        <w:widowControl w:val="0"/>
        <w:rPr>
          <w:color w:val="000000"/>
          <w:sz w:val="22"/>
          <w:szCs w:val="22"/>
          <w:lang w:val="en-US"/>
        </w:rPr>
      </w:pPr>
      <w:r w:rsidRPr="00B30A12">
        <w:rPr>
          <w:color w:val="000000"/>
          <w:sz w:val="22"/>
          <w:szCs w:val="22"/>
        </w:rPr>
        <w:t>Die Papillome/Karzinome der Präputial- bzw. Klitorisdrüse wurden bei Dosen von 30 mg/kg/Tag und mehr festgestellt. Dies entspricht (auf der Grundlage der AUC) etwa dem 0,5- bzw. 0,3fachen der täglichen Dosis von 400 mg/Tag bzw. 800 mg/Tag bei Erwachsenen und (auf der Grundlage der AUC) dem 0,4fachen der täglichen Dosis von 340 mg/m</w:t>
      </w:r>
      <w:r w:rsidRPr="00B30A12">
        <w:rPr>
          <w:color w:val="000000"/>
          <w:sz w:val="22"/>
          <w:szCs w:val="22"/>
          <w:vertAlign w:val="superscript"/>
        </w:rPr>
        <w:t>2</w:t>
      </w:r>
      <w:r w:rsidRPr="00B30A12">
        <w:rPr>
          <w:color w:val="000000"/>
          <w:sz w:val="22"/>
          <w:szCs w:val="22"/>
        </w:rPr>
        <w:t xml:space="preserve">/Tag bei Kindern. </w:t>
      </w:r>
      <w:r w:rsidRPr="00B30A12">
        <w:rPr>
          <w:color w:val="000000"/>
          <w:sz w:val="22"/>
          <w:szCs w:val="22"/>
          <w:lang w:val="en-US"/>
        </w:rPr>
        <w:t xml:space="preserve">Der „No Observed Effect Level“ (NOEL) betrug 15 mg/kg/Tag. </w:t>
      </w:r>
      <w:r w:rsidRPr="00B30A12">
        <w:rPr>
          <w:color w:val="000000"/>
          <w:sz w:val="22"/>
          <w:szCs w:val="22"/>
        </w:rPr>
        <w:t>Die renalen Adenome/Karzinome, die Papillome der Harnblase und Harnröhre, die Adenokarzinome des Dünndarms, die Adenome der Nebenschilddrüsen, die benignen und malignen medullären Tumoren der Nebennierendrüsen und die Papillome/Karzinome des Antrums wurden bei 60 mg/kg/Tag beobachtet, entsprechend (auf der Grundlage der AUC) dem etwa 1,7- bzw. 1fachen der täglichen Dosis von 400 mg/Tag bzw. 800 mg/Tag und (auf der Grundlage der AUC) dem 1,2fachen der täglichen Dosis von 340 mg/m</w:t>
      </w:r>
      <w:r w:rsidRPr="00B30A12">
        <w:rPr>
          <w:color w:val="000000"/>
          <w:sz w:val="22"/>
          <w:szCs w:val="22"/>
          <w:vertAlign w:val="superscript"/>
        </w:rPr>
        <w:t>2</w:t>
      </w:r>
      <w:r w:rsidRPr="00B30A12">
        <w:rPr>
          <w:color w:val="000000"/>
          <w:sz w:val="22"/>
          <w:szCs w:val="22"/>
        </w:rPr>
        <w:t xml:space="preserve">/Tag bei Kindern. </w:t>
      </w:r>
      <w:r w:rsidRPr="00B30A12">
        <w:rPr>
          <w:color w:val="000000"/>
          <w:sz w:val="22"/>
          <w:szCs w:val="22"/>
          <w:lang w:val="en-US"/>
        </w:rPr>
        <w:t>Der „No Observed Effect Level“ (NOEL) betrug 30 mg/kg/Tag.</w:t>
      </w:r>
    </w:p>
    <w:p w14:paraId="3D9C8A8D" w14:textId="77777777" w:rsidR="00D04F08" w:rsidRPr="00B30A12" w:rsidRDefault="00D04F08" w:rsidP="0054140C">
      <w:pPr>
        <w:widowControl w:val="0"/>
        <w:rPr>
          <w:color w:val="000000"/>
          <w:sz w:val="22"/>
          <w:szCs w:val="22"/>
          <w:lang w:val="en-US"/>
        </w:rPr>
      </w:pPr>
    </w:p>
    <w:p w14:paraId="397C2741" w14:textId="77777777" w:rsidR="00D04F08" w:rsidRPr="00B30A12" w:rsidRDefault="00D04F08" w:rsidP="0054140C">
      <w:pPr>
        <w:widowControl w:val="0"/>
        <w:rPr>
          <w:color w:val="000000"/>
          <w:sz w:val="22"/>
          <w:szCs w:val="22"/>
        </w:rPr>
      </w:pPr>
      <w:r w:rsidRPr="00B30A12">
        <w:rPr>
          <w:color w:val="000000"/>
          <w:sz w:val="22"/>
          <w:szCs w:val="22"/>
        </w:rPr>
        <w:t>Der Mechanismus und die Bedeutung dieser Befunde für den Menschen aus der Kanzerogenitätsstudie an Ratten sind noch nicht geklärt.</w:t>
      </w:r>
    </w:p>
    <w:p w14:paraId="6AFAAEE5" w14:textId="77777777" w:rsidR="00D04F08" w:rsidRPr="00B30A12" w:rsidRDefault="00D04F08" w:rsidP="0054140C">
      <w:pPr>
        <w:widowControl w:val="0"/>
        <w:rPr>
          <w:color w:val="000000"/>
          <w:sz w:val="22"/>
          <w:szCs w:val="22"/>
        </w:rPr>
      </w:pPr>
    </w:p>
    <w:p w14:paraId="2E146F91" w14:textId="77777777" w:rsidR="002C4FAA" w:rsidRPr="00B30A12" w:rsidRDefault="00D04F08" w:rsidP="0054140C">
      <w:pPr>
        <w:widowControl w:val="0"/>
        <w:rPr>
          <w:color w:val="000000"/>
          <w:sz w:val="22"/>
          <w:szCs w:val="22"/>
        </w:rPr>
      </w:pPr>
      <w:r w:rsidRPr="00B30A12">
        <w:rPr>
          <w:color w:val="000000"/>
          <w:sz w:val="22"/>
          <w:szCs w:val="22"/>
        </w:rPr>
        <w:t>Nichtneoplastische Läsionen, die in früheren präklinischen Studien nicht gesehen wurden, betrafen das kardiovaskuläre System, das Pankreas, die endokrinen Organe und die Zähne. Die wichtigsten Veränderungen beinhalteten kardiale Hypertrophie und Dilatation, die bei einigen Tieren zu Anzeichen einer Herzinsuffizienz führten.</w:t>
      </w:r>
      <w:r w:rsidR="002C4FAA" w:rsidRPr="00B30A12">
        <w:rPr>
          <w:color w:val="000000"/>
          <w:sz w:val="22"/>
          <w:szCs w:val="22"/>
        </w:rPr>
        <w:t xml:space="preserve"> </w:t>
      </w:r>
    </w:p>
    <w:p w14:paraId="6108E890" w14:textId="77777777" w:rsidR="002C4FAA" w:rsidRPr="00B30A12" w:rsidRDefault="002C4FAA" w:rsidP="0054140C">
      <w:pPr>
        <w:widowControl w:val="0"/>
        <w:rPr>
          <w:color w:val="000000"/>
          <w:sz w:val="22"/>
          <w:szCs w:val="22"/>
        </w:rPr>
      </w:pPr>
    </w:p>
    <w:p w14:paraId="2DCEC2D1" w14:textId="77777777" w:rsidR="00D04F08" w:rsidRPr="00B30A12" w:rsidRDefault="002C4FAA" w:rsidP="0054140C">
      <w:pPr>
        <w:widowControl w:val="0"/>
        <w:rPr>
          <w:color w:val="000000"/>
          <w:sz w:val="22"/>
          <w:szCs w:val="22"/>
        </w:rPr>
      </w:pPr>
      <w:r w:rsidRPr="00B30A12">
        <w:rPr>
          <w:color w:val="000000"/>
          <w:sz w:val="22"/>
          <w:szCs w:val="22"/>
        </w:rPr>
        <w:t>Der Wirkstoff Imatinib zeigt ein Umweltrisiko für Sedimentorganismen.</w:t>
      </w:r>
    </w:p>
    <w:p w14:paraId="701491FB" w14:textId="77777777" w:rsidR="00D04F08" w:rsidRPr="00B30A12" w:rsidRDefault="00D04F08" w:rsidP="0054140C">
      <w:pPr>
        <w:widowControl w:val="0"/>
        <w:rPr>
          <w:color w:val="000000"/>
          <w:sz w:val="22"/>
          <w:szCs w:val="22"/>
        </w:rPr>
      </w:pPr>
    </w:p>
    <w:p w14:paraId="60314404" w14:textId="77777777" w:rsidR="00D04F08" w:rsidRPr="00B30A12" w:rsidRDefault="00D04F08" w:rsidP="0054140C">
      <w:pPr>
        <w:widowControl w:val="0"/>
        <w:rPr>
          <w:color w:val="000000"/>
          <w:sz w:val="22"/>
          <w:szCs w:val="22"/>
        </w:rPr>
      </w:pPr>
    </w:p>
    <w:p w14:paraId="5D0B34C7" w14:textId="77777777" w:rsidR="00F56A4B" w:rsidRPr="00B30A12" w:rsidRDefault="00F56A4B" w:rsidP="00463601">
      <w:pPr>
        <w:keepNext/>
        <w:widowControl w:val="0"/>
        <w:ind w:left="567" w:hanging="567"/>
        <w:rPr>
          <w:color w:val="000000"/>
          <w:sz w:val="22"/>
          <w:szCs w:val="22"/>
        </w:rPr>
      </w:pPr>
      <w:r w:rsidRPr="00B30A12">
        <w:rPr>
          <w:b/>
          <w:color w:val="000000"/>
          <w:sz w:val="22"/>
          <w:szCs w:val="22"/>
        </w:rPr>
        <w:t>6.</w:t>
      </w:r>
      <w:r w:rsidRPr="00B30A12">
        <w:rPr>
          <w:b/>
          <w:color w:val="000000"/>
          <w:sz w:val="22"/>
          <w:szCs w:val="22"/>
        </w:rPr>
        <w:tab/>
        <w:t>PHARMAZEUTISCHE ANGABEN</w:t>
      </w:r>
    </w:p>
    <w:p w14:paraId="11F4A2A4" w14:textId="77777777" w:rsidR="00F56A4B" w:rsidRPr="00B30A12" w:rsidRDefault="00F56A4B" w:rsidP="00463601">
      <w:pPr>
        <w:pStyle w:val="EndnoteText"/>
        <w:keepNext/>
        <w:widowControl w:val="0"/>
        <w:rPr>
          <w:color w:val="000000"/>
          <w:sz w:val="22"/>
          <w:szCs w:val="22"/>
          <w:lang w:val="de-DE"/>
        </w:rPr>
      </w:pPr>
    </w:p>
    <w:p w14:paraId="71103A14" w14:textId="77777777" w:rsidR="009D506D" w:rsidRPr="00B30A12" w:rsidRDefault="009D506D" w:rsidP="00463601">
      <w:pPr>
        <w:keepNext/>
        <w:widowControl w:val="0"/>
        <w:ind w:left="567" w:hanging="567"/>
        <w:rPr>
          <w:b/>
          <w:color w:val="000000"/>
          <w:sz w:val="22"/>
          <w:szCs w:val="22"/>
        </w:rPr>
      </w:pPr>
      <w:r w:rsidRPr="00B30A12">
        <w:rPr>
          <w:b/>
          <w:color w:val="000000"/>
          <w:sz w:val="22"/>
          <w:szCs w:val="22"/>
        </w:rPr>
        <w:t>6.1</w:t>
      </w:r>
      <w:r w:rsidRPr="00B30A12">
        <w:rPr>
          <w:b/>
          <w:color w:val="000000"/>
          <w:sz w:val="22"/>
          <w:szCs w:val="22"/>
        </w:rPr>
        <w:tab/>
        <w:t>Liste der sonstigen Bestandteile</w:t>
      </w:r>
    </w:p>
    <w:p w14:paraId="1690FC91" w14:textId="77777777" w:rsidR="00F56A4B" w:rsidRPr="00B30A12" w:rsidRDefault="00F56A4B" w:rsidP="00463601">
      <w:pPr>
        <w:keepNext/>
        <w:widowControl w:val="0"/>
        <w:ind w:left="567" w:hanging="567"/>
        <w:rPr>
          <w:color w:val="000000"/>
          <w:sz w:val="22"/>
          <w:szCs w:val="22"/>
        </w:rPr>
      </w:pPr>
    </w:p>
    <w:p w14:paraId="5335FE59" w14:textId="77777777" w:rsidR="00F56A4B" w:rsidRPr="00B30A12" w:rsidRDefault="00392E98" w:rsidP="00463601">
      <w:pPr>
        <w:pStyle w:val="Header"/>
        <w:keepNext/>
        <w:widowControl w:val="0"/>
        <w:tabs>
          <w:tab w:val="clear" w:pos="4320"/>
          <w:tab w:val="clear" w:pos="8640"/>
        </w:tabs>
        <w:rPr>
          <w:color w:val="000000"/>
          <w:szCs w:val="22"/>
        </w:rPr>
      </w:pPr>
      <w:r w:rsidRPr="00B30A12">
        <w:rPr>
          <w:color w:val="000000"/>
          <w:szCs w:val="22"/>
        </w:rPr>
        <w:t>Tablettenkern</w:t>
      </w:r>
      <w:r w:rsidR="00F56A4B" w:rsidRPr="00B30A12">
        <w:rPr>
          <w:color w:val="000000"/>
          <w:szCs w:val="22"/>
        </w:rPr>
        <w:t>:</w:t>
      </w:r>
    </w:p>
    <w:p w14:paraId="596B7499" w14:textId="77777777" w:rsidR="00F56A4B" w:rsidRPr="00B30A12" w:rsidRDefault="00F56A4B" w:rsidP="00463601">
      <w:pPr>
        <w:pStyle w:val="Header"/>
        <w:keepNext/>
        <w:widowControl w:val="0"/>
        <w:tabs>
          <w:tab w:val="clear" w:pos="4320"/>
          <w:tab w:val="clear" w:pos="8640"/>
        </w:tabs>
        <w:rPr>
          <w:color w:val="000000"/>
          <w:szCs w:val="22"/>
        </w:rPr>
      </w:pPr>
      <w:r w:rsidRPr="00B30A12">
        <w:rPr>
          <w:color w:val="000000"/>
          <w:szCs w:val="22"/>
        </w:rPr>
        <w:t>Mikrokristalline Cellulose</w:t>
      </w:r>
    </w:p>
    <w:p w14:paraId="0A64EA60" w14:textId="77777777" w:rsidR="00F56A4B" w:rsidRPr="00B30A12" w:rsidRDefault="00F56A4B" w:rsidP="00463601">
      <w:pPr>
        <w:keepNext/>
        <w:widowControl w:val="0"/>
        <w:rPr>
          <w:color w:val="000000"/>
          <w:sz w:val="22"/>
          <w:szCs w:val="22"/>
        </w:rPr>
      </w:pPr>
      <w:r w:rsidRPr="00B30A12">
        <w:rPr>
          <w:color w:val="000000"/>
          <w:sz w:val="22"/>
          <w:szCs w:val="22"/>
        </w:rPr>
        <w:t>Crospovidon</w:t>
      </w:r>
    </w:p>
    <w:p w14:paraId="5C8021B7" w14:textId="77777777" w:rsidR="00F56A4B" w:rsidRPr="00B30A12" w:rsidRDefault="00F56A4B" w:rsidP="00463601">
      <w:pPr>
        <w:keepNext/>
        <w:widowControl w:val="0"/>
        <w:rPr>
          <w:color w:val="000000"/>
          <w:sz w:val="22"/>
          <w:szCs w:val="22"/>
        </w:rPr>
      </w:pPr>
      <w:r w:rsidRPr="00B30A12">
        <w:rPr>
          <w:color w:val="000000"/>
          <w:sz w:val="22"/>
          <w:szCs w:val="22"/>
        </w:rPr>
        <w:t>Hypromellose</w:t>
      </w:r>
    </w:p>
    <w:p w14:paraId="3A9A5634" w14:textId="77777777" w:rsidR="00F56A4B" w:rsidRPr="00B30A12" w:rsidRDefault="00F56A4B" w:rsidP="00463601">
      <w:pPr>
        <w:keepNext/>
        <w:widowControl w:val="0"/>
        <w:rPr>
          <w:color w:val="000000"/>
          <w:sz w:val="22"/>
          <w:szCs w:val="22"/>
        </w:rPr>
      </w:pPr>
      <w:r w:rsidRPr="00B30A12">
        <w:rPr>
          <w:color w:val="000000"/>
          <w:sz w:val="22"/>
          <w:szCs w:val="22"/>
        </w:rPr>
        <w:t>Magnesiumstearat</w:t>
      </w:r>
      <w:r w:rsidR="000F76A4" w:rsidRPr="00B30A12">
        <w:rPr>
          <w:color w:val="000000"/>
          <w:sz w:val="22"/>
          <w:szCs w:val="22"/>
        </w:rPr>
        <w:t xml:space="preserve"> [pflanzlich]</w:t>
      </w:r>
    </w:p>
    <w:p w14:paraId="4DE9D1DF" w14:textId="77777777" w:rsidR="00F56A4B" w:rsidRPr="00B30A12" w:rsidRDefault="00F56A4B" w:rsidP="0054140C">
      <w:pPr>
        <w:widowControl w:val="0"/>
        <w:rPr>
          <w:color w:val="000000"/>
          <w:sz w:val="22"/>
          <w:szCs w:val="22"/>
        </w:rPr>
      </w:pPr>
      <w:r w:rsidRPr="00B30A12">
        <w:rPr>
          <w:color w:val="000000"/>
          <w:sz w:val="22"/>
          <w:szCs w:val="22"/>
        </w:rPr>
        <w:t>hochdisperses Siliciumdioxid</w:t>
      </w:r>
    </w:p>
    <w:p w14:paraId="1E252EB5" w14:textId="77777777" w:rsidR="00F56A4B" w:rsidRPr="00B30A12" w:rsidRDefault="00F56A4B" w:rsidP="0054140C">
      <w:pPr>
        <w:widowControl w:val="0"/>
        <w:rPr>
          <w:color w:val="000000"/>
          <w:sz w:val="22"/>
          <w:szCs w:val="22"/>
        </w:rPr>
      </w:pPr>
    </w:p>
    <w:p w14:paraId="137D8F4D" w14:textId="77777777" w:rsidR="00F56A4B" w:rsidRPr="00B30A12" w:rsidRDefault="00392E98" w:rsidP="00463601">
      <w:pPr>
        <w:keepNext/>
        <w:widowControl w:val="0"/>
        <w:rPr>
          <w:color w:val="000000"/>
          <w:sz w:val="22"/>
          <w:szCs w:val="22"/>
        </w:rPr>
      </w:pPr>
      <w:r w:rsidRPr="00B30A12">
        <w:rPr>
          <w:color w:val="000000"/>
          <w:sz w:val="22"/>
          <w:szCs w:val="22"/>
        </w:rPr>
        <w:lastRenderedPageBreak/>
        <w:t>Filmüberzug</w:t>
      </w:r>
      <w:r w:rsidR="00F56A4B" w:rsidRPr="00B30A12">
        <w:rPr>
          <w:color w:val="000000"/>
          <w:sz w:val="22"/>
          <w:szCs w:val="22"/>
        </w:rPr>
        <w:t>:</w:t>
      </w:r>
    </w:p>
    <w:p w14:paraId="52EF43A1" w14:textId="77777777" w:rsidR="00F56A4B" w:rsidRPr="00B30A12" w:rsidRDefault="00AC3BA7" w:rsidP="00463601">
      <w:pPr>
        <w:keepNext/>
        <w:widowControl w:val="0"/>
        <w:rPr>
          <w:color w:val="000000"/>
          <w:sz w:val="22"/>
          <w:szCs w:val="22"/>
        </w:rPr>
      </w:pPr>
      <w:r w:rsidRPr="00B30A12">
        <w:rPr>
          <w:color w:val="000000"/>
          <w:sz w:val="22"/>
          <w:szCs w:val="22"/>
        </w:rPr>
        <w:t>Eisen(</w:t>
      </w:r>
      <w:smartTag w:uri="urn:schemas-microsoft-com:office:smarttags" w:element="stockticker">
        <w:r w:rsidRPr="00B30A12">
          <w:rPr>
            <w:color w:val="000000"/>
            <w:sz w:val="22"/>
            <w:szCs w:val="22"/>
          </w:rPr>
          <w:t>III</w:t>
        </w:r>
      </w:smartTag>
      <w:r w:rsidRPr="00B30A12">
        <w:rPr>
          <w:color w:val="000000"/>
          <w:sz w:val="22"/>
          <w:szCs w:val="22"/>
        </w:rPr>
        <w:t>)-oxid (E </w:t>
      </w:r>
      <w:r w:rsidR="00F56A4B" w:rsidRPr="00B30A12">
        <w:rPr>
          <w:color w:val="000000"/>
          <w:sz w:val="22"/>
          <w:szCs w:val="22"/>
        </w:rPr>
        <w:t>172</w:t>
      </w:r>
      <w:r w:rsidR="001371BD" w:rsidRPr="00B30A12">
        <w:rPr>
          <w:color w:val="000000"/>
          <w:sz w:val="22"/>
          <w:szCs w:val="22"/>
        </w:rPr>
        <w:t>, rot</w:t>
      </w:r>
      <w:r w:rsidR="00F56A4B" w:rsidRPr="00B30A12">
        <w:rPr>
          <w:color w:val="000000"/>
          <w:sz w:val="22"/>
          <w:szCs w:val="22"/>
        </w:rPr>
        <w:t>)</w:t>
      </w:r>
    </w:p>
    <w:p w14:paraId="40025C58" w14:textId="77777777" w:rsidR="00F56A4B" w:rsidRPr="00B30A12" w:rsidRDefault="001371BD" w:rsidP="00463601">
      <w:pPr>
        <w:keepNext/>
        <w:widowControl w:val="0"/>
        <w:rPr>
          <w:color w:val="000000"/>
          <w:sz w:val="22"/>
          <w:szCs w:val="22"/>
        </w:rPr>
      </w:pPr>
      <w:r w:rsidRPr="00B30A12">
        <w:rPr>
          <w:sz w:val="22"/>
          <w:szCs w:val="22"/>
          <w:lang w:val="de-CH"/>
        </w:rPr>
        <w:t>Eisen(III)-hydroxid-oxid x H</w:t>
      </w:r>
      <w:r w:rsidRPr="00B30A12">
        <w:rPr>
          <w:sz w:val="22"/>
          <w:szCs w:val="22"/>
          <w:vertAlign w:val="subscript"/>
          <w:lang w:val="de-CH"/>
        </w:rPr>
        <w:t>2</w:t>
      </w:r>
      <w:r w:rsidRPr="00B30A12">
        <w:rPr>
          <w:sz w:val="22"/>
          <w:szCs w:val="22"/>
          <w:lang w:val="de-CH"/>
        </w:rPr>
        <w:t>O</w:t>
      </w:r>
      <w:r w:rsidRPr="00B30A12">
        <w:rPr>
          <w:color w:val="000000"/>
          <w:sz w:val="22"/>
          <w:szCs w:val="22"/>
        </w:rPr>
        <w:t xml:space="preserve"> </w:t>
      </w:r>
      <w:r w:rsidR="00AC3BA7" w:rsidRPr="00B30A12">
        <w:rPr>
          <w:color w:val="000000"/>
          <w:sz w:val="22"/>
          <w:szCs w:val="22"/>
        </w:rPr>
        <w:t>(E </w:t>
      </w:r>
      <w:r w:rsidR="00F56A4B" w:rsidRPr="00B30A12">
        <w:rPr>
          <w:color w:val="000000"/>
          <w:sz w:val="22"/>
          <w:szCs w:val="22"/>
        </w:rPr>
        <w:t>172</w:t>
      </w:r>
      <w:r w:rsidRPr="00B30A12">
        <w:rPr>
          <w:color w:val="000000"/>
          <w:sz w:val="22"/>
          <w:szCs w:val="22"/>
        </w:rPr>
        <w:t>, gelb</w:t>
      </w:r>
      <w:r w:rsidR="00F56A4B" w:rsidRPr="00B30A12">
        <w:rPr>
          <w:color w:val="000000"/>
          <w:sz w:val="22"/>
          <w:szCs w:val="22"/>
        </w:rPr>
        <w:t>)</w:t>
      </w:r>
    </w:p>
    <w:p w14:paraId="359D622D" w14:textId="77777777" w:rsidR="007A1459" w:rsidRPr="00E652AF" w:rsidRDefault="007A1459" w:rsidP="00463601">
      <w:pPr>
        <w:keepNext/>
        <w:widowControl w:val="0"/>
        <w:rPr>
          <w:color w:val="000000"/>
          <w:sz w:val="22"/>
          <w:szCs w:val="22"/>
          <w:lang w:val="de-CH"/>
        </w:rPr>
      </w:pPr>
      <w:r w:rsidRPr="00E652AF">
        <w:rPr>
          <w:color w:val="000000"/>
          <w:sz w:val="22"/>
          <w:szCs w:val="22"/>
          <w:lang w:val="de-CH"/>
        </w:rPr>
        <w:t>Macrogol</w:t>
      </w:r>
    </w:p>
    <w:p w14:paraId="71CC39C0" w14:textId="77777777" w:rsidR="007A1459" w:rsidRPr="00E652AF" w:rsidRDefault="007A1459" w:rsidP="00463601">
      <w:pPr>
        <w:keepNext/>
        <w:widowControl w:val="0"/>
        <w:rPr>
          <w:color w:val="000000"/>
          <w:sz w:val="22"/>
          <w:szCs w:val="22"/>
          <w:lang w:val="de-CH"/>
        </w:rPr>
      </w:pPr>
      <w:r w:rsidRPr="00E652AF">
        <w:rPr>
          <w:color w:val="000000"/>
          <w:sz w:val="22"/>
          <w:szCs w:val="22"/>
          <w:lang w:val="de-CH"/>
        </w:rPr>
        <w:t>Talkum</w:t>
      </w:r>
    </w:p>
    <w:p w14:paraId="42D0800C" w14:textId="77777777" w:rsidR="007A1459" w:rsidRPr="00B30A12" w:rsidRDefault="007A1459" w:rsidP="0054140C">
      <w:pPr>
        <w:widowControl w:val="0"/>
        <w:rPr>
          <w:color w:val="000000"/>
          <w:sz w:val="22"/>
          <w:szCs w:val="22"/>
        </w:rPr>
      </w:pPr>
      <w:r w:rsidRPr="00B30A12">
        <w:rPr>
          <w:color w:val="000000"/>
          <w:sz w:val="22"/>
          <w:szCs w:val="22"/>
        </w:rPr>
        <w:t>Hypromellose</w:t>
      </w:r>
    </w:p>
    <w:p w14:paraId="53CD2B98" w14:textId="77777777" w:rsidR="00F56A4B" w:rsidRPr="00B30A12" w:rsidRDefault="00F56A4B" w:rsidP="0054140C">
      <w:pPr>
        <w:pStyle w:val="Header"/>
        <w:widowControl w:val="0"/>
        <w:tabs>
          <w:tab w:val="clear" w:pos="4320"/>
          <w:tab w:val="clear" w:pos="8640"/>
        </w:tabs>
        <w:rPr>
          <w:color w:val="000000"/>
          <w:szCs w:val="22"/>
        </w:rPr>
      </w:pPr>
    </w:p>
    <w:p w14:paraId="010E3AE4" w14:textId="77777777" w:rsidR="00F56A4B" w:rsidRPr="00B30A12" w:rsidRDefault="00F56A4B" w:rsidP="00463601">
      <w:pPr>
        <w:keepNext/>
        <w:widowControl w:val="0"/>
        <w:rPr>
          <w:color w:val="000000"/>
          <w:sz w:val="22"/>
          <w:szCs w:val="22"/>
        </w:rPr>
      </w:pPr>
      <w:r w:rsidRPr="00B30A12">
        <w:rPr>
          <w:b/>
          <w:color w:val="000000"/>
          <w:sz w:val="22"/>
          <w:szCs w:val="22"/>
        </w:rPr>
        <w:t>6.2</w:t>
      </w:r>
      <w:r w:rsidRPr="00B30A12">
        <w:rPr>
          <w:b/>
          <w:color w:val="000000"/>
          <w:sz w:val="22"/>
          <w:szCs w:val="22"/>
        </w:rPr>
        <w:tab/>
        <w:t>Inkompatibilitäten</w:t>
      </w:r>
    </w:p>
    <w:p w14:paraId="19F5FA0C" w14:textId="77777777" w:rsidR="00F56A4B" w:rsidRPr="00B30A12" w:rsidRDefault="00F56A4B" w:rsidP="00463601">
      <w:pPr>
        <w:keepNext/>
        <w:widowControl w:val="0"/>
        <w:rPr>
          <w:color w:val="000000"/>
          <w:sz w:val="22"/>
          <w:szCs w:val="22"/>
        </w:rPr>
      </w:pPr>
    </w:p>
    <w:p w14:paraId="0C866133" w14:textId="77777777" w:rsidR="00F56A4B" w:rsidRPr="00B30A12" w:rsidRDefault="00F56A4B" w:rsidP="0054140C">
      <w:pPr>
        <w:widowControl w:val="0"/>
        <w:rPr>
          <w:color w:val="000000"/>
          <w:sz w:val="22"/>
          <w:szCs w:val="22"/>
        </w:rPr>
      </w:pPr>
      <w:r w:rsidRPr="00B30A12">
        <w:rPr>
          <w:color w:val="000000"/>
          <w:sz w:val="22"/>
          <w:szCs w:val="22"/>
        </w:rPr>
        <w:t>Nicht zutreffend</w:t>
      </w:r>
      <w:r w:rsidR="009D506D" w:rsidRPr="00B30A12">
        <w:rPr>
          <w:color w:val="000000"/>
          <w:sz w:val="22"/>
          <w:szCs w:val="22"/>
        </w:rPr>
        <w:t>.</w:t>
      </w:r>
    </w:p>
    <w:p w14:paraId="1A4BA168" w14:textId="77777777" w:rsidR="00F56A4B" w:rsidRPr="00B30A12" w:rsidRDefault="00F56A4B" w:rsidP="0054140C">
      <w:pPr>
        <w:widowControl w:val="0"/>
        <w:rPr>
          <w:color w:val="000000"/>
          <w:sz w:val="22"/>
          <w:szCs w:val="22"/>
        </w:rPr>
      </w:pPr>
    </w:p>
    <w:p w14:paraId="627BD3A1" w14:textId="77777777" w:rsidR="00F56A4B" w:rsidRPr="00B30A12" w:rsidRDefault="00F56A4B" w:rsidP="00463601">
      <w:pPr>
        <w:keepNext/>
        <w:widowControl w:val="0"/>
        <w:rPr>
          <w:color w:val="000000"/>
          <w:sz w:val="22"/>
          <w:szCs w:val="22"/>
        </w:rPr>
      </w:pPr>
      <w:r w:rsidRPr="00B30A12">
        <w:rPr>
          <w:b/>
          <w:color w:val="000000"/>
          <w:sz w:val="22"/>
          <w:szCs w:val="22"/>
        </w:rPr>
        <w:t>6.3</w:t>
      </w:r>
      <w:r w:rsidRPr="00B30A12">
        <w:rPr>
          <w:b/>
          <w:color w:val="000000"/>
          <w:sz w:val="22"/>
          <w:szCs w:val="22"/>
        </w:rPr>
        <w:tab/>
        <w:t>Dauer der Haltbarkeit</w:t>
      </w:r>
    </w:p>
    <w:p w14:paraId="4372BC90" w14:textId="77777777" w:rsidR="00F56A4B" w:rsidRPr="00B30A12" w:rsidRDefault="00F56A4B" w:rsidP="00463601">
      <w:pPr>
        <w:keepNext/>
        <w:widowControl w:val="0"/>
        <w:rPr>
          <w:color w:val="000000"/>
          <w:sz w:val="22"/>
          <w:szCs w:val="22"/>
        </w:rPr>
      </w:pPr>
    </w:p>
    <w:p w14:paraId="23B8C638" w14:textId="77777777" w:rsidR="00F56A4B" w:rsidRPr="00B30A12" w:rsidRDefault="00FC141B" w:rsidP="0054140C">
      <w:pPr>
        <w:widowControl w:val="0"/>
        <w:rPr>
          <w:color w:val="000000"/>
          <w:sz w:val="22"/>
          <w:szCs w:val="22"/>
        </w:rPr>
      </w:pPr>
      <w:r w:rsidRPr="00B30A12">
        <w:rPr>
          <w:color w:val="000000"/>
          <w:sz w:val="22"/>
          <w:szCs w:val="22"/>
        </w:rPr>
        <w:t>3</w:t>
      </w:r>
      <w:r w:rsidR="00940063" w:rsidRPr="00B30A12">
        <w:rPr>
          <w:color w:val="000000"/>
          <w:sz w:val="22"/>
          <w:szCs w:val="22"/>
        </w:rPr>
        <w:t> </w:t>
      </w:r>
      <w:r w:rsidR="00F56A4B" w:rsidRPr="00B30A12">
        <w:rPr>
          <w:color w:val="000000"/>
          <w:sz w:val="22"/>
          <w:szCs w:val="22"/>
        </w:rPr>
        <w:t>Jahre</w:t>
      </w:r>
    </w:p>
    <w:p w14:paraId="02990706" w14:textId="77777777" w:rsidR="00F56A4B" w:rsidRPr="00B30A12" w:rsidRDefault="00F56A4B" w:rsidP="0054140C">
      <w:pPr>
        <w:widowControl w:val="0"/>
        <w:rPr>
          <w:color w:val="000000"/>
          <w:sz w:val="22"/>
          <w:szCs w:val="22"/>
        </w:rPr>
      </w:pPr>
    </w:p>
    <w:p w14:paraId="43AF18E4" w14:textId="77777777" w:rsidR="009D506D" w:rsidRPr="00B30A12" w:rsidRDefault="009D506D" w:rsidP="00463601">
      <w:pPr>
        <w:keepNext/>
        <w:widowControl w:val="0"/>
        <w:rPr>
          <w:color w:val="000000"/>
          <w:sz w:val="22"/>
          <w:szCs w:val="22"/>
        </w:rPr>
      </w:pPr>
      <w:r w:rsidRPr="00B30A12">
        <w:rPr>
          <w:b/>
          <w:color w:val="000000"/>
          <w:sz w:val="22"/>
          <w:szCs w:val="22"/>
        </w:rPr>
        <w:t>6.4</w:t>
      </w:r>
      <w:r w:rsidRPr="00B30A12">
        <w:rPr>
          <w:b/>
          <w:color w:val="000000"/>
          <w:sz w:val="22"/>
          <w:szCs w:val="22"/>
        </w:rPr>
        <w:tab/>
        <w:t>Besondere Vorsichtsmaßnahmen für die Aufbewahrung</w:t>
      </w:r>
    </w:p>
    <w:p w14:paraId="2F5AC703" w14:textId="77777777" w:rsidR="00F56A4B" w:rsidRPr="00B30A12" w:rsidRDefault="00F56A4B" w:rsidP="00463601">
      <w:pPr>
        <w:keepNext/>
        <w:widowControl w:val="0"/>
        <w:rPr>
          <w:color w:val="000000"/>
          <w:sz w:val="22"/>
          <w:szCs w:val="22"/>
        </w:rPr>
      </w:pPr>
    </w:p>
    <w:p w14:paraId="489182F3" w14:textId="77777777" w:rsidR="00D72F2D" w:rsidRPr="00B30A12" w:rsidRDefault="00F56A4B" w:rsidP="0054140C">
      <w:pPr>
        <w:widowControl w:val="0"/>
        <w:rPr>
          <w:color w:val="000000"/>
          <w:sz w:val="22"/>
          <w:szCs w:val="22"/>
        </w:rPr>
      </w:pPr>
      <w:r w:rsidRPr="00B30A12">
        <w:rPr>
          <w:color w:val="000000"/>
          <w:sz w:val="22"/>
          <w:szCs w:val="22"/>
        </w:rPr>
        <w:t>Nicht über 30°C lagern.</w:t>
      </w:r>
    </w:p>
    <w:p w14:paraId="11597B59" w14:textId="77777777" w:rsidR="00F56A4B" w:rsidRPr="00B30A12" w:rsidRDefault="00F56A4B" w:rsidP="0054140C">
      <w:pPr>
        <w:widowControl w:val="0"/>
        <w:rPr>
          <w:color w:val="000000"/>
          <w:sz w:val="22"/>
          <w:szCs w:val="22"/>
        </w:rPr>
      </w:pPr>
    </w:p>
    <w:p w14:paraId="30DDBB5B" w14:textId="77777777" w:rsidR="00F56A4B" w:rsidRPr="00B30A12" w:rsidRDefault="00F56A4B" w:rsidP="0054140C">
      <w:pPr>
        <w:widowControl w:val="0"/>
        <w:rPr>
          <w:color w:val="000000"/>
          <w:sz w:val="22"/>
          <w:szCs w:val="22"/>
        </w:rPr>
      </w:pPr>
      <w:r w:rsidRPr="00B30A12">
        <w:rPr>
          <w:color w:val="000000"/>
          <w:sz w:val="22"/>
          <w:szCs w:val="22"/>
        </w:rPr>
        <w:t>In der Originalverpackung aufbewahren, um den Inhalt vor Feuchtigkeit zu schützen.</w:t>
      </w:r>
    </w:p>
    <w:p w14:paraId="45696A79" w14:textId="77777777" w:rsidR="00F56A4B" w:rsidRPr="00B30A12" w:rsidRDefault="00F56A4B" w:rsidP="0054140C">
      <w:pPr>
        <w:widowControl w:val="0"/>
        <w:rPr>
          <w:color w:val="000000"/>
          <w:sz w:val="22"/>
          <w:szCs w:val="22"/>
        </w:rPr>
      </w:pPr>
    </w:p>
    <w:p w14:paraId="78268AAE" w14:textId="77777777" w:rsidR="00F56A4B" w:rsidRPr="00B30A12" w:rsidRDefault="00F56A4B" w:rsidP="00463601">
      <w:pPr>
        <w:keepNext/>
        <w:widowControl w:val="0"/>
        <w:rPr>
          <w:color w:val="000000"/>
          <w:sz w:val="22"/>
          <w:szCs w:val="22"/>
        </w:rPr>
      </w:pPr>
      <w:r w:rsidRPr="00B30A12">
        <w:rPr>
          <w:b/>
          <w:color w:val="000000"/>
          <w:sz w:val="22"/>
          <w:szCs w:val="22"/>
        </w:rPr>
        <w:t>6.5</w:t>
      </w:r>
      <w:r w:rsidRPr="00B30A12">
        <w:rPr>
          <w:b/>
          <w:color w:val="000000"/>
          <w:sz w:val="22"/>
          <w:szCs w:val="22"/>
        </w:rPr>
        <w:tab/>
        <w:t>Art und Inhalt des Behältnisses</w:t>
      </w:r>
    </w:p>
    <w:p w14:paraId="79A33689" w14:textId="77777777" w:rsidR="00F56A4B" w:rsidRPr="00B30A12" w:rsidRDefault="00F56A4B" w:rsidP="00463601">
      <w:pPr>
        <w:keepNext/>
        <w:widowControl w:val="0"/>
        <w:rPr>
          <w:color w:val="000000"/>
          <w:sz w:val="22"/>
          <w:szCs w:val="22"/>
        </w:rPr>
      </w:pPr>
    </w:p>
    <w:p w14:paraId="05701365" w14:textId="77777777" w:rsidR="00BA3DF3" w:rsidRPr="00B30A12" w:rsidRDefault="00BA3DF3" w:rsidP="00463601">
      <w:pPr>
        <w:keepNext/>
        <w:widowControl w:val="0"/>
        <w:rPr>
          <w:color w:val="000000"/>
          <w:sz w:val="22"/>
          <w:szCs w:val="22"/>
          <w:u w:val="single"/>
        </w:rPr>
      </w:pPr>
      <w:r w:rsidRPr="00B30A12">
        <w:rPr>
          <w:color w:val="000000"/>
          <w:sz w:val="22"/>
          <w:szCs w:val="22"/>
          <w:u w:val="single"/>
        </w:rPr>
        <w:t>Glivec 100 mg Filmtabletten</w:t>
      </w:r>
    </w:p>
    <w:p w14:paraId="37A4B347" w14:textId="77777777" w:rsidR="00621238" w:rsidRPr="00B30A12" w:rsidRDefault="009D506D" w:rsidP="00621238">
      <w:pPr>
        <w:widowControl w:val="0"/>
        <w:rPr>
          <w:color w:val="000000"/>
          <w:sz w:val="22"/>
          <w:szCs w:val="22"/>
        </w:rPr>
      </w:pPr>
      <w:r w:rsidRPr="00B30A12">
        <w:rPr>
          <w:color w:val="000000"/>
          <w:sz w:val="22"/>
          <w:szCs w:val="22"/>
        </w:rPr>
        <w:t>PVC/Aluminium-</w:t>
      </w:r>
      <w:r w:rsidR="00621238" w:rsidRPr="00B30A12">
        <w:rPr>
          <w:color w:val="000000"/>
          <w:sz w:val="22"/>
          <w:szCs w:val="22"/>
        </w:rPr>
        <w:t>Blisterpackungen</w:t>
      </w:r>
    </w:p>
    <w:p w14:paraId="447E7D5D" w14:textId="77777777" w:rsidR="00D72F2D" w:rsidRPr="00B30A12" w:rsidRDefault="00F56A4B" w:rsidP="0054140C">
      <w:pPr>
        <w:pStyle w:val="Header"/>
        <w:widowControl w:val="0"/>
        <w:tabs>
          <w:tab w:val="clear" w:pos="4320"/>
          <w:tab w:val="clear" w:pos="8640"/>
        </w:tabs>
        <w:rPr>
          <w:color w:val="000000"/>
          <w:szCs w:val="22"/>
        </w:rPr>
      </w:pPr>
      <w:r w:rsidRPr="00B30A12">
        <w:rPr>
          <w:color w:val="000000"/>
          <w:szCs w:val="22"/>
        </w:rPr>
        <w:t>Packungen mit 20, 60, 120 oder 180</w:t>
      </w:r>
      <w:r w:rsidR="00940063" w:rsidRPr="00B30A12">
        <w:rPr>
          <w:color w:val="000000"/>
          <w:szCs w:val="22"/>
        </w:rPr>
        <w:t> </w:t>
      </w:r>
      <w:r w:rsidRPr="00B30A12">
        <w:rPr>
          <w:color w:val="000000"/>
          <w:szCs w:val="22"/>
        </w:rPr>
        <w:t>Filmtabletten.</w:t>
      </w:r>
    </w:p>
    <w:p w14:paraId="439C3911" w14:textId="77777777" w:rsidR="00510E36" w:rsidRDefault="00510E36" w:rsidP="00510E36">
      <w:pPr>
        <w:pStyle w:val="Header"/>
        <w:widowControl w:val="0"/>
        <w:tabs>
          <w:tab w:val="clear" w:pos="4320"/>
          <w:tab w:val="clear" w:pos="8640"/>
        </w:tabs>
        <w:rPr>
          <w:color w:val="000000"/>
          <w:szCs w:val="22"/>
        </w:rPr>
      </w:pPr>
    </w:p>
    <w:p w14:paraId="5B462AAC" w14:textId="77777777" w:rsidR="00510E36" w:rsidRPr="00B30A12" w:rsidRDefault="00510E36" w:rsidP="00510E36">
      <w:pPr>
        <w:widowControl w:val="0"/>
        <w:rPr>
          <w:color w:val="000000"/>
          <w:sz w:val="22"/>
          <w:szCs w:val="22"/>
        </w:rPr>
      </w:pPr>
      <w:r w:rsidRPr="00B30A12">
        <w:rPr>
          <w:color w:val="000000"/>
          <w:sz w:val="22"/>
          <w:szCs w:val="22"/>
        </w:rPr>
        <w:t>PVDC/Aluminium-Blisterpackungen</w:t>
      </w:r>
    </w:p>
    <w:p w14:paraId="2DDFFF19" w14:textId="77777777" w:rsidR="00510E36" w:rsidRPr="00B30A12" w:rsidRDefault="00510E36" w:rsidP="00510E36">
      <w:pPr>
        <w:widowControl w:val="0"/>
        <w:rPr>
          <w:color w:val="000000"/>
          <w:sz w:val="22"/>
          <w:szCs w:val="22"/>
        </w:rPr>
      </w:pPr>
      <w:r w:rsidRPr="00B30A12">
        <w:rPr>
          <w:color w:val="000000"/>
          <w:sz w:val="22"/>
          <w:szCs w:val="22"/>
        </w:rPr>
        <w:t xml:space="preserve">Packungen mit </w:t>
      </w:r>
      <w:r w:rsidR="00F64E85">
        <w:rPr>
          <w:color w:val="000000"/>
          <w:sz w:val="22"/>
          <w:szCs w:val="22"/>
        </w:rPr>
        <w:t>6</w:t>
      </w:r>
      <w:r w:rsidRPr="00B30A12">
        <w:rPr>
          <w:color w:val="000000"/>
          <w:sz w:val="22"/>
          <w:szCs w:val="22"/>
        </w:rPr>
        <w:t xml:space="preserve">0, </w:t>
      </w:r>
      <w:r>
        <w:rPr>
          <w:color w:val="000000"/>
          <w:sz w:val="22"/>
          <w:szCs w:val="22"/>
        </w:rPr>
        <w:t>120</w:t>
      </w:r>
      <w:r w:rsidRPr="00B30A12">
        <w:rPr>
          <w:color w:val="000000"/>
          <w:sz w:val="22"/>
          <w:szCs w:val="22"/>
        </w:rPr>
        <w:t xml:space="preserve"> oder </w:t>
      </w:r>
      <w:r>
        <w:rPr>
          <w:color w:val="000000"/>
          <w:sz w:val="22"/>
          <w:szCs w:val="22"/>
        </w:rPr>
        <w:t>180</w:t>
      </w:r>
      <w:r w:rsidRPr="00B30A12">
        <w:rPr>
          <w:color w:val="000000"/>
          <w:sz w:val="22"/>
          <w:szCs w:val="22"/>
        </w:rPr>
        <w:t> Filmtabletten.</w:t>
      </w:r>
    </w:p>
    <w:p w14:paraId="054A2A2B" w14:textId="77777777" w:rsidR="00F56A4B" w:rsidRPr="00B30A12" w:rsidRDefault="00F56A4B" w:rsidP="0054140C">
      <w:pPr>
        <w:pStyle w:val="Header"/>
        <w:widowControl w:val="0"/>
        <w:tabs>
          <w:tab w:val="clear" w:pos="4320"/>
          <w:tab w:val="clear" w:pos="8640"/>
        </w:tabs>
        <w:rPr>
          <w:color w:val="000000"/>
          <w:szCs w:val="22"/>
        </w:rPr>
      </w:pPr>
    </w:p>
    <w:p w14:paraId="09405D0F" w14:textId="77777777" w:rsidR="00BA3DF3" w:rsidRPr="00B30A12" w:rsidRDefault="00BA3DF3" w:rsidP="00463601">
      <w:pPr>
        <w:keepNext/>
        <w:widowControl w:val="0"/>
        <w:rPr>
          <w:color w:val="000000"/>
          <w:sz w:val="22"/>
          <w:szCs w:val="22"/>
          <w:u w:val="single"/>
        </w:rPr>
      </w:pPr>
      <w:r w:rsidRPr="00B30A12">
        <w:rPr>
          <w:color w:val="000000"/>
          <w:sz w:val="22"/>
          <w:szCs w:val="22"/>
          <w:u w:val="single"/>
        </w:rPr>
        <w:t>Glivec 400 mg Filmtabletten</w:t>
      </w:r>
    </w:p>
    <w:p w14:paraId="053ECD16" w14:textId="77777777" w:rsidR="00BA3DF3" w:rsidRPr="00B30A12" w:rsidRDefault="009C1C5E" w:rsidP="0054140C">
      <w:pPr>
        <w:widowControl w:val="0"/>
        <w:rPr>
          <w:color w:val="000000"/>
          <w:sz w:val="22"/>
          <w:szCs w:val="22"/>
        </w:rPr>
      </w:pPr>
      <w:r w:rsidRPr="00B30A12">
        <w:rPr>
          <w:color w:val="000000"/>
          <w:sz w:val="22"/>
          <w:szCs w:val="22"/>
        </w:rPr>
        <w:t>PVDC/</w:t>
      </w:r>
      <w:r w:rsidR="00BA3DF3" w:rsidRPr="00B30A12">
        <w:rPr>
          <w:color w:val="000000"/>
          <w:sz w:val="22"/>
          <w:szCs w:val="22"/>
        </w:rPr>
        <w:t>Aluminium-Blisterpackungen</w:t>
      </w:r>
    </w:p>
    <w:p w14:paraId="554E8727" w14:textId="77777777" w:rsidR="00BA3DF3" w:rsidRPr="00B30A12" w:rsidRDefault="00BA3DF3" w:rsidP="0054140C">
      <w:pPr>
        <w:widowControl w:val="0"/>
        <w:rPr>
          <w:color w:val="000000"/>
          <w:sz w:val="22"/>
          <w:szCs w:val="22"/>
        </w:rPr>
      </w:pPr>
      <w:r w:rsidRPr="00B30A12">
        <w:rPr>
          <w:color w:val="000000"/>
          <w:sz w:val="22"/>
          <w:szCs w:val="22"/>
        </w:rPr>
        <w:t>Packungen mit 10, 30 oder 90 Filmtabletten.</w:t>
      </w:r>
    </w:p>
    <w:p w14:paraId="40A3CBEB" w14:textId="77777777" w:rsidR="00BA3DF3" w:rsidRPr="00B30A12" w:rsidRDefault="00BA3DF3" w:rsidP="0054140C">
      <w:pPr>
        <w:pStyle w:val="Header"/>
        <w:widowControl w:val="0"/>
        <w:tabs>
          <w:tab w:val="clear" w:pos="4320"/>
          <w:tab w:val="clear" w:pos="8640"/>
        </w:tabs>
        <w:rPr>
          <w:color w:val="000000"/>
          <w:szCs w:val="22"/>
        </w:rPr>
      </w:pPr>
    </w:p>
    <w:p w14:paraId="66D2CDA9" w14:textId="77777777" w:rsidR="00F56A4B" w:rsidRPr="00B30A12" w:rsidRDefault="00F56A4B" w:rsidP="0054140C">
      <w:pPr>
        <w:pStyle w:val="Header"/>
        <w:widowControl w:val="0"/>
        <w:tabs>
          <w:tab w:val="clear" w:pos="4320"/>
          <w:tab w:val="clear" w:pos="8640"/>
        </w:tabs>
        <w:rPr>
          <w:color w:val="000000"/>
          <w:szCs w:val="22"/>
        </w:rPr>
      </w:pPr>
      <w:r w:rsidRPr="00B30A12">
        <w:rPr>
          <w:color w:val="000000"/>
          <w:szCs w:val="22"/>
        </w:rPr>
        <w:t>Es werden möglicherweise nicht alle Packungsgrößen in den Verkehr gebracht.</w:t>
      </w:r>
    </w:p>
    <w:p w14:paraId="4028BDB0" w14:textId="77777777" w:rsidR="00F56A4B" w:rsidRPr="00B30A12" w:rsidRDefault="00F56A4B" w:rsidP="0054140C">
      <w:pPr>
        <w:widowControl w:val="0"/>
        <w:rPr>
          <w:color w:val="000000"/>
          <w:sz w:val="22"/>
          <w:szCs w:val="22"/>
        </w:rPr>
      </w:pPr>
    </w:p>
    <w:p w14:paraId="7601D4FD" w14:textId="77777777" w:rsidR="009D506D" w:rsidRPr="00B30A12" w:rsidRDefault="009D506D" w:rsidP="00463601">
      <w:pPr>
        <w:keepNext/>
        <w:widowControl w:val="0"/>
        <w:rPr>
          <w:b/>
          <w:color w:val="000000"/>
          <w:sz w:val="22"/>
          <w:szCs w:val="22"/>
        </w:rPr>
      </w:pPr>
      <w:r w:rsidRPr="00B30A12">
        <w:rPr>
          <w:b/>
          <w:color w:val="000000"/>
          <w:sz w:val="22"/>
          <w:szCs w:val="22"/>
        </w:rPr>
        <w:t>6.6</w:t>
      </w:r>
      <w:r w:rsidRPr="00B30A12">
        <w:rPr>
          <w:b/>
          <w:color w:val="000000"/>
          <w:sz w:val="22"/>
          <w:szCs w:val="22"/>
        </w:rPr>
        <w:tab/>
        <w:t>Besondere Vorsichtsmaßnahmen für die Beseitigung</w:t>
      </w:r>
    </w:p>
    <w:p w14:paraId="3F54D5C3" w14:textId="77777777" w:rsidR="009D506D" w:rsidRPr="00B30A12" w:rsidRDefault="009D506D" w:rsidP="00463601">
      <w:pPr>
        <w:keepNext/>
        <w:widowControl w:val="0"/>
        <w:rPr>
          <w:color w:val="000000"/>
          <w:sz w:val="22"/>
          <w:szCs w:val="22"/>
        </w:rPr>
      </w:pPr>
    </w:p>
    <w:p w14:paraId="34996A64" w14:textId="77777777" w:rsidR="009D506D" w:rsidRPr="00B30A12" w:rsidRDefault="000951F8" w:rsidP="0054140C">
      <w:pPr>
        <w:widowControl w:val="0"/>
        <w:rPr>
          <w:color w:val="000000"/>
          <w:sz w:val="22"/>
          <w:szCs w:val="22"/>
        </w:rPr>
      </w:pPr>
      <w:r w:rsidRPr="00B30A12">
        <w:rPr>
          <w:color w:val="000000"/>
          <w:sz w:val="22"/>
          <w:szCs w:val="22"/>
        </w:rPr>
        <w:t>Nicht verwendetes Arzneimittel oder Abfallmaterial ist entsprechend den nationalen Anforderungen zu beseitigen.</w:t>
      </w:r>
    </w:p>
    <w:p w14:paraId="7C933BEA" w14:textId="77777777" w:rsidR="009D506D" w:rsidRPr="00B30A12" w:rsidRDefault="009D506D" w:rsidP="0054140C">
      <w:pPr>
        <w:widowControl w:val="0"/>
        <w:rPr>
          <w:color w:val="000000"/>
          <w:sz w:val="22"/>
          <w:szCs w:val="22"/>
        </w:rPr>
      </w:pPr>
    </w:p>
    <w:p w14:paraId="376E8C0D" w14:textId="77777777" w:rsidR="009D506D" w:rsidRPr="00B30A12" w:rsidRDefault="009D506D" w:rsidP="0054140C">
      <w:pPr>
        <w:widowControl w:val="0"/>
        <w:rPr>
          <w:color w:val="000000"/>
          <w:sz w:val="22"/>
          <w:szCs w:val="22"/>
        </w:rPr>
      </w:pPr>
    </w:p>
    <w:p w14:paraId="26FF94EF" w14:textId="77777777" w:rsidR="009D506D" w:rsidRPr="00B30A12" w:rsidRDefault="009D506D" w:rsidP="00463601">
      <w:pPr>
        <w:keepNext/>
        <w:widowControl w:val="0"/>
        <w:rPr>
          <w:color w:val="000000"/>
          <w:sz w:val="22"/>
          <w:szCs w:val="22"/>
        </w:rPr>
      </w:pPr>
      <w:r w:rsidRPr="00B30A12">
        <w:rPr>
          <w:b/>
          <w:color w:val="000000"/>
          <w:sz w:val="22"/>
          <w:szCs w:val="22"/>
        </w:rPr>
        <w:t>7.</w:t>
      </w:r>
      <w:r w:rsidRPr="00B30A12">
        <w:rPr>
          <w:b/>
          <w:color w:val="000000"/>
          <w:sz w:val="22"/>
          <w:szCs w:val="22"/>
        </w:rPr>
        <w:tab/>
        <w:t xml:space="preserve">INHABER </w:t>
      </w:r>
      <w:smartTag w:uri="urn:schemas-microsoft-com:office:smarttags" w:element="stockticker">
        <w:r w:rsidRPr="00B30A12">
          <w:rPr>
            <w:b/>
            <w:color w:val="000000"/>
            <w:sz w:val="22"/>
            <w:szCs w:val="22"/>
          </w:rPr>
          <w:t>DER</w:t>
        </w:r>
      </w:smartTag>
      <w:r w:rsidRPr="00B30A12">
        <w:rPr>
          <w:b/>
          <w:color w:val="000000"/>
          <w:sz w:val="22"/>
          <w:szCs w:val="22"/>
        </w:rPr>
        <w:t xml:space="preserve"> ZULASSUNG</w:t>
      </w:r>
    </w:p>
    <w:p w14:paraId="36014FDE" w14:textId="77777777" w:rsidR="00F56A4B" w:rsidRPr="00B30A12" w:rsidRDefault="00F56A4B" w:rsidP="00463601">
      <w:pPr>
        <w:keepNext/>
        <w:widowControl w:val="0"/>
        <w:rPr>
          <w:color w:val="000000"/>
          <w:sz w:val="22"/>
          <w:szCs w:val="22"/>
        </w:rPr>
      </w:pPr>
    </w:p>
    <w:p w14:paraId="6B61D695" w14:textId="77777777" w:rsidR="00F56A4B" w:rsidRPr="00B30A12" w:rsidRDefault="00F56A4B" w:rsidP="00463601">
      <w:pPr>
        <w:keepNext/>
        <w:widowControl w:val="0"/>
        <w:rPr>
          <w:color w:val="000000"/>
          <w:sz w:val="22"/>
          <w:szCs w:val="22"/>
        </w:rPr>
      </w:pPr>
      <w:r w:rsidRPr="00B30A12">
        <w:rPr>
          <w:color w:val="000000"/>
          <w:sz w:val="22"/>
          <w:szCs w:val="22"/>
        </w:rPr>
        <w:t>Novartis Europharm Limited</w:t>
      </w:r>
    </w:p>
    <w:p w14:paraId="2371F14A"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654271BB"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41120892" w14:textId="77777777" w:rsidR="002C158B" w:rsidRPr="002C158B" w:rsidRDefault="002C158B" w:rsidP="002C158B">
      <w:pPr>
        <w:keepNext/>
        <w:widowControl w:val="0"/>
        <w:rPr>
          <w:color w:val="000000"/>
          <w:sz w:val="22"/>
          <w:szCs w:val="22"/>
        </w:rPr>
      </w:pPr>
      <w:r w:rsidRPr="002C158B">
        <w:rPr>
          <w:color w:val="000000"/>
          <w:sz w:val="22"/>
          <w:szCs w:val="22"/>
        </w:rPr>
        <w:t>Dublin 4</w:t>
      </w:r>
    </w:p>
    <w:p w14:paraId="6BDFA99F" w14:textId="77777777" w:rsidR="00F56A4B" w:rsidRPr="00B30A12" w:rsidRDefault="002C158B" w:rsidP="0054140C">
      <w:pPr>
        <w:pStyle w:val="Header"/>
        <w:widowControl w:val="0"/>
        <w:tabs>
          <w:tab w:val="clear" w:pos="4320"/>
          <w:tab w:val="clear" w:pos="8640"/>
        </w:tabs>
        <w:rPr>
          <w:caps/>
          <w:color w:val="000000"/>
          <w:szCs w:val="22"/>
        </w:rPr>
      </w:pPr>
      <w:r w:rsidRPr="002C158B">
        <w:rPr>
          <w:color w:val="000000"/>
          <w:szCs w:val="22"/>
        </w:rPr>
        <w:t>Irland</w:t>
      </w:r>
    </w:p>
    <w:p w14:paraId="7E7B17C4" w14:textId="77777777" w:rsidR="00F56A4B" w:rsidRPr="00B30A12" w:rsidRDefault="00F56A4B" w:rsidP="0054140C">
      <w:pPr>
        <w:widowControl w:val="0"/>
        <w:rPr>
          <w:color w:val="000000"/>
          <w:sz w:val="22"/>
          <w:szCs w:val="22"/>
        </w:rPr>
      </w:pPr>
    </w:p>
    <w:p w14:paraId="534BC6B1" w14:textId="77777777" w:rsidR="00F56A4B" w:rsidRPr="00B30A12" w:rsidRDefault="00F56A4B" w:rsidP="0054140C">
      <w:pPr>
        <w:widowControl w:val="0"/>
        <w:rPr>
          <w:color w:val="000000"/>
          <w:sz w:val="22"/>
          <w:szCs w:val="22"/>
        </w:rPr>
      </w:pPr>
    </w:p>
    <w:p w14:paraId="1D126452" w14:textId="77777777" w:rsidR="00D72F2D" w:rsidRPr="00B30A12" w:rsidRDefault="00F56A4B" w:rsidP="00463601">
      <w:pPr>
        <w:keepNext/>
        <w:widowControl w:val="0"/>
        <w:rPr>
          <w:b/>
          <w:color w:val="000000"/>
          <w:sz w:val="22"/>
          <w:szCs w:val="22"/>
        </w:rPr>
      </w:pPr>
      <w:r w:rsidRPr="00B30A12">
        <w:rPr>
          <w:b/>
          <w:color w:val="000000"/>
          <w:sz w:val="22"/>
          <w:szCs w:val="22"/>
        </w:rPr>
        <w:lastRenderedPageBreak/>
        <w:t>8.</w:t>
      </w:r>
      <w:r w:rsidRPr="00B30A12">
        <w:rPr>
          <w:b/>
          <w:color w:val="000000"/>
          <w:sz w:val="22"/>
          <w:szCs w:val="22"/>
        </w:rPr>
        <w:tab/>
        <w:t>ZULASSUNGSNUMMER(N)</w:t>
      </w:r>
    </w:p>
    <w:p w14:paraId="659F6678" w14:textId="77777777" w:rsidR="00F56A4B" w:rsidRPr="00B30A12" w:rsidRDefault="00F56A4B" w:rsidP="00463601">
      <w:pPr>
        <w:keepNext/>
        <w:widowControl w:val="0"/>
        <w:rPr>
          <w:color w:val="000000"/>
          <w:sz w:val="22"/>
          <w:szCs w:val="22"/>
        </w:rPr>
      </w:pPr>
    </w:p>
    <w:p w14:paraId="2F2AEAC7" w14:textId="77777777" w:rsidR="00BA3DF3" w:rsidRPr="00B30A12" w:rsidRDefault="00BA3DF3" w:rsidP="00463601">
      <w:pPr>
        <w:keepNext/>
        <w:widowControl w:val="0"/>
        <w:rPr>
          <w:color w:val="000000"/>
          <w:sz w:val="22"/>
          <w:szCs w:val="22"/>
          <w:u w:val="single"/>
        </w:rPr>
      </w:pPr>
      <w:r w:rsidRPr="00B30A12">
        <w:rPr>
          <w:color w:val="000000"/>
          <w:sz w:val="22"/>
          <w:szCs w:val="22"/>
          <w:u w:val="single"/>
        </w:rPr>
        <w:t>Glivec 100 mg Filmtabletten</w:t>
      </w:r>
    </w:p>
    <w:p w14:paraId="1C7D9E53" w14:textId="77777777" w:rsidR="00F56A4B" w:rsidRPr="00B30A12" w:rsidRDefault="00F56A4B" w:rsidP="00463601">
      <w:pPr>
        <w:pStyle w:val="Header"/>
        <w:keepNext/>
        <w:widowControl w:val="0"/>
        <w:tabs>
          <w:tab w:val="clear" w:pos="4320"/>
          <w:tab w:val="clear" w:pos="8640"/>
        </w:tabs>
        <w:rPr>
          <w:color w:val="000000"/>
          <w:szCs w:val="22"/>
          <w:lang w:val="de-CH"/>
        </w:rPr>
      </w:pPr>
      <w:r w:rsidRPr="00B30A12">
        <w:rPr>
          <w:color w:val="000000"/>
          <w:szCs w:val="22"/>
          <w:lang w:val="de-CH"/>
        </w:rPr>
        <w:t>EU/1/01/198/007</w:t>
      </w:r>
    </w:p>
    <w:p w14:paraId="1A2F9B50" w14:textId="77777777" w:rsidR="00F56A4B" w:rsidRPr="00B30A12" w:rsidRDefault="00F56A4B" w:rsidP="00463601">
      <w:pPr>
        <w:pStyle w:val="Header"/>
        <w:keepNext/>
        <w:widowControl w:val="0"/>
        <w:tabs>
          <w:tab w:val="clear" w:pos="4320"/>
          <w:tab w:val="clear" w:pos="8640"/>
        </w:tabs>
        <w:rPr>
          <w:color w:val="000000"/>
          <w:szCs w:val="22"/>
          <w:lang w:val="de-CH"/>
        </w:rPr>
      </w:pPr>
      <w:r w:rsidRPr="00B30A12">
        <w:rPr>
          <w:color w:val="000000"/>
          <w:szCs w:val="22"/>
          <w:lang w:val="de-CH"/>
        </w:rPr>
        <w:t>EU/1/01/198/008</w:t>
      </w:r>
    </w:p>
    <w:p w14:paraId="2F6618A4" w14:textId="77777777" w:rsidR="00F56A4B" w:rsidRPr="00B30A12" w:rsidRDefault="00F56A4B" w:rsidP="00463601">
      <w:pPr>
        <w:pStyle w:val="Header"/>
        <w:keepNext/>
        <w:widowControl w:val="0"/>
        <w:tabs>
          <w:tab w:val="clear" w:pos="4320"/>
          <w:tab w:val="clear" w:pos="8640"/>
        </w:tabs>
        <w:rPr>
          <w:color w:val="000000"/>
          <w:szCs w:val="22"/>
          <w:lang w:val="de-CH"/>
        </w:rPr>
      </w:pPr>
      <w:r w:rsidRPr="00B30A12">
        <w:rPr>
          <w:color w:val="000000"/>
          <w:szCs w:val="22"/>
          <w:lang w:val="de-CH"/>
        </w:rPr>
        <w:t>EU/1/01/198/</w:t>
      </w:r>
      <w:r w:rsidR="00C35470" w:rsidRPr="00B30A12">
        <w:rPr>
          <w:color w:val="000000"/>
          <w:szCs w:val="22"/>
          <w:lang w:val="de-CH"/>
        </w:rPr>
        <w:t>011</w:t>
      </w:r>
    </w:p>
    <w:p w14:paraId="7ACC177A" w14:textId="77777777" w:rsidR="00F56A4B" w:rsidRPr="00B30A12" w:rsidRDefault="00F56A4B" w:rsidP="00510E36">
      <w:pPr>
        <w:pStyle w:val="Header"/>
        <w:keepNext/>
        <w:widowControl w:val="0"/>
        <w:tabs>
          <w:tab w:val="clear" w:pos="4320"/>
          <w:tab w:val="clear" w:pos="8640"/>
        </w:tabs>
        <w:rPr>
          <w:color w:val="000000"/>
          <w:szCs w:val="22"/>
          <w:lang w:val="de-CH"/>
        </w:rPr>
      </w:pPr>
      <w:r w:rsidRPr="00B30A12">
        <w:rPr>
          <w:color w:val="000000"/>
          <w:szCs w:val="22"/>
          <w:lang w:val="de-CH"/>
        </w:rPr>
        <w:t>EU/1/01/198/</w:t>
      </w:r>
      <w:r w:rsidR="00C35470" w:rsidRPr="00B30A12">
        <w:rPr>
          <w:color w:val="000000"/>
          <w:szCs w:val="22"/>
          <w:lang w:val="de-CH"/>
        </w:rPr>
        <w:t>012</w:t>
      </w:r>
    </w:p>
    <w:p w14:paraId="02ADA39A" w14:textId="77777777" w:rsidR="00510E36" w:rsidRPr="007B2E80" w:rsidRDefault="00510E36" w:rsidP="00510E36">
      <w:pPr>
        <w:pStyle w:val="Header"/>
        <w:keepNext/>
        <w:widowControl w:val="0"/>
        <w:rPr>
          <w:color w:val="000000"/>
          <w:szCs w:val="22"/>
        </w:rPr>
      </w:pPr>
      <w:r w:rsidRPr="007B2E80">
        <w:rPr>
          <w:color w:val="000000"/>
          <w:szCs w:val="22"/>
        </w:rPr>
        <w:t>EU/1/01/198/01</w:t>
      </w:r>
      <w:r w:rsidR="00EC09FB">
        <w:rPr>
          <w:color w:val="000000"/>
          <w:szCs w:val="22"/>
        </w:rPr>
        <w:t>4</w:t>
      </w:r>
    </w:p>
    <w:p w14:paraId="5A69FD39" w14:textId="77777777" w:rsidR="00510E36" w:rsidRDefault="00510E36" w:rsidP="00F64E85">
      <w:pPr>
        <w:pStyle w:val="Header"/>
        <w:keepNext/>
        <w:widowControl w:val="0"/>
        <w:tabs>
          <w:tab w:val="clear" w:pos="4320"/>
          <w:tab w:val="clear" w:pos="8640"/>
        </w:tabs>
        <w:rPr>
          <w:color w:val="000000"/>
          <w:szCs w:val="22"/>
        </w:rPr>
      </w:pPr>
      <w:r w:rsidRPr="007B2E80">
        <w:rPr>
          <w:color w:val="000000"/>
          <w:szCs w:val="22"/>
        </w:rPr>
        <w:t>EU/1/01/198/01</w:t>
      </w:r>
      <w:r w:rsidR="00EC09FB">
        <w:rPr>
          <w:color w:val="000000"/>
          <w:szCs w:val="22"/>
        </w:rPr>
        <w:t>5</w:t>
      </w:r>
    </w:p>
    <w:p w14:paraId="2F2448FB" w14:textId="77777777" w:rsidR="00F64E85" w:rsidRDefault="00F64E85" w:rsidP="00F64E85">
      <w:pPr>
        <w:pStyle w:val="Header"/>
        <w:widowControl w:val="0"/>
        <w:tabs>
          <w:tab w:val="clear" w:pos="4320"/>
          <w:tab w:val="clear" w:pos="8640"/>
        </w:tabs>
        <w:rPr>
          <w:color w:val="000000"/>
          <w:szCs w:val="22"/>
        </w:rPr>
      </w:pPr>
      <w:r w:rsidRPr="007B2E80">
        <w:rPr>
          <w:color w:val="000000"/>
          <w:szCs w:val="22"/>
        </w:rPr>
        <w:t>EU/</w:t>
      </w:r>
      <w:r>
        <w:rPr>
          <w:color w:val="000000"/>
          <w:szCs w:val="22"/>
        </w:rPr>
        <w:t>1/01/198/01</w:t>
      </w:r>
      <w:r w:rsidR="00EC09FB">
        <w:rPr>
          <w:color w:val="000000"/>
          <w:szCs w:val="22"/>
        </w:rPr>
        <w:t>6</w:t>
      </w:r>
    </w:p>
    <w:p w14:paraId="1E10846D" w14:textId="77777777" w:rsidR="00F56A4B" w:rsidRPr="00B30A12" w:rsidRDefault="00F56A4B" w:rsidP="0054140C">
      <w:pPr>
        <w:pStyle w:val="Header"/>
        <w:widowControl w:val="0"/>
        <w:tabs>
          <w:tab w:val="clear" w:pos="4320"/>
          <w:tab w:val="clear" w:pos="8640"/>
        </w:tabs>
        <w:rPr>
          <w:color w:val="000000"/>
          <w:szCs w:val="22"/>
        </w:rPr>
      </w:pPr>
    </w:p>
    <w:p w14:paraId="7AB508C2" w14:textId="77777777" w:rsidR="00BA3DF3" w:rsidRPr="00E652AF" w:rsidRDefault="00BA3DF3" w:rsidP="00463601">
      <w:pPr>
        <w:keepNext/>
        <w:widowControl w:val="0"/>
        <w:rPr>
          <w:color w:val="000000"/>
          <w:sz w:val="22"/>
          <w:szCs w:val="22"/>
          <w:u w:val="single"/>
          <w:lang w:val="de-CH"/>
        </w:rPr>
      </w:pPr>
      <w:r w:rsidRPr="00E652AF">
        <w:rPr>
          <w:color w:val="000000"/>
          <w:sz w:val="22"/>
          <w:szCs w:val="22"/>
          <w:u w:val="single"/>
          <w:lang w:val="de-CH"/>
        </w:rPr>
        <w:t>Glivec 400 mg Filmtabletten</w:t>
      </w:r>
    </w:p>
    <w:p w14:paraId="0E1DFF67" w14:textId="77777777" w:rsidR="00BA3DF3" w:rsidRPr="00E652AF" w:rsidRDefault="00BA3DF3" w:rsidP="00463601">
      <w:pPr>
        <w:keepNext/>
        <w:widowControl w:val="0"/>
        <w:rPr>
          <w:color w:val="000000"/>
          <w:sz w:val="22"/>
          <w:szCs w:val="22"/>
          <w:lang w:val="de-CH"/>
        </w:rPr>
      </w:pPr>
      <w:r w:rsidRPr="00E652AF">
        <w:rPr>
          <w:color w:val="000000"/>
          <w:sz w:val="22"/>
          <w:szCs w:val="22"/>
          <w:lang w:val="de-CH"/>
        </w:rPr>
        <w:t>EU/1/01/198/009</w:t>
      </w:r>
    </w:p>
    <w:p w14:paraId="2FDBCEE3" w14:textId="77777777" w:rsidR="00BA3DF3" w:rsidRPr="00E652AF" w:rsidRDefault="00BA3DF3" w:rsidP="00463601">
      <w:pPr>
        <w:keepNext/>
        <w:widowControl w:val="0"/>
        <w:rPr>
          <w:color w:val="000000"/>
          <w:sz w:val="22"/>
          <w:szCs w:val="22"/>
          <w:lang w:val="de-CH"/>
        </w:rPr>
      </w:pPr>
      <w:r w:rsidRPr="00E652AF">
        <w:rPr>
          <w:color w:val="000000"/>
          <w:sz w:val="22"/>
          <w:szCs w:val="22"/>
          <w:lang w:val="de-CH"/>
        </w:rPr>
        <w:t>EU/1/01/198/010</w:t>
      </w:r>
    </w:p>
    <w:p w14:paraId="1E9CA459" w14:textId="77777777" w:rsidR="00BA3DF3" w:rsidRPr="00B30A12" w:rsidRDefault="00BA3DF3" w:rsidP="0054140C">
      <w:pPr>
        <w:widowControl w:val="0"/>
        <w:rPr>
          <w:color w:val="000000"/>
          <w:sz w:val="22"/>
          <w:szCs w:val="22"/>
          <w:lang w:val="de-CH"/>
        </w:rPr>
      </w:pPr>
      <w:r w:rsidRPr="00B30A12">
        <w:rPr>
          <w:color w:val="000000"/>
          <w:sz w:val="22"/>
          <w:szCs w:val="22"/>
          <w:lang w:val="de-CH"/>
        </w:rPr>
        <w:t>EU/1/01/198/013</w:t>
      </w:r>
    </w:p>
    <w:p w14:paraId="7A59A18D" w14:textId="77777777" w:rsidR="009C1C5E" w:rsidRPr="00B30A12" w:rsidRDefault="009C1C5E" w:rsidP="0054140C">
      <w:pPr>
        <w:widowControl w:val="0"/>
        <w:rPr>
          <w:color w:val="000000"/>
          <w:sz w:val="22"/>
          <w:szCs w:val="22"/>
          <w:lang w:val="de-CH"/>
        </w:rPr>
      </w:pPr>
    </w:p>
    <w:p w14:paraId="5B979967" w14:textId="77777777" w:rsidR="00F56A4B" w:rsidRPr="00B30A12" w:rsidRDefault="00F56A4B" w:rsidP="0054140C">
      <w:pPr>
        <w:widowControl w:val="0"/>
        <w:rPr>
          <w:color w:val="000000"/>
          <w:sz w:val="22"/>
          <w:szCs w:val="22"/>
          <w:lang w:val="de-CH"/>
        </w:rPr>
      </w:pPr>
    </w:p>
    <w:p w14:paraId="61E4F5EF" w14:textId="77777777" w:rsidR="009D506D" w:rsidRPr="00B30A12" w:rsidRDefault="009D506D" w:rsidP="00DA7B0B">
      <w:pPr>
        <w:keepNext/>
        <w:widowControl w:val="0"/>
        <w:ind w:left="567" w:hanging="567"/>
        <w:rPr>
          <w:color w:val="000000"/>
          <w:sz w:val="22"/>
          <w:szCs w:val="22"/>
        </w:rPr>
      </w:pPr>
      <w:r w:rsidRPr="00B30A12">
        <w:rPr>
          <w:b/>
          <w:color w:val="000000"/>
          <w:sz w:val="22"/>
          <w:szCs w:val="22"/>
        </w:rPr>
        <w:t>9.</w:t>
      </w:r>
      <w:r w:rsidRPr="00B30A12">
        <w:rPr>
          <w:b/>
          <w:color w:val="000000"/>
          <w:sz w:val="22"/>
          <w:szCs w:val="22"/>
        </w:rPr>
        <w:tab/>
        <w:t xml:space="preserve">DATUM </w:t>
      </w:r>
      <w:smartTag w:uri="urn:schemas-microsoft-com:office:smarttags" w:element="stockticker">
        <w:r w:rsidRPr="00B30A12">
          <w:rPr>
            <w:b/>
            <w:color w:val="000000"/>
            <w:sz w:val="22"/>
            <w:szCs w:val="22"/>
          </w:rPr>
          <w:t>DER</w:t>
        </w:r>
      </w:smartTag>
      <w:r w:rsidRPr="00B30A12">
        <w:rPr>
          <w:b/>
          <w:color w:val="000000"/>
          <w:sz w:val="22"/>
          <w:szCs w:val="22"/>
        </w:rPr>
        <w:t xml:space="preserve"> ERTEILUNG </w:t>
      </w:r>
      <w:smartTag w:uri="urn:schemas-microsoft-com:office:smarttags" w:element="stockticker">
        <w:r w:rsidRPr="00B30A12">
          <w:rPr>
            <w:b/>
            <w:color w:val="000000"/>
            <w:sz w:val="22"/>
            <w:szCs w:val="22"/>
          </w:rPr>
          <w:t>DER</w:t>
        </w:r>
      </w:smartTag>
      <w:r w:rsidRPr="00B30A12">
        <w:rPr>
          <w:b/>
          <w:color w:val="000000"/>
          <w:sz w:val="22"/>
          <w:szCs w:val="22"/>
        </w:rPr>
        <w:t xml:space="preserve"> ZULASSUNG/VERLÄNGERUNG </w:t>
      </w:r>
      <w:smartTag w:uri="urn:schemas-microsoft-com:office:smarttags" w:element="stockticker">
        <w:r w:rsidRPr="00B30A12">
          <w:rPr>
            <w:b/>
            <w:color w:val="000000"/>
            <w:sz w:val="22"/>
            <w:szCs w:val="22"/>
          </w:rPr>
          <w:t>DER</w:t>
        </w:r>
      </w:smartTag>
      <w:r w:rsidRPr="00B30A12">
        <w:rPr>
          <w:b/>
          <w:color w:val="000000"/>
          <w:sz w:val="22"/>
          <w:szCs w:val="22"/>
        </w:rPr>
        <w:t xml:space="preserve"> ZULASSUNG</w:t>
      </w:r>
    </w:p>
    <w:p w14:paraId="27BBB2C9" w14:textId="77777777" w:rsidR="00F56A4B" w:rsidRPr="00B30A12" w:rsidRDefault="00F56A4B" w:rsidP="00463601">
      <w:pPr>
        <w:keepNext/>
        <w:widowControl w:val="0"/>
        <w:rPr>
          <w:color w:val="000000"/>
          <w:sz w:val="22"/>
          <w:szCs w:val="22"/>
        </w:rPr>
      </w:pPr>
    </w:p>
    <w:p w14:paraId="66C67E24" w14:textId="77777777" w:rsidR="00F56A4B" w:rsidRPr="00B30A12" w:rsidRDefault="009D506D" w:rsidP="00463601">
      <w:pPr>
        <w:keepNext/>
        <w:widowControl w:val="0"/>
        <w:rPr>
          <w:color w:val="000000"/>
          <w:sz w:val="22"/>
          <w:szCs w:val="22"/>
        </w:rPr>
      </w:pPr>
      <w:r w:rsidRPr="00B30A12">
        <w:rPr>
          <w:color w:val="000000"/>
          <w:sz w:val="22"/>
          <w:szCs w:val="22"/>
          <w:lang w:val="de-CH"/>
        </w:rPr>
        <w:t xml:space="preserve">Datum der Erteilung der Zulassung: </w:t>
      </w:r>
      <w:r w:rsidR="002D3E85" w:rsidRPr="00B30A12">
        <w:rPr>
          <w:color w:val="000000"/>
          <w:sz w:val="22"/>
          <w:szCs w:val="22"/>
        </w:rPr>
        <w:t>07</w:t>
      </w:r>
      <w:r w:rsidR="00F56A4B" w:rsidRPr="00B30A12">
        <w:rPr>
          <w:color w:val="000000"/>
          <w:sz w:val="22"/>
          <w:szCs w:val="22"/>
        </w:rPr>
        <w:t>.</w:t>
      </w:r>
      <w:r w:rsidR="00481135" w:rsidRPr="00B30A12">
        <w:rPr>
          <w:color w:val="000000"/>
          <w:sz w:val="22"/>
          <w:szCs w:val="22"/>
        </w:rPr>
        <w:t xml:space="preserve"> November </w:t>
      </w:r>
      <w:r w:rsidR="00F56A4B" w:rsidRPr="00B30A12">
        <w:rPr>
          <w:color w:val="000000"/>
          <w:sz w:val="22"/>
          <w:szCs w:val="22"/>
        </w:rPr>
        <w:t>200</w:t>
      </w:r>
      <w:r w:rsidR="002D3E85" w:rsidRPr="00B30A12">
        <w:rPr>
          <w:color w:val="000000"/>
          <w:sz w:val="22"/>
          <w:szCs w:val="22"/>
        </w:rPr>
        <w:t>1</w:t>
      </w:r>
    </w:p>
    <w:p w14:paraId="67E222F6" w14:textId="77777777" w:rsidR="009D506D" w:rsidRPr="00B30A12" w:rsidRDefault="009D506D" w:rsidP="0054140C">
      <w:pPr>
        <w:widowControl w:val="0"/>
        <w:rPr>
          <w:color w:val="000000"/>
          <w:sz w:val="22"/>
          <w:szCs w:val="22"/>
          <w:lang w:val="de-CH"/>
        </w:rPr>
      </w:pPr>
      <w:r w:rsidRPr="00B30A12">
        <w:rPr>
          <w:color w:val="000000"/>
          <w:sz w:val="22"/>
          <w:szCs w:val="22"/>
          <w:lang w:val="de-CH"/>
        </w:rPr>
        <w:t xml:space="preserve">Datum der </w:t>
      </w:r>
      <w:r w:rsidR="00481135" w:rsidRPr="00B30A12">
        <w:rPr>
          <w:color w:val="000000"/>
          <w:sz w:val="22"/>
          <w:szCs w:val="22"/>
          <w:lang w:val="de-CH"/>
        </w:rPr>
        <w:t>letzten</w:t>
      </w:r>
      <w:r w:rsidRPr="00B30A12">
        <w:rPr>
          <w:color w:val="000000"/>
          <w:sz w:val="22"/>
          <w:szCs w:val="22"/>
          <w:lang w:val="de-CH"/>
        </w:rPr>
        <w:t xml:space="preserve"> Verlängerung der Zulassung:</w:t>
      </w:r>
      <w:r w:rsidR="00F0540C" w:rsidRPr="00B30A12">
        <w:rPr>
          <w:color w:val="000000"/>
          <w:sz w:val="22"/>
          <w:szCs w:val="22"/>
          <w:lang w:val="de-CH"/>
        </w:rPr>
        <w:t xml:space="preserve"> 07.</w:t>
      </w:r>
      <w:r w:rsidR="002D3E85" w:rsidRPr="00B30A12">
        <w:rPr>
          <w:color w:val="000000"/>
          <w:sz w:val="22"/>
          <w:szCs w:val="22"/>
          <w:lang w:val="de-CH"/>
        </w:rPr>
        <w:t> </w:t>
      </w:r>
      <w:r w:rsidR="00481135" w:rsidRPr="00B30A12">
        <w:rPr>
          <w:color w:val="000000"/>
          <w:sz w:val="22"/>
          <w:szCs w:val="22"/>
          <w:lang w:val="de-CH"/>
        </w:rPr>
        <w:t xml:space="preserve">November </w:t>
      </w:r>
      <w:r w:rsidR="00F0540C" w:rsidRPr="00B30A12">
        <w:rPr>
          <w:color w:val="000000"/>
          <w:sz w:val="22"/>
          <w:szCs w:val="22"/>
          <w:lang w:val="de-CH"/>
        </w:rPr>
        <w:t>2006</w:t>
      </w:r>
    </w:p>
    <w:p w14:paraId="6964292E" w14:textId="77777777" w:rsidR="00F56A4B" w:rsidRPr="00B30A12" w:rsidRDefault="00F56A4B" w:rsidP="0054140C">
      <w:pPr>
        <w:widowControl w:val="0"/>
        <w:rPr>
          <w:color w:val="000000"/>
          <w:sz w:val="22"/>
          <w:szCs w:val="22"/>
          <w:lang w:val="de-CH"/>
        </w:rPr>
      </w:pPr>
    </w:p>
    <w:p w14:paraId="428CC68B" w14:textId="77777777" w:rsidR="00F56A4B" w:rsidRPr="00B30A12" w:rsidRDefault="00F56A4B" w:rsidP="0054140C">
      <w:pPr>
        <w:pStyle w:val="Header"/>
        <w:widowControl w:val="0"/>
        <w:tabs>
          <w:tab w:val="clear" w:pos="4320"/>
          <w:tab w:val="clear" w:pos="8640"/>
        </w:tabs>
        <w:rPr>
          <w:color w:val="000000"/>
          <w:szCs w:val="22"/>
        </w:rPr>
      </w:pPr>
    </w:p>
    <w:p w14:paraId="2DA98D80" w14:textId="77777777" w:rsidR="004C1FC2" w:rsidRPr="00B30A12" w:rsidRDefault="00F56A4B" w:rsidP="0054140C">
      <w:pPr>
        <w:widowControl w:val="0"/>
        <w:rPr>
          <w:color w:val="000000"/>
          <w:sz w:val="22"/>
          <w:szCs w:val="22"/>
        </w:rPr>
      </w:pPr>
      <w:r w:rsidRPr="00B30A12">
        <w:rPr>
          <w:b/>
          <w:color w:val="000000"/>
          <w:sz w:val="22"/>
          <w:szCs w:val="22"/>
        </w:rPr>
        <w:t>10.</w:t>
      </w:r>
      <w:r w:rsidRPr="00B30A12">
        <w:rPr>
          <w:b/>
          <w:color w:val="000000"/>
          <w:sz w:val="22"/>
          <w:szCs w:val="22"/>
        </w:rPr>
        <w:tab/>
        <w:t xml:space="preserve">STAND </w:t>
      </w:r>
      <w:smartTag w:uri="urn:schemas-microsoft-com:office:smarttags" w:element="stockticker">
        <w:r w:rsidRPr="00B30A12">
          <w:rPr>
            <w:b/>
            <w:color w:val="000000"/>
            <w:sz w:val="22"/>
            <w:szCs w:val="22"/>
          </w:rPr>
          <w:t>DER</w:t>
        </w:r>
      </w:smartTag>
      <w:r w:rsidRPr="00B30A12">
        <w:rPr>
          <w:b/>
          <w:color w:val="000000"/>
          <w:sz w:val="22"/>
          <w:szCs w:val="22"/>
        </w:rPr>
        <w:t xml:space="preserve"> INFORMATION</w:t>
      </w:r>
    </w:p>
    <w:p w14:paraId="5CA63A85" w14:textId="77777777" w:rsidR="004C1FC2" w:rsidRPr="00B30A12" w:rsidRDefault="004C1FC2" w:rsidP="0054140C">
      <w:pPr>
        <w:widowControl w:val="0"/>
        <w:rPr>
          <w:color w:val="000000"/>
          <w:sz w:val="22"/>
          <w:szCs w:val="22"/>
        </w:rPr>
      </w:pPr>
    </w:p>
    <w:p w14:paraId="701FE40B" w14:textId="77777777" w:rsidR="00A4443C" w:rsidRPr="00B30A12" w:rsidRDefault="00A4443C" w:rsidP="0054140C">
      <w:pPr>
        <w:widowControl w:val="0"/>
        <w:rPr>
          <w:color w:val="000000"/>
          <w:sz w:val="22"/>
          <w:szCs w:val="22"/>
        </w:rPr>
      </w:pPr>
    </w:p>
    <w:p w14:paraId="127C7123" w14:textId="77777777" w:rsidR="00F56A4B" w:rsidRPr="00B30A12" w:rsidRDefault="004C1FC2" w:rsidP="0054140C">
      <w:pPr>
        <w:widowControl w:val="0"/>
        <w:rPr>
          <w:color w:val="000000"/>
          <w:sz w:val="22"/>
          <w:szCs w:val="22"/>
        </w:rPr>
      </w:pPr>
      <w:r w:rsidRPr="00B30A12">
        <w:rPr>
          <w:bCs/>
          <w:color w:val="000000"/>
          <w:sz w:val="22"/>
          <w:szCs w:val="22"/>
        </w:rPr>
        <w:t>Ausführliche Informationen zu diesem Arzneimittel sind auf de</w:t>
      </w:r>
      <w:r w:rsidR="00481135" w:rsidRPr="00B30A12">
        <w:rPr>
          <w:bCs/>
          <w:color w:val="000000"/>
          <w:sz w:val="22"/>
          <w:szCs w:val="22"/>
        </w:rPr>
        <w:t>n Internetseiten</w:t>
      </w:r>
      <w:r w:rsidRPr="00B30A12">
        <w:rPr>
          <w:bCs/>
          <w:color w:val="000000"/>
          <w:sz w:val="22"/>
          <w:szCs w:val="22"/>
        </w:rPr>
        <w:t xml:space="preserve"> der Europäischen Arzneimittel-Agentur http://www.ema.europa.eu verfügbar.</w:t>
      </w:r>
    </w:p>
    <w:p w14:paraId="4B0CF7FF" w14:textId="77777777" w:rsidR="00F63A63" w:rsidRPr="00B30A12" w:rsidRDefault="00F56A4B" w:rsidP="005B05A0">
      <w:pPr>
        <w:ind w:right="1416"/>
        <w:outlineLvl w:val="0"/>
        <w:rPr>
          <w:color w:val="000000"/>
          <w:sz w:val="22"/>
          <w:szCs w:val="22"/>
        </w:rPr>
      </w:pPr>
      <w:r w:rsidRPr="00B30A12">
        <w:rPr>
          <w:color w:val="000000"/>
          <w:sz w:val="22"/>
          <w:szCs w:val="22"/>
        </w:rPr>
        <w:br w:type="page"/>
      </w:r>
    </w:p>
    <w:p w14:paraId="4B92D8E3" w14:textId="77777777" w:rsidR="00F63A63" w:rsidRPr="00B30A12" w:rsidRDefault="00F63A63" w:rsidP="005B05A0">
      <w:pPr>
        <w:ind w:right="1416"/>
        <w:outlineLvl w:val="0"/>
        <w:rPr>
          <w:color w:val="000000"/>
          <w:sz w:val="22"/>
          <w:szCs w:val="22"/>
        </w:rPr>
      </w:pPr>
    </w:p>
    <w:p w14:paraId="5B9761D7" w14:textId="77777777" w:rsidR="00F63A63" w:rsidRPr="00B30A12" w:rsidRDefault="00F63A63" w:rsidP="005B05A0">
      <w:pPr>
        <w:ind w:right="1416"/>
        <w:outlineLvl w:val="0"/>
        <w:rPr>
          <w:color w:val="000000"/>
          <w:sz w:val="22"/>
          <w:szCs w:val="22"/>
        </w:rPr>
      </w:pPr>
    </w:p>
    <w:p w14:paraId="59916C17" w14:textId="77777777" w:rsidR="00F63A63" w:rsidRPr="00B30A12" w:rsidRDefault="00F63A63" w:rsidP="005B05A0">
      <w:pPr>
        <w:ind w:right="1416"/>
        <w:outlineLvl w:val="0"/>
        <w:rPr>
          <w:color w:val="000000"/>
          <w:sz w:val="22"/>
          <w:szCs w:val="22"/>
        </w:rPr>
      </w:pPr>
    </w:p>
    <w:p w14:paraId="3AEC9947" w14:textId="77777777" w:rsidR="00F63A63" w:rsidRPr="00B30A12" w:rsidRDefault="00F63A63" w:rsidP="005B05A0">
      <w:pPr>
        <w:ind w:right="1416"/>
        <w:outlineLvl w:val="0"/>
        <w:rPr>
          <w:color w:val="000000"/>
          <w:sz w:val="22"/>
          <w:szCs w:val="22"/>
        </w:rPr>
      </w:pPr>
    </w:p>
    <w:p w14:paraId="21C11A5A" w14:textId="77777777" w:rsidR="00F63A63" w:rsidRPr="00B30A12" w:rsidRDefault="00F63A63" w:rsidP="005B05A0">
      <w:pPr>
        <w:ind w:right="1416"/>
        <w:outlineLvl w:val="0"/>
        <w:rPr>
          <w:color w:val="000000"/>
          <w:sz w:val="22"/>
          <w:szCs w:val="22"/>
        </w:rPr>
      </w:pPr>
    </w:p>
    <w:p w14:paraId="081CB535" w14:textId="77777777" w:rsidR="00F63A63" w:rsidRPr="00B30A12" w:rsidRDefault="00F63A63" w:rsidP="005B05A0">
      <w:pPr>
        <w:ind w:right="1416"/>
        <w:outlineLvl w:val="0"/>
        <w:rPr>
          <w:color w:val="000000"/>
          <w:sz w:val="22"/>
          <w:szCs w:val="22"/>
        </w:rPr>
      </w:pPr>
    </w:p>
    <w:p w14:paraId="506062CF" w14:textId="77777777" w:rsidR="00F63A63" w:rsidRPr="00B30A12" w:rsidRDefault="00F63A63" w:rsidP="005B05A0">
      <w:pPr>
        <w:ind w:right="1416"/>
        <w:outlineLvl w:val="0"/>
        <w:rPr>
          <w:color w:val="000000"/>
          <w:sz w:val="22"/>
          <w:szCs w:val="22"/>
        </w:rPr>
      </w:pPr>
    </w:p>
    <w:p w14:paraId="1CBB6DA7" w14:textId="77777777" w:rsidR="00F63A63" w:rsidRPr="00B30A12" w:rsidRDefault="00F63A63" w:rsidP="005B05A0">
      <w:pPr>
        <w:ind w:right="1416"/>
        <w:outlineLvl w:val="0"/>
        <w:rPr>
          <w:color w:val="000000"/>
          <w:sz w:val="22"/>
          <w:szCs w:val="22"/>
        </w:rPr>
      </w:pPr>
    </w:p>
    <w:p w14:paraId="5D6A59F6" w14:textId="77777777" w:rsidR="00F63A63" w:rsidRPr="00B30A12" w:rsidRDefault="00F63A63" w:rsidP="005B05A0">
      <w:pPr>
        <w:ind w:right="1416"/>
        <w:outlineLvl w:val="0"/>
        <w:rPr>
          <w:color w:val="000000"/>
          <w:sz w:val="22"/>
          <w:szCs w:val="22"/>
        </w:rPr>
      </w:pPr>
    </w:p>
    <w:p w14:paraId="540A1858" w14:textId="77777777" w:rsidR="00F63A63" w:rsidRPr="00B30A12" w:rsidRDefault="00F63A63" w:rsidP="005B05A0">
      <w:pPr>
        <w:ind w:right="1416"/>
        <w:outlineLvl w:val="0"/>
        <w:rPr>
          <w:color w:val="000000"/>
          <w:sz w:val="22"/>
          <w:szCs w:val="22"/>
        </w:rPr>
      </w:pPr>
    </w:p>
    <w:p w14:paraId="2254C9FA" w14:textId="77777777" w:rsidR="00F63A63" w:rsidRPr="00B30A12" w:rsidRDefault="00F63A63" w:rsidP="005B05A0">
      <w:pPr>
        <w:ind w:right="1416"/>
        <w:outlineLvl w:val="0"/>
        <w:rPr>
          <w:color w:val="000000"/>
          <w:sz w:val="22"/>
          <w:szCs w:val="22"/>
        </w:rPr>
      </w:pPr>
    </w:p>
    <w:p w14:paraId="29D545C7" w14:textId="77777777" w:rsidR="00F63A63" w:rsidRPr="00B30A12" w:rsidRDefault="00F63A63" w:rsidP="005B05A0">
      <w:pPr>
        <w:ind w:right="1416"/>
        <w:outlineLvl w:val="0"/>
        <w:rPr>
          <w:color w:val="000000"/>
          <w:sz w:val="22"/>
          <w:szCs w:val="22"/>
        </w:rPr>
      </w:pPr>
    </w:p>
    <w:p w14:paraId="75E2A17B" w14:textId="77777777" w:rsidR="00F63A63" w:rsidRPr="00B30A12" w:rsidRDefault="00F63A63" w:rsidP="005B05A0">
      <w:pPr>
        <w:ind w:right="1416"/>
        <w:outlineLvl w:val="0"/>
        <w:rPr>
          <w:color w:val="000000"/>
          <w:sz w:val="22"/>
          <w:szCs w:val="22"/>
        </w:rPr>
      </w:pPr>
    </w:p>
    <w:p w14:paraId="1259E2BF" w14:textId="77777777" w:rsidR="00F63A63" w:rsidRPr="00B30A12" w:rsidRDefault="00F63A63" w:rsidP="005B05A0">
      <w:pPr>
        <w:ind w:right="1416"/>
        <w:outlineLvl w:val="0"/>
        <w:rPr>
          <w:color w:val="000000"/>
          <w:sz w:val="22"/>
          <w:szCs w:val="22"/>
        </w:rPr>
      </w:pPr>
    </w:p>
    <w:p w14:paraId="1D5C84FE" w14:textId="77777777" w:rsidR="00F63A63" w:rsidRPr="00B30A12" w:rsidRDefault="00F63A63" w:rsidP="005B05A0">
      <w:pPr>
        <w:ind w:right="1416"/>
        <w:outlineLvl w:val="0"/>
        <w:rPr>
          <w:color w:val="000000"/>
          <w:sz w:val="22"/>
          <w:szCs w:val="22"/>
        </w:rPr>
      </w:pPr>
    </w:p>
    <w:p w14:paraId="0166C251" w14:textId="77777777" w:rsidR="00F63A63" w:rsidRPr="00B30A12" w:rsidRDefault="00F63A63" w:rsidP="005B05A0">
      <w:pPr>
        <w:ind w:right="1416"/>
        <w:outlineLvl w:val="0"/>
        <w:rPr>
          <w:color w:val="000000"/>
          <w:sz w:val="22"/>
          <w:szCs w:val="22"/>
        </w:rPr>
      </w:pPr>
    </w:p>
    <w:p w14:paraId="5E39602F" w14:textId="77777777" w:rsidR="00F63A63" w:rsidRPr="00B30A12" w:rsidRDefault="00F63A63" w:rsidP="005B05A0">
      <w:pPr>
        <w:ind w:right="1416"/>
        <w:outlineLvl w:val="0"/>
        <w:rPr>
          <w:color w:val="000000"/>
          <w:sz w:val="22"/>
          <w:szCs w:val="22"/>
        </w:rPr>
      </w:pPr>
    </w:p>
    <w:p w14:paraId="5A2BE535" w14:textId="77777777" w:rsidR="00F63A63" w:rsidRPr="00B30A12" w:rsidRDefault="00F63A63" w:rsidP="005B05A0">
      <w:pPr>
        <w:ind w:right="1416"/>
        <w:outlineLvl w:val="0"/>
        <w:rPr>
          <w:color w:val="000000"/>
          <w:sz w:val="22"/>
          <w:szCs w:val="22"/>
        </w:rPr>
      </w:pPr>
    </w:p>
    <w:p w14:paraId="61050A67" w14:textId="77777777" w:rsidR="00F63A63" w:rsidRPr="00B30A12" w:rsidRDefault="00F63A63" w:rsidP="005B05A0">
      <w:pPr>
        <w:ind w:right="1416"/>
        <w:outlineLvl w:val="0"/>
        <w:rPr>
          <w:color w:val="000000"/>
          <w:sz w:val="22"/>
          <w:szCs w:val="22"/>
        </w:rPr>
      </w:pPr>
    </w:p>
    <w:p w14:paraId="196CFDB1" w14:textId="77777777" w:rsidR="00F63A63" w:rsidRPr="00B30A12" w:rsidRDefault="00F63A63" w:rsidP="005B05A0">
      <w:pPr>
        <w:ind w:right="1416"/>
        <w:outlineLvl w:val="0"/>
        <w:rPr>
          <w:color w:val="000000"/>
          <w:sz w:val="22"/>
          <w:szCs w:val="22"/>
        </w:rPr>
      </w:pPr>
    </w:p>
    <w:p w14:paraId="054D34D7" w14:textId="77777777" w:rsidR="00F63A63" w:rsidRDefault="00F63A63" w:rsidP="005B05A0">
      <w:pPr>
        <w:ind w:right="1416"/>
        <w:outlineLvl w:val="0"/>
        <w:rPr>
          <w:color w:val="000000"/>
          <w:sz w:val="22"/>
          <w:szCs w:val="22"/>
        </w:rPr>
      </w:pPr>
    </w:p>
    <w:p w14:paraId="7DF0BECB" w14:textId="77777777" w:rsidR="001E3D49" w:rsidRDefault="001E3D49" w:rsidP="005B05A0">
      <w:pPr>
        <w:ind w:right="1416"/>
        <w:outlineLvl w:val="0"/>
        <w:rPr>
          <w:color w:val="000000"/>
          <w:sz w:val="22"/>
          <w:szCs w:val="22"/>
        </w:rPr>
      </w:pPr>
    </w:p>
    <w:p w14:paraId="17D475C6" w14:textId="77777777" w:rsidR="001E3D49" w:rsidRPr="00B30A12" w:rsidRDefault="001E3D49" w:rsidP="005B05A0">
      <w:pPr>
        <w:ind w:right="1416"/>
        <w:outlineLvl w:val="0"/>
        <w:rPr>
          <w:color w:val="000000"/>
          <w:sz w:val="22"/>
          <w:szCs w:val="22"/>
        </w:rPr>
      </w:pPr>
    </w:p>
    <w:p w14:paraId="4CB6E281" w14:textId="77777777" w:rsidR="00AB6D5E" w:rsidRPr="00B30A12" w:rsidRDefault="00AB6D5E" w:rsidP="00AB6D5E">
      <w:pPr>
        <w:ind w:right="1416"/>
        <w:jc w:val="center"/>
        <w:outlineLvl w:val="0"/>
        <w:rPr>
          <w:b/>
          <w:color w:val="000000"/>
          <w:sz w:val="22"/>
          <w:szCs w:val="22"/>
        </w:rPr>
      </w:pPr>
      <w:r w:rsidRPr="00B30A12">
        <w:rPr>
          <w:b/>
          <w:color w:val="000000"/>
          <w:sz w:val="22"/>
          <w:szCs w:val="22"/>
        </w:rPr>
        <w:t>ANHANG II</w:t>
      </w:r>
    </w:p>
    <w:p w14:paraId="1F1C43D6" w14:textId="77777777" w:rsidR="00AB6D5E" w:rsidRPr="00B30A12" w:rsidRDefault="00AB6D5E" w:rsidP="005539D7">
      <w:pPr>
        <w:ind w:right="1416"/>
        <w:rPr>
          <w:color w:val="000000"/>
          <w:sz w:val="22"/>
          <w:szCs w:val="22"/>
        </w:rPr>
      </w:pPr>
    </w:p>
    <w:p w14:paraId="1A631B79" w14:textId="77777777" w:rsidR="00AB6D5E" w:rsidRPr="00B30A12" w:rsidRDefault="00193D70" w:rsidP="00611796">
      <w:pPr>
        <w:tabs>
          <w:tab w:val="left" w:pos="1701"/>
        </w:tabs>
        <w:ind w:left="1701" w:right="1418" w:hanging="567"/>
        <w:rPr>
          <w:color w:val="000000"/>
          <w:sz w:val="22"/>
          <w:szCs w:val="22"/>
        </w:rPr>
      </w:pPr>
      <w:r w:rsidRPr="00B30A12">
        <w:rPr>
          <w:b/>
          <w:color w:val="000000"/>
          <w:sz w:val="22"/>
          <w:szCs w:val="22"/>
        </w:rPr>
        <w:t>A.</w:t>
      </w:r>
      <w:r w:rsidRPr="00B30A12">
        <w:rPr>
          <w:b/>
          <w:color w:val="000000"/>
          <w:sz w:val="22"/>
          <w:szCs w:val="22"/>
        </w:rPr>
        <w:tab/>
      </w:r>
      <w:r w:rsidR="00AB6D5E" w:rsidRPr="00B30A12">
        <w:rPr>
          <w:b/>
          <w:color w:val="000000"/>
          <w:sz w:val="22"/>
          <w:szCs w:val="22"/>
        </w:rPr>
        <w:t xml:space="preserve">HERSTELLER, </w:t>
      </w:r>
      <w:smartTag w:uri="urn:schemas-microsoft-com:office:smarttags" w:element="stockticker">
        <w:r w:rsidR="00AB6D5E" w:rsidRPr="00B30A12">
          <w:rPr>
            <w:b/>
            <w:color w:val="000000"/>
            <w:sz w:val="22"/>
            <w:szCs w:val="22"/>
          </w:rPr>
          <w:t>DER</w:t>
        </w:r>
      </w:smartTag>
      <w:r w:rsidR="00AB6D5E" w:rsidRPr="00B30A12">
        <w:rPr>
          <w:b/>
          <w:color w:val="000000"/>
          <w:sz w:val="22"/>
          <w:szCs w:val="22"/>
        </w:rPr>
        <w:t xml:space="preserve"> FÜR DIE CHARGENFREIGABE VERANTWORTLICH </w:t>
      </w:r>
      <w:smartTag w:uri="urn:schemas-microsoft-com:office:smarttags" w:element="stockticker">
        <w:r w:rsidR="00AB6D5E" w:rsidRPr="00B30A12">
          <w:rPr>
            <w:b/>
            <w:color w:val="000000"/>
            <w:sz w:val="22"/>
            <w:szCs w:val="22"/>
          </w:rPr>
          <w:t>IST</w:t>
        </w:r>
      </w:smartTag>
    </w:p>
    <w:p w14:paraId="6721A34F" w14:textId="77777777" w:rsidR="00AB6D5E" w:rsidRPr="00B30A12" w:rsidRDefault="00AB6D5E" w:rsidP="005539D7">
      <w:pPr>
        <w:ind w:right="1418"/>
        <w:rPr>
          <w:color w:val="000000"/>
          <w:sz w:val="22"/>
          <w:szCs w:val="22"/>
        </w:rPr>
      </w:pPr>
    </w:p>
    <w:p w14:paraId="1082E9F0" w14:textId="77777777" w:rsidR="00AB6D5E" w:rsidRPr="00B30A12" w:rsidRDefault="00611796" w:rsidP="00611796">
      <w:pPr>
        <w:tabs>
          <w:tab w:val="left" w:pos="1701"/>
        </w:tabs>
        <w:ind w:left="1701" w:right="1418" w:hanging="567"/>
        <w:rPr>
          <w:b/>
          <w:color w:val="000000"/>
          <w:sz w:val="22"/>
          <w:szCs w:val="22"/>
        </w:rPr>
      </w:pPr>
      <w:r w:rsidRPr="00B30A12">
        <w:rPr>
          <w:b/>
          <w:color w:val="000000"/>
          <w:sz w:val="22"/>
          <w:szCs w:val="22"/>
        </w:rPr>
        <w:t>B.</w:t>
      </w:r>
      <w:r w:rsidRPr="00B30A12">
        <w:rPr>
          <w:b/>
          <w:color w:val="000000"/>
          <w:sz w:val="22"/>
          <w:szCs w:val="22"/>
        </w:rPr>
        <w:tab/>
      </w:r>
      <w:r w:rsidR="00AB6D5E" w:rsidRPr="00B30A12">
        <w:rPr>
          <w:b/>
          <w:color w:val="000000"/>
          <w:sz w:val="22"/>
          <w:szCs w:val="22"/>
        </w:rPr>
        <w:t>BEDINGUNGEN ODER EINSCHRÄNKUNGEN FÜR DIE ABGABE UND DEN GEBRAUCH</w:t>
      </w:r>
    </w:p>
    <w:p w14:paraId="095566AB" w14:textId="77777777" w:rsidR="00AB6D5E" w:rsidRPr="00B30A12" w:rsidRDefault="00AB6D5E" w:rsidP="005539D7">
      <w:pPr>
        <w:ind w:right="1418"/>
        <w:rPr>
          <w:color w:val="000000"/>
          <w:sz w:val="22"/>
          <w:szCs w:val="22"/>
        </w:rPr>
      </w:pPr>
    </w:p>
    <w:p w14:paraId="2C5076BA" w14:textId="77777777" w:rsidR="00AB6D5E" w:rsidRPr="00B30A12" w:rsidRDefault="00611796" w:rsidP="00611796">
      <w:pPr>
        <w:tabs>
          <w:tab w:val="left" w:pos="1701"/>
        </w:tabs>
        <w:ind w:left="1701" w:right="1418" w:hanging="567"/>
        <w:rPr>
          <w:b/>
          <w:color w:val="000000"/>
          <w:sz w:val="22"/>
          <w:szCs w:val="22"/>
        </w:rPr>
      </w:pPr>
      <w:r w:rsidRPr="00B30A12">
        <w:rPr>
          <w:b/>
          <w:color w:val="000000"/>
          <w:sz w:val="22"/>
          <w:szCs w:val="22"/>
        </w:rPr>
        <w:t>C.</w:t>
      </w:r>
      <w:r w:rsidRPr="00B30A12">
        <w:rPr>
          <w:b/>
          <w:color w:val="000000"/>
          <w:sz w:val="22"/>
          <w:szCs w:val="22"/>
        </w:rPr>
        <w:tab/>
      </w:r>
      <w:r w:rsidR="00AB6D5E" w:rsidRPr="00B30A12">
        <w:rPr>
          <w:b/>
          <w:color w:val="000000"/>
          <w:sz w:val="22"/>
          <w:szCs w:val="22"/>
        </w:rPr>
        <w:t>SONSTIGE BEDINGUNGEN UND AUFLAGEN DER GENEHMIGUNG FÜR DAS INVERKEHRBRINGEN</w:t>
      </w:r>
    </w:p>
    <w:p w14:paraId="25E797C9" w14:textId="77777777" w:rsidR="00FC09D2" w:rsidRPr="00B30A12" w:rsidRDefault="00FC09D2" w:rsidP="005539D7">
      <w:pPr>
        <w:ind w:right="1418"/>
        <w:rPr>
          <w:color w:val="000000"/>
          <w:sz w:val="22"/>
          <w:szCs w:val="22"/>
        </w:rPr>
      </w:pPr>
    </w:p>
    <w:p w14:paraId="40B6C82C" w14:textId="77777777" w:rsidR="00FC09D2" w:rsidRPr="00B30A12" w:rsidRDefault="00FC09D2" w:rsidP="00611796">
      <w:pPr>
        <w:tabs>
          <w:tab w:val="left" w:pos="1701"/>
        </w:tabs>
        <w:ind w:left="1701" w:right="1418" w:hanging="567"/>
        <w:rPr>
          <w:b/>
          <w:color w:val="000000"/>
          <w:sz w:val="22"/>
          <w:szCs w:val="22"/>
        </w:rPr>
      </w:pPr>
      <w:r w:rsidRPr="00B30A12">
        <w:rPr>
          <w:b/>
          <w:color w:val="000000"/>
          <w:sz w:val="22"/>
          <w:szCs w:val="22"/>
        </w:rPr>
        <w:t>D.</w:t>
      </w:r>
      <w:r w:rsidRPr="00B30A12">
        <w:rPr>
          <w:b/>
          <w:color w:val="000000"/>
          <w:sz w:val="22"/>
          <w:szCs w:val="22"/>
        </w:rPr>
        <w:tab/>
        <w:t>BEDINGUNGEN ODER EINSCHRÄNKUNGEN FÜR DIE SICHERE UND WIRKSAME ANWENDUNG DES ARZNEIMITTELS</w:t>
      </w:r>
    </w:p>
    <w:p w14:paraId="3F2A04C5" w14:textId="77777777" w:rsidR="00AB6D5E" w:rsidRPr="00B30A12" w:rsidRDefault="00AB6D5E" w:rsidP="00AB6D5E">
      <w:pPr>
        <w:ind w:left="567" w:hanging="567"/>
        <w:rPr>
          <w:color w:val="000000"/>
          <w:sz w:val="22"/>
          <w:szCs w:val="22"/>
        </w:rPr>
      </w:pPr>
      <w:r w:rsidRPr="00B30A12">
        <w:rPr>
          <w:color w:val="000000"/>
          <w:sz w:val="22"/>
          <w:szCs w:val="22"/>
        </w:rPr>
        <w:br w:type="page"/>
      </w:r>
      <w:r w:rsidRPr="00B30A12">
        <w:rPr>
          <w:b/>
          <w:color w:val="000000"/>
          <w:sz w:val="22"/>
          <w:szCs w:val="22"/>
        </w:rPr>
        <w:lastRenderedPageBreak/>
        <w:t>A.</w:t>
      </w:r>
      <w:r w:rsidRPr="00B30A12">
        <w:rPr>
          <w:b/>
          <w:color w:val="000000"/>
          <w:sz w:val="22"/>
          <w:szCs w:val="22"/>
        </w:rPr>
        <w:tab/>
        <w:t xml:space="preserve">HERSTELLER, </w:t>
      </w:r>
      <w:smartTag w:uri="urn:schemas-microsoft-com:office:smarttags" w:element="stockticker">
        <w:r w:rsidRPr="00B30A12">
          <w:rPr>
            <w:b/>
            <w:color w:val="000000"/>
            <w:sz w:val="22"/>
            <w:szCs w:val="22"/>
          </w:rPr>
          <w:t>DER</w:t>
        </w:r>
      </w:smartTag>
      <w:r w:rsidRPr="00B30A12">
        <w:rPr>
          <w:b/>
          <w:color w:val="000000"/>
          <w:sz w:val="22"/>
          <w:szCs w:val="22"/>
        </w:rPr>
        <w:t xml:space="preserve"> FÜR DIE CHARGENFREIGABE VERANTWORTLICH </w:t>
      </w:r>
      <w:smartTag w:uri="urn:schemas-microsoft-com:office:smarttags" w:element="stockticker">
        <w:r w:rsidRPr="00B30A12">
          <w:rPr>
            <w:b/>
            <w:color w:val="000000"/>
            <w:sz w:val="22"/>
            <w:szCs w:val="22"/>
          </w:rPr>
          <w:t>IST</w:t>
        </w:r>
      </w:smartTag>
    </w:p>
    <w:p w14:paraId="4A05C9AA" w14:textId="77777777" w:rsidR="00AB6D5E" w:rsidRPr="00D7000F" w:rsidRDefault="00AB6D5E" w:rsidP="00AB6D5E">
      <w:pPr>
        <w:numPr>
          <w:ilvl w:val="12"/>
          <w:numId w:val="0"/>
        </w:numPr>
        <w:ind w:right="1416"/>
        <w:rPr>
          <w:sz w:val="22"/>
          <w:szCs w:val="22"/>
        </w:rPr>
      </w:pPr>
    </w:p>
    <w:p w14:paraId="5B165F44" w14:textId="77777777" w:rsidR="00AB6D5E" w:rsidRPr="00D7000F" w:rsidRDefault="00AB6D5E" w:rsidP="00AB6D5E">
      <w:pPr>
        <w:numPr>
          <w:ilvl w:val="12"/>
          <w:numId w:val="0"/>
        </w:numPr>
        <w:outlineLvl w:val="0"/>
        <w:rPr>
          <w:sz w:val="22"/>
          <w:szCs w:val="22"/>
          <w:u w:val="single"/>
        </w:rPr>
      </w:pPr>
      <w:r w:rsidRPr="00D7000F">
        <w:rPr>
          <w:sz w:val="22"/>
          <w:szCs w:val="22"/>
          <w:u w:val="single"/>
        </w:rPr>
        <w:t>Name und Anschrift des Herstellers, der für die Chargenfreigabe verantwortlich ist</w:t>
      </w:r>
    </w:p>
    <w:p w14:paraId="04518BBF" w14:textId="77777777" w:rsidR="00AB6D5E" w:rsidRPr="00D7000F" w:rsidRDefault="00AB6D5E" w:rsidP="00AB6D5E">
      <w:pPr>
        <w:numPr>
          <w:ilvl w:val="12"/>
          <w:numId w:val="0"/>
        </w:numPr>
        <w:rPr>
          <w:sz w:val="22"/>
          <w:szCs w:val="22"/>
        </w:rPr>
      </w:pPr>
    </w:p>
    <w:p w14:paraId="476AE246" w14:textId="77777777" w:rsidR="00D7000F" w:rsidRPr="00D7000F" w:rsidRDefault="00D7000F" w:rsidP="00D7000F">
      <w:pPr>
        <w:widowControl w:val="0"/>
        <w:tabs>
          <w:tab w:val="left" w:pos="7513"/>
        </w:tabs>
        <w:rPr>
          <w:sz w:val="22"/>
          <w:szCs w:val="22"/>
          <w:lang w:val="en-US"/>
        </w:rPr>
      </w:pPr>
      <w:r w:rsidRPr="00D7000F">
        <w:rPr>
          <w:sz w:val="22"/>
          <w:szCs w:val="22"/>
          <w:lang w:val="en-US"/>
        </w:rPr>
        <w:t>Lek d.d, PE PROIZVODNJA LENDAVA</w:t>
      </w:r>
    </w:p>
    <w:p w14:paraId="6A7760A2" w14:textId="77777777" w:rsidR="00D7000F" w:rsidRPr="00D7000F" w:rsidRDefault="00D7000F" w:rsidP="00D7000F">
      <w:pPr>
        <w:widowControl w:val="0"/>
        <w:tabs>
          <w:tab w:val="left" w:pos="7513"/>
        </w:tabs>
        <w:rPr>
          <w:sz w:val="22"/>
          <w:szCs w:val="22"/>
          <w:lang w:val="fr-CH"/>
        </w:rPr>
      </w:pPr>
      <w:r w:rsidRPr="00D7000F">
        <w:rPr>
          <w:sz w:val="22"/>
          <w:szCs w:val="22"/>
          <w:lang w:val="fr-CH"/>
        </w:rPr>
        <w:t>Trimlini 2D</w:t>
      </w:r>
    </w:p>
    <w:p w14:paraId="00C31274" w14:textId="77777777" w:rsidR="00D7000F" w:rsidRPr="00D7000F" w:rsidRDefault="00D7000F" w:rsidP="00D7000F">
      <w:pPr>
        <w:widowControl w:val="0"/>
        <w:tabs>
          <w:tab w:val="left" w:pos="7513"/>
        </w:tabs>
        <w:rPr>
          <w:sz w:val="22"/>
          <w:szCs w:val="22"/>
          <w:lang w:val="fr-CH"/>
        </w:rPr>
      </w:pPr>
      <w:r w:rsidRPr="00D7000F">
        <w:rPr>
          <w:sz w:val="22"/>
          <w:szCs w:val="22"/>
          <w:lang w:val="fr-CH"/>
        </w:rPr>
        <w:t>Lendava, 9220</w:t>
      </w:r>
    </w:p>
    <w:p w14:paraId="56A79952" w14:textId="77777777" w:rsidR="00D7000F" w:rsidRPr="00D7000F" w:rsidRDefault="00D7000F" w:rsidP="00D7000F">
      <w:pPr>
        <w:widowControl w:val="0"/>
        <w:tabs>
          <w:tab w:val="left" w:pos="7513"/>
        </w:tabs>
        <w:rPr>
          <w:sz w:val="22"/>
          <w:szCs w:val="22"/>
          <w:lang w:val="fr-CH"/>
        </w:rPr>
      </w:pPr>
      <w:r w:rsidRPr="002A051A">
        <w:rPr>
          <w:sz w:val="22"/>
          <w:szCs w:val="22"/>
        </w:rPr>
        <w:t>Slowenien</w:t>
      </w:r>
    </w:p>
    <w:p w14:paraId="76B1CCEF" w14:textId="77777777" w:rsidR="00D7000F" w:rsidRPr="00D7000F" w:rsidRDefault="00D7000F" w:rsidP="00D7000F">
      <w:pPr>
        <w:widowControl w:val="0"/>
        <w:tabs>
          <w:tab w:val="left" w:pos="7513"/>
        </w:tabs>
        <w:rPr>
          <w:sz w:val="22"/>
          <w:szCs w:val="22"/>
          <w:lang w:val="pt-BR"/>
        </w:rPr>
      </w:pPr>
    </w:p>
    <w:p w14:paraId="1E0FD294" w14:textId="77777777" w:rsidR="00AB6D5E" w:rsidRPr="00D7000F" w:rsidRDefault="00AB6D5E" w:rsidP="00AB6D5E">
      <w:pPr>
        <w:numPr>
          <w:ilvl w:val="12"/>
          <w:numId w:val="0"/>
        </w:numPr>
        <w:rPr>
          <w:sz w:val="22"/>
          <w:szCs w:val="22"/>
        </w:rPr>
      </w:pPr>
      <w:r w:rsidRPr="00D7000F">
        <w:rPr>
          <w:sz w:val="22"/>
          <w:szCs w:val="22"/>
        </w:rPr>
        <w:t>Novartis Pharma GmbH</w:t>
      </w:r>
    </w:p>
    <w:p w14:paraId="600E4504" w14:textId="77777777" w:rsidR="00AB6D5E" w:rsidRPr="00D7000F" w:rsidRDefault="00AB6D5E" w:rsidP="00AB6D5E">
      <w:pPr>
        <w:numPr>
          <w:ilvl w:val="12"/>
          <w:numId w:val="0"/>
        </w:numPr>
        <w:rPr>
          <w:sz w:val="22"/>
          <w:szCs w:val="22"/>
        </w:rPr>
      </w:pPr>
      <w:r w:rsidRPr="00D7000F">
        <w:rPr>
          <w:sz w:val="22"/>
          <w:szCs w:val="22"/>
        </w:rPr>
        <w:t>Roonstraße 25,</w:t>
      </w:r>
    </w:p>
    <w:p w14:paraId="1E7A8EB6" w14:textId="77777777" w:rsidR="00AB6D5E" w:rsidRPr="00D7000F" w:rsidRDefault="00AB6D5E" w:rsidP="00AB6D5E">
      <w:pPr>
        <w:numPr>
          <w:ilvl w:val="12"/>
          <w:numId w:val="0"/>
        </w:numPr>
        <w:rPr>
          <w:sz w:val="22"/>
          <w:szCs w:val="22"/>
        </w:rPr>
      </w:pPr>
      <w:r w:rsidRPr="00D7000F">
        <w:rPr>
          <w:sz w:val="22"/>
          <w:szCs w:val="22"/>
        </w:rPr>
        <w:t>D-90429 Nürnberg</w:t>
      </w:r>
    </w:p>
    <w:p w14:paraId="5EC190F1" w14:textId="77777777" w:rsidR="00AB6D5E" w:rsidRPr="00D7000F" w:rsidRDefault="00AB6D5E" w:rsidP="00AB6D5E">
      <w:pPr>
        <w:numPr>
          <w:ilvl w:val="12"/>
          <w:numId w:val="0"/>
        </w:numPr>
        <w:rPr>
          <w:sz w:val="22"/>
          <w:szCs w:val="22"/>
        </w:rPr>
      </w:pPr>
      <w:r w:rsidRPr="00D7000F">
        <w:rPr>
          <w:sz w:val="22"/>
          <w:szCs w:val="22"/>
        </w:rPr>
        <w:t>Deutschland</w:t>
      </w:r>
    </w:p>
    <w:p w14:paraId="42E24990" w14:textId="2006E132" w:rsidR="00AB6D5E" w:rsidRPr="001F6B08" w:rsidRDefault="00AB6D5E" w:rsidP="00AB6D5E">
      <w:pPr>
        <w:numPr>
          <w:ilvl w:val="12"/>
          <w:numId w:val="0"/>
        </w:numPr>
        <w:rPr>
          <w:sz w:val="22"/>
          <w:szCs w:val="22"/>
        </w:rPr>
      </w:pPr>
    </w:p>
    <w:p w14:paraId="26F47B0F" w14:textId="77777777" w:rsidR="001F6B08" w:rsidRPr="00055A65" w:rsidRDefault="001F6B08" w:rsidP="001F6B08">
      <w:pPr>
        <w:widowControl w:val="0"/>
        <w:tabs>
          <w:tab w:val="left" w:pos="7513"/>
        </w:tabs>
        <w:rPr>
          <w:sz w:val="22"/>
          <w:szCs w:val="22"/>
        </w:rPr>
      </w:pPr>
      <w:r w:rsidRPr="00055A65">
        <w:rPr>
          <w:sz w:val="22"/>
          <w:szCs w:val="22"/>
        </w:rPr>
        <w:t>Sandoz S.R.L.</w:t>
      </w:r>
    </w:p>
    <w:p w14:paraId="0C21B70F" w14:textId="77777777" w:rsidR="001F6B08" w:rsidRPr="001F6B08" w:rsidRDefault="001F6B08" w:rsidP="001F6B08">
      <w:pPr>
        <w:widowControl w:val="0"/>
        <w:tabs>
          <w:tab w:val="left" w:pos="7513"/>
        </w:tabs>
        <w:rPr>
          <w:sz w:val="22"/>
          <w:szCs w:val="22"/>
          <w:lang w:val="en-US"/>
        </w:rPr>
      </w:pPr>
      <w:r w:rsidRPr="001F6B08">
        <w:rPr>
          <w:sz w:val="22"/>
          <w:szCs w:val="22"/>
          <w:lang w:val="en-US"/>
        </w:rPr>
        <w:t>Str. Livezeni nr. 7A</w:t>
      </w:r>
    </w:p>
    <w:p w14:paraId="04786E4E" w14:textId="77777777" w:rsidR="001F6B08" w:rsidRPr="001F6B08" w:rsidRDefault="001F6B08" w:rsidP="001F6B08">
      <w:pPr>
        <w:widowControl w:val="0"/>
        <w:tabs>
          <w:tab w:val="left" w:pos="7513"/>
        </w:tabs>
        <w:rPr>
          <w:sz w:val="22"/>
          <w:szCs w:val="22"/>
          <w:lang w:val="fr-CH"/>
        </w:rPr>
      </w:pPr>
      <w:r w:rsidRPr="001F6B08">
        <w:rPr>
          <w:sz w:val="22"/>
          <w:szCs w:val="22"/>
          <w:lang w:val="fr-CH"/>
        </w:rPr>
        <w:t>540472, Targu Mures</w:t>
      </w:r>
    </w:p>
    <w:p w14:paraId="1B2C4E20" w14:textId="3F9AC856" w:rsidR="001F6B08" w:rsidRPr="001F6B08" w:rsidRDefault="001F6B08" w:rsidP="001F6B08">
      <w:pPr>
        <w:widowControl w:val="0"/>
        <w:tabs>
          <w:tab w:val="left" w:pos="7513"/>
        </w:tabs>
        <w:rPr>
          <w:sz w:val="22"/>
          <w:szCs w:val="22"/>
          <w:lang w:val="fr-CH"/>
        </w:rPr>
      </w:pPr>
      <w:r w:rsidRPr="001F6B08">
        <w:rPr>
          <w:sz w:val="22"/>
          <w:szCs w:val="22"/>
          <w:lang w:val="fr-CH"/>
        </w:rPr>
        <w:t>Rumänien</w:t>
      </w:r>
    </w:p>
    <w:p w14:paraId="42F9FBE7" w14:textId="77777777" w:rsidR="001F6B08" w:rsidRPr="00D7000F" w:rsidRDefault="001F6B08" w:rsidP="00AB6D5E">
      <w:pPr>
        <w:numPr>
          <w:ilvl w:val="12"/>
          <w:numId w:val="0"/>
        </w:numPr>
        <w:rPr>
          <w:sz w:val="22"/>
          <w:szCs w:val="22"/>
        </w:rPr>
      </w:pPr>
    </w:p>
    <w:p w14:paraId="7E2CF53F" w14:textId="77777777" w:rsidR="00D7000F" w:rsidRPr="00D7000F" w:rsidRDefault="00D7000F" w:rsidP="00AB6D5E">
      <w:pPr>
        <w:numPr>
          <w:ilvl w:val="12"/>
          <w:numId w:val="0"/>
        </w:numPr>
        <w:rPr>
          <w:sz w:val="22"/>
          <w:szCs w:val="22"/>
        </w:rPr>
      </w:pPr>
      <w:r w:rsidRPr="00D7000F">
        <w:rPr>
          <w:sz w:val="22"/>
          <w:szCs w:val="22"/>
        </w:rPr>
        <w:t>In der Druckversion der Packungsbeilage des Arzneimittels müssen Name und Anschrift des Herstellers, der für die Freigabe der betreffenden Charge verantwortlich ist, angegeben werden.</w:t>
      </w:r>
    </w:p>
    <w:p w14:paraId="1DC96D39" w14:textId="77777777" w:rsidR="00D7000F" w:rsidRPr="00D7000F" w:rsidRDefault="00D7000F" w:rsidP="00AB6D5E">
      <w:pPr>
        <w:numPr>
          <w:ilvl w:val="12"/>
          <w:numId w:val="0"/>
        </w:numPr>
        <w:rPr>
          <w:sz w:val="22"/>
          <w:szCs w:val="22"/>
        </w:rPr>
      </w:pPr>
    </w:p>
    <w:p w14:paraId="536FD695" w14:textId="77777777" w:rsidR="00D7000F" w:rsidRPr="00D7000F" w:rsidRDefault="00D7000F" w:rsidP="00AB6D5E">
      <w:pPr>
        <w:numPr>
          <w:ilvl w:val="12"/>
          <w:numId w:val="0"/>
        </w:numPr>
        <w:rPr>
          <w:sz w:val="22"/>
          <w:szCs w:val="22"/>
        </w:rPr>
      </w:pPr>
    </w:p>
    <w:p w14:paraId="0487F8C9" w14:textId="77777777" w:rsidR="00AB6D5E" w:rsidRPr="00B30A12" w:rsidRDefault="00AB6D5E" w:rsidP="001E3D49">
      <w:pPr>
        <w:keepNext/>
        <w:ind w:left="567" w:hanging="567"/>
        <w:rPr>
          <w:color w:val="000000"/>
          <w:sz w:val="22"/>
          <w:szCs w:val="22"/>
        </w:rPr>
      </w:pPr>
      <w:r w:rsidRPr="00B30A12">
        <w:rPr>
          <w:b/>
          <w:color w:val="000000"/>
          <w:sz w:val="22"/>
          <w:szCs w:val="22"/>
        </w:rPr>
        <w:t>B.</w:t>
      </w:r>
      <w:r w:rsidRPr="00B30A12">
        <w:rPr>
          <w:b/>
          <w:color w:val="000000"/>
          <w:sz w:val="22"/>
          <w:szCs w:val="22"/>
        </w:rPr>
        <w:tab/>
        <w:t>BEDINGUNGEN ODER EINSCHRÄNKUNGEN FÜR DIE ABGABE UND DEN GEBRAUCH</w:t>
      </w:r>
    </w:p>
    <w:p w14:paraId="6F5FE4A6" w14:textId="77777777" w:rsidR="00AB6D5E" w:rsidRPr="00B30A12" w:rsidRDefault="00AB6D5E" w:rsidP="001E3D49">
      <w:pPr>
        <w:pStyle w:val="EndnoteText"/>
        <w:keepNext/>
        <w:numPr>
          <w:ilvl w:val="12"/>
          <w:numId w:val="0"/>
        </w:numPr>
        <w:rPr>
          <w:color w:val="000000"/>
          <w:sz w:val="22"/>
          <w:szCs w:val="22"/>
          <w:lang w:val="de-DE"/>
        </w:rPr>
      </w:pPr>
    </w:p>
    <w:p w14:paraId="4CD3A5E5" w14:textId="77777777" w:rsidR="00AB6D5E" w:rsidRPr="00B30A12" w:rsidRDefault="00AB6D5E" w:rsidP="00AB6D5E">
      <w:pPr>
        <w:numPr>
          <w:ilvl w:val="12"/>
          <w:numId w:val="0"/>
        </w:numPr>
        <w:rPr>
          <w:color w:val="000000"/>
          <w:sz w:val="22"/>
          <w:szCs w:val="22"/>
        </w:rPr>
      </w:pPr>
      <w:r w:rsidRPr="00B30A12">
        <w:rPr>
          <w:color w:val="000000"/>
          <w:sz w:val="22"/>
          <w:szCs w:val="22"/>
        </w:rPr>
        <w:t>Arzneimittel auf eingeschränkte ärztliche Verschreibung (siehe Anhang I: Zusammenfassung der Merkmale des Arzneimittels, Abschnitt</w:t>
      </w:r>
      <w:r w:rsidR="005539D7" w:rsidRPr="00B30A12">
        <w:rPr>
          <w:color w:val="000000"/>
          <w:sz w:val="22"/>
          <w:szCs w:val="22"/>
        </w:rPr>
        <w:t> </w:t>
      </w:r>
      <w:r w:rsidRPr="00B30A12">
        <w:rPr>
          <w:color w:val="000000"/>
          <w:sz w:val="22"/>
          <w:szCs w:val="22"/>
        </w:rPr>
        <w:t>4.2).</w:t>
      </w:r>
    </w:p>
    <w:p w14:paraId="6E902A1D" w14:textId="77777777" w:rsidR="00AB6D5E" w:rsidRPr="00B30A12" w:rsidRDefault="00AB6D5E" w:rsidP="00AB6D5E">
      <w:pPr>
        <w:numPr>
          <w:ilvl w:val="12"/>
          <w:numId w:val="0"/>
        </w:numPr>
        <w:rPr>
          <w:color w:val="000000"/>
          <w:sz w:val="22"/>
          <w:szCs w:val="22"/>
        </w:rPr>
      </w:pPr>
    </w:p>
    <w:p w14:paraId="2BAC9844" w14:textId="77777777" w:rsidR="00AB6D5E" w:rsidRPr="00B30A12" w:rsidRDefault="00AB6D5E" w:rsidP="00AB6D5E">
      <w:pPr>
        <w:ind w:right="567"/>
        <w:rPr>
          <w:color w:val="000000"/>
          <w:sz w:val="22"/>
          <w:szCs w:val="22"/>
        </w:rPr>
      </w:pPr>
    </w:p>
    <w:p w14:paraId="175A3AC1" w14:textId="77777777" w:rsidR="00AB6D5E" w:rsidRPr="00B30A12" w:rsidRDefault="00AB6D5E" w:rsidP="001E3D49">
      <w:pPr>
        <w:keepNext/>
        <w:ind w:left="567" w:hanging="567"/>
        <w:rPr>
          <w:b/>
          <w:color w:val="000000"/>
          <w:sz w:val="22"/>
          <w:szCs w:val="22"/>
        </w:rPr>
      </w:pPr>
      <w:r w:rsidRPr="00B30A12">
        <w:rPr>
          <w:b/>
          <w:color w:val="000000"/>
          <w:sz w:val="22"/>
          <w:szCs w:val="22"/>
        </w:rPr>
        <w:t>C.</w:t>
      </w:r>
      <w:r w:rsidRPr="00B30A12">
        <w:rPr>
          <w:b/>
          <w:color w:val="000000"/>
          <w:sz w:val="22"/>
          <w:szCs w:val="22"/>
        </w:rPr>
        <w:tab/>
        <w:t>SONSTIGE BEDINGUNGEN UND AUFLAGEN DER GENEHMIGUNG FÜR DAS INVERKEHRBRINGEN</w:t>
      </w:r>
    </w:p>
    <w:p w14:paraId="7B8CAD9D" w14:textId="77777777" w:rsidR="008B4F36" w:rsidRPr="00B30A12" w:rsidRDefault="008B4F36" w:rsidP="001E3D49">
      <w:pPr>
        <w:keepNext/>
        <w:ind w:right="-1"/>
        <w:rPr>
          <w:color w:val="000000"/>
          <w:sz w:val="22"/>
          <w:szCs w:val="22"/>
        </w:rPr>
      </w:pPr>
    </w:p>
    <w:p w14:paraId="5EED6661" w14:textId="77777777" w:rsidR="008B4F36" w:rsidRPr="00B30A12" w:rsidRDefault="008B4F36" w:rsidP="001E3D49">
      <w:pPr>
        <w:keepNext/>
        <w:numPr>
          <w:ilvl w:val="0"/>
          <w:numId w:val="18"/>
        </w:numPr>
        <w:suppressLineNumbers/>
        <w:tabs>
          <w:tab w:val="left" w:pos="567"/>
        </w:tabs>
        <w:spacing w:line="260" w:lineRule="exact"/>
        <w:ind w:right="-1" w:hanging="720"/>
        <w:rPr>
          <w:b/>
          <w:sz w:val="22"/>
          <w:szCs w:val="22"/>
        </w:rPr>
      </w:pPr>
      <w:r w:rsidRPr="00B30A12">
        <w:rPr>
          <w:b/>
          <w:sz w:val="22"/>
          <w:szCs w:val="22"/>
        </w:rPr>
        <w:t>Regelmäßige aktualisierte Unbedenklichkeitsberichte</w:t>
      </w:r>
    </w:p>
    <w:p w14:paraId="547D8B4D" w14:textId="77777777" w:rsidR="008B4F36" w:rsidRPr="00B30A12" w:rsidRDefault="00B7018B" w:rsidP="00AB6D5E">
      <w:pPr>
        <w:ind w:right="-1"/>
        <w:rPr>
          <w:sz w:val="22"/>
          <w:szCs w:val="22"/>
        </w:rPr>
      </w:pPr>
      <w:r w:rsidRPr="00B30A12">
        <w:rPr>
          <w:sz w:val="22"/>
          <w:szCs w:val="22"/>
        </w:rPr>
        <w:t>Die Anforderungen an die Einreichung von regelmäßig aktualisierten Unbedenklichkeitsberichten 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w:t>
      </w:r>
    </w:p>
    <w:p w14:paraId="6F55F0AC" w14:textId="77777777" w:rsidR="008B4F36" w:rsidRPr="00B30A12" w:rsidRDefault="008B4F36" w:rsidP="00AB6D5E">
      <w:pPr>
        <w:ind w:right="-1"/>
        <w:rPr>
          <w:color w:val="000000"/>
          <w:sz w:val="22"/>
          <w:szCs w:val="22"/>
          <w:u w:val="single"/>
        </w:rPr>
      </w:pPr>
    </w:p>
    <w:p w14:paraId="4EFEDF4F" w14:textId="77777777" w:rsidR="00AB6D5E" w:rsidRPr="00B30A12" w:rsidRDefault="00AB6D5E" w:rsidP="00AB6D5E">
      <w:pPr>
        <w:ind w:right="-1"/>
        <w:rPr>
          <w:color w:val="000000"/>
          <w:sz w:val="22"/>
          <w:szCs w:val="22"/>
        </w:rPr>
      </w:pPr>
    </w:p>
    <w:p w14:paraId="22C9B809" w14:textId="77777777" w:rsidR="00AB6D5E" w:rsidRPr="00B30A12" w:rsidRDefault="000118D4" w:rsidP="001E3D49">
      <w:pPr>
        <w:keepNext/>
        <w:ind w:left="567" w:hanging="567"/>
        <w:rPr>
          <w:b/>
          <w:color w:val="000000"/>
          <w:sz w:val="22"/>
          <w:szCs w:val="22"/>
        </w:rPr>
      </w:pPr>
      <w:r w:rsidRPr="00B30A12">
        <w:rPr>
          <w:b/>
          <w:color w:val="000000"/>
          <w:sz w:val="22"/>
          <w:szCs w:val="22"/>
        </w:rPr>
        <w:t>D.</w:t>
      </w:r>
      <w:r w:rsidRPr="00B30A12">
        <w:rPr>
          <w:b/>
          <w:color w:val="000000"/>
          <w:sz w:val="22"/>
          <w:szCs w:val="22"/>
        </w:rPr>
        <w:tab/>
      </w:r>
      <w:r w:rsidR="00AB6D5E" w:rsidRPr="00B30A12">
        <w:rPr>
          <w:b/>
          <w:color w:val="000000"/>
          <w:sz w:val="22"/>
          <w:szCs w:val="22"/>
        </w:rPr>
        <w:t>BEDINGUNGEN ODER EINSCHRÄNKUNGEN FÜR DIE SICHERE UND WIRKSAME ANWENDUNG DES ARZNEIMITTELS</w:t>
      </w:r>
    </w:p>
    <w:p w14:paraId="2FA5FF0C" w14:textId="77777777" w:rsidR="00AB6D5E" w:rsidRPr="00B30A12" w:rsidRDefault="00AB6D5E" w:rsidP="001E3D49">
      <w:pPr>
        <w:keepNext/>
        <w:ind w:right="-1"/>
        <w:rPr>
          <w:color w:val="000000"/>
          <w:sz w:val="22"/>
          <w:szCs w:val="22"/>
        </w:rPr>
      </w:pPr>
    </w:p>
    <w:p w14:paraId="0E3637AB" w14:textId="77777777" w:rsidR="000118D4" w:rsidRPr="00B30A12" w:rsidRDefault="000118D4" w:rsidP="001E3D49">
      <w:pPr>
        <w:keepNext/>
        <w:numPr>
          <w:ilvl w:val="0"/>
          <w:numId w:val="18"/>
        </w:numPr>
        <w:tabs>
          <w:tab w:val="left" w:pos="567"/>
        </w:tabs>
        <w:spacing w:line="260" w:lineRule="exact"/>
        <w:ind w:right="-1" w:hanging="720"/>
        <w:rPr>
          <w:b/>
          <w:sz w:val="22"/>
          <w:szCs w:val="22"/>
        </w:rPr>
      </w:pPr>
      <w:r w:rsidRPr="00B30A12">
        <w:rPr>
          <w:b/>
          <w:sz w:val="22"/>
          <w:szCs w:val="22"/>
        </w:rPr>
        <w:t>Risikomanagement-Plan (RMP)</w:t>
      </w:r>
    </w:p>
    <w:p w14:paraId="51025976" w14:textId="77777777" w:rsidR="000118D4" w:rsidRPr="00B30A12" w:rsidRDefault="000118D4" w:rsidP="001E3D49">
      <w:pPr>
        <w:tabs>
          <w:tab w:val="left" w:pos="0"/>
        </w:tabs>
        <w:ind w:right="567"/>
        <w:rPr>
          <w:noProof/>
          <w:sz w:val="22"/>
          <w:szCs w:val="22"/>
        </w:rPr>
      </w:pPr>
      <w:r w:rsidRPr="00B30A12">
        <w:rPr>
          <w:sz w:val="22"/>
          <w:szCs w:val="22"/>
        </w:rPr>
        <w:t>Der Inhaber der Genehmigung für das Inverkehrbringen führt die notwendigen, im vereinbarten RMP beschriebenen und in Modul 1.8.2 der Zulassung dargelegten Pharmakovigilanzaktivitäten und Maßnahmen sowie alle künftigen vereinbarten Aktualisierungen des RMP durch.</w:t>
      </w:r>
    </w:p>
    <w:p w14:paraId="622EE280" w14:textId="77777777" w:rsidR="00233B1A" w:rsidRPr="00B30A12" w:rsidRDefault="00233B1A" w:rsidP="001E3D49">
      <w:pPr>
        <w:ind w:right="-1"/>
        <w:rPr>
          <w:sz w:val="22"/>
          <w:szCs w:val="22"/>
        </w:rPr>
      </w:pPr>
    </w:p>
    <w:p w14:paraId="3BB43226" w14:textId="77777777" w:rsidR="000118D4" w:rsidRPr="00B30A12" w:rsidRDefault="000118D4" w:rsidP="001E3D49">
      <w:pPr>
        <w:keepNext/>
        <w:rPr>
          <w:i/>
          <w:noProof/>
          <w:sz w:val="22"/>
          <w:szCs w:val="22"/>
        </w:rPr>
      </w:pPr>
      <w:r w:rsidRPr="00B30A12">
        <w:rPr>
          <w:sz w:val="22"/>
          <w:szCs w:val="22"/>
        </w:rPr>
        <w:t>Ein aktualisierter RMP ist einzureichen:</w:t>
      </w:r>
    </w:p>
    <w:p w14:paraId="0AF4B9FE" w14:textId="77777777" w:rsidR="000118D4" w:rsidRPr="00B30A12" w:rsidRDefault="000118D4" w:rsidP="001E3D49">
      <w:pPr>
        <w:keepNext/>
        <w:numPr>
          <w:ilvl w:val="0"/>
          <w:numId w:val="19"/>
        </w:numPr>
        <w:tabs>
          <w:tab w:val="clear" w:pos="720"/>
          <w:tab w:val="num" w:pos="567"/>
        </w:tabs>
        <w:spacing w:line="260" w:lineRule="exact"/>
        <w:ind w:hanging="720"/>
        <w:rPr>
          <w:iCs/>
          <w:noProof/>
          <w:sz w:val="22"/>
          <w:szCs w:val="22"/>
          <w:lang w:val="de-CH"/>
        </w:rPr>
      </w:pPr>
      <w:r w:rsidRPr="00B30A12">
        <w:rPr>
          <w:sz w:val="22"/>
          <w:szCs w:val="22"/>
        </w:rPr>
        <w:t>nach Aufforderung durch die Europäische Arzneimittel-Agentur;</w:t>
      </w:r>
    </w:p>
    <w:p w14:paraId="6990051C" w14:textId="77777777" w:rsidR="000118D4" w:rsidRPr="00B30A12" w:rsidRDefault="000118D4" w:rsidP="001E3D49">
      <w:pPr>
        <w:numPr>
          <w:ilvl w:val="0"/>
          <w:numId w:val="19"/>
        </w:numPr>
        <w:tabs>
          <w:tab w:val="clear" w:pos="720"/>
          <w:tab w:val="num" w:pos="567"/>
        </w:tabs>
        <w:spacing w:line="260" w:lineRule="exact"/>
        <w:ind w:left="567" w:right="-1" w:hanging="567"/>
        <w:rPr>
          <w:i/>
          <w:noProof/>
          <w:sz w:val="22"/>
          <w:szCs w:val="22"/>
        </w:rPr>
      </w:pPr>
      <w:r w:rsidRPr="00B30A12">
        <w:rPr>
          <w:sz w:val="22"/>
          <w:szCs w:val="22"/>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14:paraId="5520FA15" w14:textId="77777777" w:rsidR="004A4E9F" w:rsidRPr="00B30A12" w:rsidRDefault="004A4E9F" w:rsidP="000118D4">
      <w:pPr>
        <w:ind w:right="-1"/>
        <w:rPr>
          <w:color w:val="000000"/>
          <w:sz w:val="22"/>
          <w:szCs w:val="22"/>
        </w:rPr>
      </w:pPr>
    </w:p>
    <w:p w14:paraId="6D26DB95" w14:textId="77777777" w:rsidR="004A4E9F" w:rsidRPr="00B30A12" w:rsidRDefault="004A4E9F" w:rsidP="001E3D49">
      <w:pPr>
        <w:keepNext/>
        <w:widowControl w:val="0"/>
        <w:numPr>
          <w:ilvl w:val="0"/>
          <w:numId w:val="18"/>
        </w:numPr>
        <w:tabs>
          <w:tab w:val="left" w:pos="567"/>
        </w:tabs>
        <w:spacing w:line="260" w:lineRule="exact"/>
        <w:ind w:hanging="720"/>
        <w:rPr>
          <w:b/>
          <w:sz w:val="22"/>
          <w:szCs w:val="22"/>
        </w:rPr>
      </w:pPr>
      <w:r w:rsidRPr="00B30A12">
        <w:rPr>
          <w:b/>
          <w:sz w:val="22"/>
          <w:szCs w:val="22"/>
        </w:rPr>
        <w:lastRenderedPageBreak/>
        <w:t>Verpflichtung zur Durchführung von Maßnahmen nach der Zulassung</w:t>
      </w:r>
    </w:p>
    <w:p w14:paraId="06C2C8CF" w14:textId="77777777" w:rsidR="00963062" w:rsidRPr="00B30A12" w:rsidRDefault="00963062" w:rsidP="001E3D49">
      <w:pPr>
        <w:keepNext/>
        <w:widowControl w:val="0"/>
        <w:ind w:right="-1"/>
        <w:rPr>
          <w:sz w:val="22"/>
          <w:szCs w:val="22"/>
        </w:rPr>
      </w:pPr>
    </w:p>
    <w:p w14:paraId="799E7367" w14:textId="77777777" w:rsidR="004A4E9F" w:rsidRPr="00B30A12" w:rsidRDefault="004A4E9F" w:rsidP="001E3D49">
      <w:pPr>
        <w:keepNext/>
        <w:ind w:right="-1"/>
        <w:rPr>
          <w:sz w:val="22"/>
          <w:szCs w:val="22"/>
        </w:rPr>
      </w:pPr>
      <w:r w:rsidRPr="00B30A12">
        <w:rPr>
          <w:sz w:val="22"/>
          <w:szCs w:val="22"/>
        </w:rPr>
        <w:t>Der Inhaber der Genehmigung für das Inverkehrbringen schließt innerhalb des festgelegten Zeitrahmens folgende Maßnahmen ab:</w:t>
      </w:r>
    </w:p>
    <w:p w14:paraId="4EBE3E30" w14:textId="77777777" w:rsidR="004A4E9F" w:rsidRPr="00B30A12" w:rsidRDefault="004A4E9F" w:rsidP="001E3D49">
      <w:pPr>
        <w:keepNext/>
        <w:ind w:right="-1"/>
        <w:rPr>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0"/>
        <w:gridCol w:w="1454"/>
      </w:tblGrid>
      <w:tr w:rsidR="004A4E9F" w:rsidRPr="00B30A12" w14:paraId="40B92956" w14:textId="77777777" w:rsidTr="001E3D49">
        <w:trPr>
          <w:cantSplit/>
        </w:trPr>
        <w:tc>
          <w:tcPr>
            <w:tcW w:w="4181" w:type="pct"/>
          </w:tcPr>
          <w:p w14:paraId="7364965E" w14:textId="77777777" w:rsidR="004A4E9F" w:rsidRPr="00B30A12" w:rsidRDefault="004A4E9F" w:rsidP="001E3D49">
            <w:pPr>
              <w:keepNext/>
              <w:tabs>
                <w:tab w:val="left" w:pos="567"/>
              </w:tabs>
              <w:spacing w:line="260" w:lineRule="exact"/>
              <w:ind w:right="-1"/>
              <w:rPr>
                <w:sz w:val="22"/>
                <w:szCs w:val="22"/>
              </w:rPr>
            </w:pPr>
            <w:r w:rsidRPr="00B30A12">
              <w:rPr>
                <w:b/>
                <w:sz w:val="22"/>
                <w:szCs w:val="22"/>
              </w:rPr>
              <w:t>Beschreibung</w:t>
            </w:r>
          </w:p>
        </w:tc>
        <w:tc>
          <w:tcPr>
            <w:tcW w:w="819" w:type="pct"/>
          </w:tcPr>
          <w:p w14:paraId="74E999AB" w14:textId="77777777" w:rsidR="004A4E9F" w:rsidRPr="00B30A12" w:rsidRDefault="004A4E9F" w:rsidP="001E3D49">
            <w:pPr>
              <w:keepNext/>
              <w:tabs>
                <w:tab w:val="left" w:pos="567"/>
              </w:tabs>
              <w:spacing w:line="260" w:lineRule="exact"/>
              <w:ind w:right="-1"/>
              <w:rPr>
                <w:sz w:val="22"/>
                <w:szCs w:val="22"/>
              </w:rPr>
            </w:pPr>
            <w:r w:rsidRPr="00B30A12">
              <w:rPr>
                <w:b/>
                <w:sz w:val="22"/>
                <w:szCs w:val="22"/>
              </w:rPr>
              <w:t>Fällig am</w:t>
            </w:r>
          </w:p>
        </w:tc>
      </w:tr>
      <w:tr w:rsidR="004A4E9F" w:rsidRPr="00B30A12" w14:paraId="017167AC" w14:textId="77777777" w:rsidTr="001E3D49">
        <w:trPr>
          <w:cantSplit/>
        </w:trPr>
        <w:tc>
          <w:tcPr>
            <w:tcW w:w="4181" w:type="pct"/>
          </w:tcPr>
          <w:p w14:paraId="1A739798" w14:textId="77777777" w:rsidR="004A4E9F" w:rsidRPr="00B30A12" w:rsidRDefault="007759BD" w:rsidP="000039C8">
            <w:pPr>
              <w:tabs>
                <w:tab w:val="left" w:pos="567"/>
              </w:tabs>
              <w:spacing w:line="260" w:lineRule="exact"/>
              <w:ind w:right="-1"/>
              <w:rPr>
                <w:sz w:val="22"/>
                <w:szCs w:val="22"/>
              </w:rPr>
            </w:pPr>
            <w:r w:rsidRPr="00B30A12">
              <w:rPr>
                <w:sz w:val="22"/>
                <w:szCs w:val="22"/>
              </w:rPr>
              <w:t>Sammeln</w:t>
            </w:r>
            <w:r w:rsidR="00EF6A3D" w:rsidRPr="00B30A12">
              <w:rPr>
                <w:sz w:val="22"/>
                <w:szCs w:val="22"/>
              </w:rPr>
              <w:t xml:space="preserve"> von</w:t>
            </w:r>
            <w:r w:rsidR="00270D50" w:rsidRPr="00B30A12">
              <w:rPr>
                <w:sz w:val="22"/>
                <w:szCs w:val="22"/>
              </w:rPr>
              <w:t xml:space="preserve"> Daten zur Wirksamkeit und Sicherheit </w:t>
            </w:r>
            <w:r w:rsidRPr="00B30A12">
              <w:rPr>
                <w:sz w:val="22"/>
                <w:szCs w:val="22"/>
              </w:rPr>
              <w:t xml:space="preserve">im Rahmen eines Registers </w:t>
            </w:r>
            <w:r w:rsidR="00EF6A3D" w:rsidRPr="00B30A12">
              <w:rPr>
                <w:sz w:val="22"/>
                <w:szCs w:val="22"/>
              </w:rPr>
              <w:t>bei</w:t>
            </w:r>
            <w:r w:rsidR="0014534A" w:rsidRPr="00B30A12">
              <w:rPr>
                <w:sz w:val="22"/>
                <w:szCs w:val="22"/>
              </w:rPr>
              <w:t xml:space="preserve"> pädiatrischen Patienten</w:t>
            </w:r>
            <w:r w:rsidR="00270D50" w:rsidRPr="00B30A12">
              <w:rPr>
                <w:sz w:val="22"/>
                <w:szCs w:val="22"/>
              </w:rPr>
              <w:t xml:space="preserve"> mit neu diagnostizierte</w:t>
            </w:r>
            <w:r w:rsidR="00EF6A3D" w:rsidRPr="00B30A12">
              <w:rPr>
                <w:sz w:val="22"/>
                <w:szCs w:val="22"/>
              </w:rPr>
              <w:t>r Ph+ akuter lymph</w:t>
            </w:r>
            <w:r w:rsidR="00BA1725" w:rsidRPr="00B30A12">
              <w:rPr>
                <w:sz w:val="22"/>
                <w:szCs w:val="22"/>
              </w:rPr>
              <w:t>atischer</w:t>
            </w:r>
            <w:r w:rsidR="00270D50" w:rsidRPr="00B30A12">
              <w:rPr>
                <w:sz w:val="22"/>
                <w:szCs w:val="22"/>
              </w:rPr>
              <w:t xml:space="preserve"> Leukämie </w:t>
            </w:r>
            <w:r w:rsidR="0014534A" w:rsidRPr="00B30A12">
              <w:rPr>
                <w:sz w:val="22"/>
                <w:szCs w:val="22"/>
              </w:rPr>
              <w:t xml:space="preserve">(ALL), die mit Chemotherapie + </w:t>
            </w:r>
            <w:r w:rsidR="00270D50" w:rsidRPr="00B30A12">
              <w:rPr>
                <w:sz w:val="22"/>
                <w:szCs w:val="22"/>
              </w:rPr>
              <w:t>Imatinib + H</w:t>
            </w:r>
            <w:r w:rsidR="00EF6A3D" w:rsidRPr="00B30A12">
              <w:rPr>
                <w:sz w:val="22"/>
                <w:szCs w:val="22"/>
              </w:rPr>
              <w:t>SCT behandelt werden</w:t>
            </w:r>
            <w:r w:rsidR="00270D50" w:rsidRPr="00B30A12">
              <w:rPr>
                <w:sz w:val="22"/>
                <w:szCs w:val="22"/>
              </w:rPr>
              <w:t>. Einreich</w:t>
            </w:r>
            <w:r w:rsidR="00EF6A3D" w:rsidRPr="00B30A12">
              <w:rPr>
                <w:sz w:val="22"/>
                <w:szCs w:val="22"/>
              </w:rPr>
              <w:t>ung eines finalen Studienberichts</w:t>
            </w:r>
            <w:r w:rsidR="00270D50" w:rsidRPr="00B30A12">
              <w:rPr>
                <w:sz w:val="22"/>
                <w:szCs w:val="22"/>
              </w:rPr>
              <w:t>.</w:t>
            </w:r>
          </w:p>
        </w:tc>
        <w:tc>
          <w:tcPr>
            <w:tcW w:w="819" w:type="pct"/>
          </w:tcPr>
          <w:p w14:paraId="5F8B6368" w14:textId="2FC531E8" w:rsidR="004A4E9F" w:rsidRPr="00B30A12" w:rsidRDefault="003830AB" w:rsidP="003830AB">
            <w:pPr>
              <w:tabs>
                <w:tab w:val="left" w:pos="567"/>
              </w:tabs>
              <w:spacing w:line="260" w:lineRule="exact"/>
              <w:ind w:right="-1"/>
              <w:rPr>
                <w:sz w:val="22"/>
                <w:szCs w:val="22"/>
              </w:rPr>
            </w:pPr>
            <w:r>
              <w:rPr>
                <w:sz w:val="22"/>
                <w:szCs w:val="22"/>
              </w:rPr>
              <w:t>2</w:t>
            </w:r>
            <w:r w:rsidR="00492400" w:rsidRPr="00B30A12">
              <w:rPr>
                <w:sz w:val="22"/>
                <w:szCs w:val="22"/>
              </w:rPr>
              <w:t>3/06/202</w:t>
            </w:r>
            <w:r w:rsidR="005375A7">
              <w:rPr>
                <w:sz w:val="22"/>
                <w:szCs w:val="22"/>
              </w:rPr>
              <w:t>3</w:t>
            </w:r>
          </w:p>
        </w:tc>
      </w:tr>
    </w:tbl>
    <w:p w14:paraId="76A2F19F" w14:textId="77777777" w:rsidR="00AB6D5E" w:rsidRPr="00B30A12" w:rsidRDefault="00AB6D5E" w:rsidP="00242BD7">
      <w:pPr>
        <w:ind w:right="-1"/>
        <w:rPr>
          <w:b/>
          <w:color w:val="000000"/>
          <w:szCs w:val="22"/>
        </w:rPr>
      </w:pPr>
      <w:r w:rsidRPr="00B30A12">
        <w:rPr>
          <w:color w:val="000000"/>
          <w:szCs w:val="22"/>
        </w:rPr>
        <w:br w:type="page"/>
      </w:r>
    </w:p>
    <w:p w14:paraId="641C4D2F" w14:textId="77777777" w:rsidR="00AB6D5E" w:rsidRPr="00B30A12" w:rsidRDefault="00AB6D5E" w:rsidP="001E3D49">
      <w:pPr>
        <w:widowControl w:val="0"/>
        <w:rPr>
          <w:color w:val="000000"/>
          <w:sz w:val="22"/>
          <w:szCs w:val="22"/>
        </w:rPr>
      </w:pPr>
    </w:p>
    <w:p w14:paraId="2CC9E329" w14:textId="77777777" w:rsidR="00AB6D5E" w:rsidRPr="00B30A12" w:rsidRDefault="00AB6D5E" w:rsidP="001E3D49">
      <w:pPr>
        <w:pStyle w:val="Heading5"/>
        <w:keepNext w:val="0"/>
        <w:widowControl w:val="0"/>
        <w:numPr>
          <w:ilvl w:val="0"/>
          <w:numId w:val="0"/>
        </w:numPr>
        <w:jc w:val="left"/>
        <w:rPr>
          <w:b w:val="0"/>
          <w:color w:val="000000"/>
          <w:szCs w:val="22"/>
        </w:rPr>
      </w:pPr>
    </w:p>
    <w:p w14:paraId="581C62A0" w14:textId="77777777" w:rsidR="00AB6D5E" w:rsidRPr="00B30A12" w:rsidRDefault="00AB6D5E" w:rsidP="001E3D49">
      <w:pPr>
        <w:pStyle w:val="Heading5"/>
        <w:keepNext w:val="0"/>
        <w:widowControl w:val="0"/>
        <w:numPr>
          <w:ilvl w:val="0"/>
          <w:numId w:val="0"/>
        </w:numPr>
        <w:jc w:val="left"/>
        <w:rPr>
          <w:b w:val="0"/>
          <w:color w:val="000000"/>
          <w:szCs w:val="22"/>
        </w:rPr>
      </w:pPr>
    </w:p>
    <w:p w14:paraId="54007FF2" w14:textId="77777777" w:rsidR="00AB6D5E" w:rsidRPr="00B30A12" w:rsidRDefault="00AB6D5E" w:rsidP="001E3D49">
      <w:pPr>
        <w:pStyle w:val="Heading5"/>
        <w:keepNext w:val="0"/>
        <w:widowControl w:val="0"/>
        <w:numPr>
          <w:ilvl w:val="0"/>
          <w:numId w:val="0"/>
        </w:numPr>
        <w:jc w:val="left"/>
        <w:rPr>
          <w:b w:val="0"/>
          <w:color w:val="000000"/>
          <w:szCs w:val="22"/>
        </w:rPr>
      </w:pPr>
    </w:p>
    <w:p w14:paraId="32394F5E" w14:textId="77777777" w:rsidR="00AB6D5E" w:rsidRPr="00B30A12" w:rsidRDefault="00AB6D5E" w:rsidP="001E3D49">
      <w:pPr>
        <w:pStyle w:val="Heading5"/>
        <w:keepNext w:val="0"/>
        <w:widowControl w:val="0"/>
        <w:numPr>
          <w:ilvl w:val="0"/>
          <w:numId w:val="0"/>
        </w:numPr>
        <w:jc w:val="left"/>
        <w:rPr>
          <w:b w:val="0"/>
          <w:color w:val="000000"/>
          <w:szCs w:val="22"/>
        </w:rPr>
      </w:pPr>
    </w:p>
    <w:p w14:paraId="5BA68491" w14:textId="77777777" w:rsidR="00AB6D5E" w:rsidRPr="00B30A12" w:rsidRDefault="00AB6D5E" w:rsidP="001E3D49">
      <w:pPr>
        <w:pStyle w:val="Heading5"/>
        <w:keepNext w:val="0"/>
        <w:widowControl w:val="0"/>
        <w:numPr>
          <w:ilvl w:val="0"/>
          <w:numId w:val="0"/>
        </w:numPr>
        <w:jc w:val="left"/>
        <w:rPr>
          <w:b w:val="0"/>
          <w:color w:val="000000"/>
          <w:szCs w:val="22"/>
        </w:rPr>
      </w:pPr>
    </w:p>
    <w:p w14:paraId="1E388A17" w14:textId="77777777" w:rsidR="00AB6D5E" w:rsidRPr="00B30A12" w:rsidRDefault="00AB6D5E" w:rsidP="001E3D49">
      <w:pPr>
        <w:pStyle w:val="Heading5"/>
        <w:keepNext w:val="0"/>
        <w:widowControl w:val="0"/>
        <w:numPr>
          <w:ilvl w:val="0"/>
          <w:numId w:val="0"/>
        </w:numPr>
        <w:jc w:val="left"/>
        <w:rPr>
          <w:b w:val="0"/>
          <w:color w:val="000000"/>
          <w:szCs w:val="22"/>
        </w:rPr>
      </w:pPr>
    </w:p>
    <w:p w14:paraId="7A165EE8" w14:textId="77777777" w:rsidR="00AB6D5E" w:rsidRPr="00B30A12" w:rsidRDefault="00AB6D5E" w:rsidP="001E3D49">
      <w:pPr>
        <w:pStyle w:val="Heading5"/>
        <w:keepNext w:val="0"/>
        <w:widowControl w:val="0"/>
        <w:numPr>
          <w:ilvl w:val="0"/>
          <w:numId w:val="0"/>
        </w:numPr>
        <w:jc w:val="left"/>
        <w:rPr>
          <w:b w:val="0"/>
          <w:color w:val="000000"/>
          <w:szCs w:val="22"/>
        </w:rPr>
      </w:pPr>
    </w:p>
    <w:p w14:paraId="4743E038" w14:textId="77777777" w:rsidR="00AB6D5E" w:rsidRPr="00B30A12" w:rsidRDefault="00AB6D5E" w:rsidP="001E3D49">
      <w:pPr>
        <w:pStyle w:val="Heading5"/>
        <w:keepNext w:val="0"/>
        <w:widowControl w:val="0"/>
        <w:numPr>
          <w:ilvl w:val="0"/>
          <w:numId w:val="0"/>
        </w:numPr>
        <w:jc w:val="left"/>
        <w:rPr>
          <w:b w:val="0"/>
          <w:color w:val="000000"/>
          <w:szCs w:val="22"/>
        </w:rPr>
      </w:pPr>
    </w:p>
    <w:p w14:paraId="11FD9A97" w14:textId="77777777" w:rsidR="00AB6D5E" w:rsidRPr="00B30A12" w:rsidRDefault="00AB6D5E" w:rsidP="001E3D49">
      <w:pPr>
        <w:pStyle w:val="Heading5"/>
        <w:keepNext w:val="0"/>
        <w:widowControl w:val="0"/>
        <w:numPr>
          <w:ilvl w:val="0"/>
          <w:numId w:val="0"/>
        </w:numPr>
        <w:jc w:val="left"/>
        <w:rPr>
          <w:b w:val="0"/>
          <w:color w:val="000000"/>
          <w:szCs w:val="22"/>
        </w:rPr>
      </w:pPr>
    </w:p>
    <w:p w14:paraId="492048F4" w14:textId="77777777" w:rsidR="00AB6D5E" w:rsidRPr="00B30A12" w:rsidRDefault="00AB6D5E" w:rsidP="001E3D49">
      <w:pPr>
        <w:pStyle w:val="Heading5"/>
        <w:keepNext w:val="0"/>
        <w:widowControl w:val="0"/>
        <w:numPr>
          <w:ilvl w:val="0"/>
          <w:numId w:val="0"/>
        </w:numPr>
        <w:jc w:val="left"/>
        <w:rPr>
          <w:b w:val="0"/>
          <w:color w:val="000000"/>
          <w:szCs w:val="22"/>
        </w:rPr>
      </w:pPr>
    </w:p>
    <w:p w14:paraId="769B9805" w14:textId="77777777" w:rsidR="00AB6D5E" w:rsidRPr="00B30A12" w:rsidRDefault="00AB6D5E" w:rsidP="001E3D49">
      <w:pPr>
        <w:pStyle w:val="Heading5"/>
        <w:keepNext w:val="0"/>
        <w:widowControl w:val="0"/>
        <w:numPr>
          <w:ilvl w:val="0"/>
          <w:numId w:val="0"/>
        </w:numPr>
        <w:jc w:val="left"/>
        <w:rPr>
          <w:b w:val="0"/>
          <w:color w:val="000000"/>
          <w:szCs w:val="22"/>
        </w:rPr>
      </w:pPr>
    </w:p>
    <w:p w14:paraId="4A2400C9" w14:textId="77777777" w:rsidR="00AB6D5E" w:rsidRPr="00B30A12" w:rsidRDefault="00AB6D5E" w:rsidP="001E3D49">
      <w:pPr>
        <w:pStyle w:val="Heading5"/>
        <w:keepNext w:val="0"/>
        <w:widowControl w:val="0"/>
        <w:numPr>
          <w:ilvl w:val="0"/>
          <w:numId w:val="0"/>
        </w:numPr>
        <w:jc w:val="left"/>
        <w:rPr>
          <w:b w:val="0"/>
          <w:color w:val="000000"/>
          <w:szCs w:val="22"/>
        </w:rPr>
      </w:pPr>
    </w:p>
    <w:p w14:paraId="623EFA5B" w14:textId="77777777" w:rsidR="00AB6D5E" w:rsidRPr="00B30A12" w:rsidRDefault="00AB6D5E" w:rsidP="001E3D49">
      <w:pPr>
        <w:pStyle w:val="Heading5"/>
        <w:keepNext w:val="0"/>
        <w:widowControl w:val="0"/>
        <w:numPr>
          <w:ilvl w:val="0"/>
          <w:numId w:val="0"/>
        </w:numPr>
        <w:jc w:val="left"/>
        <w:rPr>
          <w:b w:val="0"/>
          <w:color w:val="000000"/>
          <w:szCs w:val="22"/>
        </w:rPr>
      </w:pPr>
    </w:p>
    <w:p w14:paraId="25175F02" w14:textId="77777777" w:rsidR="00AB6D5E" w:rsidRPr="00B30A12" w:rsidRDefault="00AB6D5E" w:rsidP="001E3D49">
      <w:pPr>
        <w:pStyle w:val="Heading5"/>
        <w:keepNext w:val="0"/>
        <w:widowControl w:val="0"/>
        <w:numPr>
          <w:ilvl w:val="0"/>
          <w:numId w:val="0"/>
        </w:numPr>
        <w:jc w:val="left"/>
        <w:rPr>
          <w:b w:val="0"/>
          <w:color w:val="000000"/>
          <w:szCs w:val="22"/>
        </w:rPr>
      </w:pPr>
    </w:p>
    <w:p w14:paraId="0CA4A36D" w14:textId="77777777" w:rsidR="00AB6D5E" w:rsidRPr="00B30A12" w:rsidRDefault="00AB6D5E" w:rsidP="001E3D49">
      <w:pPr>
        <w:pStyle w:val="Heading5"/>
        <w:keepNext w:val="0"/>
        <w:widowControl w:val="0"/>
        <w:numPr>
          <w:ilvl w:val="0"/>
          <w:numId w:val="0"/>
        </w:numPr>
        <w:jc w:val="left"/>
        <w:rPr>
          <w:b w:val="0"/>
          <w:color w:val="000000"/>
          <w:szCs w:val="22"/>
        </w:rPr>
      </w:pPr>
    </w:p>
    <w:p w14:paraId="231E3BF4" w14:textId="77777777" w:rsidR="00AB6D5E" w:rsidRPr="00B30A12" w:rsidRDefault="00AB6D5E" w:rsidP="001E3D49">
      <w:pPr>
        <w:pStyle w:val="Heading5"/>
        <w:keepNext w:val="0"/>
        <w:widowControl w:val="0"/>
        <w:numPr>
          <w:ilvl w:val="0"/>
          <w:numId w:val="0"/>
        </w:numPr>
        <w:jc w:val="left"/>
        <w:rPr>
          <w:b w:val="0"/>
          <w:color w:val="000000"/>
          <w:szCs w:val="22"/>
        </w:rPr>
      </w:pPr>
    </w:p>
    <w:p w14:paraId="59EED1B0" w14:textId="77777777" w:rsidR="00AB6D5E" w:rsidRPr="00B30A12" w:rsidRDefault="00AB6D5E" w:rsidP="001E3D49">
      <w:pPr>
        <w:pStyle w:val="Heading5"/>
        <w:keepNext w:val="0"/>
        <w:widowControl w:val="0"/>
        <w:numPr>
          <w:ilvl w:val="0"/>
          <w:numId w:val="0"/>
        </w:numPr>
        <w:jc w:val="left"/>
        <w:rPr>
          <w:b w:val="0"/>
          <w:color w:val="000000"/>
          <w:szCs w:val="22"/>
        </w:rPr>
      </w:pPr>
    </w:p>
    <w:p w14:paraId="39EF22CE" w14:textId="77777777" w:rsidR="00AB6D5E" w:rsidRPr="00B30A12" w:rsidRDefault="00AB6D5E" w:rsidP="001E3D49">
      <w:pPr>
        <w:pStyle w:val="Heading5"/>
        <w:keepNext w:val="0"/>
        <w:widowControl w:val="0"/>
        <w:numPr>
          <w:ilvl w:val="0"/>
          <w:numId w:val="0"/>
        </w:numPr>
        <w:jc w:val="left"/>
        <w:rPr>
          <w:b w:val="0"/>
          <w:color w:val="000000"/>
          <w:szCs w:val="22"/>
        </w:rPr>
      </w:pPr>
    </w:p>
    <w:p w14:paraId="261718D2" w14:textId="77777777" w:rsidR="00AB6D5E" w:rsidRPr="00B30A12" w:rsidRDefault="00AB6D5E" w:rsidP="001E3D49">
      <w:pPr>
        <w:pStyle w:val="Heading5"/>
        <w:keepNext w:val="0"/>
        <w:widowControl w:val="0"/>
        <w:numPr>
          <w:ilvl w:val="0"/>
          <w:numId w:val="0"/>
        </w:numPr>
        <w:jc w:val="left"/>
        <w:rPr>
          <w:b w:val="0"/>
          <w:color w:val="000000"/>
          <w:szCs w:val="22"/>
        </w:rPr>
      </w:pPr>
    </w:p>
    <w:p w14:paraId="5F1FFDEA" w14:textId="77777777" w:rsidR="00AB6D5E" w:rsidRPr="00B30A12" w:rsidRDefault="00AB6D5E" w:rsidP="001E3D49">
      <w:pPr>
        <w:pStyle w:val="Heading5"/>
        <w:keepNext w:val="0"/>
        <w:widowControl w:val="0"/>
        <w:numPr>
          <w:ilvl w:val="0"/>
          <w:numId w:val="0"/>
        </w:numPr>
        <w:jc w:val="left"/>
        <w:rPr>
          <w:b w:val="0"/>
          <w:color w:val="000000"/>
          <w:szCs w:val="22"/>
        </w:rPr>
      </w:pPr>
    </w:p>
    <w:p w14:paraId="695CDABD" w14:textId="77777777" w:rsidR="00AB6D5E" w:rsidRDefault="00AB6D5E" w:rsidP="001E3D49">
      <w:pPr>
        <w:pStyle w:val="Heading5"/>
        <w:keepNext w:val="0"/>
        <w:widowControl w:val="0"/>
        <w:numPr>
          <w:ilvl w:val="0"/>
          <w:numId w:val="0"/>
        </w:numPr>
        <w:jc w:val="left"/>
        <w:rPr>
          <w:b w:val="0"/>
          <w:color w:val="000000"/>
          <w:szCs w:val="22"/>
        </w:rPr>
      </w:pPr>
    </w:p>
    <w:p w14:paraId="2A40719C" w14:textId="77777777" w:rsidR="001E3D49" w:rsidRPr="001E3D49" w:rsidRDefault="001E3D49" w:rsidP="001E3D49"/>
    <w:p w14:paraId="05532533" w14:textId="77777777" w:rsidR="00AB6D5E" w:rsidRPr="00B30A12" w:rsidRDefault="00AB6D5E" w:rsidP="001E3D49">
      <w:pPr>
        <w:pStyle w:val="Heading5"/>
        <w:keepNext w:val="0"/>
        <w:widowControl w:val="0"/>
        <w:numPr>
          <w:ilvl w:val="0"/>
          <w:numId w:val="0"/>
        </w:numPr>
        <w:rPr>
          <w:color w:val="000000"/>
          <w:szCs w:val="22"/>
        </w:rPr>
      </w:pPr>
      <w:r w:rsidRPr="00B30A12">
        <w:rPr>
          <w:color w:val="000000"/>
          <w:szCs w:val="22"/>
        </w:rPr>
        <w:t xml:space="preserve">ANHANG </w:t>
      </w:r>
      <w:smartTag w:uri="urn:schemas-microsoft-com:office:smarttags" w:element="stockticker">
        <w:r w:rsidRPr="00B30A12">
          <w:rPr>
            <w:color w:val="000000"/>
            <w:szCs w:val="22"/>
          </w:rPr>
          <w:t>III</w:t>
        </w:r>
      </w:smartTag>
    </w:p>
    <w:p w14:paraId="61C6B97E" w14:textId="77777777" w:rsidR="00AB6D5E" w:rsidRPr="00B30A12" w:rsidRDefault="00AB6D5E" w:rsidP="001E3D49">
      <w:pPr>
        <w:widowControl w:val="0"/>
        <w:jc w:val="center"/>
        <w:rPr>
          <w:color w:val="000000"/>
          <w:sz w:val="22"/>
          <w:szCs w:val="22"/>
        </w:rPr>
      </w:pPr>
    </w:p>
    <w:p w14:paraId="1FC6F7CF" w14:textId="77777777" w:rsidR="00AB6D5E" w:rsidRPr="00B30A12" w:rsidRDefault="00AB6D5E" w:rsidP="001E3D49">
      <w:pPr>
        <w:widowControl w:val="0"/>
        <w:jc w:val="center"/>
        <w:rPr>
          <w:b/>
          <w:color w:val="000000"/>
          <w:sz w:val="22"/>
          <w:szCs w:val="22"/>
        </w:rPr>
      </w:pPr>
      <w:r w:rsidRPr="00B30A12">
        <w:rPr>
          <w:b/>
          <w:color w:val="000000"/>
          <w:sz w:val="22"/>
          <w:szCs w:val="22"/>
        </w:rPr>
        <w:t>ETIKETTIERUNG UND PACKUNGSBEILAGE</w:t>
      </w:r>
    </w:p>
    <w:p w14:paraId="2F1D7C4B" w14:textId="77777777" w:rsidR="00AB6D5E" w:rsidRPr="00B30A12" w:rsidRDefault="00AB6D5E" w:rsidP="00AB6D5E">
      <w:pPr>
        <w:widowControl w:val="0"/>
        <w:rPr>
          <w:color w:val="000000"/>
          <w:sz w:val="22"/>
          <w:szCs w:val="22"/>
        </w:rPr>
      </w:pPr>
      <w:r w:rsidRPr="00B30A12">
        <w:rPr>
          <w:b/>
          <w:color w:val="000000"/>
          <w:sz w:val="22"/>
          <w:szCs w:val="22"/>
        </w:rPr>
        <w:br w:type="page"/>
      </w:r>
    </w:p>
    <w:p w14:paraId="193616A6" w14:textId="77777777" w:rsidR="00AB6D5E" w:rsidRPr="00B30A12" w:rsidRDefault="00AB6D5E" w:rsidP="00AB6D5E">
      <w:pPr>
        <w:widowControl w:val="0"/>
        <w:rPr>
          <w:color w:val="000000"/>
          <w:sz w:val="22"/>
          <w:szCs w:val="22"/>
        </w:rPr>
      </w:pPr>
    </w:p>
    <w:p w14:paraId="4B0FAA22" w14:textId="77777777" w:rsidR="00AB6D5E" w:rsidRPr="00B30A12" w:rsidRDefault="00AB6D5E" w:rsidP="00AB6D5E">
      <w:pPr>
        <w:widowControl w:val="0"/>
        <w:rPr>
          <w:color w:val="000000"/>
          <w:sz w:val="22"/>
          <w:szCs w:val="22"/>
        </w:rPr>
      </w:pPr>
    </w:p>
    <w:p w14:paraId="32FEAD4C" w14:textId="77777777" w:rsidR="00AB6D5E" w:rsidRPr="00B30A12" w:rsidRDefault="00AB6D5E" w:rsidP="00AB6D5E">
      <w:pPr>
        <w:widowControl w:val="0"/>
        <w:rPr>
          <w:color w:val="000000"/>
          <w:sz w:val="22"/>
          <w:szCs w:val="22"/>
        </w:rPr>
      </w:pPr>
    </w:p>
    <w:p w14:paraId="6F4B195E" w14:textId="77777777" w:rsidR="00AB6D5E" w:rsidRPr="00B30A12" w:rsidRDefault="00AB6D5E" w:rsidP="00AB6D5E">
      <w:pPr>
        <w:widowControl w:val="0"/>
        <w:rPr>
          <w:color w:val="000000"/>
          <w:sz w:val="22"/>
          <w:szCs w:val="22"/>
        </w:rPr>
      </w:pPr>
    </w:p>
    <w:p w14:paraId="2F192668" w14:textId="77777777" w:rsidR="00AB6D5E" w:rsidRPr="00B30A12" w:rsidRDefault="00AB6D5E" w:rsidP="00AB6D5E">
      <w:pPr>
        <w:widowControl w:val="0"/>
        <w:rPr>
          <w:color w:val="000000"/>
          <w:sz w:val="22"/>
          <w:szCs w:val="22"/>
        </w:rPr>
      </w:pPr>
    </w:p>
    <w:p w14:paraId="72E335FA" w14:textId="77777777" w:rsidR="00AB6D5E" w:rsidRPr="00B30A12" w:rsidRDefault="00AB6D5E" w:rsidP="00AB6D5E">
      <w:pPr>
        <w:widowControl w:val="0"/>
        <w:rPr>
          <w:color w:val="000000"/>
          <w:sz w:val="22"/>
          <w:szCs w:val="22"/>
        </w:rPr>
      </w:pPr>
    </w:p>
    <w:p w14:paraId="119A9BA1" w14:textId="77777777" w:rsidR="00AB6D5E" w:rsidRPr="00B30A12" w:rsidRDefault="00AB6D5E" w:rsidP="00AB6D5E">
      <w:pPr>
        <w:widowControl w:val="0"/>
        <w:rPr>
          <w:color w:val="000000"/>
          <w:sz w:val="22"/>
          <w:szCs w:val="22"/>
        </w:rPr>
      </w:pPr>
    </w:p>
    <w:p w14:paraId="735120DD" w14:textId="77777777" w:rsidR="00AB6D5E" w:rsidRPr="00B30A12" w:rsidRDefault="00AB6D5E" w:rsidP="00AB6D5E">
      <w:pPr>
        <w:widowControl w:val="0"/>
        <w:rPr>
          <w:color w:val="000000"/>
          <w:sz w:val="22"/>
          <w:szCs w:val="22"/>
        </w:rPr>
      </w:pPr>
    </w:p>
    <w:p w14:paraId="0A66B307" w14:textId="77777777" w:rsidR="00AB6D5E" w:rsidRPr="00B30A12" w:rsidRDefault="00AB6D5E" w:rsidP="00AB6D5E">
      <w:pPr>
        <w:widowControl w:val="0"/>
        <w:rPr>
          <w:color w:val="000000"/>
          <w:sz w:val="22"/>
          <w:szCs w:val="22"/>
        </w:rPr>
      </w:pPr>
    </w:p>
    <w:p w14:paraId="20EEC705" w14:textId="77777777" w:rsidR="00AB6D5E" w:rsidRPr="00B30A12" w:rsidRDefault="00AB6D5E" w:rsidP="00AB6D5E">
      <w:pPr>
        <w:widowControl w:val="0"/>
        <w:rPr>
          <w:color w:val="000000"/>
          <w:sz w:val="22"/>
          <w:szCs w:val="22"/>
        </w:rPr>
      </w:pPr>
    </w:p>
    <w:p w14:paraId="0355DC7E" w14:textId="77777777" w:rsidR="00AB6D5E" w:rsidRPr="00B30A12" w:rsidRDefault="00AB6D5E" w:rsidP="00AB6D5E">
      <w:pPr>
        <w:widowControl w:val="0"/>
        <w:rPr>
          <w:color w:val="000000"/>
          <w:sz w:val="22"/>
          <w:szCs w:val="22"/>
        </w:rPr>
      </w:pPr>
    </w:p>
    <w:p w14:paraId="0FF880CE" w14:textId="77777777" w:rsidR="00AB6D5E" w:rsidRPr="00B30A12" w:rsidRDefault="00AB6D5E" w:rsidP="00AB6D5E">
      <w:pPr>
        <w:widowControl w:val="0"/>
        <w:rPr>
          <w:color w:val="000000"/>
          <w:sz w:val="22"/>
          <w:szCs w:val="22"/>
        </w:rPr>
      </w:pPr>
    </w:p>
    <w:p w14:paraId="4B7206B3" w14:textId="77777777" w:rsidR="00AB6D5E" w:rsidRPr="00B30A12" w:rsidRDefault="00AB6D5E" w:rsidP="00AB6D5E">
      <w:pPr>
        <w:widowControl w:val="0"/>
        <w:rPr>
          <w:color w:val="000000"/>
          <w:sz w:val="22"/>
          <w:szCs w:val="22"/>
        </w:rPr>
      </w:pPr>
    </w:p>
    <w:p w14:paraId="7077CCC7" w14:textId="77777777" w:rsidR="00AB6D5E" w:rsidRPr="00B30A12" w:rsidRDefault="00AB6D5E" w:rsidP="00AB6D5E">
      <w:pPr>
        <w:widowControl w:val="0"/>
        <w:rPr>
          <w:color w:val="000000"/>
          <w:sz w:val="22"/>
          <w:szCs w:val="22"/>
        </w:rPr>
      </w:pPr>
    </w:p>
    <w:p w14:paraId="3EF7E0A2" w14:textId="77777777" w:rsidR="00AB6D5E" w:rsidRPr="00B30A12" w:rsidRDefault="00AB6D5E" w:rsidP="00AB6D5E">
      <w:pPr>
        <w:widowControl w:val="0"/>
        <w:rPr>
          <w:color w:val="000000"/>
          <w:sz w:val="22"/>
          <w:szCs w:val="22"/>
        </w:rPr>
      </w:pPr>
    </w:p>
    <w:p w14:paraId="467187E2" w14:textId="77777777" w:rsidR="00AB6D5E" w:rsidRPr="00B30A12" w:rsidRDefault="00AB6D5E" w:rsidP="00AB6D5E">
      <w:pPr>
        <w:widowControl w:val="0"/>
        <w:rPr>
          <w:color w:val="000000"/>
          <w:sz w:val="22"/>
          <w:szCs w:val="22"/>
        </w:rPr>
      </w:pPr>
    </w:p>
    <w:p w14:paraId="0C76CB90" w14:textId="77777777" w:rsidR="00AB6D5E" w:rsidRPr="00B30A12" w:rsidRDefault="00AB6D5E" w:rsidP="00AB6D5E">
      <w:pPr>
        <w:widowControl w:val="0"/>
        <w:rPr>
          <w:color w:val="000000"/>
          <w:sz w:val="22"/>
          <w:szCs w:val="22"/>
        </w:rPr>
      </w:pPr>
    </w:p>
    <w:p w14:paraId="446BFA5A" w14:textId="77777777" w:rsidR="00AB6D5E" w:rsidRPr="00B30A12" w:rsidRDefault="00AB6D5E" w:rsidP="00AB6D5E">
      <w:pPr>
        <w:widowControl w:val="0"/>
        <w:rPr>
          <w:color w:val="000000"/>
          <w:sz w:val="22"/>
          <w:szCs w:val="22"/>
        </w:rPr>
      </w:pPr>
    </w:p>
    <w:p w14:paraId="7D701A85" w14:textId="77777777" w:rsidR="00AB6D5E" w:rsidRPr="00B30A12" w:rsidRDefault="00AB6D5E" w:rsidP="00AB6D5E">
      <w:pPr>
        <w:widowControl w:val="0"/>
        <w:rPr>
          <w:color w:val="000000"/>
          <w:sz w:val="22"/>
          <w:szCs w:val="22"/>
        </w:rPr>
      </w:pPr>
    </w:p>
    <w:p w14:paraId="50B659A0" w14:textId="77777777" w:rsidR="00AB6D5E" w:rsidRPr="00B30A12" w:rsidRDefault="00AB6D5E" w:rsidP="00AB6D5E">
      <w:pPr>
        <w:widowControl w:val="0"/>
        <w:rPr>
          <w:color w:val="000000"/>
          <w:sz w:val="22"/>
          <w:szCs w:val="22"/>
        </w:rPr>
      </w:pPr>
    </w:p>
    <w:p w14:paraId="7E992BF5" w14:textId="77777777" w:rsidR="00AB6D5E" w:rsidRPr="00B30A12" w:rsidRDefault="00AB6D5E" w:rsidP="00AB6D5E">
      <w:pPr>
        <w:widowControl w:val="0"/>
        <w:rPr>
          <w:color w:val="000000"/>
          <w:sz w:val="22"/>
          <w:szCs w:val="22"/>
        </w:rPr>
      </w:pPr>
    </w:p>
    <w:p w14:paraId="5538583A" w14:textId="77777777" w:rsidR="00AB6D5E" w:rsidRDefault="00AB6D5E" w:rsidP="00AB6D5E">
      <w:pPr>
        <w:widowControl w:val="0"/>
        <w:rPr>
          <w:color w:val="000000"/>
          <w:sz w:val="22"/>
          <w:szCs w:val="22"/>
        </w:rPr>
      </w:pPr>
    </w:p>
    <w:p w14:paraId="6D9D9D95" w14:textId="77777777" w:rsidR="001E3D49" w:rsidRPr="00B30A12" w:rsidRDefault="001E3D49" w:rsidP="00AB6D5E">
      <w:pPr>
        <w:widowControl w:val="0"/>
        <w:rPr>
          <w:color w:val="000000"/>
          <w:sz w:val="22"/>
          <w:szCs w:val="22"/>
        </w:rPr>
      </w:pPr>
    </w:p>
    <w:p w14:paraId="52B34847" w14:textId="77777777" w:rsidR="00AB6D5E" w:rsidRPr="00B30A12" w:rsidRDefault="00AB6D5E" w:rsidP="00AB6D5E">
      <w:pPr>
        <w:pStyle w:val="Heading5"/>
        <w:keepNext w:val="0"/>
        <w:widowControl w:val="0"/>
        <w:numPr>
          <w:ilvl w:val="0"/>
          <w:numId w:val="0"/>
        </w:numPr>
        <w:rPr>
          <w:color w:val="000000"/>
          <w:szCs w:val="22"/>
        </w:rPr>
      </w:pPr>
      <w:r w:rsidRPr="00B30A12">
        <w:rPr>
          <w:color w:val="000000"/>
          <w:szCs w:val="22"/>
        </w:rPr>
        <w:t>A. ETIKETTIERUNG</w:t>
      </w:r>
    </w:p>
    <w:p w14:paraId="42E89C0B" w14:textId="77777777" w:rsidR="00AB6D5E" w:rsidRPr="00B30A12" w:rsidRDefault="00AB6D5E" w:rsidP="00AB6D5E">
      <w:pPr>
        <w:shd w:val="clear" w:color="auto" w:fill="FFFFFF"/>
        <w:rPr>
          <w:color w:val="000000"/>
          <w:sz w:val="22"/>
          <w:szCs w:val="22"/>
        </w:rPr>
      </w:pPr>
      <w:r w:rsidRPr="00B30A12">
        <w:rPr>
          <w:color w:val="000000"/>
          <w:sz w:val="22"/>
          <w:szCs w:val="22"/>
        </w:rPr>
        <w:br w:type="page"/>
      </w:r>
    </w:p>
    <w:p w14:paraId="0214C658" w14:textId="77777777" w:rsidR="001E3D49" w:rsidRPr="001E3D49" w:rsidRDefault="001E3D49" w:rsidP="001E3D49">
      <w:pPr>
        <w:rPr>
          <w:color w:val="000000"/>
          <w:sz w:val="22"/>
          <w:szCs w:val="22"/>
        </w:rPr>
      </w:pPr>
    </w:p>
    <w:p w14:paraId="7209D2DE"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 xml:space="preserve">ANGABEN AUF </w:t>
      </w:r>
      <w:smartTag w:uri="urn:schemas-microsoft-com:office:smarttags" w:element="stockticker">
        <w:r w:rsidRPr="00B30A12">
          <w:rPr>
            <w:b/>
            <w:color w:val="000000"/>
            <w:sz w:val="22"/>
            <w:szCs w:val="22"/>
          </w:rPr>
          <w:t>DER</w:t>
        </w:r>
      </w:smartTag>
      <w:r w:rsidRPr="00B30A12">
        <w:rPr>
          <w:b/>
          <w:color w:val="000000"/>
          <w:sz w:val="22"/>
          <w:szCs w:val="22"/>
        </w:rPr>
        <w:t xml:space="preserve"> ÄUSSEREN UMHÜLLUNG</w:t>
      </w:r>
    </w:p>
    <w:p w14:paraId="7DEB71A1"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4C731C4F" w14:textId="77777777" w:rsidR="00AB6D5E" w:rsidRPr="00B30A12" w:rsidRDefault="00E745E2"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UMKARTON</w:t>
      </w:r>
    </w:p>
    <w:p w14:paraId="7711CF0C" w14:textId="77777777" w:rsidR="00AB6D5E" w:rsidRPr="00B30A12" w:rsidRDefault="00AB6D5E" w:rsidP="00AB6D5E">
      <w:pPr>
        <w:ind w:left="-142" w:firstLine="142"/>
        <w:rPr>
          <w:color w:val="000000"/>
          <w:sz w:val="22"/>
          <w:szCs w:val="22"/>
        </w:rPr>
      </w:pPr>
    </w:p>
    <w:p w14:paraId="01410316" w14:textId="77777777" w:rsidR="00AB6D5E" w:rsidRPr="00B30A12" w:rsidRDefault="00AB6D5E" w:rsidP="00AB6D5E">
      <w:pPr>
        <w:ind w:left="-142" w:firstLine="142"/>
        <w:rPr>
          <w:color w:val="000000"/>
          <w:sz w:val="22"/>
          <w:szCs w:val="22"/>
        </w:rPr>
      </w:pPr>
    </w:p>
    <w:p w14:paraId="3620230F"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09EDB58B" w14:textId="77777777" w:rsidR="00AB6D5E" w:rsidRPr="00B30A12" w:rsidRDefault="00AB6D5E" w:rsidP="00AB6D5E">
      <w:pPr>
        <w:rPr>
          <w:color w:val="000000"/>
          <w:sz w:val="22"/>
          <w:szCs w:val="22"/>
        </w:rPr>
      </w:pPr>
    </w:p>
    <w:p w14:paraId="7F5A522F" w14:textId="77777777" w:rsidR="00AB6D5E" w:rsidRPr="00B30A12" w:rsidRDefault="00AB6D5E" w:rsidP="00AB6D5E">
      <w:pPr>
        <w:widowControl w:val="0"/>
        <w:rPr>
          <w:color w:val="000000"/>
          <w:sz w:val="22"/>
          <w:szCs w:val="22"/>
        </w:rPr>
      </w:pPr>
      <w:r w:rsidRPr="00B30A12">
        <w:rPr>
          <w:color w:val="000000"/>
          <w:sz w:val="22"/>
          <w:szCs w:val="22"/>
        </w:rPr>
        <w:t>Glivec 100 mg Hartkapseln</w:t>
      </w:r>
    </w:p>
    <w:p w14:paraId="470FDA39" w14:textId="77777777" w:rsidR="00AB6D5E" w:rsidRPr="00B30A12" w:rsidRDefault="00AB6D5E" w:rsidP="00AB6D5E">
      <w:pPr>
        <w:widowControl w:val="0"/>
        <w:rPr>
          <w:color w:val="000000"/>
          <w:sz w:val="22"/>
          <w:szCs w:val="22"/>
        </w:rPr>
      </w:pPr>
      <w:r w:rsidRPr="00B30A12">
        <w:rPr>
          <w:color w:val="000000"/>
          <w:sz w:val="22"/>
          <w:szCs w:val="22"/>
        </w:rPr>
        <w:t>Imatinib</w:t>
      </w:r>
    </w:p>
    <w:p w14:paraId="46338E01" w14:textId="77777777" w:rsidR="00AB6D5E" w:rsidRPr="00B30A12" w:rsidRDefault="00AB6D5E" w:rsidP="00AB6D5E">
      <w:pPr>
        <w:rPr>
          <w:color w:val="000000"/>
          <w:sz w:val="22"/>
          <w:szCs w:val="22"/>
          <w:u w:val="single"/>
        </w:rPr>
      </w:pPr>
    </w:p>
    <w:p w14:paraId="42DB9946" w14:textId="77777777" w:rsidR="00AB6D5E" w:rsidRPr="00B30A12" w:rsidRDefault="00AB6D5E" w:rsidP="00AB6D5E">
      <w:pPr>
        <w:rPr>
          <w:color w:val="000000"/>
          <w:sz w:val="22"/>
          <w:szCs w:val="22"/>
          <w:u w:val="single"/>
        </w:rPr>
      </w:pPr>
    </w:p>
    <w:p w14:paraId="7D93F54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WIRKSTOFF(E)</w:t>
      </w:r>
    </w:p>
    <w:p w14:paraId="3034D538" w14:textId="77777777" w:rsidR="00AB6D5E" w:rsidRPr="00B30A12" w:rsidRDefault="00AB6D5E" w:rsidP="00AB6D5E">
      <w:pPr>
        <w:rPr>
          <w:color w:val="000000"/>
          <w:sz w:val="22"/>
          <w:szCs w:val="22"/>
        </w:rPr>
      </w:pPr>
    </w:p>
    <w:p w14:paraId="75E4A313" w14:textId="77777777" w:rsidR="00AB6D5E" w:rsidRPr="00B30A12" w:rsidRDefault="00AB6D5E" w:rsidP="00AB6D5E">
      <w:pPr>
        <w:widowControl w:val="0"/>
        <w:rPr>
          <w:color w:val="000000"/>
          <w:sz w:val="22"/>
          <w:szCs w:val="22"/>
        </w:rPr>
      </w:pPr>
      <w:r w:rsidRPr="00B30A12">
        <w:rPr>
          <w:color w:val="000000"/>
          <w:sz w:val="22"/>
          <w:szCs w:val="22"/>
        </w:rPr>
        <w:t>Jede Kapsel enthält 100 mg Imatinib (als Mesilat).</w:t>
      </w:r>
    </w:p>
    <w:p w14:paraId="5F511905" w14:textId="77777777" w:rsidR="00AB6D5E" w:rsidRPr="00B30A12" w:rsidRDefault="00AB6D5E" w:rsidP="00AB6D5E">
      <w:pPr>
        <w:rPr>
          <w:color w:val="000000"/>
          <w:sz w:val="22"/>
          <w:szCs w:val="22"/>
        </w:rPr>
      </w:pPr>
    </w:p>
    <w:p w14:paraId="4539BE3E" w14:textId="77777777" w:rsidR="00AB6D5E" w:rsidRPr="00B30A12" w:rsidRDefault="00AB6D5E" w:rsidP="00AB6D5E">
      <w:pPr>
        <w:rPr>
          <w:color w:val="000000"/>
          <w:sz w:val="22"/>
          <w:szCs w:val="22"/>
        </w:rPr>
      </w:pPr>
    </w:p>
    <w:p w14:paraId="534419CD"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SONSTIGE BESTANDTEILE</w:t>
      </w:r>
    </w:p>
    <w:p w14:paraId="769EC009" w14:textId="77777777" w:rsidR="00AB6D5E" w:rsidRPr="00B30A12" w:rsidRDefault="00AB6D5E" w:rsidP="00AB6D5E">
      <w:pPr>
        <w:rPr>
          <w:color w:val="000000"/>
          <w:sz w:val="22"/>
          <w:szCs w:val="22"/>
        </w:rPr>
      </w:pPr>
    </w:p>
    <w:p w14:paraId="433A0F0F" w14:textId="77777777" w:rsidR="00AB6D5E" w:rsidRPr="00B30A12" w:rsidRDefault="00AB6D5E" w:rsidP="00AB6D5E">
      <w:pPr>
        <w:rPr>
          <w:color w:val="000000"/>
          <w:sz w:val="22"/>
          <w:szCs w:val="22"/>
        </w:rPr>
      </w:pPr>
    </w:p>
    <w:p w14:paraId="25607A9B"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DARREICHUNGSFORM UND INHALT</w:t>
      </w:r>
    </w:p>
    <w:p w14:paraId="014C6314" w14:textId="77777777" w:rsidR="00AB6D5E" w:rsidRPr="00B30A12" w:rsidRDefault="00AB6D5E" w:rsidP="00AB6D5E">
      <w:pPr>
        <w:rPr>
          <w:color w:val="000000"/>
          <w:sz w:val="22"/>
          <w:szCs w:val="22"/>
        </w:rPr>
      </w:pPr>
    </w:p>
    <w:p w14:paraId="6A81B6C7" w14:textId="77777777" w:rsidR="00AB6D5E" w:rsidRPr="00B30A12" w:rsidRDefault="00AB6D5E" w:rsidP="00AB6D5E">
      <w:pPr>
        <w:widowControl w:val="0"/>
        <w:rPr>
          <w:color w:val="000000"/>
          <w:sz w:val="22"/>
          <w:szCs w:val="22"/>
        </w:rPr>
      </w:pPr>
      <w:r w:rsidRPr="00B30A12">
        <w:rPr>
          <w:color w:val="000000"/>
          <w:sz w:val="22"/>
          <w:szCs w:val="22"/>
        </w:rPr>
        <w:t>24 Hartkapseln</w:t>
      </w:r>
    </w:p>
    <w:p w14:paraId="0D4DD932"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48 Hartkapseln</w:t>
      </w:r>
    </w:p>
    <w:p w14:paraId="7E921D7D"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96 Hartkapseln</w:t>
      </w:r>
    </w:p>
    <w:p w14:paraId="46824BCE"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120 Hartkapseln</w:t>
      </w:r>
    </w:p>
    <w:p w14:paraId="0FA3005F"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180 Hartkapseln</w:t>
      </w:r>
    </w:p>
    <w:p w14:paraId="7B51EA84" w14:textId="77777777" w:rsidR="00AB6D5E" w:rsidRPr="00B30A12" w:rsidRDefault="00AB6D5E" w:rsidP="00AB6D5E">
      <w:pPr>
        <w:rPr>
          <w:color w:val="000000"/>
          <w:sz w:val="22"/>
          <w:szCs w:val="22"/>
        </w:rPr>
      </w:pPr>
    </w:p>
    <w:p w14:paraId="109EB807" w14:textId="77777777" w:rsidR="00AB6D5E" w:rsidRPr="00B30A12" w:rsidRDefault="00AB6D5E" w:rsidP="00AB6D5E">
      <w:pPr>
        <w:rPr>
          <w:color w:val="000000"/>
          <w:sz w:val="22"/>
          <w:szCs w:val="22"/>
        </w:rPr>
      </w:pPr>
    </w:p>
    <w:p w14:paraId="34069193"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5.</w:t>
      </w:r>
      <w:r w:rsidRPr="00B30A12">
        <w:rPr>
          <w:b/>
          <w:color w:val="000000"/>
          <w:sz w:val="22"/>
          <w:szCs w:val="22"/>
        </w:rPr>
        <w:tab/>
        <w:t xml:space="preserve">HINWEISE ZUR UND </w:t>
      </w:r>
      <w:smartTag w:uri="urn:schemas-microsoft-com:office:smarttags" w:element="stockticker">
        <w:r w:rsidRPr="00B30A12">
          <w:rPr>
            <w:b/>
            <w:color w:val="000000"/>
            <w:sz w:val="22"/>
            <w:szCs w:val="22"/>
          </w:rPr>
          <w:t>ART</w:t>
        </w:r>
      </w:smartTag>
      <w:r w:rsidRPr="00B30A12">
        <w:rPr>
          <w:b/>
          <w:color w:val="000000"/>
          <w:sz w:val="22"/>
          <w:szCs w:val="22"/>
        </w:rPr>
        <w:t xml:space="preserve">(EN) </w:t>
      </w:r>
      <w:smartTag w:uri="urn:schemas-microsoft-com:office:smarttags" w:element="stockticker">
        <w:r w:rsidRPr="00B30A12">
          <w:rPr>
            <w:b/>
            <w:color w:val="000000"/>
            <w:sz w:val="22"/>
            <w:szCs w:val="22"/>
          </w:rPr>
          <w:t>DER</w:t>
        </w:r>
      </w:smartTag>
      <w:r w:rsidRPr="00B30A12">
        <w:rPr>
          <w:b/>
          <w:color w:val="000000"/>
          <w:sz w:val="22"/>
          <w:szCs w:val="22"/>
        </w:rPr>
        <w:t xml:space="preserve"> ANWENDUNG</w:t>
      </w:r>
    </w:p>
    <w:p w14:paraId="7B0B949B" w14:textId="77777777" w:rsidR="00AB6D5E" w:rsidRPr="00B30A12" w:rsidRDefault="00AB6D5E" w:rsidP="00AB6D5E">
      <w:pPr>
        <w:rPr>
          <w:color w:val="000000"/>
          <w:sz w:val="22"/>
          <w:szCs w:val="22"/>
        </w:rPr>
      </w:pPr>
    </w:p>
    <w:p w14:paraId="06510735" w14:textId="77777777" w:rsidR="00AB6D5E" w:rsidRPr="00B30A12" w:rsidRDefault="00AB6D5E" w:rsidP="00AB6D5E">
      <w:pPr>
        <w:widowControl w:val="0"/>
        <w:rPr>
          <w:color w:val="000000"/>
          <w:sz w:val="22"/>
          <w:szCs w:val="22"/>
        </w:rPr>
      </w:pPr>
      <w:r w:rsidRPr="00B30A12">
        <w:rPr>
          <w:color w:val="000000"/>
          <w:sz w:val="22"/>
          <w:szCs w:val="22"/>
        </w:rPr>
        <w:t>Zum Einnehmen. Packungsbeilage beachten.</w:t>
      </w:r>
    </w:p>
    <w:p w14:paraId="6D8E2A55" w14:textId="77777777" w:rsidR="00AB6D5E" w:rsidRPr="00B30A12" w:rsidRDefault="00AB6D5E" w:rsidP="00AB6D5E">
      <w:pPr>
        <w:rPr>
          <w:color w:val="000000"/>
          <w:sz w:val="22"/>
          <w:szCs w:val="22"/>
        </w:rPr>
      </w:pPr>
    </w:p>
    <w:p w14:paraId="01FAF3EC" w14:textId="77777777" w:rsidR="00AB6D5E" w:rsidRPr="00B30A12" w:rsidRDefault="00AB6D5E" w:rsidP="00AB6D5E">
      <w:pPr>
        <w:rPr>
          <w:color w:val="000000"/>
          <w:sz w:val="22"/>
          <w:szCs w:val="22"/>
        </w:rPr>
      </w:pPr>
    </w:p>
    <w:p w14:paraId="136C4DB9"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6.</w:t>
      </w:r>
      <w:r w:rsidRPr="00B30A12">
        <w:rPr>
          <w:b/>
          <w:color w:val="000000"/>
          <w:sz w:val="22"/>
          <w:szCs w:val="22"/>
        </w:rPr>
        <w:tab/>
        <w:t xml:space="preserve">WARNHINWEIS, DASS DAS ARZNEIMITTEL FÜR KINDER </w:t>
      </w:r>
      <w:r w:rsidR="00FE1A89" w:rsidRPr="00B30A12">
        <w:rPr>
          <w:b/>
          <w:sz w:val="22"/>
          <w:szCs w:val="22"/>
        </w:rPr>
        <w:t xml:space="preserve">UNZUGÄNGLICH </w:t>
      </w:r>
      <w:r w:rsidRPr="00B30A12">
        <w:rPr>
          <w:b/>
          <w:color w:val="000000"/>
          <w:sz w:val="22"/>
          <w:szCs w:val="22"/>
        </w:rPr>
        <w:t>AUFZUBEWAHREN IST</w:t>
      </w:r>
    </w:p>
    <w:p w14:paraId="3CEE7366" w14:textId="77777777" w:rsidR="00AB6D5E" w:rsidRPr="00B30A12" w:rsidRDefault="00AB6D5E" w:rsidP="00AB6D5E">
      <w:pPr>
        <w:rPr>
          <w:color w:val="000000"/>
          <w:sz w:val="22"/>
          <w:szCs w:val="22"/>
        </w:rPr>
      </w:pPr>
    </w:p>
    <w:p w14:paraId="22CDDB96" w14:textId="77777777" w:rsidR="00AB6D5E" w:rsidRPr="00B30A12" w:rsidRDefault="00AB6D5E" w:rsidP="00AB6D5E">
      <w:pPr>
        <w:pStyle w:val="Heading3"/>
        <w:keepNext w:val="0"/>
        <w:widowControl w:val="0"/>
        <w:numPr>
          <w:ilvl w:val="0"/>
          <w:numId w:val="0"/>
        </w:numPr>
        <w:spacing w:line="240" w:lineRule="auto"/>
        <w:jc w:val="left"/>
        <w:rPr>
          <w:color w:val="000000"/>
          <w:szCs w:val="22"/>
        </w:rPr>
      </w:pPr>
      <w:r w:rsidRPr="00B30A12">
        <w:rPr>
          <w:color w:val="000000"/>
          <w:szCs w:val="22"/>
        </w:rPr>
        <w:t>Arzneimittel für Kinder unzugänglich aufbewahren.</w:t>
      </w:r>
    </w:p>
    <w:p w14:paraId="4E6DC090" w14:textId="77777777" w:rsidR="00AB6D5E" w:rsidRPr="00B30A12" w:rsidRDefault="00AB6D5E" w:rsidP="00AB6D5E">
      <w:pPr>
        <w:rPr>
          <w:color w:val="000000"/>
          <w:sz w:val="22"/>
          <w:szCs w:val="22"/>
        </w:rPr>
      </w:pPr>
    </w:p>
    <w:p w14:paraId="6381418E" w14:textId="77777777" w:rsidR="00AB6D5E" w:rsidRPr="00B30A12" w:rsidRDefault="00AB6D5E" w:rsidP="00AB6D5E">
      <w:pPr>
        <w:rPr>
          <w:color w:val="000000"/>
          <w:sz w:val="22"/>
          <w:szCs w:val="22"/>
        </w:rPr>
      </w:pPr>
    </w:p>
    <w:p w14:paraId="70BCDE57"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7.</w:t>
      </w:r>
      <w:r w:rsidRPr="00B30A12">
        <w:rPr>
          <w:b/>
          <w:color w:val="000000"/>
          <w:sz w:val="22"/>
          <w:szCs w:val="22"/>
        </w:rPr>
        <w:tab/>
        <w:t>WEITERE WARNHINWEISE, FALLS ERFORDERLICH</w:t>
      </w:r>
    </w:p>
    <w:p w14:paraId="18AAB62E" w14:textId="77777777" w:rsidR="00AB6D5E" w:rsidRPr="00B30A12" w:rsidRDefault="00AB6D5E" w:rsidP="00AB6D5E">
      <w:pPr>
        <w:rPr>
          <w:color w:val="000000"/>
          <w:sz w:val="22"/>
          <w:szCs w:val="22"/>
        </w:rPr>
      </w:pPr>
    </w:p>
    <w:p w14:paraId="681BBEE0" w14:textId="77777777" w:rsidR="00AB6D5E" w:rsidRPr="00B30A12" w:rsidRDefault="00AB6D5E" w:rsidP="00AB6D5E">
      <w:pPr>
        <w:widowControl w:val="0"/>
        <w:rPr>
          <w:color w:val="000000"/>
          <w:sz w:val="22"/>
          <w:szCs w:val="22"/>
        </w:rPr>
      </w:pPr>
      <w:r w:rsidRPr="00B30A12">
        <w:rPr>
          <w:color w:val="000000"/>
          <w:sz w:val="22"/>
          <w:szCs w:val="22"/>
        </w:rPr>
        <w:t>Nur nach Anweisung des Arztes anwenden.</w:t>
      </w:r>
    </w:p>
    <w:p w14:paraId="0B76921C" w14:textId="77777777" w:rsidR="00AB6D5E" w:rsidRPr="00B30A12" w:rsidRDefault="00AB6D5E" w:rsidP="00AB6D5E">
      <w:pPr>
        <w:rPr>
          <w:color w:val="000000"/>
          <w:sz w:val="22"/>
          <w:szCs w:val="22"/>
        </w:rPr>
      </w:pPr>
    </w:p>
    <w:p w14:paraId="5ED003E0" w14:textId="77777777" w:rsidR="00AB6D5E" w:rsidRPr="00B30A12" w:rsidRDefault="00AB6D5E" w:rsidP="00AB6D5E">
      <w:pPr>
        <w:rPr>
          <w:color w:val="000000"/>
          <w:sz w:val="22"/>
          <w:szCs w:val="22"/>
        </w:rPr>
      </w:pPr>
    </w:p>
    <w:p w14:paraId="6D31A20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8.</w:t>
      </w:r>
      <w:r w:rsidRPr="00B30A12">
        <w:rPr>
          <w:b/>
          <w:color w:val="000000"/>
          <w:sz w:val="22"/>
          <w:szCs w:val="22"/>
        </w:rPr>
        <w:tab/>
        <w:t>VERFALLDATUM</w:t>
      </w:r>
    </w:p>
    <w:p w14:paraId="2422F2B1" w14:textId="77777777" w:rsidR="00AB6D5E" w:rsidRPr="00B30A12" w:rsidRDefault="00AB6D5E" w:rsidP="00AB6D5E">
      <w:pPr>
        <w:rPr>
          <w:color w:val="000000"/>
          <w:sz w:val="22"/>
          <w:szCs w:val="22"/>
        </w:rPr>
      </w:pPr>
    </w:p>
    <w:p w14:paraId="6BC530A9" w14:textId="77777777" w:rsidR="00AB6D5E" w:rsidRPr="00B30A12" w:rsidRDefault="00AB6D5E" w:rsidP="00AB6D5E">
      <w:pPr>
        <w:widowControl w:val="0"/>
        <w:rPr>
          <w:color w:val="000000"/>
          <w:sz w:val="22"/>
          <w:szCs w:val="22"/>
        </w:rPr>
      </w:pPr>
      <w:r w:rsidRPr="00B30A12">
        <w:rPr>
          <w:color w:val="000000"/>
          <w:sz w:val="22"/>
          <w:szCs w:val="22"/>
        </w:rPr>
        <w:t>Verwendbar bis</w:t>
      </w:r>
    </w:p>
    <w:p w14:paraId="06E8C4B9" w14:textId="77777777" w:rsidR="00AB6D5E" w:rsidRPr="00B30A12" w:rsidRDefault="00AB6D5E" w:rsidP="00AB6D5E">
      <w:pPr>
        <w:rPr>
          <w:color w:val="000000"/>
          <w:sz w:val="22"/>
          <w:szCs w:val="22"/>
        </w:rPr>
      </w:pPr>
    </w:p>
    <w:p w14:paraId="2ACFB477" w14:textId="77777777" w:rsidR="00AB6D5E" w:rsidRPr="00B30A12" w:rsidRDefault="00AB6D5E" w:rsidP="00AB6D5E">
      <w:pPr>
        <w:rPr>
          <w:color w:val="000000"/>
          <w:sz w:val="22"/>
          <w:szCs w:val="22"/>
        </w:rPr>
      </w:pPr>
    </w:p>
    <w:p w14:paraId="7D4B091A"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9.</w:t>
      </w:r>
      <w:r w:rsidRPr="00B30A12">
        <w:rPr>
          <w:b/>
          <w:color w:val="000000"/>
          <w:sz w:val="22"/>
          <w:szCs w:val="22"/>
        </w:rPr>
        <w:tab/>
        <w:t xml:space="preserve">BESONDERE </w:t>
      </w:r>
      <w:r w:rsidR="00BF10B5" w:rsidRPr="00B30A12">
        <w:rPr>
          <w:b/>
          <w:color w:val="000000"/>
          <w:sz w:val="22"/>
          <w:szCs w:val="22"/>
        </w:rPr>
        <w:t>VORSICHTSMASSNAHMEN FÜR DIE AUFBEWAHRUNG</w:t>
      </w:r>
    </w:p>
    <w:p w14:paraId="42A91C69" w14:textId="77777777" w:rsidR="00AB6D5E" w:rsidRPr="00B30A12" w:rsidRDefault="00AB6D5E" w:rsidP="00AB6D5E">
      <w:pPr>
        <w:rPr>
          <w:color w:val="000000"/>
          <w:sz w:val="22"/>
          <w:szCs w:val="22"/>
        </w:rPr>
      </w:pPr>
    </w:p>
    <w:p w14:paraId="6CB3CC9F" w14:textId="77777777" w:rsidR="00AB6D5E" w:rsidRPr="00B30A12" w:rsidRDefault="00AB6D5E" w:rsidP="00AB6D5E">
      <w:pPr>
        <w:widowControl w:val="0"/>
        <w:rPr>
          <w:color w:val="000000"/>
          <w:sz w:val="22"/>
          <w:szCs w:val="22"/>
        </w:rPr>
      </w:pPr>
      <w:r w:rsidRPr="00B30A12">
        <w:rPr>
          <w:color w:val="000000"/>
          <w:sz w:val="22"/>
          <w:szCs w:val="22"/>
        </w:rPr>
        <w:t>Nicht über 30°C lagern. In der Originalverpackung aufbewahren, um den Inhalt vor Feuchtigkeit zu schützen.</w:t>
      </w:r>
    </w:p>
    <w:p w14:paraId="48BDDFDB" w14:textId="77777777" w:rsidR="00AB6D5E" w:rsidRPr="00B30A12" w:rsidRDefault="00AB6D5E" w:rsidP="00AB6D5E">
      <w:pPr>
        <w:rPr>
          <w:color w:val="000000"/>
          <w:sz w:val="22"/>
          <w:szCs w:val="22"/>
        </w:rPr>
      </w:pPr>
    </w:p>
    <w:p w14:paraId="3741A435" w14:textId="77777777" w:rsidR="00AB6D5E" w:rsidRPr="00B30A12" w:rsidRDefault="00AB6D5E" w:rsidP="00AB6D5E">
      <w:pPr>
        <w:rPr>
          <w:color w:val="000000"/>
          <w:sz w:val="22"/>
          <w:szCs w:val="22"/>
        </w:rPr>
      </w:pPr>
    </w:p>
    <w:p w14:paraId="6C45625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10.</w:t>
      </w:r>
      <w:r w:rsidRPr="00B30A12">
        <w:rPr>
          <w:b/>
          <w:color w:val="000000"/>
          <w:sz w:val="22"/>
          <w:szCs w:val="22"/>
        </w:rPr>
        <w:tab/>
        <w:t>GEGEBENENFALLS BESONDERE VORSICHTSMASSNAHMEN FÜR DIE BESEITIGUNG VON NICHT VERWENDETEM ARZNEIMITTEL ODER DAVON STAMMENDEN ABFALLMATERIALIEN</w:t>
      </w:r>
    </w:p>
    <w:p w14:paraId="3CD987D5" w14:textId="77777777" w:rsidR="00AB6D5E" w:rsidRPr="00B30A12" w:rsidRDefault="00AB6D5E" w:rsidP="00AB6D5E">
      <w:pPr>
        <w:rPr>
          <w:color w:val="000000"/>
          <w:sz w:val="22"/>
          <w:szCs w:val="22"/>
        </w:rPr>
      </w:pPr>
    </w:p>
    <w:p w14:paraId="003CB818" w14:textId="77777777" w:rsidR="00AB6D5E" w:rsidRPr="00B30A12" w:rsidRDefault="00AB6D5E" w:rsidP="00AB6D5E">
      <w:pPr>
        <w:rPr>
          <w:color w:val="000000"/>
          <w:sz w:val="22"/>
          <w:szCs w:val="22"/>
        </w:rPr>
      </w:pPr>
    </w:p>
    <w:p w14:paraId="346F2FA9"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11.</w:t>
      </w:r>
      <w:r w:rsidRPr="00B30A12">
        <w:rPr>
          <w:b/>
          <w:color w:val="000000"/>
          <w:sz w:val="22"/>
          <w:szCs w:val="22"/>
        </w:rPr>
        <w:tab/>
        <w:t xml:space="preserve">NAME UND ANSCHRIFT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2884300D" w14:textId="77777777" w:rsidR="00AB6D5E" w:rsidRPr="00B30A12" w:rsidRDefault="00AB6D5E" w:rsidP="00AB6D5E">
      <w:pPr>
        <w:ind w:left="567" w:hanging="567"/>
        <w:rPr>
          <w:color w:val="000000"/>
          <w:sz w:val="22"/>
          <w:szCs w:val="22"/>
        </w:rPr>
      </w:pPr>
    </w:p>
    <w:p w14:paraId="723439C9" w14:textId="77777777" w:rsidR="00AB6D5E" w:rsidRPr="00B30A12" w:rsidRDefault="00AB6D5E" w:rsidP="000C47C6">
      <w:pPr>
        <w:keepNext/>
        <w:widowControl w:val="0"/>
        <w:ind w:left="567" w:hanging="567"/>
        <w:rPr>
          <w:color w:val="000000"/>
          <w:sz w:val="22"/>
          <w:szCs w:val="22"/>
          <w:lang w:val="en-US"/>
        </w:rPr>
      </w:pPr>
      <w:r w:rsidRPr="00B30A12">
        <w:rPr>
          <w:color w:val="000000"/>
          <w:sz w:val="22"/>
          <w:szCs w:val="22"/>
          <w:lang w:val="en-US"/>
        </w:rPr>
        <w:t>Novartis Europharm Limited</w:t>
      </w:r>
    </w:p>
    <w:p w14:paraId="5899D6C5"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20D11C0F"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112E32C9" w14:textId="77777777" w:rsidR="002C158B" w:rsidRPr="002C158B" w:rsidRDefault="002C158B" w:rsidP="002C158B">
      <w:pPr>
        <w:keepNext/>
        <w:widowControl w:val="0"/>
        <w:rPr>
          <w:color w:val="000000"/>
          <w:sz w:val="22"/>
          <w:szCs w:val="22"/>
        </w:rPr>
      </w:pPr>
      <w:r w:rsidRPr="002C158B">
        <w:rPr>
          <w:color w:val="000000"/>
          <w:sz w:val="22"/>
          <w:szCs w:val="22"/>
        </w:rPr>
        <w:t>Dublin 4</w:t>
      </w:r>
    </w:p>
    <w:p w14:paraId="345EF980" w14:textId="77777777" w:rsidR="00AB6D5E" w:rsidRPr="00B30A12" w:rsidRDefault="002C158B" w:rsidP="00AB6D5E">
      <w:pPr>
        <w:widowControl w:val="0"/>
        <w:ind w:left="567" w:hanging="567"/>
        <w:rPr>
          <w:color w:val="000000"/>
          <w:sz w:val="22"/>
          <w:szCs w:val="22"/>
        </w:rPr>
      </w:pPr>
      <w:r w:rsidRPr="002C158B">
        <w:rPr>
          <w:color w:val="000000"/>
          <w:sz w:val="22"/>
          <w:szCs w:val="22"/>
        </w:rPr>
        <w:t>Irland</w:t>
      </w:r>
    </w:p>
    <w:p w14:paraId="3A966AFB" w14:textId="77777777" w:rsidR="00AB6D5E" w:rsidRPr="00B30A12" w:rsidRDefault="00AB6D5E" w:rsidP="00AB6D5E">
      <w:pPr>
        <w:ind w:left="567" w:hanging="567"/>
        <w:rPr>
          <w:color w:val="000000"/>
          <w:sz w:val="22"/>
          <w:szCs w:val="22"/>
        </w:rPr>
      </w:pPr>
    </w:p>
    <w:p w14:paraId="379303F7" w14:textId="77777777" w:rsidR="00AB6D5E" w:rsidRPr="00B30A12" w:rsidRDefault="00AB6D5E" w:rsidP="00AB6D5E">
      <w:pPr>
        <w:ind w:left="567" w:hanging="567"/>
        <w:rPr>
          <w:color w:val="000000"/>
          <w:sz w:val="22"/>
          <w:szCs w:val="22"/>
        </w:rPr>
      </w:pPr>
    </w:p>
    <w:p w14:paraId="1E0BD9F9"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12.</w:t>
      </w:r>
      <w:r w:rsidRPr="00B30A12">
        <w:rPr>
          <w:b/>
          <w:color w:val="000000"/>
          <w:sz w:val="22"/>
          <w:szCs w:val="22"/>
        </w:rPr>
        <w:tab/>
        <w:t>ZULASSUNGSNUMMER(N)</w:t>
      </w:r>
    </w:p>
    <w:p w14:paraId="47B5E49F" w14:textId="77777777" w:rsidR="00AB6D5E" w:rsidRPr="00B30A12" w:rsidRDefault="00AB6D5E" w:rsidP="00AB6D5E">
      <w:pPr>
        <w:ind w:left="567" w:hanging="567"/>
        <w:rPr>
          <w:color w:val="000000"/>
          <w:sz w:val="22"/>
          <w:szCs w:val="22"/>
        </w:rPr>
      </w:pPr>
    </w:p>
    <w:p w14:paraId="28108653"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rPr>
        <w:t>EU/1/01/198/002</w:t>
      </w:r>
      <w:r w:rsidRPr="00B30A12">
        <w:rPr>
          <w:color w:val="000000"/>
          <w:sz w:val="22"/>
          <w:szCs w:val="22"/>
        </w:rPr>
        <w:tab/>
      </w:r>
      <w:r w:rsidRPr="00B30A12">
        <w:rPr>
          <w:color w:val="000000"/>
          <w:sz w:val="22"/>
          <w:szCs w:val="22"/>
          <w:shd w:val="clear" w:color="auto" w:fill="D9D9D9"/>
        </w:rPr>
        <w:t>24 Kapseln</w:t>
      </w:r>
    </w:p>
    <w:p w14:paraId="1CFDDA79"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shd w:val="clear" w:color="auto" w:fill="D9D9D9"/>
        </w:rPr>
        <w:t>EU/1/01/198/003</w:t>
      </w:r>
      <w:r w:rsidRPr="00B30A12">
        <w:rPr>
          <w:color w:val="000000"/>
          <w:sz w:val="22"/>
          <w:szCs w:val="22"/>
          <w:shd w:val="clear" w:color="auto" w:fill="D9D9D9"/>
        </w:rPr>
        <w:tab/>
        <w:t>48 Kapseln</w:t>
      </w:r>
    </w:p>
    <w:p w14:paraId="51B30FE6"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shd w:val="clear" w:color="auto" w:fill="D9D9D9"/>
        </w:rPr>
        <w:t>EU/1/01/198/004</w:t>
      </w:r>
      <w:r w:rsidRPr="00B30A12">
        <w:rPr>
          <w:color w:val="000000"/>
          <w:sz w:val="22"/>
          <w:szCs w:val="22"/>
          <w:shd w:val="clear" w:color="auto" w:fill="D9D9D9"/>
        </w:rPr>
        <w:tab/>
        <w:t>96 Kapseln</w:t>
      </w:r>
    </w:p>
    <w:p w14:paraId="5D75D061"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shd w:val="clear" w:color="auto" w:fill="D9D9D9"/>
        </w:rPr>
        <w:t>EU/1/01/198/005</w:t>
      </w:r>
      <w:r w:rsidRPr="00B30A12">
        <w:rPr>
          <w:color w:val="000000"/>
          <w:sz w:val="22"/>
          <w:szCs w:val="22"/>
          <w:shd w:val="clear" w:color="auto" w:fill="D9D9D9"/>
        </w:rPr>
        <w:tab/>
        <w:t>120 Kapseln</w:t>
      </w:r>
    </w:p>
    <w:p w14:paraId="0BC813AD"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shd w:val="clear" w:color="auto" w:fill="D9D9D9"/>
        </w:rPr>
        <w:t>EU/1/01/198/006</w:t>
      </w:r>
      <w:r w:rsidRPr="00B30A12">
        <w:rPr>
          <w:color w:val="000000"/>
          <w:sz w:val="22"/>
          <w:szCs w:val="22"/>
          <w:shd w:val="clear" w:color="auto" w:fill="D9D9D9"/>
        </w:rPr>
        <w:tab/>
        <w:t>180 Kapseln</w:t>
      </w:r>
    </w:p>
    <w:p w14:paraId="15A77FAF" w14:textId="77777777" w:rsidR="00AB6D5E" w:rsidRPr="00B30A12" w:rsidRDefault="00AB6D5E" w:rsidP="00AB6D5E">
      <w:pPr>
        <w:pStyle w:val="Header"/>
        <w:widowControl w:val="0"/>
        <w:tabs>
          <w:tab w:val="clear" w:pos="4320"/>
          <w:tab w:val="clear" w:pos="8640"/>
        </w:tabs>
        <w:rPr>
          <w:color w:val="000000"/>
          <w:szCs w:val="22"/>
        </w:rPr>
      </w:pPr>
    </w:p>
    <w:p w14:paraId="55DA1A04" w14:textId="77777777" w:rsidR="00AB6D5E" w:rsidRPr="00B30A12" w:rsidRDefault="00AB6D5E" w:rsidP="00AB6D5E">
      <w:pPr>
        <w:rPr>
          <w:color w:val="000000"/>
          <w:sz w:val="22"/>
          <w:szCs w:val="22"/>
        </w:rPr>
      </w:pPr>
    </w:p>
    <w:p w14:paraId="2B24E33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13.</w:t>
      </w:r>
      <w:r w:rsidRPr="00B30A12">
        <w:rPr>
          <w:b/>
          <w:color w:val="000000"/>
          <w:sz w:val="22"/>
          <w:szCs w:val="22"/>
        </w:rPr>
        <w:tab/>
        <w:t>CHARGENBEZEICHNUNG</w:t>
      </w:r>
    </w:p>
    <w:p w14:paraId="412CC38A" w14:textId="77777777" w:rsidR="00AB6D5E" w:rsidRPr="00B30A12" w:rsidRDefault="00AB6D5E" w:rsidP="00AB6D5E">
      <w:pPr>
        <w:rPr>
          <w:color w:val="000000"/>
          <w:sz w:val="22"/>
          <w:szCs w:val="22"/>
        </w:rPr>
      </w:pPr>
    </w:p>
    <w:p w14:paraId="6D565ED2" w14:textId="77777777" w:rsidR="00AB6D5E" w:rsidRPr="00B30A12" w:rsidRDefault="00AB6D5E" w:rsidP="00AB6D5E">
      <w:pPr>
        <w:widowControl w:val="0"/>
        <w:rPr>
          <w:color w:val="000000"/>
          <w:sz w:val="22"/>
          <w:szCs w:val="22"/>
        </w:rPr>
      </w:pPr>
      <w:r w:rsidRPr="00B30A12">
        <w:rPr>
          <w:color w:val="000000"/>
          <w:sz w:val="22"/>
          <w:szCs w:val="22"/>
        </w:rPr>
        <w:t>Ch.-B.:</w:t>
      </w:r>
    </w:p>
    <w:p w14:paraId="25808864" w14:textId="77777777" w:rsidR="00AB6D5E" w:rsidRPr="00B30A12" w:rsidRDefault="00AB6D5E" w:rsidP="00AB6D5E">
      <w:pPr>
        <w:rPr>
          <w:color w:val="000000"/>
          <w:sz w:val="22"/>
          <w:szCs w:val="22"/>
        </w:rPr>
      </w:pPr>
    </w:p>
    <w:p w14:paraId="4EFD1F99" w14:textId="77777777" w:rsidR="00AB6D5E" w:rsidRPr="00B30A12" w:rsidRDefault="00AB6D5E" w:rsidP="00AB6D5E">
      <w:pPr>
        <w:rPr>
          <w:color w:val="000000"/>
          <w:sz w:val="22"/>
          <w:szCs w:val="22"/>
        </w:rPr>
      </w:pPr>
    </w:p>
    <w:p w14:paraId="5FB1FE0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14.</w:t>
      </w:r>
      <w:r w:rsidRPr="00B30A12">
        <w:rPr>
          <w:b/>
          <w:color w:val="000000"/>
          <w:sz w:val="22"/>
          <w:szCs w:val="22"/>
        </w:rPr>
        <w:tab/>
        <w:t>VERKAUFSABGRENZUNG</w:t>
      </w:r>
    </w:p>
    <w:p w14:paraId="4A6C583F" w14:textId="77777777" w:rsidR="00AB6D5E" w:rsidRPr="00B30A12" w:rsidRDefault="00AB6D5E" w:rsidP="00AB6D5E">
      <w:pPr>
        <w:rPr>
          <w:color w:val="000000"/>
          <w:sz w:val="22"/>
          <w:szCs w:val="22"/>
        </w:rPr>
      </w:pPr>
    </w:p>
    <w:p w14:paraId="398237B6" w14:textId="77777777" w:rsidR="00AB6D5E" w:rsidRPr="00B30A12" w:rsidRDefault="00AB6D5E" w:rsidP="00AB6D5E">
      <w:pPr>
        <w:rPr>
          <w:color w:val="000000"/>
          <w:sz w:val="22"/>
          <w:szCs w:val="22"/>
        </w:rPr>
      </w:pPr>
    </w:p>
    <w:p w14:paraId="53A01E41"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B30A12">
        <w:rPr>
          <w:b/>
          <w:caps/>
          <w:color w:val="000000"/>
          <w:sz w:val="22"/>
          <w:szCs w:val="22"/>
        </w:rPr>
        <w:t>15.</w:t>
      </w:r>
      <w:r w:rsidRPr="00B30A12">
        <w:rPr>
          <w:b/>
          <w:caps/>
          <w:color w:val="000000"/>
          <w:sz w:val="22"/>
          <w:szCs w:val="22"/>
        </w:rPr>
        <w:tab/>
        <w:t>HINWEISE FÜR DEN GEBRAUCH</w:t>
      </w:r>
    </w:p>
    <w:p w14:paraId="40B574FC" w14:textId="77777777" w:rsidR="00AB6D5E" w:rsidRPr="00B30A12" w:rsidRDefault="00AB6D5E" w:rsidP="00AB6D5E">
      <w:pPr>
        <w:rPr>
          <w:noProof/>
          <w:color w:val="000000"/>
          <w:sz w:val="22"/>
          <w:szCs w:val="22"/>
        </w:rPr>
      </w:pPr>
    </w:p>
    <w:p w14:paraId="0C55CB6E" w14:textId="77777777" w:rsidR="00AB6D5E" w:rsidRPr="00B30A12" w:rsidRDefault="00AB6D5E" w:rsidP="00AB6D5E">
      <w:pPr>
        <w:rPr>
          <w:noProof/>
          <w:color w:val="000000"/>
          <w:sz w:val="22"/>
          <w:szCs w:val="22"/>
        </w:rPr>
      </w:pPr>
    </w:p>
    <w:p w14:paraId="5269F34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noProof/>
          <w:color w:val="000000"/>
          <w:sz w:val="22"/>
          <w:szCs w:val="22"/>
        </w:rPr>
      </w:pPr>
      <w:r w:rsidRPr="00B30A12">
        <w:rPr>
          <w:b/>
          <w:caps/>
          <w:noProof/>
          <w:color w:val="000000"/>
          <w:sz w:val="22"/>
          <w:szCs w:val="22"/>
        </w:rPr>
        <w:t>16.</w:t>
      </w:r>
      <w:r w:rsidRPr="00B30A12">
        <w:rPr>
          <w:b/>
          <w:caps/>
          <w:noProof/>
          <w:color w:val="000000"/>
          <w:sz w:val="22"/>
          <w:szCs w:val="22"/>
        </w:rPr>
        <w:tab/>
      </w:r>
      <w:r w:rsidR="00BF10B5" w:rsidRPr="00B30A12">
        <w:rPr>
          <w:b/>
          <w:caps/>
          <w:noProof/>
          <w:color w:val="000000"/>
          <w:sz w:val="22"/>
          <w:szCs w:val="22"/>
        </w:rPr>
        <w:t>ANGABEN IN BLINDEN</w:t>
      </w:r>
      <w:r w:rsidRPr="00B30A12">
        <w:rPr>
          <w:b/>
          <w:caps/>
          <w:noProof/>
          <w:color w:val="000000"/>
          <w:sz w:val="22"/>
          <w:szCs w:val="22"/>
        </w:rPr>
        <w:t>schrift</w:t>
      </w:r>
    </w:p>
    <w:p w14:paraId="45A7E7F4" w14:textId="77777777" w:rsidR="00AB6D5E" w:rsidRPr="00B30A12" w:rsidRDefault="00AB6D5E" w:rsidP="00AB6D5E">
      <w:pPr>
        <w:rPr>
          <w:noProof/>
          <w:color w:val="000000"/>
          <w:sz w:val="22"/>
          <w:szCs w:val="22"/>
        </w:rPr>
      </w:pPr>
    </w:p>
    <w:p w14:paraId="557A55B4" w14:textId="77777777" w:rsidR="00AB6D5E" w:rsidRPr="00B30A12" w:rsidRDefault="00AB6D5E" w:rsidP="00AB6D5E">
      <w:pPr>
        <w:rPr>
          <w:color w:val="000000"/>
          <w:sz w:val="22"/>
          <w:szCs w:val="22"/>
        </w:rPr>
      </w:pPr>
      <w:r w:rsidRPr="00B30A12">
        <w:rPr>
          <w:color w:val="000000"/>
          <w:sz w:val="22"/>
          <w:szCs w:val="22"/>
        </w:rPr>
        <w:t>Glivec 100 mg</w:t>
      </w:r>
    </w:p>
    <w:p w14:paraId="5136C0F7" w14:textId="77777777" w:rsidR="00B7018B" w:rsidRPr="00B30A12" w:rsidRDefault="00B7018B" w:rsidP="00B7018B">
      <w:pPr>
        <w:rPr>
          <w:color w:val="000000"/>
          <w:sz w:val="22"/>
          <w:szCs w:val="22"/>
        </w:rPr>
      </w:pPr>
    </w:p>
    <w:p w14:paraId="3C95B71F" w14:textId="77777777" w:rsidR="00B7018B" w:rsidRPr="00B30A12" w:rsidRDefault="00B7018B" w:rsidP="00B7018B">
      <w:pPr>
        <w:widowControl w:val="0"/>
        <w:rPr>
          <w:noProof/>
          <w:sz w:val="22"/>
          <w:szCs w:val="22"/>
          <w:shd w:val="clear" w:color="auto" w:fill="CCCCCC"/>
        </w:rPr>
      </w:pPr>
    </w:p>
    <w:p w14:paraId="569EEF9C"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3"/>
        <w:outlineLvl w:val="0"/>
        <w:rPr>
          <w:i/>
          <w:noProof/>
          <w:sz w:val="22"/>
          <w:szCs w:val="22"/>
        </w:rPr>
      </w:pPr>
      <w:r w:rsidRPr="00B30A12">
        <w:rPr>
          <w:b/>
          <w:noProof/>
          <w:sz w:val="22"/>
          <w:szCs w:val="22"/>
        </w:rPr>
        <w:t>17.</w:t>
      </w:r>
      <w:r w:rsidRPr="00B30A12">
        <w:rPr>
          <w:b/>
          <w:noProof/>
          <w:sz w:val="22"/>
          <w:szCs w:val="22"/>
        </w:rPr>
        <w:tab/>
        <w:t>INDIVIDUELLES ERKENNUNGSMERKMAL – 2D-BARCODE</w:t>
      </w:r>
    </w:p>
    <w:p w14:paraId="2A5B1B39" w14:textId="77777777" w:rsidR="00B7018B" w:rsidRPr="00B30A12" w:rsidRDefault="00B7018B" w:rsidP="00B7018B">
      <w:pPr>
        <w:widowControl w:val="0"/>
        <w:rPr>
          <w:noProof/>
          <w:sz w:val="22"/>
          <w:szCs w:val="22"/>
        </w:rPr>
      </w:pPr>
    </w:p>
    <w:p w14:paraId="04303499" w14:textId="77777777" w:rsidR="00B7018B" w:rsidRPr="00B30A12" w:rsidRDefault="00B7018B" w:rsidP="00B7018B">
      <w:pPr>
        <w:widowControl w:val="0"/>
        <w:rPr>
          <w:noProof/>
          <w:sz w:val="22"/>
          <w:szCs w:val="22"/>
          <w:shd w:val="clear" w:color="auto" w:fill="CCCCCC"/>
        </w:rPr>
      </w:pPr>
      <w:r w:rsidRPr="00B30A12">
        <w:rPr>
          <w:noProof/>
          <w:sz w:val="22"/>
          <w:szCs w:val="22"/>
          <w:shd w:val="pct15" w:color="auto" w:fill="auto"/>
        </w:rPr>
        <w:t>2D-Barcode mit individuellem Erkennungsmerkmal.</w:t>
      </w:r>
    </w:p>
    <w:p w14:paraId="485E91B8" w14:textId="77777777" w:rsidR="00B7018B" w:rsidRPr="00B30A12" w:rsidRDefault="00B7018B" w:rsidP="00B7018B">
      <w:pPr>
        <w:widowControl w:val="0"/>
        <w:rPr>
          <w:noProof/>
          <w:sz w:val="22"/>
          <w:szCs w:val="22"/>
        </w:rPr>
      </w:pPr>
    </w:p>
    <w:p w14:paraId="6F092C43" w14:textId="77777777" w:rsidR="00B7018B" w:rsidRPr="00B30A12" w:rsidRDefault="00B7018B" w:rsidP="00B7018B">
      <w:pPr>
        <w:widowControl w:val="0"/>
        <w:rPr>
          <w:noProof/>
          <w:sz w:val="22"/>
          <w:szCs w:val="22"/>
        </w:rPr>
      </w:pPr>
    </w:p>
    <w:p w14:paraId="4DF4002C"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567" w:hanging="567"/>
        <w:outlineLvl w:val="0"/>
        <w:rPr>
          <w:i/>
          <w:noProof/>
          <w:sz w:val="22"/>
          <w:szCs w:val="22"/>
        </w:rPr>
      </w:pPr>
      <w:r w:rsidRPr="00B30A12">
        <w:rPr>
          <w:b/>
          <w:noProof/>
          <w:sz w:val="22"/>
          <w:szCs w:val="22"/>
        </w:rPr>
        <w:t>18.</w:t>
      </w:r>
      <w:r w:rsidRPr="00B30A12">
        <w:rPr>
          <w:b/>
          <w:noProof/>
          <w:sz w:val="22"/>
          <w:szCs w:val="22"/>
        </w:rPr>
        <w:tab/>
        <w:t>INDIVIDUELLES ERKENNUNGSMERKMAL – VOM MENSCHEN LESBARES FORMAT</w:t>
      </w:r>
    </w:p>
    <w:p w14:paraId="24B77F50" w14:textId="77777777" w:rsidR="00B7018B" w:rsidRPr="00B30A12" w:rsidRDefault="00B7018B" w:rsidP="00B7018B">
      <w:pPr>
        <w:widowControl w:val="0"/>
        <w:rPr>
          <w:noProof/>
          <w:sz w:val="22"/>
          <w:szCs w:val="22"/>
        </w:rPr>
      </w:pPr>
    </w:p>
    <w:p w14:paraId="2E9BE60C" w14:textId="77777777" w:rsidR="00B7018B" w:rsidRPr="00B30A12" w:rsidRDefault="00B7018B" w:rsidP="00B7018B">
      <w:pPr>
        <w:widowControl w:val="0"/>
        <w:rPr>
          <w:sz w:val="22"/>
          <w:szCs w:val="22"/>
        </w:rPr>
      </w:pPr>
      <w:r w:rsidRPr="00B30A12">
        <w:rPr>
          <w:sz w:val="22"/>
          <w:szCs w:val="22"/>
        </w:rPr>
        <w:t>PC:</w:t>
      </w:r>
    </w:p>
    <w:p w14:paraId="2DD526DD" w14:textId="77777777" w:rsidR="00B7018B" w:rsidRPr="00B30A12" w:rsidRDefault="00B7018B" w:rsidP="00B7018B">
      <w:pPr>
        <w:widowControl w:val="0"/>
        <w:rPr>
          <w:sz w:val="22"/>
          <w:szCs w:val="22"/>
        </w:rPr>
      </w:pPr>
      <w:r w:rsidRPr="00B30A12">
        <w:rPr>
          <w:sz w:val="22"/>
          <w:szCs w:val="22"/>
        </w:rPr>
        <w:t>SN:</w:t>
      </w:r>
    </w:p>
    <w:p w14:paraId="6540B138" w14:textId="77777777" w:rsidR="00B7018B" w:rsidRPr="00B30A12" w:rsidRDefault="00B7018B" w:rsidP="00B7018B">
      <w:pPr>
        <w:widowControl w:val="0"/>
        <w:rPr>
          <w:sz w:val="22"/>
          <w:szCs w:val="22"/>
        </w:rPr>
      </w:pPr>
      <w:r w:rsidRPr="00B30A12">
        <w:rPr>
          <w:sz w:val="22"/>
          <w:szCs w:val="22"/>
        </w:rPr>
        <w:t>NN:</w:t>
      </w:r>
    </w:p>
    <w:p w14:paraId="7DDB8F60" w14:textId="77777777" w:rsidR="00AB6D5E" w:rsidRPr="00B30A12" w:rsidRDefault="00AB6D5E" w:rsidP="00AB6D5E">
      <w:pPr>
        <w:rPr>
          <w:color w:val="000000"/>
          <w:sz w:val="22"/>
          <w:szCs w:val="22"/>
        </w:rPr>
      </w:pPr>
      <w:r w:rsidRPr="00B30A12">
        <w:rPr>
          <w:color w:val="000000"/>
          <w:sz w:val="22"/>
          <w:szCs w:val="22"/>
        </w:rPr>
        <w:br w:type="page"/>
      </w:r>
    </w:p>
    <w:p w14:paraId="6B185480" w14:textId="77777777" w:rsidR="001E3D49" w:rsidRPr="001E3D49" w:rsidRDefault="001E3D49" w:rsidP="001E3D49">
      <w:pPr>
        <w:rPr>
          <w:color w:val="000000"/>
          <w:sz w:val="22"/>
          <w:szCs w:val="22"/>
        </w:rPr>
      </w:pPr>
    </w:p>
    <w:p w14:paraId="1F6EB1CE"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MINDESTANGABEN AUF BLISTERPACKUNGEN ODER FOLIENSTREIFEN</w:t>
      </w:r>
    </w:p>
    <w:p w14:paraId="74A7F6B0"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6AAFA962"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BLISTERPACKUNGEN</w:t>
      </w:r>
    </w:p>
    <w:p w14:paraId="700200B8" w14:textId="77777777" w:rsidR="00AB6D5E" w:rsidRPr="00B30A12" w:rsidRDefault="00AB6D5E" w:rsidP="00AB6D5E">
      <w:pPr>
        <w:rPr>
          <w:color w:val="000000"/>
          <w:sz w:val="22"/>
          <w:szCs w:val="22"/>
        </w:rPr>
      </w:pPr>
    </w:p>
    <w:p w14:paraId="17E2972B" w14:textId="77777777" w:rsidR="00AB6D5E" w:rsidRPr="00B30A12" w:rsidRDefault="00AB6D5E" w:rsidP="00AB6D5E">
      <w:pPr>
        <w:rPr>
          <w:color w:val="000000"/>
          <w:sz w:val="22"/>
          <w:szCs w:val="22"/>
        </w:rPr>
      </w:pPr>
    </w:p>
    <w:p w14:paraId="6ACE1E11"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00645D07" w14:textId="77777777" w:rsidR="00AB6D5E" w:rsidRPr="00B30A12" w:rsidRDefault="00AB6D5E" w:rsidP="00AB6D5E">
      <w:pPr>
        <w:rPr>
          <w:color w:val="000000"/>
          <w:sz w:val="22"/>
          <w:szCs w:val="22"/>
        </w:rPr>
      </w:pPr>
    </w:p>
    <w:p w14:paraId="255189EB" w14:textId="77777777" w:rsidR="00AB6D5E" w:rsidRPr="00B30A12" w:rsidRDefault="00AB6D5E" w:rsidP="00AB6D5E">
      <w:pPr>
        <w:widowControl w:val="0"/>
        <w:rPr>
          <w:color w:val="000000"/>
          <w:sz w:val="22"/>
          <w:szCs w:val="22"/>
        </w:rPr>
      </w:pPr>
      <w:r w:rsidRPr="00B30A12">
        <w:rPr>
          <w:color w:val="000000"/>
          <w:sz w:val="22"/>
          <w:szCs w:val="22"/>
        </w:rPr>
        <w:t>Glivec 100 mg Kapseln</w:t>
      </w:r>
    </w:p>
    <w:p w14:paraId="4424D4F0" w14:textId="77777777" w:rsidR="00AB6D5E" w:rsidRPr="00B30A12" w:rsidRDefault="00AB6D5E" w:rsidP="00AB6D5E">
      <w:pPr>
        <w:widowControl w:val="0"/>
        <w:rPr>
          <w:color w:val="000000"/>
          <w:sz w:val="22"/>
          <w:szCs w:val="22"/>
        </w:rPr>
      </w:pPr>
      <w:r w:rsidRPr="00B30A12">
        <w:rPr>
          <w:color w:val="000000"/>
          <w:sz w:val="22"/>
          <w:szCs w:val="22"/>
        </w:rPr>
        <w:t>Imatinib</w:t>
      </w:r>
    </w:p>
    <w:p w14:paraId="5409D7DF" w14:textId="77777777" w:rsidR="00AB6D5E" w:rsidRPr="00B30A12" w:rsidRDefault="00AB6D5E" w:rsidP="00AB6D5E">
      <w:pPr>
        <w:rPr>
          <w:color w:val="000000"/>
          <w:sz w:val="22"/>
          <w:szCs w:val="22"/>
        </w:rPr>
      </w:pPr>
    </w:p>
    <w:p w14:paraId="18AB7A4E" w14:textId="77777777" w:rsidR="00AB6D5E" w:rsidRPr="00B30A12" w:rsidRDefault="00AB6D5E" w:rsidP="00AB6D5E">
      <w:pPr>
        <w:rPr>
          <w:color w:val="000000"/>
          <w:sz w:val="22"/>
          <w:szCs w:val="22"/>
        </w:rPr>
      </w:pPr>
    </w:p>
    <w:p w14:paraId="057FB238"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 xml:space="preserve">NAME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0EE4C472" w14:textId="77777777" w:rsidR="00AB6D5E" w:rsidRPr="00B30A12" w:rsidRDefault="00AB6D5E" w:rsidP="00AB6D5E">
      <w:pPr>
        <w:rPr>
          <w:color w:val="000000"/>
          <w:sz w:val="22"/>
          <w:szCs w:val="22"/>
        </w:rPr>
      </w:pPr>
    </w:p>
    <w:p w14:paraId="7951026E" w14:textId="77777777" w:rsidR="00AB6D5E" w:rsidRPr="00B30A12" w:rsidRDefault="00AB6D5E" w:rsidP="00AB6D5E">
      <w:pPr>
        <w:widowControl w:val="0"/>
        <w:rPr>
          <w:color w:val="000000"/>
          <w:sz w:val="22"/>
          <w:szCs w:val="22"/>
        </w:rPr>
      </w:pPr>
      <w:r w:rsidRPr="00B30A12">
        <w:rPr>
          <w:color w:val="000000"/>
          <w:sz w:val="22"/>
          <w:szCs w:val="22"/>
        </w:rPr>
        <w:t>Novartis Europharm Limited</w:t>
      </w:r>
    </w:p>
    <w:p w14:paraId="33D73EEE" w14:textId="77777777" w:rsidR="00AB6D5E" w:rsidRPr="00B30A12" w:rsidRDefault="00AB6D5E" w:rsidP="00AB6D5E">
      <w:pPr>
        <w:rPr>
          <w:color w:val="000000"/>
          <w:sz w:val="22"/>
          <w:szCs w:val="22"/>
        </w:rPr>
      </w:pPr>
    </w:p>
    <w:p w14:paraId="63960BCC" w14:textId="77777777" w:rsidR="00AB6D5E" w:rsidRPr="00B30A12" w:rsidRDefault="00AB6D5E" w:rsidP="00AB6D5E">
      <w:pPr>
        <w:rPr>
          <w:color w:val="000000"/>
          <w:sz w:val="22"/>
          <w:szCs w:val="22"/>
        </w:rPr>
      </w:pPr>
    </w:p>
    <w:p w14:paraId="0E4F7B1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VERFALLDATUM</w:t>
      </w:r>
    </w:p>
    <w:p w14:paraId="1A30C226" w14:textId="77777777" w:rsidR="00AB6D5E" w:rsidRPr="00B30A12" w:rsidRDefault="00AB6D5E" w:rsidP="00AB6D5E">
      <w:pPr>
        <w:rPr>
          <w:color w:val="000000"/>
          <w:sz w:val="22"/>
          <w:szCs w:val="22"/>
        </w:rPr>
      </w:pPr>
    </w:p>
    <w:p w14:paraId="5B94DB28" w14:textId="77777777" w:rsidR="00AB6D5E" w:rsidRPr="00B30A12" w:rsidRDefault="00AB6D5E" w:rsidP="00AB6D5E">
      <w:pPr>
        <w:widowControl w:val="0"/>
        <w:rPr>
          <w:color w:val="000000"/>
          <w:sz w:val="22"/>
          <w:szCs w:val="22"/>
        </w:rPr>
      </w:pPr>
      <w:r w:rsidRPr="00B30A12">
        <w:rPr>
          <w:color w:val="000000"/>
          <w:sz w:val="22"/>
          <w:szCs w:val="22"/>
        </w:rPr>
        <w:t>EXP</w:t>
      </w:r>
    </w:p>
    <w:p w14:paraId="78A885F0" w14:textId="77777777" w:rsidR="00AB6D5E" w:rsidRPr="00B30A12" w:rsidRDefault="00AB6D5E" w:rsidP="00AB6D5E">
      <w:pPr>
        <w:rPr>
          <w:color w:val="000000"/>
          <w:sz w:val="22"/>
          <w:szCs w:val="22"/>
        </w:rPr>
      </w:pPr>
    </w:p>
    <w:p w14:paraId="7427446A" w14:textId="77777777" w:rsidR="00AB6D5E" w:rsidRPr="00B30A12" w:rsidRDefault="00AB6D5E" w:rsidP="00AB6D5E">
      <w:pPr>
        <w:rPr>
          <w:color w:val="000000"/>
          <w:sz w:val="22"/>
          <w:szCs w:val="22"/>
        </w:rPr>
      </w:pPr>
    </w:p>
    <w:p w14:paraId="21789D0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CHARGENBEZEICHNUNG</w:t>
      </w:r>
    </w:p>
    <w:p w14:paraId="2B2C0B01" w14:textId="77777777" w:rsidR="00AB6D5E" w:rsidRPr="00B30A12" w:rsidRDefault="00AB6D5E" w:rsidP="00AB6D5E">
      <w:pPr>
        <w:rPr>
          <w:color w:val="000000"/>
          <w:sz w:val="22"/>
          <w:szCs w:val="22"/>
        </w:rPr>
      </w:pPr>
    </w:p>
    <w:p w14:paraId="53AEDE75" w14:textId="77777777" w:rsidR="00AB6D5E" w:rsidRPr="00B30A12" w:rsidRDefault="00AB6D5E" w:rsidP="00AB6D5E">
      <w:pPr>
        <w:pStyle w:val="Header"/>
        <w:suppressLineNumbers/>
        <w:tabs>
          <w:tab w:val="clear" w:pos="4320"/>
          <w:tab w:val="clear" w:pos="8640"/>
        </w:tabs>
        <w:suppressAutoHyphens/>
        <w:rPr>
          <w:color w:val="000000"/>
          <w:szCs w:val="22"/>
        </w:rPr>
      </w:pPr>
      <w:r w:rsidRPr="00B30A12">
        <w:rPr>
          <w:color w:val="000000"/>
          <w:szCs w:val="22"/>
        </w:rPr>
        <w:t>Lot</w:t>
      </w:r>
    </w:p>
    <w:p w14:paraId="76991813" w14:textId="77777777" w:rsidR="00AB6D5E" w:rsidRPr="00B30A12" w:rsidRDefault="00AB6D5E" w:rsidP="00AB6D5E">
      <w:pPr>
        <w:widowControl w:val="0"/>
        <w:rPr>
          <w:color w:val="000000"/>
          <w:sz w:val="22"/>
          <w:szCs w:val="22"/>
        </w:rPr>
      </w:pPr>
    </w:p>
    <w:p w14:paraId="6A3D8E7B" w14:textId="77777777" w:rsidR="00AB6D5E" w:rsidRPr="00B30A12" w:rsidRDefault="00AB6D5E" w:rsidP="00AB6D5E">
      <w:pPr>
        <w:widowControl w:val="0"/>
        <w:rPr>
          <w:color w:val="000000"/>
          <w:sz w:val="22"/>
          <w:szCs w:val="22"/>
        </w:rPr>
      </w:pPr>
    </w:p>
    <w:p w14:paraId="568FEF01" w14:textId="77777777" w:rsidR="00AB6D5E" w:rsidRPr="00B30A12" w:rsidRDefault="00AB6D5E" w:rsidP="00AB6D5E">
      <w:pPr>
        <w:widowControl w:val="0"/>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5.</w:t>
      </w:r>
      <w:r w:rsidRPr="00B30A12">
        <w:rPr>
          <w:b/>
          <w:color w:val="000000"/>
          <w:sz w:val="22"/>
          <w:szCs w:val="22"/>
        </w:rPr>
        <w:tab/>
        <w:t>WEITERE ANGABEN</w:t>
      </w:r>
    </w:p>
    <w:p w14:paraId="6AD0EFE6" w14:textId="77777777" w:rsidR="00AB6D5E" w:rsidRPr="00B30A12" w:rsidRDefault="00AB6D5E" w:rsidP="00AB6D5E">
      <w:pPr>
        <w:widowControl w:val="0"/>
        <w:rPr>
          <w:color w:val="000000"/>
          <w:sz w:val="22"/>
          <w:szCs w:val="22"/>
        </w:rPr>
      </w:pPr>
    </w:p>
    <w:p w14:paraId="6C903207" w14:textId="77777777" w:rsidR="00AB6D5E" w:rsidRPr="00B30A12" w:rsidRDefault="00AB6D5E" w:rsidP="00AB6D5E">
      <w:pPr>
        <w:shd w:val="clear" w:color="auto" w:fill="FFFFFF"/>
        <w:rPr>
          <w:color w:val="000000"/>
          <w:sz w:val="22"/>
          <w:szCs w:val="22"/>
        </w:rPr>
      </w:pPr>
      <w:r w:rsidRPr="00B30A12">
        <w:rPr>
          <w:color w:val="000000"/>
          <w:sz w:val="22"/>
          <w:szCs w:val="22"/>
        </w:rPr>
        <w:br w:type="page"/>
      </w:r>
    </w:p>
    <w:p w14:paraId="72DC30E6" w14:textId="77777777" w:rsidR="001E3D49" w:rsidRPr="001E3D49" w:rsidRDefault="001E3D49" w:rsidP="001E3D49">
      <w:pPr>
        <w:rPr>
          <w:color w:val="000000"/>
          <w:sz w:val="22"/>
          <w:szCs w:val="22"/>
        </w:rPr>
      </w:pPr>
    </w:p>
    <w:p w14:paraId="044CD93A"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 xml:space="preserve">ANGABEN AUF </w:t>
      </w:r>
      <w:smartTag w:uri="urn:schemas-microsoft-com:office:smarttags" w:element="stockticker">
        <w:r w:rsidRPr="00B30A12">
          <w:rPr>
            <w:b/>
            <w:color w:val="000000"/>
            <w:sz w:val="22"/>
            <w:szCs w:val="22"/>
          </w:rPr>
          <w:t>DER</w:t>
        </w:r>
      </w:smartTag>
      <w:r w:rsidRPr="00B30A12">
        <w:rPr>
          <w:b/>
          <w:color w:val="000000"/>
          <w:sz w:val="22"/>
          <w:szCs w:val="22"/>
        </w:rPr>
        <w:t xml:space="preserve"> ÄUSSEREN UMHÜLLUNG</w:t>
      </w:r>
    </w:p>
    <w:p w14:paraId="13362851"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1FB55F47" w14:textId="77777777" w:rsidR="00AB6D5E" w:rsidRPr="00B30A12" w:rsidRDefault="00E745E2"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UMKARTON</w:t>
      </w:r>
    </w:p>
    <w:p w14:paraId="0C14F4F2" w14:textId="77777777" w:rsidR="00AB6D5E" w:rsidRPr="00B30A12" w:rsidRDefault="00AB6D5E" w:rsidP="00AB6D5E">
      <w:pPr>
        <w:ind w:left="-142" w:firstLine="142"/>
        <w:rPr>
          <w:color w:val="000000"/>
          <w:sz w:val="22"/>
          <w:szCs w:val="22"/>
        </w:rPr>
      </w:pPr>
    </w:p>
    <w:p w14:paraId="1B05ACB3" w14:textId="77777777" w:rsidR="00AB6D5E" w:rsidRPr="00B30A12" w:rsidRDefault="00AB6D5E" w:rsidP="00AB6D5E">
      <w:pPr>
        <w:ind w:left="-142" w:firstLine="142"/>
        <w:rPr>
          <w:color w:val="000000"/>
          <w:sz w:val="22"/>
          <w:szCs w:val="22"/>
        </w:rPr>
      </w:pPr>
    </w:p>
    <w:p w14:paraId="43BF1F2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1619EF23" w14:textId="77777777" w:rsidR="00AB6D5E" w:rsidRPr="00B30A12" w:rsidRDefault="00AB6D5E" w:rsidP="00AB6D5E">
      <w:pPr>
        <w:rPr>
          <w:color w:val="000000"/>
          <w:sz w:val="22"/>
          <w:szCs w:val="22"/>
        </w:rPr>
      </w:pPr>
    </w:p>
    <w:p w14:paraId="7BF7C364" w14:textId="77777777" w:rsidR="00AB6D5E" w:rsidRPr="00B30A12" w:rsidRDefault="00AB6D5E" w:rsidP="00AB6D5E">
      <w:pPr>
        <w:widowControl w:val="0"/>
        <w:rPr>
          <w:color w:val="000000"/>
          <w:sz w:val="22"/>
          <w:szCs w:val="22"/>
        </w:rPr>
      </w:pPr>
      <w:r w:rsidRPr="00B30A12">
        <w:rPr>
          <w:color w:val="000000"/>
          <w:sz w:val="22"/>
          <w:szCs w:val="22"/>
        </w:rPr>
        <w:t>Glivec 100 mg Filmtabletten</w:t>
      </w:r>
    </w:p>
    <w:p w14:paraId="6B0FBD93" w14:textId="77777777" w:rsidR="00AB6D5E" w:rsidRPr="00B30A12" w:rsidRDefault="00AB6D5E" w:rsidP="00AB6D5E">
      <w:pPr>
        <w:widowControl w:val="0"/>
        <w:rPr>
          <w:color w:val="000000"/>
          <w:sz w:val="22"/>
          <w:szCs w:val="22"/>
        </w:rPr>
      </w:pPr>
      <w:r w:rsidRPr="00B30A12">
        <w:rPr>
          <w:color w:val="000000"/>
          <w:sz w:val="22"/>
          <w:szCs w:val="22"/>
        </w:rPr>
        <w:t>Imatinib</w:t>
      </w:r>
    </w:p>
    <w:p w14:paraId="55E8A01F" w14:textId="77777777" w:rsidR="00AB6D5E" w:rsidRPr="00B30A12" w:rsidRDefault="00AB6D5E" w:rsidP="00AB6D5E">
      <w:pPr>
        <w:rPr>
          <w:color w:val="000000"/>
          <w:sz w:val="22"/>
          <w:szCs w:val="22"/>
          <w:u w:val="single"/>
        </w:rPr>
      </w:pPr>
    </w:p>
    <w:p w14:paraId="58539882" w14:textId="77777777" w:rsidR="00AB6D5E" w:rsidRPr="00B30A12" w:rsidRDefault="00AB6D5E" w:rsidP="00AB6D5E">
      <w:pPr>
        <w:rPr>
          <w:color w:val="000000"/>
          <w:sz w:val="22"/>
          <w:szCs w:val="22"/>
          <w:u w:val="single"/>
        </w:rPr>
      </w:pPr>
    </w:p>
    <w:p w14:paraId="1A0E858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WIRKSTOFF(E)</w:t>
      </w:r>
    </w:p>
    <w:p w14:paraId="3A2443E9" w14:textId="77777777" w:rsidR="00AB6D5E" w:rsidRPr="00B30A12" w:rsidRDefault="00AB6D5E" w:rsidP="00AB6D5E">
      <w:pPr>
        <w:rPr>
          <w:color w:val="000000"/>
          <w:sz w:val="22"/>
          <w:szCs w:val="22"/>
        </w:rPr>
      </w:pPr>
    </w:p>
    <w:p w14:paraId="1C4E1544" w14:textId="77777777" w:rsidR="00AB6D5E" w:rsidRPr="00B30A12" w:rsidRDefault="00AB6D5E" w:rsidP="00AB6D5E">
      <w:pPr>
        <w:widowControl w:val="0"/>
        <w:rPr>
          <w:color w:val="000000"/>
          <w:sz w:val="22"/>
          <w:szCs w:val="22"/>
        </w:rPr>
      </w:pPr>
      <w:r w:rsidRPr="00B30A12">
        <w:rPr>
          <w:color w:val="000000"/>
          <w:sz w:val="22"/>
          <w:szCs w:val="22"/>
        </w:rPr>
        <w:t>Jede Filmtablette enthält 100 mg Imatinib (als Mesilat).</w:t>
      </w:r>
    </w:p>
    <w:p w14:paraId="7A92A073" w14:textId="77777777" w:rsidR="00AB6D5E" w:rsidRPr="00B30A12" w:rsidRDefault="00AB6D5E" w:rsidP="00AB6D5E">
      <w:pPr>
        <w:rPr>
          <w:color w:val="000000"/>
          <w:sz w:val="22"/>
          <w:szCs w:val="22"/>
        </w:rPr>
      </w:pPr>
    </w:p>
    <w:p w14:paraId="6622584E" w14:textId="77777777" w:rsidR="00AB6D5E" w:rsidRPr="00B30A12" w:rsidRDefault="00AB6D5E" w:rsidP="00AB6D5E">
      <w:pPr>
        <w:rPr>
          <w:color w:val="000000"/>
          <w:sz w:val="22"/>
          <w:szCs w:val="22"/>
        </w:rPr>
      </w:pPr>
    </w:p>
    <w:p w14:paraId="4EA2A457"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SONSTIGE BESTANDTEILE</w:t>
      </w:r>
    </w:p>
    <w:p w14:paraId="50878F0C" w14:textId="77777777" w:rsidR="00AB6D5E" w:rsidRPr="00B30A12" w:rsidRDefault="00AB6D5E" w:rsidP="00AB6D5E">
      <w:pPr>
        <w:rPr>
          <w:color w:val="000000"/>
          <w:sz w:val="22"/>
          <w:szCs w:val="22"/>
        </w:rPr>
      </w:pPr>
    </w:p>
    <w:p w14:paraId="7B879958" w14:textId="77777777" w:rsidR="00AB6D5E" w:rsidRPr="00B30A12" w:rsidRDefault="00AB6D5E" w:rsidP="00AB6D5E">
      <w:pPr>
        <w:rPr>
          <w:color w:val="000000"/>
          <w:sz w:val="22"/>
          <w:szCs w:val="22"/>
        </w:rPr>
      </w:pPr>
    </w:p>
    <w:p w14:paraId="1C12CAF1"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DARREICHUNGSFORM UND INHALT</w:t>
      </w:r>
    </w:p>
    <w:p w14:paraId="180050B3" w14:textId="77777777" w:rsidR="00AB6D5E" w:rsidRPr="00B30A12" w:rsidRDefault="00AB6D5E" w:rsidP="00AB6D5E">
      <w:pPr>
        <w:rPr>
          <w:color w:val="000000"/>
          <w:sz w:val="22"/>
          <w:szCs w:val="22"/>
        </w:rPr>
      </w:pPr>
    </w:p>
    <w:p w14:paraId="5F24B200" w14:textId="77777777" w:rsidR="00AB6D5E" w:rsidRPr="00B30A12" w:rsidRDefault="00AB6D5E" w:rsidP="00AB6D5E">
      <w:pPr>
        <w:widowControl w:val="0"/>
        <w:rPr>
          <w:color w:val="000000"/>
          <w:sz w:val="22"/>
          <w:szCs w:val="22"/>
        </w:rPr>
      </w:pPr>
      <w:r w:rsidRPr="00F64E85">
        <w:rPr>
          <w:color w:val="000000"/>
          <w:sz w:val="22"/>
          <w:szCs w:val="22"/>
        </w:rPr>
        <w:t>20 Filmtabletten</w:t>
      </w:r>
    </w:p>
    <w:p w14:paraId="1DCD9513"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60 Filmtabletten</w:t>
      </w:r>
    </w:p>
    <w:p w14:paraId="72DCC308"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120 Filmtabletten</w:t>
      </w:r>
    </w:p>
    <w:p w14:paraId="1A32EE8A"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180 Filmtabletten</w:t>
      </w:r>
    </w:p>
    <w:p w14:paraId="2EF5D583" w14:textId="77777777" w:rsidR="00AB6D5E" w:rsidRPr="00B30A12" w:rsidRDefault="00AB6D5E" w:rsidP="00AB6D5E">
      <w:pPr>
        <w:rPr>
          <w:color w:val="000000"/>
          <w:sz w:val="22"/>
          <w:szCs w:val="22"/>
        </w:rPr>
      </w:pPr>
    </w:p>
    <w:p w14:paraId="280CD0F7" w14:textId="77777777" w:rsidR="00AB6D5E" w:rsidRPr="00B30A12" w:rsidRDefault="00AB6D5E" w:rsidP="00AB6D5E">
      <w:pPr>
        <w:rPr>
          <w:color w:val="000000"/>
          <w:sz w:val="22"/>
          <w:szCs w:val="22"/>
        </w:rPr>
      </w:pPr>
    </w:p>
    <w:p w14:paraId="0EB96D6C"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5.</w:t>
      </w:r>
      <w:r w:rsidRPr="00B30A12">
        <w:rPr>
          <w:b/>
          <w:color w:val="000000"/>
          <w:sz w:val="22"/>
          <w:szCs w:val="22"/>
        </w:rPr>
        <w:tab/>
        <w:t xml:space="preserve">HINWEISE ZUR UND </w:t>
      </w:r>
      <w:smartTag w:uri="urn:schemas-microsoft-com:office:smarttags" w:element="stockticker">
        <w:r w:rsidRPr="00B30A12">
          <w:rPr>
            <w:b/>
            <w:color w:val="000000"/>
            <w:sz w:val="22"/>
            <w:szCs w:val="22"/>
          </w:rPr>
          <w:t>ART</w:t>
        </w:r>
      </w:smartTag>
      <w:r w:rsidRPr="00B30A12">
        <w:rPr>
          <w:b/>
          <w:color w:val="000000"/>
          <w:sz w:val="22"/>
          <w:szCs w:val="22"/>
        </w:rPr>
        <w:t xml:space="preserve">(EN) </w:t>
      </w:r>
      <w:smartTag w:uri="urn:schemas-microsoft-com:office:smarttags" w:element="stockticker">
        <w:r w:rsidRPr="00B30A12">
          <w:rPr>
            <w:b/>
            <w:color w:val="000000"/>
            <w:sz w:val="22"/>
            <w:szCs w:val="22"/>
          </w:rPr>
          <w:t>DER</w:t>
        </w:r>
      </w:smartTag>
      <w:r w:rsidRPr="00B30A12">
        <w:rPr>
          <w:b/>
          <w:color w:val="000000"/>
          <w:sz w:val="22"/>
          <w:szCs w:val="22"/>
        </w:rPr>
        <w:t xml:space="preserve"> ANWENDUNG</w:t>
      </w:r>
    </w:p>
    <w:p w14:paraId="7AA78BF7" w14:textId="77777777" w:rsidR="00AB6D5E" w:rsidRPr="00B30A12" w:rsidRDefault="00AB6D5E" w:rsidP="00AB6D5E">
      <w:pPr>
        <w:rPr>
          <w:color w:val="000000"/>
          <w:sz w:val="22"/>
          <w:szCs w:val="22"/>
        </w:rPr>
      </w:pPr>
    </w:p>
    <w:p w14:paraId="08B18ABB" w14:textId="77777777" w:rsidR="00AB6D5E" w:rsidRPr="00B30A12" w:rsidRDefault="00AB6D5E" w:rsidP="00AB6D5E">
      <w:pPr>
        <w:widowControl w:val="0"/>
        <w:rPr>
          <w:color w:val="000000"/>
          <w:sz w:val="22"/>
          <w:szCs w:val="22"/>
        </w:rPr>
      </w:pPr>
      <w:r w:rsidRPr="00B30A12">
        <w:rPr>
          <w:color w:val="000000"/>
          <w:sz w:val="22"/>
          <w:szCs w:val="22"/>
        </w:rPr>
        <w:t>Zum Einnehmen. Packungsbeilage beachten.</w:t>
      </w:r>
    </w:p>
    <w:p w14:paraId="1E23CF20" w14:textId="77777777" w:rsidR="00AB6D5E" w:rsidRPr="00B30A12" w:rsidRDefault="00AB6D5E" w:rsidP="00AB6D5E">
      <w:pPr>
        <w:rPr>
          <w:color w:val="000000"/>
          <w:sz w:val="22"/>
          <w:szCs w:val="22"/>
        </w:rPr>
      </w:pPr>
    </w:p>
    <w:p w14:paraId="5ECDB206" w14:textId="77777777" w:rsidR="00AB6D5E" w:rsidRPr="00B30A12" w:rsidRDefault="00AB6D5E" w:rsidP="00AB6D5E">
      <w:pPr>
        <w:rPr>
          <w:color w:val="000000"/>
          <w:sz w:val="22"/>
          <w:szCs w:val="22"/>
        </w:rPr>
      </w:pPr>
    </w:p>
    <w:p w14:paraId="1433814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6.</w:t>
      </w:r>
      <w:r w:rsidRPr="00B30A12">
        <w:rPr>
          <w:b/>
          <w:color w:val="000000"/>
          <w:sz w:val="22"/>
          <w:szCs w:val="22"/>
        </w:rPr>
        <w:tab/>
        <w:t xml:space="preserve">WARNHINWEIS, DASS DAS ARZNEIMITTEL FÜR KINDER </w:t>
      </w:r>
      <w:r w:rsidR="00FE1A89" w:rsidRPr="00B30A12">
        <w:rPr>
          <w:b/>
          <w:sz w:val="22"/>
          <w:szCs w:val="22"/>
        </w:rPr>
        <w:t xml:space="preserve">UNZUGÄNGLICH </w:t>
      </w:r>
      <w:r w:rsidRPr="00B30A12">
        <w:rPr>
          <w:b/>
          <w:color w:val="000000"/>
          <w:sz w:val="22"/>
          <w:szCs w:val="22"/>
        </w:rPr>
        <w:t>AUFZUBEWAHREN IST</w:t>
      </w:r>
    </w:p>
    <w:p w14:paraId="16F22B66" w14:textId="77777777" w:rsidR="00AB6D5E" w:rsidRPr="00B30A12" w:rsidRDefault="00AB6D5E" w:rsidP="00AB6D5E">
      <w:pPr>
        <w:rPr>
          <w:color w:val="000000"/>
          <w:sz w:val="22"/>
          <w:szCs w:val="22"/>
        </w:rPr>
      </w:pPr>
    </w:p>
    <w:p w14:paraId="6377B5E7" w14:textId="77777777" w:rsidR="00AB6D5E" w:rsidRPr="00B30A12" w:rsidRDefault="00AB6D5E" w:rsidP="00AB6D5E">
      <w:pPr>
        <w:pStyle w:val="Heading3"/>
        <w:keepNext w:val="0"/>
        <w:widowControl w:val="0"/>
        <w:numPr>
          <w:ilvl w:val="0"/>
          <w:numId w:val="0"/>
        </w:numPr>
        <w:spacing w:line="240" w:lineRule="auto"/>
        <w:jc w:val="left"/>
        <w:rPr>
          <w:color w:val="000000"/>
          <w:szCs w:val="22"/>
        </w:rPr>
      </w:pPr>
      <w:r w:rsidRPr="00B30A12">
        <w:rPr>
          <w:color w:val="000000"/>
          <w:szCs w:val="22"/>
        </w:rPr>
        <w:t>Arzneimittel für Kinder unzugänglich aufbewahren.</w:t>
      </w:r>
    </w:p>
    <w:p w14:paraId="028A548F" w14:textId="77777777" w:rsidR="00AB6D5E" w:rsidRPr="00B30A12" w:rsidRDefault="00AB6D5E" w:rsidP="00AB6D5E">
      <w:pPr>
        <w:rPr>
          <w:color w:val="000000"/>
          <w:sz w:val="22"/>
          <w:szCs w:val="22"/>
        </w:rPr>
      </w:pPr>
    </w:p>
    <w:p w14:paraId="0FDAAC2C" w14:textId="77777777" w:rsidR="00AB6D5E" w:rsidRPr="00B30A12" w:rsidRDefault="00AB6D5E" w:rsidP="00AB6D5E">
      <w:pPr>
        <w:rPr>
          <w:color w:val="000000"/>
          <w:sz w:val="22"/>
          <w:szCs w:val="22"/>
        </w:rPr>
      </w:pPr>
    </w:p>
    <w:p w14:paraId="530BCCA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7.</w:t>
      </w:r>
      <w:r w:rsidRPr="00B30A12">
        <w:rPr>
          <w:b/>
          <w:color w:val="000000"/>
          <w:sz w:val="22"/>
          <w:szCs w:val="22"/>
        </w:rPr>
        <w:tab/>
        <w:t>WEITERE WARNHINWEISE, FALLS ERFORDERLICH</w:t>
      </w:r>
    </w:p>
    <w:p w14:paraId="06B6399F" w14:textId="77777777" w:rsidR="00AB6D5E" w:rsidRPr="00B30A12" w:rsidRDefault="00AB6D5E" w:rsidP="00AB6D5E">
      <w:pPr>
        <w:rPr>
          <w:color w:val="000000"/>
          <w:sz w:val="22"/>
          <w:szCs w:val="22"/>
        </w:rPr>
      </w:pPr>
    </w:p>
    <w:p w14:paraId="17CD4947" w14:textId="77777777" w:rsidR="00AB6D5E" w:rsidRPr="00B30A12" w:rsidRDefault="00AB6D5E" w:rsidP="00AB6D5E">
      <w:pPr>
        <w:widowControl w:val="0"/>
        <w:rPr>
          <w:color w:val="000000"/>
          <w:sz w:val="22"/>
          <w:szCs w:val="22"/>
        </w:rPr>
      </w:pPr>
      <w:r w:rsidRPr="00B30A12">
        <w:rPr>
          <w:color w:val="000000"/>
          <w:sz w:val="22"/>
          <w:szCs w:val="22"/>
        </w:rPr>
        <w:t>Nur nach Anweisung des Arztes anwenden.</w:t>
      </w:r>
    </w:p>
    <w:p w14:paraId="3980EB54" w14:textId="77777777" w:rsidR="00AB6D5E" w:rsidRPr="00B30A12" w:rsidRDefault="00AB6D5E" w:rsidP="00AB6D5E">
      <w:pPr>
        <w:rPr>
          <w:color w:val="000000"/>
          <w:sz w:val="22"/>
          <w:szCs w:val="22"/>
        </w:rPr>
      </w:pPr>
    </w:p>
    <w:p w14:paraId="21D0DABF" w14:textId="77777777" w:rsidR="00AB6D5E" w:rsidRPr="00B30A12" w:rsidRDefault="00AB6D5E" w:rsidP="00AB6D5E">
      <w:pPr>
        <w:rPr>
          <w:color w:val="000000"/>
          <w:sz w:val="22"/>
          <w:szCs w:val="22"/>
        </w:rPr>
      </w:pPr>
    </w:p>
    <w:p w14:paraId="6464941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8.</w:t>
      </w:r>
      <w:r w:rsidRPr="00B30A12">
        <w:rPr>
          <w:b/>
          <w:color w:val="000000"/>
          <w:sz w:val="22"/>
          <w:szCs w:val="22"/>
        </w:rPr>
        <w:tab/>
        <w:t>VERFALLDATUM</w:t>
      </w:r>
    </w:p>
    <w:p w14:paraId="019169B5" w14:textId="77777777" w:rsidR="00AB6D5E" w:rsidRPr="00B30A12" w:rsidRDefault="00AB6D5E" w:rsidP="00AB6D5E">
      <w:pPr>
        <w:rPr>
          <w:color w:val="000000"/>
          <w:sz w:val="22"/>
          <w:szCs w:val="22"/>
        </w:rPr>
      </w:pPr>
    </w:p>
    <w:p w14:paraId="4290FF33" w14:textId="77777777" w:rsidR="00AB6D5E" w:rsidRPr="00B30A12" w:rsidRDefault="00AB6D5E" w:rsidP="00AB6D5E">
      <w:pPr>
        <w:widowControl w:val="0"/>
        <w:rPr>
          <w:color w:val="000000"/>
          <w:sz w:val="22"/>
          <w:szCs w:val="22"/>
        </w:rPr>
      </w:pPr>
      <w:r w:rsidRPr="00B30A12">
        <w:rPr>
          <w:color w:val="000000"/>
          <w:sz w:val="22"/>
          <w:szCs w:val="22"/>
        </w:rPr>
        <w:t>Verwendbar bis</w:t>
      </w:r>
    </w:p>
    <w:p w14:paraId="4F9B1514" w14:textId="77777777" w:rsidR="00AB6D5E" w:rsidRPr="00B30A12" w:rsidRDefault="00AB6D5E" w:rsidP="00AB6D5E">
      <w:pPr>
        <w:rPr>
          <w:color w:val="000000"/>
          <w:sz w:val="22"/>
          <w:szCs w:val="22"/>
        </w:rPr>
      </w:pPr>
    </w:p>
    <w:p w14:paraId="0B84857F" w14:textId="77777777" w:rsidR="00AB6D5E" w:rsidRPr="00B30A12" w:rsidRDefault="00AB6D5E" w:rsidP="00AB6D5E">
      <w:pPr>
        <w:rPr>
          <w:color w:val="000000"/>
          <w:sz w:val="22"/>
          <w:szCs w:val="22"/>
        </w:rPr>
      </w:pPr>
    </w:p>
    <w:p w14:paraId="76021BD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9.</w:t>
      </w:r>
      <w:r w:rsidRPr="00B30A12">
        <w:rPr>
          <w:b/>
          <w:color w:val="000000"/>
          <w:sz w:val="22"/>
          <w:szCs w:val="22"/>
        </w:rPr>
        <w:tab/>
        <w:t xml:space="preserve">BESONDERE </w:t>
      </w:r>
      <w:r w:rsidR="00BF10B5" w:rsidRPr="00B30A12">
        <w:rPr>
          <w:b/>
          <w:color w:val="000000"/>
          <w:sz w:val="22"/>
          <w:szCs w:val="22"/>
        </w:rPr>
        <w:t>VORSICHTSMASSNAHMEN FÜR DIE AUFBEWAHRUNG</w:t>
      </w:r>
    </w:p>
    <w:p w14:paraId="49F23A74" w14:textId="77777777" w:rsidR="00AB6D5E" w:rsidRPr="00B30A12" w:rsidRDefault="00AB6D5E" w:rsidP="00AB6D5E">
      <w:pPr>
        <w:rPr>
          <w:color w:val="000000"/>
          <w:sz w:val="22"/>
          <w:szCs w:val="22"/>
        </w:rPr>
      </w:pPr>
    </w:p>
    <w:p w14:paraId="6CB95505" w14:textId="77777777" w:rsidR="00AB6D5E" w:rsidRPr="00B30A12" w:rsidRDefault="00AB6D5E" w:rsidP="00AB6D5E">
      <w:pPr>
        <w:widowControl w:val="0"/>
        <w:rPr>
          <w:color w:val="000000"/>
          <w:sz w:val="22"/>
          <w:szCs w:val="22"/>
        </w:rPr>
      </w:pPr>
      <w:r w:rsidRPr="00B30A12">
        <w:rPr>
          <w:color w:val="000000"/>
          <w:sz w:val="22"/>
          <w:szCs w:val="22"/>
        </w:rPr>
        <w:t>Nicht über 30°C lagern. In der Originalverpackung aufbewahren, um den Inhalt vor Feuchtigkeit zu schützen.</w:t>
      </w:r>
    </w:p>
    <w:p w14:paraId="1CFF9BB4" w14:textId="77777777" w:rsidR="00AB6D5E" w:rsidRPr="00B30A12" w:rsidRDefault="00AB6D5E" w:rsidP="00AB6D5E">
      <w:pPr>
        <w:rPr>
          <w:color w:val="000000"/>
          <w:sz w:val="22"/>
          <w:szCs w:val="22"/>
        </w:rPr>
      </w:pPr>
    </w:p>
    <w:p w14:paraId="1504F7AC" w14:textId="77777777" w:rsidR="00AB6D5E" w:rsidRPr="00B30A12" w:rsidRDefault="00AB6D5E" w:rsidP="00AB6D5E">
      <w:pPr>
        <w:rPr>
          <w:color w:val="000000"/>
          <w:sz w:val="22"/>
          <w:szCs w:val="22"/>
        </w:rPr>
      </w:pPr>
    </w:p>
    <w:p w14:paraId="7A9E4C8F"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lastRenderedPageBreak/>
        <w:t>10.</w:t>
      </w:r>
      <w:r w:rsidRPr="00B30A12">
        <w:rPr>
          <w:b/>
          <w:color w:val="000000"/>
          <w:sz w:val="22"/>
          <w:szCs w:val="22"/>
        </w:rPr>
        <w:tab/>
        <w:t>GEGEBENENFALLS BESONDERE VORSICHTSMASSNAHMEN FÜR DIE BESEITIGUNG VON NICHT VERWENDETEM ARZNEIMITTEL ODER DAVON STAMMENDEN ABFALLMATERIALIEN</w:t>
      </w:r>
    </w:p>
    <w:p w14:paraId="25EC0A4E" w14:textId="77777777" w:rsidR="00AB6D5E" w:rsidRPr="00B30A12" w:rsidRDefault="00AB6D5E" w:rsidP="00AB6D5E">
      <w:pPr>
        <w:rPr>
          <w:color w:val="000000"/>
          <w:sz w:val="22"/>
          <w:szCs w:val="22"/>
        </w:rPr>
      </w:pPr>
    </w:p>
    <w:p w14:paraId="6B540BA7" w14:textId="77777777" w:rsidR="00AB6D5E" w:rsidRPr="00B30A12" w:rsidRDefault="00AB6D5E" w:rsidP="00AB6D5E">
      <w:pPr>
        <w:rPr>
          <w:color w:val="000000"/>
          <w:sz w:val="22"/>
          <w:szCs w:val="22"/>
        </w:rPr>
      </w:pPr>
    </w:p>
    <w:p w14:paraId="12500426"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11.</w:t>
      </w:r>
      <w:r w:rsidRPr="00B30A12">
        <w:rPr>
          <w:b/>
          <w:color w:val="000000"/>
          <w:sz w:val="22"/>
          <w:szCs w:val="22"/>
        </w:rPr>
        <w:tab/>
        <w:t xml:space="preserve">NAME UND ANSCHRIFT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22BBF0A9" w14:textId="77777777" w:rsidR="00AB6D5E" w:rsidRPr="00B30A12" w:rsidRDefault="00AB6D5E" w:rsidP="00AB6D5E">
      <w:pPr>
        <w:ind w:left="567" w:hanging="567"/>
        <w:rPr>
          <w:color w:val="000000"/>
          <w:sz w:val="22"/>
          <w:szCs w:val="22"/>
        </w:rPr>
      </w:pPr>
    </w:p>
    <w:p w14:paraId="1F0C487B" w14:textId="77777777" w:rsidR="00AB6D5E" w:rsidRPr="00B30A12" w:rsidRDefault="00AB6D5E" w:rsidP="000C47C6">
      <w:pPr>
        <w:keepNext/>
        <w:widowControl w:val="0"/>
        <w:ind w:left="567" w:hanging="567"/>
        <w:rPr>
          <w:color w:val="000000"/>
          <w:sz w:val="22"/>
          <w:szCs w:val="22"/>
          <w:lang w:val="en-US"/>
        </w:rPr>
      </w:pPr>
      <w:r w:rsidRPr="00B30A12">
        <w:rPr>
          <w:color w:val="000000"/>
          <w:sz w:val="22"/>
          <w:szCs w:val="22"/>
          <w:lang w:val="en-US"/>
        </w:rPr>
        <w:t>Novartis Europharm Limited</w:t>
      </w:r>
    </w:p>
    <w:p w14:paraId="35455C4B"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40F27945"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3123259B" w14:textId="77777777" w:rsidR="002C158B" w:rsidRPr="002C158B" w:rsidRDefault="002C158B" w:rsidP="002C158B">
      <w:pPr>
        <w:keepNext/>
        <w:widowControl w:val="0"/>
        <w:rPr>
          <w:color w:val="000000"/>
          <w:sz w:val="22"/>
          <w:szCs w:val="22"/>
        </w:rPr>
      </w:pPr>
      <w:r w:rsidRPr="002C158B">
        <w:rPr>
          <w:color w:val="000000"/>
          <w:sz w:val="22"/>
          <w:szCs w:val="22"/>
        </w:rPr>
        <w:t>Dublin 4</w:t>
      </w:r>
    </w:p>
    <w:p w14:paraId="2C668779" w14:textId="77777777" w:rsidR="00AB6D5E" w:rsidRPr="00B30A12" w:rsidRDefault="002C158B" w:rsidP="00AB6D5E">
      <w:pPr>
        <w:widowControl w:val="0"/>
        <w:ind w:left="567" w:hanging="567"/>
        <w:rPr>
          <w:color w:val="000000"/>
          <w:sz w:val="22"/>
          <w:szCs w:val="22"/>
        </w:rPr>
      </w:pPr>
      <w:r w:rsidRPr="002C158B">
        <w:rPr>
          <w:color w:val="000000"/>
          <w:sz w:val="22"/>
          <w:szCs w:val="22"/>
        </w:rPr>
        <w:t>Irland</w:t>
      </w:r>
    </w:p>
    <w:p w14:paraId="7467F077" w14:textId="77777777" w:rsidR="00AB6D5E" w:rsidRPr="00B30A12" w:rsidRDefault="00AB6D5E" w:rsidP="00AB6D5E">
      <w:pPr>
        <w:ind w:left="567" w:hanging="567"/>
        <w:rPr>
          <w:color w:val="000000"/>
          <w:sz w:val="22"/>
          <w:szCs w:val="22"/>
        </w:rPr>
      </w:pPr>
    </w:p>
    <w:p w14:paraId="5280F852" w14:textId="77777777" w:rsidR="00AB6D5E" w:rsidRPr="00B30A12" w:rsidRDefault="00AB6D5E" w:rsidP="00AB6D5E">
      <w:pPr>
        <w:ind w:left="567" w:hanging="567"/>
        <w:rPr>
          <w:color w:val="000000"/>
          <w:sz w:val="22"/>
          <w:szCs w:val="22"/>
        </w:rPr>
      </w:pPr>
    </w:p>
    <w:p w14:paraId="38C33BA1"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12.</w:t>
      </w:r>
      <w:r w:rsidRPr="00B30A12">
        <w:rPr>
          <w:b/>
          <w:color w:val="000000"/>
          <w:sz w:val="22"/>
          <w:szCs w:val="22"/>
        </w:rPr>
        <w:tab/>
        <w:t>ZULASSUNGSNUMMER(N)</w:t>
      </w:r>
    </w:p>
    <w:p w14:paraId="34D36129" w14:textId="77777777" w:rsidR="00AB6D5E" w:rsidRPr="00B30A12" w:rsidRDefault="00AB6D5E" w:rsidP="00AB6D5E">
      <w:pPr>
        <w:ind w:left="567" w:hanging="567"/>
        <w:rPr>
          <w:color w:val="000000"/>
          <w:sz w:val="22"/>
          <w:szCs w:val="22"/>
        </w:rPr>
      </w:pPr>
    </w:p>
    <w:p w14:paraId="2C433B49" w14:textId="77777777" w:rsidR="00AB6D5E" w:rsidRPr="00EC09FB" w:rsidRDefault="00AB6D5E" w:rsidP="00AB6D5E">
      <w:pPr>
        <w:widowControl w:val="0"/>
        <w:tabs>
          <w:tab w:val="left" w:pos="2268"/>
        </w:tabs>
        <w:rPr>
          <w:color w:val="000000"/>
          <w:sz w:val="22"/>
          <w:szCs w:val="22"/>
          <w:shd w:val="clear" w:color="auto" w:fill="D9D9D9"/>
          <w:lang w:val="de-CH"/>
        </w:rPr>
      </w:pPr>
      <w:r w:rsidRPr="00B30A12">
        <w:rPr>
          <w:color w:val="000000"/>
          <w:sz w:val="22"/>
          <w:szCs w:val="22"/>
          <w:lang w:val="da-DK"/>
        </w:rPr>
        <w:t>EU/1/01/198/007</w:t>
      </w:r>
      <w:r w:rsidRPr="00B30A12">
        <w:rPr>
          <w:color w:val="000000"/>
          <w:sz w:val="22"/>
          <w:szCs w:val="22"/>
          <w:lang w:val="da-DK"/>
        </w:rPr>
        <w:tab/>
      </w:r>
      <w:r w:rsidRPr="00EC09FB">
        <w:rPr>
          <w:color w:val="000000"/>
          <w:sz w:val="22"/>
          <w:szCs w:val="22"/>
          <w:shd w:val="clear" w:color="auto" w:fill="D9D9D9"/>
          <w:lang w:val="de-CH"/>
        </w:rPr>
        <w:t>20 Tabletten</w:t>
      </w:r>
      <w:r w:rsidR="00510E36" w:rsidRPr="00EC09FB">
        <w:rPr>
          <w:color w:val="000000"/>
          <w:sz w:val="22"/>
          <w:szCs w:val="22"/>
          <w:shd w:val="pct15" w:color="auto" w:fill="auto"/>
          <w:lang w:val="de-CH"/>
        </w:rPr>
        <w:t xml:space="preserve"> (</w:t>
      </w:r>
      <w:r w:rsidR="00510E36" w:rsidRPr="003354C6">
        <w:rPr>
          <w:color w:val="000000"/>
          <w:sz w:val="22"/>
          <w:szCs w:val="22"/>
          <w:shd w:val="pct15" w:color="auto" w:fill="auto"/>
        </w:rPr>
        <w:t>PVC/Aluminium-Blisterpackungen)</w:t>
      </w:r>
    </w:p>
    <w:p w14:paraId="2A462DBF" w14:textId="77777777" w:rsidR="00AB6D5E" w:rsidRPr="00EC09FB" w:rsidRDefault="00AB6D5E" w:rsidP="00AB6D5E">
      <w:pPr>
        <w:widowControl w:val="0"/>
        <w:tabs>
          <w:tab w:val="left" w:pos="2268"/>
        </w:tabs>
        <w:rPr>
          <w:color w:val="000000"/>
          <w:sz w:val="22"/>
          <w:szCs w:val="22"/>
          <w:shd w:val="clear" w:color="auto" w:fill="D9D9D9"/>
          <w:lang w:val="de-CH"/>
        </w:rPr>
      </w:pPr>
      <w:r w:rsidRPr="00B30A12">
        <w:rPr>
          <w:color w:val="000000"/>
          <w:sz w:val="22"/>
          <w:szCs w:val="22"/>
          <w:shd w:val="clear" w:color="auto" w:fill="D9D9D9"/>
          <w:lang w:val="da-DK"/>
        </w:rPr>
        <w:t>EU/1/01/198/008</w:t>
      </w:r>
      <w:r w:rsidRPr="00B30A12">
        <w:rPr>
          <w:color w:val="000000"/>
          <w:sz w:val="22"/>
          <w:szCs w:val="22"/>
          <w:shd w:val="clear" w:color="auto" w:fill="D9D9D9"/>
          <w:lang w:val="da-DK"/>
        </w:rPr>
        <w:tab/>
      </w:r>
      <w:r w:rsidRPr="00EC09FB">
        <w:rPr>
          <w:color w:val="000000"/>
          <w:sz w:val="22"/>
          <w:szCs w:val="22"/>
          <w:shd w:val="clear" w:color="auto" w:fill="D9D9D9"/>
          <w:lang w:val="de-CH"/>
        </w:rPr>
        <w:t>60 Tabletten</w:t>
      </w:r>
      <w:r w:rsidR="00510E36" w:rsidRPr="00EC09FB">
        <w:rPr>
          <w:color w:val="000000"/>
          <w:sz w:val="22"/>
          <w:szCs w:val="22"/>
          <w:shd w:val="pct15" w:color="auto" w:fill="auto"/>
          <w:lang w:val="de-CH"/>
        </w:rPr>
        <w:t xml:space="preserve"> (</w:t>
      </w:r>
      <w:r w:rsidR="00510E36" w:rsidRPr="003354C6">
        <w:rPr>
          <w:color w:val="000000"/>
          <w:sz w:val="22"/>
          <w:szCs w:val="22"/>
          <w:shd w:val="pct15" w:color="auto" w:fill="auto"/>
        </w:rPr>
        <w:t>PVC/Aluminium-Blisterpackungen)</w:t>
      </w:r>
    </w:p>
    <w:p w14:paraId="6155C423" w14:textId="77777777" w:rsidR="00AB6D5E" w:rsidRPr="00EC09FB" w:rsidRDefault="00AB6D5E" w:rsidP="00AB6D5E">
      <w:pPr>
        <w:widowControl w:val="0"/>
        <w:tabs>
          <w:tab w:val="left" w:pos="2268"/>
        </w:tabs>
        <w:rPr>
          <w:color w:val="000000"/>
          <w:sz w:val="22"/>
          <w:szCs w:val="22"/>
          <w:shd w:val="clear" w:color="auto" w:fill="D9D9D9"/>
          <w:lang w:val="de-CH"/>
        </w:rPr>
      </w:pPr>
      <w:r w:rsidRPr="00B30A12">
        <w:rPr>
          <w:color w:val="000000"/>
          <w:sz w:val="22"/>
          <w:szCs w:val="22"/>
          <w:shd w:val="clear" w:color="auto" w:fill="D9D9D9"/>
          <w:lang w:val="da-DK"/>
        </w:rPr>
        <w:t>EU/1/01/198/011</w:t>
      </w:r>
      <w:r w:rsidRPr="00B30A12">
        <w:rPr>
          <w:color w:val="000000"/>
          <w:sz w:val="22"/>
          <w:szCs w:val="22"/>
          <w:shd w:val="clear" w:color="auto" w:fill="D9D9D9"/>
          <w:lang w:val="da-DK"/>
        </w:rPr>
        <w:tab/>
      </w:r>
      <w:r w:rsidRPr="00EC09FB">
        <w:rPr>
          <w:color w:val="000000"/>
          <w:sz w:val="22"/>
          <w:szCs w:val="22"/>
          <w:shd w:val="clear" w:color="auto" w:fill="D9D9D9"/>
          <w:lang w:val="de-CH"/>
        </w:rPr>
        <w:t>120 Tabletten</w:t>
      </w:r>
      <w:r w:rsidR="00510E36" w:rsidRPr="00EC09FB">
        <w:rPr>
          <w:color w:val="000000"/>
          <w:sz w:val="22"/>
          <w:szCs w:val="22"/>
          <w:shd w:val="pct15" w:color="auto" w:fill="auto"/>
          <w:lang w:val="de-CH"/>
        </w:rPr>
        <w:t xml:space="preserve"> (</w:t>
      </w:r>
      <w:r w:rsidR="00510E36" w:rsidRPr="003354C6">
        <w:rPr>
          <w:color w:val="000000"/>
          <w:sz w:val="22"/>
          <w:szCs w:val="22"/>
          <w:shd w:val="pct15" w:color="auto" w:fill="auto"/>
        </w:rPr>
        <w:t>PVC/Aluminium-Blisterpackungen)</w:t>
      </w:r>
    </w:p>
    <w:p w14:paraId="3252650E" w14:textId="77777777" w:rsidR="00AB6D5E" w:rsidRPr="00B30A12" w:rsidRDefault="00AB6D5E" w:rsidP="00AB6D5E">
      <w:pPr>
        <w:widowControl w:val="0"/>
        <w:tabs>
          <w:tab w:val="left" w:pos="2268"/>
        </w:tabs>
        <w:rPr>
          <w:color w:val="000000"/>
          <w:sz w:val="22"/>
          <w:szCs w:val="22"/>
          <w:shd w:val="clear" w:color="auto" w:fill="D9D9D9"/>
        </w:rPr>
      </w:pPr>
      <w:r w:rsidRPr="00B30A12">
        <w:rPr>
          <w:color w:val="000000"/>
          <w:sz w:val="22"/>
          <w:szCs w:val="22"/>
          <w:shd w:val="clear" w:color="auto" w:fill="D9D9D9"/>
          <w:lang w:val="da-DK"/>
        </w:rPr>
        <w:t>EU/1/01/198/012</w:t>
      </w:r>
      <w:r w:rsidRPr="00B30A12">
        <w:rPr>
          <w:color w:val="000000"/>
          <w:sz w:val="22"/>
          <w:szCs w:val="22"/>
          <w:shd w:val="clear" w:color="auto" w:fill="D9D9D9"/>
          <w:lang w:val="da-DK"/>
        </w:rPr>
        <w:tab/>
      </w:r>
      <w:r w:rsidRPr="00B30A12">
        <w:rPr>
          <w:color w:val="000000"/>
          <w:sz w:val="22"/>
          <w:szCs w:val="22"/>
          <w:shd w:val="clear" w:color="auto" w:fill="D9D9D9"/>
        </w:rPr>
        <w:t>180 Tabletten</w:t>
      </w:r>
      <w:r w:rsidR="00510E36" w:rsidRPr="00EC09FB">
        <w:rPr>
          <w:color w:val="000000"/>
          <w:sz w:val="22"/>
          <w:szCs w:val="22"/>
          <w:shd w:val="pct15" w:color="auto" w:fill="auto"/>
          <w:lang w:val="de-CH"/>
        </w:rPr>
        <w:t xml:space="preserve"> (</w:t>
      </w:r>
      <w:r w:rsidR="00510E36" w:rsidRPr="003354C6">
        <w:rPr>
          <w:color w:val="000000"/>
          <w:sz w:val="22"/>
          <w:szCs w:val="22"/>
          <w:shd w:val="pct15" w:color="auto" w:fill="auto"/>
        </w:rPr>
        <w:t>PVC/Aluminium-Blisterpackungen)</w:t>
      </w:r>
    </w:p>
    <w:p w14:paraId="1DFBAAF8" w14:textId="77777777" w:rsidR="00510E36" w:rsidRPr="003354C6" w:rsidRDefault="00510E36" w:rsidP="00510E36">
      <w:pPr>
        <w:pStyle w:val="Header"/>
        <w:widowControl w:val="0"/>
        <w:tabs>
          <w:tab w:val="clear" w:pos="4320"/>
          <w:tab w:val="clear" w:pos="8640"/>
        </w:tabs>
        <w:ind w:left="2268" w:hanging="2268"/>
        <w:rPr>
          <w:color w:val="000000"/>
          <w:szCs w:val="22"/>
          <w:shd w:val="pct15" w:color="auto" w:fill="auto"/>
          <w:lang w:val="da-DK"/>
        </w:rPr>
      </w:pPr>
      <w:r w:rsidRPr="003354C6">
        <w:rPr>
          <w:color w:val="000000"/>
          <w:szCs w:val="22"/>
          <w:shd w:val="pct15" w:color="auto" w:fill="auto"/>
          <w:lang w:val="da-DK"/>
        </w:rPr>
        <w:t>EU/1/01/198/01</w:t>
      </w:r>
      <w:r w:rsidR="00EC09FB">
        <w:rPr>
          <w:color w:val="000000"/>
          <w:szCs w:val="22"/>
          <w:shd w:val="pct15" w:color="auto" w:fill="auto"/>
          <w:lang w:val="da-DK"/>
        </w:rPr>
        <w:t>4</w:t>
      </w:r>
      <w:r w:rsidRPr="003354C6">
        <w:rPr>
          <w:color w:val="000000"/>
          <w:szCs w:val="22"/>
          <w:shd w:val="pct15" w:color="auto" w:fill="auto"/>
          <w:lang w:val="da-DK"/>
        </w:rPr>
        <w:tab/>
      </w:r>
      <w:r w:rsidR="00EC09FB">
        <w:rPr>
          <w:color w:val="000000"/>
          <w:szCs w:val="22"/>
          <w:shd w:val="pct15" w:color="auto" w:fill="auto"/>
          <w:lang w:val="da-DK"/>
        </w:rPr>
        <w:t>6</w:t>
      </w:r>
      <w:r w:rsidRPr="00EC09FB">
        <w:rPr>
          <w:color w:val="000000"/>
          <w:szCs w:val="22"/>
          <w:shd w:val="pct15" w:color="auto" w:fill="auto"/>
          <w:lang w:val="de-CH"/>
        </w:rPr>
        <w:t>0 Tabletten (</w:t>
      </w:r>
      <w:r w:rsidRPr="003354C6">
        <w:rPr>
          <w:color w:val="000000"/>
          <w:szCs w:val="22"/>
          <w:shd w:val="pct15" w:color="auto" w:fill="auto"/>
        </w:rPr>
        <w:t>PVDC/Aluminium-Blisterpackungen)</w:t>
      </w:r>
    </w:p>
    <w:p w14:paraId="5ADAC09D" w14:textId="77777777" w:rsidR="00510E36" w:rsidRPr="003354C6" w:rsidRDefault="00510E36" w:rsidP="00510E36">
      <w:pPr>
        <w:pStyle w:val="Header"/>
        <w:widowControl w:val="0"/>
        <w:tabs>
          <w:tab w:val="clear" w:pos="4320"/>
          <w:tab w:val="clear" w:pos="8640"/>
        </w:tabs>
        <w:ind w:left="2268" w:hanging="2268"/>
        <w:rPr>
          <w:color w:val="000000"/>
          <w:szCs w:val="22"/>
          <w:shd w:val="pct15" w:color="auto" w:fill="auto"/>
          <w:lang w:val="da-DK"/>
        </w:rPr>
      </w:pPr>
      <w:r w:rsidRPr="003354C6">
        <w:rPr>
          <w:color w:val="000000"/>
          <w:szCs w:val="22"/>
          <w:shd w:val="pct15" w:color="auto" w:fill="auto"/>
          <w:lang w:val="da-DK"/>
        </w:rPr>
        <w:t>EU/1/01/198/01</w:t>
      </w:r>
      <w:r w:rsidR="00EC09FB">
        <w:rPr>
          <w:color w:val="000000"/>
          <w:szCs w:val="22"/>
          <w:shd w:val="pct15" w:color="auto" w:fill="auto"/>
          <w:lang w:val="da-DK"/>
        </w:rPr>
        <w:t>5</w:t>
      </w:r>
      <w:r w:rsidRPr="003354C6">
        <w:rPr>
          <w:color w:val="000000"/>
          <w:szCs w:val="22"/>
          <w:shd w:val="pct15" w:color="auto" w:fill="auto"/>
          <w:lang w:val="da-DK"/>
        </w:rPr>
        <w:tab/>
      </w:r>
      <w:r w:rsidRPr="003354C6">
        <w:rPr>
          <w:color w:val="000000"/>
          <w:szCs w:val="22"/>
          <w:shd w:val="pct15" w:color="auto" w:fill="auto"/>
        </w:rPr>
        <w:t>1</w:t>
      </w:r>
      <w:r w:rsidR="00EC09FB">
        <w:rPr>
          <w:color w:val="000000"/>
          <w:szCs w:val="22"/>
          <w:shd w:val="pct15" w:color="auto" w:fill="auto"/>
        </w:rPr>
        <w:t>2</w:t>
      </w:r>
      <w:r w:rsidRPr="003354C6">
        <w:rPr>
          <w:color w:val="000000"/>
          <w:szCs w:val="22"/>
          <w:shd w:val="pct15" w:color="auto" w:fill="auto"/>
        </w:rPr>
        <w:t>0 Tabletten</w:t>
      </w:r>
      <w:r w:rsidRPr="00EC09FB">
        <w:rPr>
          <w:color w:val="000000"/>
          <w:szCs w:val="22"/>
          <w:shd w:val="pct15" w:color="auto" w:fill="auto"/>
          <w:lang w:val="de-CH"/>
        </w:rPr>
        <w:t xml:space="preserve"> (</w:t>
      </w:r>
      <w:r w:rsidRPr="003354C6">
        <w:rPr>
          <w:color w:val="000000"/>
          <w:szCs w:val="22"/>
          <w:shd w:val="pct15" w:color="auto" w:fill="auto"/>
        </w:rPr>
        <w:t>PVDC/Aluminium-Blisterpackungen)</w:t>
      </w:r>
    </w:p>
    <w:p w14:paraId="151C1CAE" w14:textId="77777777" w:rsidR="00F64E85" w:rsidRPr="00EC09FB" w:rsidRDefault="00F64E85" w:rsidP="00F64E85">
      <w:pPr>
        <w:widowControl w:val="0"/>
        <w:tabs>
          <w:tab w:val="left" w:pos="2268"/>
        </w:tabs>
        <w:rPr>
          <w:color w:val="000000"/>
          <w:sz w:val="22"/>
          <w:szCs w:val="22"/>
          <w:shd w:val="clear" w:color="auto" w:fill="D9D9D9"/>
          <w:lang w:val="de-CH"/>
        </w:rPr>
      </w:pPr>
      <w:r w:rsidRPr="00B30A12">
        <w:rPr>
          <w:color w:val="000000"/>
          <w:sz w:val="22"/>
          <w:szCs w:val="22"/>
          <w:shd w:val="clear" w:color="auto" w:fill="D9D9D9"/>
          <w:lang w:val="da-DK"/>
        </w:rPr>
        <w:t>EU/1/01/198/0</w:t>
      </w:r>
      <w:r>
        <w:rPr>
          <w:color w:val="000000"/>
          <w:sz w:val="22"/>
          <w:szCs w:val="22"/>
          <w:shd w:val="clear" w:color="auto" w:fill="D9D9D9"/>
          <w:lang w:val="da-DK"/>
        </w:rPr>
        <w:t>1</w:t>
      </w:r>
      <w:r w:rsidR="00EC09FB">
        <w:rPr>
          <w:color w:val="000000"/>
          <w:sz w:val="22"/>
          <w:szCs w:val="22"/>
          <w:shd w:val="clear" w:color="auto" w:fill="D9D9D9"/>
          <w:lang w:val="da-DK"/>
        </w:rPr>
        <w:t>6</w:t>
      </w:r>
      <w:r w:rsidRPr="00B30A12">
        <w:rPr>
          <w:color w:val="000000"/>
          <w:sz w:val="22"/>
          <w:szCs w:val="22"/>
          <w:shd w:val="clear" w:color="auto" w:fill="D9D9D9"/>
          <w:lang w:val="da-DK"/>
        </w:rPr>
        <w:tab/>
      </w:r>
      <w:r w:rsidR="00EC09FB">
        <w:rPr>
          <w:color w:val="000000"/>
          <w:sz w:val="22"/>
          <w:szCs w:val="22"/>
          <w:shd w:val="clear" w:color="auto" w:fill="D9D9D9"/>
          <w:lang w:val="da-DK"/>
        </w:rPr>
        <w:t>18</w:t>
      </w:r>
      <w:r w:rsidRPr="00EC09FB">
        <w:rPr>
          <w:color w:val="000000"/>
          <w:sz w:val="22"/>
          <w:szCs w:val="22"/>
          <w:shd w:val="clear" w:color="auto" w:fill="D9D9D9"/>
          <w:lang w:val="de-CH"/>
        </w:rPr>
        <w:t>0 Tabletten</w:t>
      </w:r>
      <w:r w:rsidRPr="00EC09FB">
        <w:rPr>
          <w:color w:val="000000"/>
          <w:sz w:val="22"/>
          <w:szCs w:val="22"/>
          <w:shd w:val="pct15" w:color="auto" w:fill="auto"/>
          <w:lang w:val="de-CH"/>
        </w:rPr>
        <w:t xml:space="preserve"> (</w:t>
      </w:r>
      <w:r w:rsidRPr="003354C6">
        <w:rPr>
          <w:color w:val="000000"/>
          <w:sz w:val="22"/>
          <w:szCs w:val="22"/>
          <w:shd w:val="pct15" w:color="auto" w:fill="auto"/>
        </w:rPr>
        <w:t>PV</w:t>
      </w:r>
      <w:r>
        <w:rPr>
          <w:color w:val="000000"/>
          <w:sz w:val="22"/>
          <w:szCs w:val="22"/>
          <w:shd w:val="pct15" w:color="auto" w:fill="auto"/>
        </w:rPr>
        <w:t>D</w:t>
      </w:r>
      <w:r w:rsidRPr="003354C6">
        <w:rPr>
          <w:color w:val="000000"/>
          <w:sz w:val="22"/>
          <w:szCs w:val="22"/>
          <w:shd w:val="pct15" w:color="auto" w:fill="auto"/>
        </w:rPr>
        <w:t>C/Aluminium-Blisterpackungen)</w:t>
      </w:r>
    </w:p>
    <w:p w14:paraId="72850A49" w14:textId="77777777" w:rsidR="00AB6D5E" w:rsidRPr="00B30A12" w:rsidRDefault="00AB6D5E" w:rsidP="00AB6D5E">
      <w:pPr>
        <w:pStyle w:val="Header"/>
        <w:widowControl w:val="0"/>
        <w:tabs>
          <w:tab w:val="clear" w:pos="4320"/>
          <w:tab w:val="clear" w:pos="8640"/>
        </w:tabs>
        <w:rPr>
          <w:color w:val="000000"/>
          <w:szCs w:val="22"/>
        </w:rPr>
      </w:pPr>
    </w:p>
    <w:p w14:paraId="74E892DE" w14:textId="77777777" w:rsidR="00AB6D5E" w:rsidRPr="00B30A12" w:rsidRDefault="00AB6D5E" w:rsidP="00AB6D5E">
      <w:pPr>
        <w:rPr>
          <w:color w:val="000000"/>
          <w:sz w:val="22"/>
          <w:szCs w:val="22"/>
        </w:rPr>
      </w:pPr>
    </w:p>
    <w:p w14:paraId="195754B3"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13.</w:t>
      </w:r>
      <w:r w:rsidRPr="00B30A12">
        <w:rPr>
          <w:b/>
          <w:color w:val="000000"/>
          <w:sz w:val="22"/>
          <w:szCs w:val="22"/>
        </w:rPr>
        <w:tab/>
        <w:t>CHARGENBEZEICHNUNG</w:t>
      </w:r>
    </w:p>
    <w:p w14:paraId="465908DB" w14:textId="77777777" w:rsidR="00AB6D5E" w:rsidRPr="00B30A12" w:rsidRDefault="00AB6D5E" w:rsidP="00AB6D5E">
      <w:pPr>
        <w:rPr>
          <w:color w:val="000000"/>
          <w:sz w:val="22"/>
          <w:szCs w:val="22"/>
        </w:rPr>
      </w:pPr>
    </w:p>
    <w:p w14:paraId="60B58B61" w14:textId="77777777" w:rsidR="00AB6D5E" w:rsidRPr="00B30A12" w:rsidRDefault="00AB6D5E" w:rsidP="00AB6D5E">
      <w:pPr>
        <w:widowControl w:val="0"/>
        <w:rPr>
          <w:color w:val="000000"/>
          <w:sz w:val="22"/>
          <w:szCs w:val="22"/>
        </w:rPr>
      </w:pPr>
      <w:r w:rsidRPr="00B30A12">
        <w:rPr>
          <w:color w:val="000000"/>
          <w:sz w:val="22"/>
          <w:szCs w:val="22"/>
        </w:rPr>
        <w:t>Ch.-B.:</w:t>
      </w:r>
    </w:p>
    <w:p w14:paraId="2FB0EF91" w14:textId="77777777" w:rsidR="00AB6D5E" w:rsidRPr="00B30A12" w:rsidRDefault="00AB6D5E" w:rsidP="00AB6D5E">
      <w:pPr>
        <w:rPr>
          <w:color w:val="000000"/>
          <w:sz w:val="22"/>
          <w:szCs w:val="22"/>
        </w:rPr>
      </w:pPr>
    </w:p>
    <w:p w14:paraId="31E353A9" w14:textId="77777777" w:rsidR="00AB6D5E" w:rsidRPr="00B30A12" w:rsidRDefault="00AB6D5E" w:rsidP="00AB6D5E">
      <w:pPr>
        <w:rPr>
          <w:color w:val="000000"/>
          <w:sz w:val="22"/>
          <w:szCs w:val="22"/>
        </w:rPr>
      </w:pPr>
    </w:p>
    <w:p w14:paraId="790D46E5"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14.</w:t>
      </w:r>
      <w:r w:rsidRPr="00B30A12">
        <w:rPr>
          <w:b/>
          <w:color w:val="000000"/>
          <w:sz w:val="22"/>
          <w:szCs w:val="22"/>
        </w:rPr>
        <w:tab/>
        <w:t>VERKAUFSABGRENZUNG</w:t>
      </w:r>
    </w:p>
    <w:p w14:paraId="0D65AA7E" w14:textId="77777777" w:rsidR="00AB6D5E" w:rsidRPr="00B30A12" w:rsidRDefault="00AB6D5E" w:rsidP="00AB6D5E">
      <w:pPr>
        <w:rPr>
          <w:color w:val="000000"/>
          <w:sz w:val="22"/>
          <w:szCs w:val="22"/>
        </w:rPr>
      </w:pPr>
    </w:p>
    <w:p w14:paraId="104A5B73" w14:textId="77777777" w:rsidR="00AB6D5E" w:rsidRPr="00B30A12" w:rsidRDefault="00AB6D5E" w:rsidP="00AB6D5E">
      <w:pPr>
        <w:rPr>
          <w:color w:val="000000"/>
          <w:sz w:val="22"/>
          <w:szCs w:val="22"/>
        </w:rPr>
      </w:pPr>
    </w:p>
    <w:p w14:paraId="0FA2FCAF"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B30A12">
        <w:rPr>
          <w:b/>
          <w:caps/>
          <w:color w:val="000000"/>
          <w:sz w:val="22"/>
          <w:szCs w:val="22"/>
        </w:rPr>
        <w:t>15.</w:t>
      </w:r>
      <w:r w:rsidRPr="00B30A12">
        <w:rPr>
          <w:b/>
          <w:caps/>
          <w:color w:val="000000"/>
          <w:sz w:val="22"/>
          <w:szCs w:val="22"/>
        </w:rPr>
        <w:tab/>
        <w:t>HINWEISE FÜR DEN GEBRAUCH</w:t>
      </w:r>
    </w:p>
    <w:p w14:paraId="7AC477FF" w14:textId="77777777" w:rsidR="00AB6D5E" w:rsidRPr="00B30A12" w:rsidRDefault="00AB6D5E" w:rsidP="00AB6D5E">
      <w:pPr>
        <w:rPr>
          <w:noProof/>
          <w:color w:val="000000"/>
          <w:sz w:val="22"/>
          <w:szCs w:val="22"/>
        </w:rPr>
      </w:pPr>
    </w:p>
    <w:p w14:paraId="5E3C7B34" w14:textId="77777777" w:rsidR="00AB6D5E" w:rsidRPr="00B30A12" w:rsidRDefault="00AB6D5E" w:rsidP="00AB6D5E">
      <w:pPr>
        <w:rPr>
          <w:noProof/>
          <w:color w:val="000000"/>
          <w:sz w:val="22"/>
          <w:szCs w:val="22"/>
        </w:rPr>
      </w:pPr>
    </w:p>
    <w:p w14:paraId="514F669C"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noProof/>
          <w:color w:val="000000"/>
          <w:sz w:val="22"/>
          <w:szCs w:val="22"/>
        </w:rPr>
      </w:pPr>
      <w:r w:rsidRPr="00B30A12">
        <w:rPr>
          <w:b/>
          <w:caps/>
          <w:noProof/>
          <w:color w:val="000000"/>
          <w:sz w:val="22"/>
          <w:szCs w:val="22"/>
        </w:rPr>
        <w:t>16.</w:t>
      </w:r>
      <w:r w:rsidRPr="00B30A12">
        <w:rPr>
          <w:b/>
          <w:caps/>
          <w:noProof/>
          <w:color w:val="000000"/>
          <w:sz w:val="22"/>
          <w:szCs w:val="22"/>
        </w:rPr>
        <w:tab/>
      </w:r>
      <w:r w:rsidR="00BF10B5" w:rsidRPr="00B30A12">
        <w:rPr>
          <w:b/>
          <w:caps/>
          <w:noProof/>
          <w:color w:val="000000"/>
          <w:sz w:val="22"/>
          <w:szCs w:val="22"/>
        </w:rPr>
        <w:t>ANGABEN IN BLINDEN</w:t>
      </w:r>
      <w:r w:rsidRPr="00B30A12">
        <w:rPr>
          <w:b/>
          <w:caps/>
          <w:noProof/>
          <w:color w:val="000000"/>
          <w:sz w:val="22"/>
          <w:szCs w:val="22"/>
        </w:rPr>
        <w:t>schrift</w:t>
      </w:r>
    </w:p>
    <w:p w14:paraId="6E205E03" w14:textId="77777777" w:rsidR="00AB6D5E" w:rsidRPr="00B30A12" w:rsidRDefault="00AB6D5E" w:rsidP="00AB6D5E">
      <w:pPr>
        <w:rPr>
          <w:noProof/>
          <w:color w:val="000000"/>
          <w:sz w:val="22"/>
          <w:szCs w:val="22"/>
        </w:rPr>
      </w:pPr>
    </w:p>
    <w:p w14:paraId="6AC39625" w14:textId="77777777" w:rsidR="00AB6D5E" w:rsidRPr="00B30A12" w:rsidRDefault="00AB6D5E" w:rsidP="00AB6D5E">
      <w:pPr>
        <w:rPr>
          <w:color w:val="000000"/>
          <w:sz w:val="22"/>
          <w:szCs w:val="22"/>
        </w:rPr>
      </w:pPr>
      <w:r w:rsidRPr="00B30A12">
        <w:rPr>
          <w:color w:val="000000"/>
          <w:sz w:val="22"/>
          <w:szCs w:val="22"/>
        </w:rPr>
        <w:t>Glivec 100 mg</w:t>
      </w:r>
    </w:p>
    <w:p w14:paraId="6C63E96C" w14:textId="77777777" w:rsidR="00B7018B" w:rsidRPr="00B30A12" w:rsidRDefault="00B7018B" w:rsidP="00B7018B">
      <w:pPr>
        <w:rPr>
          <w:color w:val="000000"/>
          <w:sz w:val="22"/>
          <w:szCs w:val="22"/>
        </w:rPr>
      </w:pPr>
    </w:p>
    <w:p w14:paraId="4FFEC839" w14:textId="77777777" w:rsidR="00B7018B" w:rsidRPr="00B30A12" w:rsidRDefault="00B7018B" w:rsidP="00B7018B">
      <w:pPr>
        <w:widowControl w:val="0"/>
        <w:rPr>
          <w:noProof/>
          <w:sz w:val="22"/>
          <w:szCs w:val="22"/>
          <w:shd w:val="clear" w:color="auto" w:fill="CCCCCC"/>
        </w:rPr>
      </w:pPr>
    </w:p>
    <w:p w14:paraId="7C541370"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3"/>
        <w:outlineLvl w:val="0"/>
        <w:rPr>
          <w:i/>
          <w:noProof/>
          <w:sz w:val="22"/>
          <w:szCs w:val="22"/>
        </w:rPr>
      </w:pPr>
      <w:r w:rsidRPr="00B30A12">
        <w:rPr>
          <w:b/>
          <w:noProof/>
          <w:sz w:val="22"/>
          <w:szCs w:val="22"/>
        </w:rPr>
        <w:t>17.</w:t>
      </w:r>
      <w:r w:rsidRPr="00B30A12">
        <w:rPr>
          <w:b/>
          <w:noProof/>
          <w:sz w:val="22"/>
          <w:szCs w:val="22"/>
        </w:rPr>
        <w:tab/>
        <w:t>INDIVIDUELLES ERKENNUNGSMERKMAL – 2D-BARCODE</w:t>
      </w:r>
    </w:p>
    <w:p w14:paraId="407A9CA2" w14:textId="77777777" w:rsidR="00B7018B" w:rsidRPr="00B30A12" w:rsidRDefault="00B7018B" w:rsidP="00B7018B">
      <w:pPr>
        <w:widowControl w:val="0"/>
        <w:rPr>
          <w:noProof/>
          <w:sz w:val="22"/>
          <w:szCs w:val="22"/>
        </w:rPr>
      </w:pPr>
    </w:p>
    <w:p w14:paraId="3AD7D0E3" w14:textId="77777777" w:rsidR="00B7018B" w:rsidRPr="00B30A12" w:rsidRDefault="00B7018B" w:rsidP="00B7018B">
      <w:pPr>
        <w:widowControl w:val="0"/>
        <w:rPr>
          <w:noProof/>
          <w:sz w:val="22"/>
          <w:szCs w:val="22"/>
          <w:shd w:val="clear" w:color="auto" w:fill="CCCCCC"/>
        </w:rPr>
      </w:pPr>
      <w:r w:rsidRPr="00B30A12">
        <w:rPr>
          <w:noProof/>
          <w:sz w:val="22"/>
          <w:szCs w:val="22"/>
          <w:shd w:val="pct15" w:color="auto" w:fill="auto"/>
        </w:rPr>
        <w:t>2D-Barcode mit individuellem Erkennungsmerkmal.</w:t>
      </w:r>
    </w:p>
    <w:p w14:paraId="04756CBC" w14:textId="77777777" w:rsidR="00B7018B" w:rsidRPr="00B30A12" w:rsidRDefault="00B7018B" w:rsidP="00B7018B">
      <w:pPr>
        <w:widowControl w:val="0"/>
        <w:rPr>
          <w:noProof/>
          <w:sz w:val="22"/>
          <w:szCs w:val="22"/>
        </w:rPr>
      </w:pPr>
    </w:p>
    <w:p w14:paraId="27D91ABA" w14:textId="77777777" w:rsidR="00B7018B" w:rsidRPr="00B30A12" w:rsidRDefault="00B7018B" w:rsidP="00B7018B">
      <w:pPr>
        <w:widowControl w:val="0"/>
        <w:rPr>
          <w:noProof/>
          <w:sz w:val="22"/>
          <w:szCs w:val="22"/>
        </w:rPr>
      </w:pPr>
    </w:p>
    <w:p w14:paraId="4EE30E69"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567" w:hanging="567"/>
        <w:outlineLvl w:val="0"/>
        <w:rPr>
          <w:i/>
          <w:noProof/>
          <w:sz w:val="22"/>
          <w:szCs w:val="22"/>
        </w:rPr>
      </w:pPr>
      <w:r w:rsidRPr="00B30A12">
        <w:rPr>
          <w:b/>
          <w:noProof/>
          <w:sz w:val="22"/>
          <w:szCs w:val="22"/>
        </w:rPr>
        <w:t>18.</w:t>
      </w:r>
      <w:r w:rsidRPr="00B30A12">
        <w:rPr>
          <w:b/>
          <w:noProof/>
          <w:sz w:val="22"/>
          <w:szCs w:val="22"/>
        </w:rPr>
        <w:tab/>
        <w:t>INDIVIDUELLES ERKENNUNGSMERKMAL – VOM MENSCHEN LESBARES FORMAT</w:t>
      </w:r>
    </w:p>
    <w:p w14:paraId="77ACBEDD" w14:textId="77777777" w:rsidR="00B7018B" w:rsidRPr="00B30A12" w:rsidRDefault="00B7018B" w:rsidP="00B7018B">
      <w:pPr>
        <w:widowControl w:val="0"/>
        <w:rPr>
          <w:noProof/>
          <w:sz w:val="22"/>
          <w:szCs w:val="22"/>
        </w:rPr>
      </w:pPr>
    </w:p>
    <w:p w14:paraId="392313A1" w14:textId="77777777" w:rsidR="00B7018B" w:rsidRPr="00B30A12" w:rsidRDefault="00B7018B" w:rsidP="00B7018B">
      <w:pPr>
        <w:widowControl w:val="0"/>
        <w:rPr>
          <w:sz w:val="22"/>
          <w:szCs w:val="22"/>
        </w:rPr>
      </w:pPr>
      <w:r w:rsidRPr="00B30A12">
        <w:rPr>
          <w:sz w:val="22"/>
          <w:szCs w:val="22"/>
        </w:rPr>
        <w:t>PC:</w:t>
      </w:r>
    </w:p>
    <w:p w14:paraId="11B4DE55" w14:textId="77777777" w:rsidR="00B7018B" w:rsidRPr="00B30A12" w:rsidRDefault="00B7018B" w:rsidP="00B7018B">
      <w:pPr>
        <w:widowControl w:val="0"/>
        <w:rPr>
          <w:sz w:val="22"/>
          <w:szCs w:val="22"/>
        </w:rPr>
      </w:pPr>
      <w:r w:rsidRPr="00B30A12">
        <w:rPr>
          <w:sz w:val="22"/>
          <w:szCs w:val="22"/>
        </w:rPr>
        <w:t>SN:</w:t>
      </w:r>
    </w:p>
    <w:p w14:paraId="62C22A5C" w14:textId="77777777" w:rsidR="00B7018B" w:rsidRPr="00B30A12" w:rsidRDefault="00B7018B" w:rsidP="00B7018B">
      <w:pPr>
        <w:widowControl w:val="0"/>
        <w:rPr>
          <w:sz w:val="22"/>
          <w:szCs w:val="22"/>
        </w:rPr>
      </w:pPr>
      <w:r w:rsidRPr="00B30A12">
        <w:rPr>
          <w:sz w:val="22"/>
          <w:szCs w:val="22"/>
        </w:rPr>
        <w:t>NN:</w:t>
      </w:r>
    </w:p>
    <w:p w14:paraId="4DDFF033" w14:textId="77777777" w:rsidR="00AB6D5E" w:rsidRPr="00B30A12" w:rsidRDefault="00AB6D5E" w:rsidP="00AB6D5E">
      <w:pPr>
        <w:widowControl w:val="0"/>
        <w:shd w:val="clear" w:color="auto" w:fill="FFFFFF"/>
        <w:rPr>
          <w:color w:val="000000"/>
          <w:sz w:val="22"/>
          <w:szCs w:val="22"/>
        </w:rPr>
      </w:pPr>
      <w:r w:rsidRPr="00B30A12">
        <w:rPr>
          <w:color w:val="000000"/>
          <w:sz w:val="22"/>
          <w:szCs w:val="22"/>
        </w:rPr>
        <w:br w:type="page"/>
      </w:r>
    </w:p>
    <w:p w14:paraId="230EBA22" w14:textId="77777777" w:rsidR="001E3D49" w:rsidRPr="001E3D49" w:rsidRDefault="001E3D49" w:rsidP="001E3D49">
      <w:pPr>
        <w:rPr>
          <w:color w:val="000000"/>
          <w:sz w:val="22"/>
          <w:szCs w:val="22"/>
        </w:rPr>
      </w:pPr>
    </w:p>
    <w:p w14:paraId="07076985"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MINDESTANGABEN AUF BLISTERPACKUNGEN ODER FOLIENSTREIFEN</w:t>
      </w:r>
    </w:p>
    <w:p w14:paraId="4267CB83"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22F74346"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BLISTERPACKUNGEN</w:t>
      </w:r>
    </w:p>
    <w:p w14:paraId="02DC9060" w14:textId="77777777" w:rsidR="00AB6D5E" w:rsidRPr="00B30A12" w:rsidRDefault="00AB6D5E" w:rsidP="00AB6D5E">
      <w:pPr>
        <w:rPr>
          <w:color w:val="000000"/>
          <w:sz w:val="22"/>
          <w:szCs w:val="22"/>
        </w:rPr>
      </w:pPr>
    </w:p>
    <w:p w14:paraId="629B7256" w14:textId="77777777" w:rsidR="00AB6D5E" w:rsidRPr="00B30A12" w:rsidRDefault="00AB6D5E" w:rsidP="00AB6D5E">
      <w:pPr>
        <w:rPr>
          <w:color w:val="000000"/>
          <w:sz w:val="22"/>
          <w:szCs w:val="22"/>
        </w:rPr>
      </w:pPr>
    </w:p>
    <w:p w14:paraId="007E47A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0790A10D" w14:textId="77777777" w:rsidR="00AB6D5E" w:rsidRPr="00B30A12" w:rsidRDefault="00AB6D5E" w:rsidP="00AB6D5E">
      <w:pPr>
        <w:rPr>
          <w:color w:val="000000"/>
          <w:sz w:val="22"/>
          <w:szCs w:val="22"/>
        </w:rPr>
      </w:pPr>
    </w:p>
    <w:p w14:paraId="527F2419" w14:textId="77777777" w:rsidR="00AB6D5E" w:rsidRPr="00B30A12" w:rsidRDefault="00AB6D5E" w:rsidP="00AB6D5E">
      <w:pPr>
        <w:widowControl w:val="0"/>
        <w:rPr>
          <w:color w:val="000000"/>
          <w:sz w:val="22"/>
          <w:szCs w:val="22"/>
        </w:rPr>
      </w:pPr>
      <w:r w:rsidRPr="00B30A12">
        <w:rPr>
          <w:color w:val="000000"/>
          <w:sz w:val="22"/>
          <w:szCs w:val="22"/>
        </w:rPr>
        <w:t>Glivec 100 mg Tabletten</w:t>
      </w:r>
    </w:p>
    <w:p w14:paraId="7298B725" w14:textId="77777777" w:rsidR="00AB6D5E" w:rsidRPr="00B30A12" w:rsidRDefault="00AB6D5E" w:rsidP="00AB6D5E">
      <w:pPr>
        <w:widowControl w:val="0"/>
        <w:rPr>
          <w:color w:val="000000"/>
          <w:sz w:val="22"/>
          <w:szCs w:val="22"/>
        </w:rPr>
      </w:pPr>
      <w:r w:rsidRPr="00B30A12">
        <w:rPr>
          <w:color w:val="000000"/>
          <w:sz w:val="22"/>
          <w:szCs w:val="22"/>
        </w:rPr>
        <w:t>Imatinib</w:t>
      </w:r>
    </w:p>
    <w:p w14:paraId="67B709B7" w14:textId="77777777" w:rsidR="00AB6D5E" w:rsidRPr="00B30A12" w:rsidRDefault="00AB6D5E" w:rsidP="00AB6D5E">
      <w:pPr>
        <w:rPr>
          <w:color w:val="000000"/>
          <w:sz w:val="22"/>
          <w:szCs w:val="22"/>
        </w:rPr>
      </w:pPr>
    </w:p>
    <w:p w14:paraId="73FC944F" w14:textId="77777777" w:rsidR="00AB6D5E" w:rsidRPr="00B30A12" w:rsidRDefault="00AB6D5E" w:rsidP="00AB6D5E">
      <w:pPr>
        <w:rPr>
          <w:color w:val="000000"/>
          <w:sz w:val="22"/>
          <w:szCs w:val="22"/>
        </w:rPr>
      </w:pPr>
    </w:p>
    <w:p w14:paraId="3BD28AF1"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 xml:space="preserve">NAME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17291D4A" w14:textId="77777777" w:rsidR="00AB6D5E" w:rsidRPr="00B30A12" w:rsidRDefault="00AB6D5E" w:rsidP="00AB6D5E">
      <w:pPr>
        <w:rPr>
          <w:color w:val="000000"/>
          <w:sz w:val="22"/>
          <w:szCs w:val="22"/>
        </w:rPr>
      </w:pPr>
    </w:p>
    <w:p w14:paraId="1F555C47" w14:textId="77777777" w:rsidR="00AB6D5E" w:rsidRPr="00B30A12" w:rsidRDefault="00AB6D5E" w:rsidP="00AB6D5E">
      <w:pPr>
        <w:widowControl w:val="0"/>
        <w:rPr>
          <w:color w:val="000000"/>
          <w:sz w:val="22"/>
          <w:szCs w:val="22"/>
        </w:rPr>
      </w:pPr>
      <w:r w:rsidRPr="00B30A12">
        <w:rPr>
          <w:color w:val="000000"/>
          <w:sz w:val="22"/>
          <w:szCs w:val="22"/>
        </w:rPr>
        <w:t>Novartis Europharm Limited</w:t>
      </w:r>
    </w:p>
    <w:p w14:paraId="28C1D2B5" w14:textId="77777777" w:rsidR="00AB6D5E" w:rsidRPr="00B30A12" w:rsidRDefault="00AB6D5E" w:rsidP="00AB6D5E">
      <w:pPr>
        <w:rPr>
          <w:color w:val="000000"/>
          <w:sz w:val="22"/>
          <w:szCs w:val="22"/>
        </w:rPr>
      </w:pPr>
    </w:p>
    <w:p w14:paraId="2EBD2519" w14:textId="77777777" w:rsidR="00AB6D5E" w:rsidRPr="00B30A12" w:rsidRDefault="00AB6D5E" w:rsidP="00AB6D5E">
      <w:pPr>
        <w:rPr>
          <w:color w:val="000000"/>
          <w:sz w:val="22"/>
          <w:szCs w:val="22"/>
        </w:rPr>
      </w:pPr>
    </w:p>
    <w:p w14:paraId="29450487"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VERFALLDATUM</w:t>
      </w:r>
    </w:p>
    <w:p w14:paraId="57CB7DB7" w14:textId="77777777" w:rsidR="00AB6D5E" w:rsidRPr="00B30A12" w:rsidRDefault="00AB6D5E" w:rsidP="00AB6D5E">
      <w:pPr>
        <w:rPr>
          <w:color w:val="000000"/>
          <w:sz w:val="22"/>
          <w:szCs w:val="22"/>
        </w:rPr>
      </w:pPr>
    </w:p>
    <w:p w14:paraId="34A2CB0B" w14:textId="77777777" w:rsidR="00AB6D5E" w:rsidRPr="00B30A12" w:rsidRDefault="00AB6D5E" w:rsidP="00AB6D5E">
      <w:pPr>
        <w:widowControl w:val="0"/>
        <w:rPr>
          <w:color w:val="000000"/>
          <w:sz w:val="22"/>
          <w:szCs w:val="22"/>
        </w:rPr>
      </w:pPr>
      <w:r w:rsidRPr="00B30A12">
        <w:rPr>
          <w:color w:val="000000"/>
          <w:sz w:val="22"/>
          <w:szCs w:val="22"/>
        </w:rPr>
        <w:t>EXP</w:t>
      </w:r>
    </w:p>
    <w:p w14:paraId="64543E9C" w14:textId="77777777" w:rsidR="00AB6D5E" w:rsidRPr="00B30A12" w:rsidRDefault="00AB6D5E" w:rsidP="00AB6D5E">
      <w:pPr>
        <w:rPr>
          <w:color w:val="000000"/>
          <w:sz w:val="22"/>
          <w:szCs w:val="22"/>
        </w:rPr>
      </w:pPr>
    </w:p>
    <w:p w14:paraId="0EF2C9CE" w14:textId="77777777" w:rsidR="00AB6D5E" w:rsidRPr="00B30A12" w:rsidRDefault="00AB6D5E" w:rsidP="00AB6D5E">
      <w:pPr>
        <w:rPr>
          <w:color w:val="000000"/>
          <w:sz w:val="22"/>
          <w:szCs w:val="22"/>
        </w:rPr>
      </w:pPr>
    </w:p>
    <w:p w14:paraId="1334A33A"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CHARGENBEZEICHNUNG</w:t>
      </w:r>
    </w:p>
    <w:p w14:paraId="6566B52B" w14:textId="77777777" w:rsidR="00AB6D5E" w:rsidRPr="00B30A12" w:rsidRDefault="00AB6D5E" w:rsidP="00AB6D5E">
      <w:pPr>
        <w:rPr>
          <w:color w:val="000000"/>
          <w:sz w:val="22"/>
          <w:szCs w:val="22"/>
        </w:rPr>
      </w:pPr>
    </w:p>
    <w:p w14:paraId="30412F4E" w14:textId="77777777" w:rsidR="00AB6D5E" w:rsidRPr="00B30A12" w:rsidRDefault="00AB6D5E" w:rsidP="00AB6D5E">
      <w:pPr>
        <w:pStyle w:val="Header"/>
        <w:suppressLineNumbers/>
        <w:tabs>
          <w:tab w:val="clear" w:pos="4320"/>
          <w:tab w:val="clear" w:pos="8640"/>
        </w:tabs>
        <w:suppressAutoHyphens/>
        <w:rPr>
          <w:color w:val="000000"/>
          <w:szCs w:val="22"/>
        </w:rPr>
      </w:pPr>
      <w:r w:rsidRPr="00B30A12">
        <w:rPr>
          <w:color w:val="000000"/>
          <w:szCs w:val="22"/>
        </w:rPr>
        <w:t>Lot</w:t>
      </w:r>
    </w:p>
    <w:p w14:paraId="4FC08067" w14:textId="77777777" w:rsidR="00AB6D5E" w:rsidRPr="00B30A12" w:rsidRDefault="00AB6D5E" w:rsidP="00AB6D5E">
      <w:pPr>
        <w:widowControl w:val="0"/>
        <w:rPr>
          <w:color w:val="000000"/>
          <w:sz w:val="22"/>
          <w:szCs w:val="22"/>
        </w:rPr>
      </w:pPr>
    </w:p>
    <w:p w14:paraId="270ACAAF" w14:textId="77777777" w:rsidR="00AB6D5E" w:rsidRPr="00B30A12" w:rsidRDefault="00AB6D5E" w:rsidP="00AB6D5E">
      <w:pPr>
        <w:widowControl w:val="0"/>
        <w:rPr>
          <w:color w:val="000000"/>
          <w:sz w:val="22"/>
          <w:szCs w:val="22"/>
        </w:rPr>
      </w:pPr>
    </w:p>
    <w:p w14:paraId="640E5830" w14:textId="77777777" w:rsidR="00AB6D5E" w:rsidRPr="00B30A12" w:rsidRDefault="00AB6D5E" w:rsidP="00AB6D5E">
      <w:pPr>
        <w:widowControl w:val="0"/>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5.</w:t>
      </w:r>
      <w:r w:rsidRPr="00B30A12">
        <w:rPr>
          <w:b/>
          <w:color w:val="000000"/>
          <w:sz w:val="22"/>
          <w:szCs w:val="22"/>
        </w:rPr>
        <w:tab/>
        <w:t>WEITERE ANGABEN</w:t>
      </w:r>
    </w:p>
    <w:p w14:paraId="155A279F" w14:textId="77777777" w:rsidR="00AB6D5E" w:rsidRPr="00B30A12" w:rsidRDefault="00AB6D5E" w:rsidP="00AB6D5E">
      <w:pPr>
        <w:widowControl w:val="0"/>
        <w:rPr>
          <w:color w:val="000000"/>
          <w:sz w:val="22"/>
          <w:szCs w:val="22"/>
        </w:rPr>
      </w:pPr>
    </w:p>
    <w:p w14:paraId="3EAEADBE" w14:textId="77777777" w:rsidR="00AB6D5E" w:rsidRPr="00B30A12" w:rsidRDefault="00AB6D5E" w:rsidP="00AB6D5E">
      <w:pPr>
        <w:shd w:val="clear" w:color="auto" w:fill="FFFFFF"/>
        <w:rPr>
          <w:color w:val="000000"/>
          <w:sz w:val="22"/>
          <w:szCs w:val="22"/>
        </w:rPr>
      </w:pPr>
      <w:r w:rsidRPr="00B30A12">
        <w:rPr>
          <w:color w:val="000000"/>
          <w:sz w:val="22"/>
          <w:szCs w:val="22"/>
        </w:rPr>
        <w:br w:type="page"/>
      </w:r>
    </w:p>
    <w:p w14:paraId="4E4C2797" w14:textId="77777777" w:rsidR="001E3D49" w:rsidRPr="001E3D49" w:rsidRDefault="001E3D49" w:rsidP="001E3D49">
      <w:pPr>
        <w:rPr>
          <w:color w:val="000000"/>
          <w:sz w:val="22"/>
          <w:szCs w:val="22"/>
        </w:rPr>
      </w:pPr>
    </w:p>
    <w:p w14:paraId="5A97B654"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 xml:space="preserve">ANGABEN AUF </w:t>
      </w:r>
      <w:smartTag w:uri="urn:schemas-microsoft-com:office:smarttags" w:element="stockticker">
        <w:r w:rsidRPr="00B30A12">
          <w:rPr>
            <w:b/>
            <w:color w:val="000000"/>
            <w:sz w:val="22"/>
            <w:szCs w:val="22"/>
          </w:rPr>
          <w:t>DER</w:t>
        </w:r>
      </w:smartTag>
      <w:r w:rsidRPr="00B30A12">
        <w:rPr>
          <w:b/>
          <w:color w:val="000000"/>
          <w:sz w:val="22"/>
          <w:szCs w:val="22"/>
        </w:rPr>
        <w:t xml:space="preserve"> ÄUSSEREN UMHÜLLUNG</w:t>
      </w:r>
    </w:p>
    <w:p w14:paraId="093A92A1"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2717E35C" w14:textId="77777777" w:rsidR="00AB6D5E" w:rsidRPr="00B30A12" w:rsidRDefault="00E745E2" w:rsidP="00AB6D5E">
      <w:pPr>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UMKARTON</w:t>
      </w:r>
    </w:p>
    <w:p w14:paraId="5A7A1517" w14:textId="77777777" w:rsidR="00AB6D5E" w:rsidRPr="00B30A12" w:rsidRDefault="00AB6D5E" w:rsidP="00AB6D5E">
      <w:pPr>
        <w:ind w:left="-142" w:firstLine="142"/>
        <w:rPr>
          <w:color w:val="000000"/>
          <w:sz w:val="22"/>
          <w:szCs w:val="22"/>
        </w:rPr>
      </w:pPr>
    </w:p>
    <w:p w14:paraId="1887F6F0" w14:textId="77777777" w:rsidR="00AB6D5E" w:rsidRPr="00B30A12" w:rsidRDefault="00AB6D5E" w:rsidP="00AB6D5E">
      <w:pPr>
        <w:ind w:left="-142" w:firstLine="142"/>
        <w:rPr>
          <w:color w:val="000000"/>
          <w:sz w:val="22"/>
          <w:szCs w:val="22"/>
        </w:rPr>
      </w:pPr>
    </w:p>
    <w:p w14:paraId="33191806"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64BB78EA" w14:textId="77777777" w:rsidR="00AB6D5E" w:rsidRPr="00B30A12" w:rsidRDefault="00AB6D5E" w:rsidP="00AB6D5E">
      <w:pPr>
        <w:rPr>
          <w:color w:val="000000"/>
          <w:sz w:val="22"/>
          <w:szCs w:val="22"/>
        </w:rPr>
      </w:pPr>
    </w:p>
    <w:p w14:paraId="071AA7F1" w14:textId="77777777" w:rsidR="00AB6D5E" w:rsidRPr="00B30A12" w:rsidRDefault="00AB6D5E" w:rsidP="00AB6D5E">
      <w:pPr>
        <w:widowControl w:val="0"/>
        <w:rPr>
          <w:color w:val="000000"/>
          <w:sz w:val="22"/>
          <w:szCs w:val="22"/>
        </w:rPr>
      </w:pPr>
      <w:r w:rsidRPr="00B30A12">
        <w:rPr>
          <w:color w:val="000000"/>
          <w:sz w:val="22"/>
          <w:szCs w:val="22"/>
        </w:rPr>
        <w:t>Glivec 400 mg Filmtabletten</w:t>
      </w:r>
    </w:p>
    <w:p w14:paraId="24A9707D" w14:textId="77777777" w:rsidR="00AB6D5E" w:rsidRPr="00B30A12" w:rsidRDefault="00AB6D5E" w:rsidP="00AB6D5E">
      <w:pPr>
        <w:widowControl w:val="0"/>
        <w:rPr>
          <w:color w:val="000000"/>
          <w:sz w:val="22"/>
          <w:szCs w:val="22"/>
        </w:rPr>
      </w:pPr>
      <w:r w:rsidRPr="00B30A12">
        <w:rPr>
          <w:color w:val="000000"/>
          <w:sz w:val="22"/>
          <w:szCs w:val="22"/>
        </w:rPr>
        <w:t>Imatinib</w:t>
      </w:r>
    </w:p>
    <w:p w14:paraId="134D3E22" w14:textId="77777777" w:rsidR="00AB6D5E" w:rsidRPr="00B30A12" w:rsidRDefault="00AB6D5E" w:rsidP="00AB6D5E">
      <w:pPr>
        <w:rPr>
          <w:color w:val="000000"/>
          <w:sz w:val="22"/>
          <w:szCs w:val="22"/>
          <w:u w:val="single"/>
        </w:rPr>
      </w:pPr>
    </w:p>
    <w:p w14:paraId="15556636" w14:textId="77777777" w:rsidR="00AB6D5E" w:rsidRPr="00B30A12" w:rsidRDefault="00AB6D5E" w:rsidP="00AB6D5E">
      <w:pPr>
        <w:rPr>
          <w:color w:val="000000"/>
          <w:sz w:val="22"/>
          <w:szCs w:val="22"/>
          <w:u w:val="single"/>
        </w:rPr>
      </w:pPr>
    </w:p>
    <w:p w14:paraId="083EE084"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WIRKSTOFF(E)</w:t>
      </w:r>
    </w:p>
    <w:p w14:paraId="6F37D296" w14:textId="77777777" w:rsidR="00AB6D5E" w:rsidRPr="00B30A12" w:rsidRDefault="00AB6D5E" w:rsidP="00AB6D5E">
      <w:pPr>
        <w:rPr>
          <w:color w:val="000000"/>
          <w:sz w:val="22"/>
          <w:szCs w:val="22"/>
        </w:rPr>
      </w:pPr>
    </w:p>
    <w:p w14:paraId="4B96ABE5" w14:textId="77777777" w:rsidR="00AB6D5E" w:rsidRPr="00B30A12" w:rsidRDefault="00AB6D5E" w:rsidP="00AB6D5E">
      <w:pPr>
        <w:widowControl w:val="0"/>
        <w:rPr>
          <w:color w:val="000000"/>
          <w:sz w:val="22"/>
          <w:szCs w:val="22"/>
        </w:rPr>
      </w:pPr>
      <w:r w:rsidRPr="00B30A12">
        <w:rPr>
          <w:color w:val="000000"/>
          <w:sz w:val="22"/>
          <w:szCs w:val="22"/>
        </w:rPr>
        <w:t>Jede Filmtablette enthält 400 mg Imatinib (als Mesilat).</w:t>
      </w:r>
    </w:p>
    <w:p w14:paraId="6E4D3D24" w14:textId="77777777" w:rsidR="00AB6D5E" w:rsidRPr="00B30A12" w:rsidRDefault="00AB6D5E" w:rsidP="00AB6D5E">
      <w:pPr>
        <w:rPr>
          <w:color w:val="000000"/>
          <w:sz w:val="22"/>
          <w:szCs w:val="22"/>
        </w:rPr>
      </w:pPr>
    </w:p>
    <w:p w14:paraId="242F7CD3" w14:textId="77777777" w:rsidR="00AB6D5E" w:rsidRPr="00B30A12" w:rsidRDefault="00AB6D5E" w:rsidP="00AB6D5E">
      <w:pPr>
        <w:rPr>
          <w:color w:val="000000"/>
          <w:sz w:val="22"/>
          <w:szCs w:val="22"/>
        </w:rPr>
      </w:pPr>
    </w:p>
    <w:p w14:paraId="4CD4701C"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SONSTIGE BESTANDTEILE</w:t>
      </w:r>
    </w:p>
    <w:p w14:paraId="0CDDCAA0" w14:textId="77777777" w:rsidR="00AB6D5E" w:rsidRPr="00B30A12" w:rsidRDefault="00AB6D5E" w:rsidP="00AB6D5E">
      <w:pPr>
        <w:rPr>
          <w:color w:val="000000"/>
          <w:sz w:val="22"/>
          <w:szCs w:val="22"/>
        </w:rPr>
      </w:pPr>
    </w:p>
    <w:p w14:paraId="33B3178B" w14:textId="77777777" w:rsidR="00AB6D5E" w:rsidRPr="00B30A12" w:rsidRDefault="00AB6D5E" w:rsidP="00AB6D5E">
      <w:pPr>
        <w:rPr>
          <w:color w:val="000000"/>
          <w:sz w:val="22"/>
          <w:szCs w:val="22"/>
        </w:rPr>
      </w:pPr>
    </w:p>
    <w:p w14:paraId="789B0AE8"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DARREICHUNGSFORM UND INHALT</w:t>
      </w:r>
    </w:p>
    <w:p w14:paraId="6EFE5732" w14:textId="77777777" w:rsidR="00AB6D5E" w:rsidRPr="00B30A12" w:rsidRDefault="00AB6D5E" w:rsidP="00AB6D5E">
      <w:pPr>
        <w:rPr>
          <w:color w:val="000000"/>
          <w:sz w:val="22"/>
          <w:szCs w:val="22"/>
        </w:rPr>
      </w:pPr>
    </w:p>
    <w:p w14:paraId="2E640F2D" w14:textId="77777777" w:rsidR="00AB6D5E" w:rsidRPr="00B30A12" w:rsidRDefault="00AB6D5E" w:rsidP="00AB6D5E">
      <w:pPr>
        <w:widowControl w:val="0"/>
        <w:rPr>
          <w:color w:val="000000"/>
          <w:sz w:val="22"/>
          <w:szCs w:val="22"/>
        </w:rPr>
      </w:pPr>
      <w:r w:rsidRPr="00B30A12">
        <w:rPr>
          <w:color w:val="000000"/>
          <w:sz w:val="22"/>
          <w:szCs w:val="22"/>
        </w:rPr>
        <w:t>10 Filmtabletten</w:t>
      </w:r>
    </w:p>
    <w:p w14:paraId="4FA70E7C"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30 Filmtabletten</w:t>
      </w:r>
    </w:p>
    <w:p w14:paraId="56E37C6B" w14:textId="77777777" w:rsidR="00AB6D5E" w:rsidRPr="00B30A12" w:rsidRDefault="00AB6D5E" w:rsidP="00AB6D5E">
      <w:pPr>
        <w:widowControl w:val="0"/>
        <w:rPr>
          <w:color w:val="000000"/>
          <w:sz w:val="22"/>
          <w:szCs w:val="22"/>
          <w:shd w:val="clear" w:color="auto" w:fill="D9D9D9"/>
        </w:rPr>
      </w:pPr>
      <w:r w:rsidRPr="00B30A12">
        <w:rPr>
          <w:color w:val="000000"/>
          <w:sz w:val="22"/>
          <w:szCs w:val="22"/>
          <w:shd w:val="clear" w:color="auto" w:fill="D9D9D9"/>
        </w:rPr>
        <w:t>90 Filmtabletten</w:t>
      </w:r>
    </w:p>
    <w:p w14:paraId="7028F8BF" w14:textId="77777777" w:rsidR="00AB6D5E" w:rsidRPr="00B30A12" w:rsidRDefault="00AB6D5E" w:rsidP="00AB6D5E">
      <w:pPr>
        <w:rPr>
          <w:color w:val="000000"/>
          <w:sz w:val="22"/>
          <w:szCs w:val="22"/>
        </w:rPr>
      </w:pPr>
    </w:p>
    <w:p w14:paraId="6EDBBC75" w14:textId="77777777" w:rsidR="00AB6D5E" w:rsidRPr="00B30A12" w:rsidRDefault="00AB6D5E" w:rsidP="00AB6D5E">
      <w:pPr>
        <w:rPr>
          <w:color w:val="000000"/>
          <w:sz w:val="22"/>
          <w:szCs w:val="22"/>
        </w:rPr>
      </w:pPr>
    </w:p>
    <w:p w14:paraId="7ED9C51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5.</w:t>
      </w:r>
      <w:r w:rsidRPr="00B30A12">
        <w:rPr>
          <w:b/>
          <w:color w:val="000000"/>
          <w:sz w:val="22"/>
          <w:szCs w:val="22"/>
        </w:rPr>
        <w:tab/>
        <w:t xml:space="preserve">HINWEISE ZUR UND </w:t>
      </w:r>
      <w:smartTag w:uri="urn:schemas-microsoft-com:office:smarttags" w:element="stockticker">
        <w:r w:rsidRPr="00B30A12">
          <w:rPr>
            <w:b/>
            <w:color w:val="000000"/>
            <w:sz w:val="22"/>
            <w:szCs w:val="22"/>
          </w:rPr>
          <w:t>ART</w:t>
        </w:r>
      </w:smartTag>
      <w:r w:rsidRPr="00B30A12">
        <w:rPr>
          <w:b/>
          <w:color w:val="000000"/>
          <w:sz w:val="22"/>
          <w:szCs w:val="22"/>
        </w:rPr>
        <w:t xml:space="preserve">(EN) </w:t>
      </w:r>
      <w:smartTag w:uri="urn:schemas-microsoft-com:office:smarttags" w:element="stockticker">
        <w:r w:rsidRPr="00B30A12">
          <w:rPr>
            <w:b/>
            <w:color w:val="000000"/>
            <w:sz w:val="22"/>
            <w:szCs w:val="22"/>
          </w:rPr>
          <w:t>DER</w:t>
        </w:r>
      </w:smartTag>
      <w:r w:rsidRPr="00B30A12">
        <w:rPr>
          <w:b/>
          <w:color w:val="000000"/>
          <w:sz w:val="22"/>
          <w:szCs w:val="22"/>
        </w:rPr>
        <w:t xml:space="preserve"> ANWENDUNG</w:t>
      </w:r>
    </w:p>
    <w:p w14:paraId="036C1068" w14:textId="77777777" w:rsidR="00AB6D5E" w:rsidRPr="00B30A12" w:rsidRDefault="00AB6D5E" w:rsidP="00AB6D5E">
      <w:pPr>
        <w:rPr>
          <w:color w:val="000000"/>
          <w:sz w:val="22"/>
          <w:szCs w:val="22"/>
        </w:rPr>
      </w:pPr>
    </w:p>
    <w:p w14:paraId="63BE06AC" w14:textId="77777777" w:rsidR="00AB6D5E" w:rsidRPr="00B30A12" w:rsidRDefault="00AB6D5E" w:rsidP="00AB6D5E">
      <w:pPr>
        <w:widowControl w:val="0"/>
        <w:rPr>
          <w:color w:val="000000"/>
          <w:sz w:val="22"/>
          <w:szCs w:val="22"/>
        </w:rPr>
      </w:pPr>
      <w:r w:rsidRPr="00B30A12">
        <w:rPr>
          <w:color w:val="000000"/>
          <w:sz w:val="22"/>
          <w:szCs w:val="22"/>
        </w:rPr>
        <w:t>Zum Einnehmen. Packungsbeilage beachten.</w:t>
      </w:r>
    </w:p>
    <w:p w14:paraId="0C12EABA" w14:textId="77777777" w:rsidR="00AB6D5E" w:rsidRPr="00B30A12" w:rsidRDefault="00AB6D5E" w:rsidP="00AB6D5E">
      <w:pPr>
        <w:rPr>
          <w:color w:val="000000"/>
          <w:sz w:val="22"/>
          <w:szCs w:val="22"/>
        </w:rPr>
      </w:pPr>
    </w:p>
    <w:p w14:paraId="4CC386CF" w14:textId="77777777" w:rsidR="00AB6D5E" w:rsidRPr="00B30A12" w:rsidRDefault="00AB6D5E" w:rsidP="00AB6D5E">
      <w:pPr>
        <w:rPr>
          <w:color w:val="000000"/>
          <w:sz w:val="22"/>
          <w:szCs w:val="22"/>
        </w:rPr>
      </w:pPr>
    </w:p>
    <w:p w14:paraId="0417979B"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6.</w:t>
      </w:r>
      <w:r w:rsidRPr="00B30A12">
        <w:rPr>
          <w:b/>
          <w:color w:val="000000"/>
          <w:sz w:val="22"/>
          <w:szCs w:val="22"/>
        </w:rPr>
        <w:tab/>
        <w:t xml:space="preserve">WARNHINWEIS, DASS DAS ARZNEIMITTEL FÜR KINDER </w:t>
      </w:r>
      <w:r w:rsidR="00FE1A89" w:rsidRPr="00B30A12">
        <w:rPr>
          <w:b/>
          <w:sz w:val="22"/>
          <w:szCs w:val="22"/>
        </w:rPr>
        <w:t xml:space="preserve">UNZUGÄNGLICH </w:t>
      </w:r>
      <w:r w:rsidRPr="00B30A12">
        <w:rPr>
          <w:b/>
          <w:color w:val="000000"/>
          <w:sz w:val="22"/>
          <w:szCs w:val="22"/>
        </w:rPr>
        <w:t>AUFZUBEWAHREN IST</w:t>
      </w:r>
    </w:p>
    <w:p w14:paraId="181FD813" w14:textId="77777777" w:rsidR="00AB6D5E" w:rsidRPr="00B30A12" w:rsidRDefault="00AB6D5E" w:rsidP="00AB6D5E">
      <w:pPr>
        <w:rPr>
          <w:color w:val="000000"/>
          <w:sz w:val="22"/>
          <w:szCs w:val="22"/>
        </w:rPr>
      </w:pPr>
    </w:p>
    <w:p w14:paraId="18B0FE50" w14:textId="77777777" w:rsidR="00AB6D5E" w:rsidRPr="00B30A12" w:rsidRDefault="00AB6D5E" w:rsidP="00AB6D5E">
      <w:pPr>
        <w:pStyle w:val="Heading3"/>
        <w:keepNext w:val="0"/>
        <w:widowControl w:val="0"/>
        <w:numPr>
          <w:ilvl w:val="0"/>
          <w:numId w:val="0"/>
        </w:numPr>
        <w:spacing w:line="240" w:lineRule="auto"/>
        <w:jc w:val="left"/>
        <w:rPr>
          <w:color w:val="000000"/>
          <w:szCs w:val="22"/>
        </w:rPr>
      </w:pPr>
      <w:r w:rsidRPr="00B30A12">
        <w:rPr>
          <w:color w:val="000000"/>
          <w:szCs w:val="22"/>
        </w:rPr>
        <w:t>Arzneimittel für Kinder unzugänglich aufbewahren.</w:t>
      </w:r>
    </w:p>
    <w:p w14:paraId="5918F962" w14:textId="77777777" w:rsidR="00AB6D5E" w:rsidRPr="00B30A12" w:rsidRDefault="00AB6D5E" w:rsidP="00AB6D5E">
      <w:pPr>
        <w:rPr>
          <w:color w:val="000000"/>
          <w:sz w:val="22"/>
          <w:szCs w:val="22"/>
        </w:rPr>
      </w:pPr>
    </w:p>
    <w:p w14:paraId="2E2418E4" w14:textId="77777777" w:rsidR="00AB6D5E" w:rsidRPr="00B30A12" w:rsidRDefault="00AB6D5E" w:rsidP="00AB6D5E">
      <w:pPr>
        <w:rPr>
          <w:color w:val="000000"/>
          <w:sz w:val="22"/>
          <w:szCs w:val="22"/>
        </w:rPr>
      </w:pPr>
    </w:p>
    <w:p w14:paraId="39DBB912"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7.</w:t>
      </w:r>
      <w:r w:rsidRPr="00B30A12">
        <w:rPr>
          <w:b/>
          <w:color w:val="000000"/>
          <w:sz w:val="22"/>
          <w:szCs w:val="22"/>
        </w:rPr>
        <w:tab/>
        <w:t>WEITERE WARNHINWEISE, FALLS ERFORDERLICH</w:t>
      </w:r>
    </w:p>
    <w:p w14:paraId="3D57C400" w14:textId="77777777" w:rsidR="00AB6D5E" w:rsidRPr="00B30A12" w:rsidRDefault="00AB6D5E" w:rsidP="00AB6D5E">
      <w:pPr>
        <w:rPr>
          <w:color w:val="000000"/>
          <w:sz w:val="22"/>
          <w:szCs w:val="22"/>
        </w:rPr>
      </w:pPr>
    </w:p>
    <w:p w14:paraId="6B071362" w14:textId="77777777" w:rsidR="00AB6D5E" w:rsidRPr="00B30A12" w:rsidRDefault="00AB6D5E" w:rsidP="00AB6D5E">
      <w:pPr>
        <w:widowControl w:val="0"/>
        <w:rPr>
          <w:color w:val="000000"/>
          <w:sz w:val="22"/>
          <w:szCs w:val="22"/>
        </w:rPr>
      </w:pPr>
      <w:r w:rsidRPr="00B30A12">
        <w:rPr>
          <w:color w:val="000000"/>
          <w:sz w:val="22"/>
          <w:szCs w:val="22"/>
        </w:rPr>
        <w:t>Nur nach Anweisung des Arztes anwenden.</w:t>
      </w:r>
    </w:p>
    <w:p w14:paraId="097F7936" w14:textId="77777777" w:rsidR="00AB6D5E" w:rsidRPr="00B30A12" w:rsidRDefault="00AB6D5E" w:rsidP="00AB6D5E">
      <w:pPr>
        <w:rPr>
          <w:color w:val="000000"/>
          <w:sz w:val="22"/>
          <w:szCs w:val="22"/>
        </w:rPr>
      </w:pPr>
    </w:p>
    <w:p w14:paraId="7A59C197" w14:textId="77777777" w:rsidR="00AB6D5E" w:rsidRPr="00B30A12" w:rsidRDefault="00AB6D5E" w:rsidP="00AB6D5E">
      <w:pPr>
        <w:rPr>
          <w:color w:val="000000"/>
          <w:sz w:val="22"/>
          <w:szCs w:val="22"/>
        </w:rPr>
      </w:pPr>
    </w:p>
    <w:p w14:paraId="6064A7CD"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8.</w:t>
      </w:r>
      <w:r w:rsidRPr="00B30A12">
        <w:rPr>
          <w:b/>
          <w:color w:val="000000"/>
          <w:sz w:val="22"/>
          <w:szCs w:val="22"/>
        </w:rPr>
        <w:tab/>
        <w:t>VERFALLDATUM</w:t>
      </w:r>
    </w:p>
    <w:p w14:paraId="10865DAF" w14:textId="77777777" w:rsidR="00AB6D5E" w:rsidRPr="00B30A12" w:rsidRDefault="00AB6D5E" w:rsidP="00AB6D5E">
      <w:pPr>
        <w:rPr>
          <w:color w:val="000000"/>
          <w:sz w:val="22"/>
          <w:szCs w:val="22"/>
        </w:rPr>
      </w:pPr>
    </w:p>
    <w:p w14:paraId="0DC4BFDE" w14:textId="77777777" w:rsidR="00AB6D5E" w:rsidRPr="00B30A12" w:rsidRDefault="00AB6D5E" w:rsidP="00AB6D5E">
      <w:pPr>
        <w:widowControl w:val="0"/>
        <w:rPr>
          <w:color w:val="000000"/>
          <w:sz w:val="22"/>
          <w:szCs w:val="22"/>
        </w:rPr>
      </w:pPr>
      <w:r w:rsidRPr="00B30A12">
        <w:rPr>
          <w:color w:val="000000"/>
          <w:sz w:val="22"/>
          <w:szCs w:val="22"/>
        </w:rPr>
        <w:t>Verwendbar bis</w:t>
      </w:r>
    </w:p>
    <w:p w14:paraId="50017174" w14:textId="77777777" w:rsidR="00AB6D5E" w:rsidRPr="00B30A12" w:rsidRDefault="00AB6D5E" w:rsidP="00AB6D5E">
      <w:pPr>
        <w:rPr>
          <w:color w:val="000000"/>
          <w:sz w:val="22"/>
          <w:szCs w:val="22"/>
        </w:rPr>
      </w:pPr>
    </w:p>
    <w:p w14:paraId="626A45C2" w14:textId="77777777" w:rsidR="00AB6D5E" w:rsidRPr="00B30A12" w:rsidRDefault="00AB6D5E" w:rsidP="00AB6D5E">
      <w:pPr>
        <w:rPr>
          <w:color w:val="000000"/>
          <w:sz w:val="22"/>
          <w:szCs w:val="22"/>
        </w:rPr>
      </w:pPr>
    </w:p>
    <w:p w14:paraId="2202FC6B"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9.</w:t>
      </w:r>
      <w:r w:rsidRPr="00B30A12">
        <w:rPr>
          <w:b/>
          <w:color w:val="000000"/>
          <w:sz w:val="22"/>
          <w:szCs w:val="22"/>
        </w:rPr>
        <w:tab/>
        <w:t xml:space="preserve">BESONDERE </w:t>
      </w:r>
      <w:r w:rsidR="00BF10B5" w:rsidRPr="00B30A12">
        <w:rPr>
          <w:b/>
          <w:color w:val="000000"/>
          <w:sz w:val="22"/>
          <w:szCs w:val="22"/>
        </w:rPr>
        <w:t>VORSICHTSMASSNAHMEN FÜR DIE AUFBEWAHRUNG</w:t>
      </w:r>
    </w:p>
    <w:p w14:paraId="679A5FA6" w14:textId="77777777" w:rsidR="00AB6D5E" w:rsidRPr="00B30A12" w:rsidRDefault="00AB6D5E" w:rsidP="00AB6D5E">
      <w:pPr>
        <w:rPr>
          <w:color w:val="000000"/>
          <w:sz w:val="22"/>
          <w:szCs w:val="22"/>
        </w:rPr>
      </w:pPr>
    </w:p>
    <w:p w14:paraId="285447C9" w14:textId="77777777" w:rsidR="00AB6D5E" w:rsidRPr="00B30A12" w:rsidRDefault="00AB6D5E" w:rsidP="00AB6D5E">
      <w:pPr>
        <w:widowControl w:val="0"/>
        <w:rPr>
          <w:color w:val="000000"/>
          <w:sz w:val="22"/>
          <w:szCs w:val="22"/>
        </w:rPr>
      </w:pPr>
      <w:r w:rsidRPr="00B30A12">
        <w:rPr>
          <w:color w:val="000000"/>
          <w:sz w:val="22"/>
          <w:szCs w:val="22"/>
        </w:rPr>
        <w:t>Nicht über 30°C lagern. In der Originalverpackung aufbewahren, um den Inhalt vor Feuchtigkeit zu schützen.</w:t>
      </w:r>
    </w:p>
    <w:p w14:paraId="4452B3C0" w14:textId="77777777" w:rsidR="00AB6D5E" w:rsidRPr="00B30A12" w:rsidRDefault="00AB6D5E" w:rsidP="00AB6D5E">
      <w:pPr>
        <w:rPr>
          <w:color w:val="000000"/>
          <w:sz w:val="22"/>
          <w:szCs w:val="22"/>
        </w:rPr>
      </w:pPr>
    </w:p>
    <w:p w14:paraId="33C69C66" w14:textId="77777777" w:rsidR="00AB6D5E" w:rsidRPr="00B30A12" w:rsidRDefault="00AB6D5E" w:rsidP="00AB6D5E">
      <w:pPr>
        <w:rPr>
          <w:color w:val="000000"/>
          <w:sz w:val="22"/>
          <w:szCs w:val="22"/>
        </w:rPr>
      </w:pPr>
    </w:p>
    <w:p w14:paraId="656AD21D"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lastRenderedPageBreak/>
        <w:t>10.</w:t>
      </w:r>
      <w:r w:rsidRPr="00B30A12">
        <w:rPr>
          <w:b/>
          <w:color w:val="000000"/>
          <w:sz w:val="22"/>
          <w:szCs w:val="22"/>
        </w:rPr>
        <w:tab/>
        <w:t>GEGEBENENFALLS BESONDERE VORSICHTSMASSNAHMEN FÜR DIE BESEITIGUNG VON NICHT VERWENDETEM ARZNEIMITTEL ODER DAVON STAMMENDEN ABFALLMATERIALIEN</w:t>
      </w:r>
    </w:p>
    <w:p w14:paraId="4E0B934D" w14:textId="77777777" w:rsidR="00AB6D5E" w:rsidRPr="00B30A12" w:rsidRDefault="00AB6D5E" w:rsidP="00AB6D5E">
      <w:pPr>
        <w:rPr>
          <w:color w:val="000000"/>
          <w:sz w:val="22"/>
          <w:szCs w:val="22"/>
        </w:rPr>
      </w:pPr>
    </w:p>
    <w:p w14:paraId="2D1ED8F9" w14:textId="77777777" w:rsidR="00AB6D5E" w:rsidRPr="00B30A12" w:rsidRDefault="00AB6D5E" w:rsidP="00AB6D5E">
      <w:pPr>
        <w:rPr>
          <w:color w:val="000000"/>
          <w:sz w:val="22"/>
          <w:szCs w:val="22"/>
        </w:rPr>
      </w:pPr>
    </w:p>
    <w:p w14:paraId="1376A6CB"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11.</w:t>
      </w:r>
      <w:r w:rsidRPr="00B30A12">
        <w:rPr>
          <w:b/>
          <w:color w:val="000000"/>
          <w:sz w:val="22"/>
          <w:szCs w:val="22"/>
        </w:rPr>
        <w:tab/>
        <w:t xml:space="preserve">NAME UND ANSCHRIFT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49E98785" w14:textId="77777777" w:rsidR="00AB6D5E" w:rsidRPr="00B30A12" w:rsidRDefault="00AB6D5E" w:rsidP="00AB6D5E">
      <w:pPr>
        <w:ind w:left="567" w:hanging="567"/>
        <w:rPr>
          <w:color w:val="000000"/>
          <w:sz w:val="22"/>
          <w:szCs w:val="22"/>
        </w:rPr>
      </w:pPr>
    </w:p>
    <w:p w14:paraId="1F00E7FD" w14:textId="77777777" w:rsidR="00AB6D5E" w:rsidRPr="00B30A12" w:rsidRDefault="00AB6D5E" w:rsidP="000C47C6">
      <w:pPr>
        <w:keepNext/>
        <w:widowControl w:val="0"/>
        <w:ind w:left="567" w:hanging="567"/>
        <w:rPr>
          <w:color w:val="000000"/>
          <w:sz w:val="22"/>
          <w:szCs w:val="22"/>
          <w:lang w:val="en-US"/>
        </w:rPr>
      </w:pPr>
      <w:r w:rsidRPr="00B30A12">
        <w:rPr>
          <w:color w:val="000000"/>
          <w:sz w:val="22"/>
          <w:szCs w:val="22"/>
          <w:lang w:val="en-US"/>
        </w:rPr>
        <w:t>Novartis Europharm Limited</w:t>
      </w:r>
    </w:p>
    <w:p w14:paraId="00D09341"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5CADDCE2"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14FFB3C1" w14:textId="77777777" w:rsidR="002C158B" w:rsidRPr="002C158B" w:rsidRDefault="002C158B" w:rsidP="002C158B">
      <w:pPr>
        <w:keepNext/>
        <w:widowControl w:val="0"/>
        <w:rPr>
          <w:color w:val="000000"/>
          <w:sz w:val="22"/>
          <w:szCs w:val="22"/>
        </w:rPr>
      </w:pPr>
      <w:r w:rsidRPr="002C158B">
        <w:rPr>
          <w:color w:val="000000"/>
          <w:sz w:val="22"/>
          <w:szCs w:val="22"/>
        </w:rPr>
        <w:t>Dublin 4</w:t>
      </w:r>
    </w:p>
    <w:p w14:paraId="309FB666" w14:textId="77777777" w:rsidR="00AB6D5E" w:rsidRPr="00B30A12" w:rsidRDefault="002C158B" w:rsidP="00AB6D5E">
      <w:pPr>
        <w:widowControl w:val="0"/>
        <w:ind w:left="567" w:hanging="567"/>
        <w:rPr>
          <w:color w:val="000000"/>
          <w:sz w:val="22"/>
          <w:szCs w:val="22"/>
        </w:rPr>
      </w:pPr>
      <w:r w:rsidRPr="002C158B">
        <w:rPr>
          <w:color w:val="000000"/>
          <w:sz w:val="22"/>
          <w:szCs w:val="22"/>
        </w:rPr>
        <w:t>Irland</w:t>
      </w:r>
    </w:p>
    <w:p w14:paraId="7A25453C" w14:textId="77777777" w:rsidR="00AB6D5E" w:rsidRPr="00B30A12" w:rsidRDefault="00AB6D5E" w:rsidP="00AB6D5E">
      <w:pPr>
        <w:ind w:left="567" w:hanging="567"/>
        <w:rPr>
          <w:color w:val="000000"/>
          <w:sz w:val="22"/>
          <w:szCs w:val="22"/>
        </w:rPr>
      </w:pPr>
    </w:p>
    <w:p w14:paraId="02DE1B5E" w14:textId="77777777" w:rsidR="00AB6D5E" w:rsidRPr="00B30A12" w:rsidRDefault="00AB6D5E" w:rsidP="00AB6D5E">
      <w:pPr>
        <w:ind w:left="567" w:hanging="567"/>
        <w:rPr>
          <w:color w:val="000000"/>
          <w:sz w:val="22"/>
          <w:szCs w:val="22"/>
        </w:rPr>
      </w:pPr>
    </w:p>
    <w:p w14:paraId="1DCC8F56"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12.</w:t>
      </w:r>
      <w:r w:rsidRPr="00B30A12">
        <w:rPr>
          <w:b/>
          <w:color w:val="000000"/>
          <w:sz w:val="22"/>
          <w:szCs w:val="22"/>
        </w:rPr>
        <w:tab/>
        <w:t>ZULASSUNGSNUMMER(N)</w:t>
      </w:r>
    </w:p>
    <w:p w14:paraId="4BA393D6" w14:textId="77777777" w:rsidR="00AB6D5E" w:rsidRPr="00B30A12" w:rsidRDefault="00AB6D5E" w:rsidP="00AB6D5E">
      <w:pPr>
        <w:ind w:left="567" w:hanging="567"/>
        <w:rPr>
          <w:color w:val="000000"/>
          <w:sz w:val="22"/>
          <w:szCs w:val="22"/>
        </w:rPr>
      </w:pPr>
    </w:p>
    <w:p w14:paraId="5D6B4F0F" w14:textId="77777777" w:rsidR="00AB6D5E" w:rsidRPr="00B30A12" w:rsidRDefault="00AB6D5E" w:rsidP="00AB6D5E">
      <w:pPr>
        <w:pStyle w:val="Header"/>
        <w:widowControl w:val="0"/>
        <w:tabs>
          <w:tab w:val="clear" w:pos="4320"/>
          <w:tab w:val="clear" w:pos="8640"/>
          <w:tab w:val="left" w:pos="2268"/>
        </w:tabs>
        <w:rPr>
          <w:color w:val="000000"/>
          <w:szCs w:val="22"/>
          <w:shd w:val="clear" w:color="auto" w:fill="D9D9D9"/>
          <w:lang w:val="fr-FR"/>
        </w:rPr>
      </w:pPr>
      <w:r w:rsidRPr="00B30A12">
        <w:rPr>
          <w:color w:val="000000"/>
          <w:szCs w:val="22"/>
          <w:lang w:val="da-DK"/>
        </w:rPr>
        <w:t>EU/1/01/198/009</w:t>
      </w:r>
      <w:r w:rsidRPr="00B30A12">
        <w:rPr>
          <w:color w:val="000000"/>
          <w:szCs w:val="22"/>
          <w:lang w:val="da-DK"/>
        </w:rPr>
        <w:tab/>
      </w:r>
      <w:r w:rsidRPr="00B30A12">
        <w:rPr>
          <w:color w:val="000000"/>
          <w:szCs w:val="22"/>
          <w:shd w:val="clear" w:color="auto" w:fill="D9D9D9"/>
          <w:lang w:val="fr-FR"/>
        </w:rPr>
        <w:t>10 Tabletten</w:t>
      </w:r>
    </w:p>
    <w:p w14:paraId="78C4D5E0" w14:textId="77777777" w:rsidR="00AB6D5E" w:rsidRPr="00B30A12" w:rsidRDefault="00AB6D5E" w:rsidP="00AB6D5E">
      <w:pPr>
        <w:tabs>
          <w:tab w:val="left" w:pos="2268"/>
        </w:tabs>
        <w:rPr>
          <w:color w:val="000000"/>
          <w:sz w:val="22"/>
          <w:szCs w:val="22"/>
          <w:shd w:val="clear" w:color="auto" w:fill="D9D9D9"/>
          <w:lang w:val="fr-FR"/>
        </w:rPr>
      </w:pPr>
      <w:r w:rsidRPr="00B30A12">
        <w:rPr>
          <w:color w:val="000000"/>
          <w:sz w:val="22"/>
          <w:szCs w:val="22"/>
          <w:shd w:val="clear" w:color="auto" w:fill="D9D9D9"/>
          <w:lang w:val="da-DK"/>
        </w:rPr>
        <w:t>EU/1/01/198/010</w:t>
      </w:r>
      <w:r w:rsidRPr="00B30A12">
        <w:rPr>
          <w:color w:val="000000"/>
          <w:sz w:val="22"/>
          <w:szCs w:val="22"/>
          <w:shd w:val="clear" w:color="auto" w:fill="D9D9D9"/>
          <w:lang w:val="da-DK"/>
        </w:rPr>
        <w:tab/>
      </w:r>
      <w:r w:rsidRPr="00B30A12">
        <w:rPr>
          <w:color w:val="000000"/>
          <w:sz w:val="22"/>
          <w:szCs w:val="22"/>
          <w:shd w:val="clear" w:color="auto" w:fill="D9D9D9"/>
          <w:lang w:val="fr-FR"/>
        </w:rPr>
        <w:t>30 Tabletten</w:t>
      </w:r>
    </w:p>
    <w:p w14:paraId="324DF401" w14:textId="77777777" w:rsidR="00AB6D5E" w:rsidRPr="00B30A12" w:rsidRDefault="00AB6D5E" w:rsidP="00AB6D5E">
      <w:pPr>
        <w:tabs>
          <w:tab w:val="left" w:pos="2268"/>
        </w:tabs>
        <w:rPr>
          <w:color w:val="000000"/>
          <w:sz w:val="22"/>
          <w:szCs w:val="22"/>
          <w:shd w:val="clear" w:color="auto" w:fill="D9D9D9"/>
          <w:lang w:val="fr-FR"/>
        </w:rPr>
      </w:pPr>
      <w:r w:rsidRPr="00B30A12">
        <w:rPr>
          <w:color w:val="000000"/>
          <w:sz w:val="22"/>
          <w:szCs w:val="22"/>
          <w:shd w:val="clear" w:color="auto" w:fill="D9D9D9"/>
          <w:lang w:val="da-DK"/>
        </w:rPr>
        <w:t>EU/1/01/198/013</w:t>
      </w:r>
      <w:r w:rsidRPr="00B30A12">
        <w:rPr>
          <w:color w:val="000000"/>
          <w:sz w:val="22"/>
          <w:szCs w:val="22"/>
          <w:shd w:val="clear" w:color="auto" w:fill="D9D9D9"/>
          <w:lang w:val="da-DK"/>
        </w:rPr>
        <w:tab/>
      </w:r>
      <w:r w:rsidRPr="00B30A12">
        <w:rPr>
          <w:color w:val="000000"/>
          <w:sz w:val="22"/>
          <w:szCs w:val="22"/>
          <w:shd w:val="clear" w:color="auto" w:fill="D9D9D9"/>
          <w:lang w:val="fr-FR"/>
        </w:rPr>
        <w:t>90 Tabletten</w:t>
      </w:r>
    </w:p>
    <w:p w14:paraId="73968721" w14:textId="77777777" w:rsidR="00AB6D5E" w:rsidRPr="00B30A12" w:rsidRDefault="00AB6D5E" w:rsidP="00AB6D5E">
      <w:pPr>
        <w:rPr>
          <w:color w:val="000000"/>
          <w:sz w:val="22"/>
          <w:szCs w:val="22"/>
          <w:lang w:val="fr-FR"/>
        </w:rPr>
      </w:pPr>
    </w:p>
    <w:p w14:paraId="70CAE2BD" w14:textId="77777777" w:rsidR="00AB6D5E" w:rsidRPr="00B30A12" w:rsidRDefault="00AB6D5E" w:rsidP="00AB6D5E">
      <w:pPr>
        <w:rPr>
          <w:color w:val="000000"/>
          <w:sz w:val="22"/>
          <w:szCs w:val="22"/>
          <w:lang w:val="fr-FR"/>
        </w:rPr>
      </w:pPr>
    </w:p>
    <w:p w14:paraId="32696047"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13.</w:t>
      </w:r>
      <w:r w:rsidRPr="00B30A12">
        <w:rPr>
          <w:b/>
          <w:color w:val="000000"/>
          <w:sz w:val="22"/>
          <w:szCs w:val="22"/>
        </w:rPr>
        <w:tab/>
        <w:t>CHARGENBEZEICHNUNG</w:t>
      </w:r>
    </w:p>
    <w:p w14:paraId="0F9F41C3" w14:textId="77777777" w:rsidR="00AB6D5E" w:rsidRPr="00B30A12" w:rsidRDefault="00AB6D5E" w:rsidP="00AB6D5E">
      <w:pPr>
        <w:rPr>
          <w:color w:val="000000"/>
          <w:sz w:val="22"/>
          <w:szCs w:val="22"/>
        </w:rPr>
      </w:pPr>
    </w:p>
    <w:p w14:paraId="6BAA91A1" w14:textId="77777777" w:rsidR="00AB6D5E" w:rsidRPr="00B30A12" w:rsidRDefault="00AB6D5E" w:rsidP="00AB6D5E">
      <w:pPr>
        <w:widowControl w:val="0"/>
        <w:rPr>
          <w:color w:val="000000"/>
          <w:sz w:val="22"/>
          <w:szCs w:val="22"/>
        </w:rPr>
      </w:pPr>
      <w:r w:rsidRPr="00B30A12">
        <w:rPr>
          <w:color w:val="000000"/>
          <w:sz w:val="22"/>
          <w:szCs w:val="22"/>
        </w:rPr>
        <w:t>Ch.-B.:</w:t>
      </w:r>
    </w:p>
    <w:p w14:paraId="09A1CBBF" w14:textId="77777777" w:rsidR="00AB6D5E" w:rsidRPr="00B30A12" w:rsidRDefault="00AB6D5E" w:rsidP="00AB6D5E">
      <w:pPr>
        <w:rPr>
          <w:color w:val="000000"/>
          <w:sz w:val="22"/>
          <w:szCs w:val="22"/>
        </w:rPr>
      </w:pPr>
    </w:p>
    <w:p w14:paraId="1F12146A" w14:textId="77777777" w:rsidR="00AB6D5E" w:rsidRPr="00B30A12" w:rsidRDefault="00AB6D5E" w:rsidP="00AB6D5E">
      <w:pPr>
        <w:rPr>
          <w:color w:val="000000"/>
          <w:sz w:val="22"/>
          <w:szCs w:val="22"/>
        </w:rPr>
      </w:pPr>
    </w:p>
    <w:p w14:paraId="13A5D890"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14.</w:t>
      </w:r>
      <w:r w:rsidRPr="00B30A12">
        <w:rPr>
          <w:b/>
          <w:color w:val="000000"/>
          <w:sz w:val="22"/>
          <w:szCs w:val="22"/>
        </w:rPr>
        <w:tab/>
        <w:t>VERKAUFSABGRENZUNG</w:t>
      </w:r>
    </w:p>
    <w:p w14:paraId="5C71CCAD" w14:textId="77777777" w:rsidR="00AB6D5E" w:rsidRPr="00B30A12" w:rsidRDefault="00AB6D5E" w:rsidP="00AB6D5E">
      <w:pPr>
        <w:rPr>
          <w:color w:val="000000"/>
          <w:sz w:val="22"/>
          <w:szCs w:val="22"/>
        </w:rPr>
      </w:pPr>
    </w:p>
    <w:p w14:paraId="14C5E3D0" w14:textId="77777777" w:rsidR="00AB6D5E" w:rsidRPr="00B30A12" w:rsidRDefault="00AB6D5E" w:rsidP="00AB6D5E">
      <w:pPr>
        <w:rPr>
          <w:color w:val="000000"/>
          <w:sz w:val="22"/>
          <w:szCs w:val="22"/>
        </w:rPr>
      </w:pPr>
    </w:p>
    <w:p w14:paraId="06C169AC"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color w:val="000000"/>
          <w:sz w:val="22"/>
          <w:szCs w:val="22"/>
        </w:rPr>
      </w:pPr>
      <w:r w:rsidRPr="00B30A12">
        <w:rPr>
          <w:b/>
          <w:caps/>
          <w:color w:val="000000"/>
          <w:sz w:val="22"/>
          <w:szCs w:val="22"/>
        </w:rPr>
        <w:t>15.</w:t>
      </w:r>
      <w:r w:rsidRPr="00B30A12">
        <w:rPr>
          <w:b/>
          <w:caps/>
          <w:color w:val="000000"/>
          <w:sz w:val="22"/>
          <w:szCs w:val="22"/>
        </w:rPr>
        <w:tab/>
        <w:t>HINWEISE FÜR DEN GEBRAUCH</w:t>
      </w:r>
    </w:p>
    <w:p w14:paraId="44FFAD6C" w14:textId="77777777" w:rsidR="00AB6D5E" w:rsidRPr="00B30A12" w:rsidRDefault="00AB6D5E" w:rsidP="00AB6D5E">
      <w:pPr>
        <w:rPr>
          <w:noProof/>
          <w:color w:val="000000"/>
          <w:sz w:val="22"/>
          <w:szCs w:val="22"/>
        </w:rPr>
      </w:pPr>
    </w:p>
    <w:p w14:paraId="1FACDC15" w14:textId="77777777" w:rsidR="00AB6D5E" w:rsidRPr="00B30A12" w:rsidRDefault="00AB6D5E" w:rsidP="00AB6D5E">
      <w:pPr>
        <w:rPr>
          <w:noProof/>
          <w:color w:val="000000"/>
          <w:sz w:val="22"/>
          <w:szCs w:val="22"/>
        </w:rPr>
      </w:pPr>
    </w:p>
    <w:p w14:paraId="4583CEEC"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aps/>
          <w:noProof/>
          <w:color w:val="000000"/>
          <w:sz w:val="22"/>
          <w:szCs w:val="22"/>
        </w:rPr>
      </w:pPr>
      <w:r w:rsidRPr="00B30A12">
        <w:rPr>
          <w:b/>
          <w:caps/>
          <w:noProof/>
          <w:color w:val="000000"/>
          <w:sz w:val="22"/>
          <w:szCs w:val="22"/>
        </w:rPr>
        <w:t>16.</w:t>
      </w:r>
      <w:r w:rsidRPr="00B30A12">
        <w:rPr>
          <w:b/>
          <w:caps/>
          <w:noProof/>
          <w:color w:val="000000"/>
          <w:sz w:val="22"/>
          <w:szCs w:val="22"/>
        </w:rPr>
        <w:tab/>
      </w:r>
      <w:r w:rsidR="00BF10B5" w:rsidRPr="00B30A12">
        <w:rPr>
          <w:b/>
          <w:caps/>
          <w:noProof/>
          <w:color w:val="000000"/>
          <w:sz w:val="22"/>
          <w:szCs w:val="22"/>
        </w:rPr>
        <w:t>ANGABEN IN BLINDEN</w:t>
      </w:r>
      <w:r w:rsidRPr="00B30A12">
        <w:rPr>
          <w:b/>
          <w:caps/>
          <w:noProof/>
          <w:color w:val="000000"/>
          <w:sz w:val="22"/>
          <w:szCs w:val="22"/>
        </w:rPr>
        <w:t>schrift</w:t>
      </w:r>
    </w:p>
    <w:p w14:paraId="6CA5FD89" w14:textId="77777777" w:rsidR="00AB6D5E" w:rsidRPr="00B30A12" w:rsidRDefault="00AB6D5E" w:rsidP="00AB6D5E">
      <w:pPr>
        <w:rPr>
          <w:noProof/>
          <w:color w:val="000000"/>
          <w:sz w:val="22"/>
          <w:szCs w:val="22"/>
        </w:rPr>
      </w:pPr>
    </w:p>
    <w:p w14:paraId="36FC6DC0" w14:textId="77777777" w:rsidR="00AB6D5E" w:rsidRPr="00B30A12" w:rsidRDefault="00AB6D5E" w:rsidP="00AB6D5E">
      <w:pPr>
        <w:rPr>
          <w:color w:val="000000"/>
          <w:sz w:val="22"/>
          <w:szCs w:val="22"/>
        </w:rPr>
      </w:pPr>
      <w:r w:rsidRPr="00B30A12">
        <w:rPr>
          <w:color w:val="000000"/>
          <w:sz w:val="22"/>
          <w:szCs w:val="22"/>
        </w:rPr>
        <w:t>Glivec 400 mg</w:t>
      </w:r>
    </w:p>
    <w:p w14:paraId="0D0B37B1" w14:textId="77777777" w:rsidR="00B7018B" w:rsidRPr="00B30A12" w:rsidRDefault="00B7018B" w:rsidP="00B7018B">
      <w:pPr>
        <w:rPr>
          <w:color w:val="000000"/>
          <w:sz w:val="22"/>
          <w:szCs w:val="22"/>
        </w:rPr>
      </w:pPr>
    </w:p>
    <w:p w14:paraId="02644C15" w14:textId="77777777" w:rsidR="00B7018B" w:rsidRPr="00B30A12" w:rsidRDefault="00B7018B" w:rsidP="00B7018B">
      <w:pPr>
        <w:widowControl w:val="0"/>
        <w:rPr>
          <w:noProof/>
          <w:sz w:val="22"/>
          <w:szCs w:val="22"/>
          <w:shd w:val="clear" w:color="auto" w:fill="CCCCCC"/>
        </w:rPr>
      </w:pPr>
    </w:p>
    <w:p w14:paraId="5CC77FBE"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3"/>
        <w:outlineLvl w:val="0"/>
        <w:rPr>
          <w:i/>
          <w:noProof/>
          <w:sz w:val="22"/>
          <w:szCs w:val="22"/>
        </w:rPr>
      </w:pPr>
      <w:r w:rsidRPr="00B30A12">
        <w:rPr>
          <w:b/>
          <w:noProof/>
          <w:sz w:val="22"/>
          <w:szCs w:val="22"/>
        </w:rPr>
        <w:t>17.</w:t>
      </w:r>
      <w:r w:rsidRPr="00B30A12">
        <w:rPr>
          <w:b/>
          <w:noProof/>
          <w:sz w:val="22"/>
          <w:szCs w:val="22"/>
        </w:rPr>
        <w:tab/>
        <w:t>INDIVIDUELLES ERKENNUNGSMERKMAL – 2D-BARCODE</w:t>
      </w:r>
    </w:p>
    <w:p w14:paraId="6C7C8C1E" w14:textId="77777777" w:rsidR="00B7018B" w:rsidRPr="00B30A12" w:rsidRDefault="00B7018B" w:rsidP="00B7018B">
      <w:pPr>
        <w:widowControl w:val="0"/>
        <w:rPr>
          <w:noProof/>
          <w:sz w:val="22"/>
          <w:szCs w:val="22"/>
        </w:rPr>
      </w:pPr>
    </w:p>
    <w:p w14:paraId="0118418E" w14:textId="77777777" w:rsidR="00B7018B" w:rsidRPr="00B30A12" w:rsidRDefault="00B7018B" w:rsidP="00B7018B">
      <w:pPr>
        <w:widowControl w:val="0"/>
        <w:rPr>
          <w:noProof/>
          <w:sz w:val="22"/>
          <w:szCs w:val="22"/>
          <w:shd w:val="clear" w:color="auto" w:fill="CCCCCC"/>
        </w:rPr>
      </w:pPr>
      <w:r w:rsidRPr="00B30A12">
        <w:rPr>
          <w:noProof/>
          <w:sz w:val="22"/>
          <w:szCs w:val="22"/>
          <w:shd w:val="pct15" w:color="auto" w:fill="auto"/>
        </w:rPr>
        <w:t>2D-Barcode mit individuellem Erkennungsmerkmal.</w:t>
      </w:r>
    </w:p>
    <w:p w14:paraId="1A97925F" w14:textId="77777777" w:rsidR="00B7018B" w:rsidRPr="00B30A12" w:rsidRDefault="00B7018B" w:rsidP="00B7018B">
      <w:pPr>
        <w:widowControl w:val="0"/>
        <w:rPr>
          <w:noProof/>
          <w:sz w:val="22"/>
          <w:szCs w:val="22"/>
        </w:rPr>
      </w:pPr>
    </w:p>
    <w:p w14:paraId="43D6F950" w14:textId="77777777" w:rsidR="00B7018B" w:rsidRPr="00B30A12" w:rsidRDefault="00B7018B" w:rsidP="00B7018B">
      <w:pPr>
        <w:widowControl w:val="0"/>
        <w:rPr>
          <w:noProof/>
          <w:sz w:val="22"/>
          <w:szCs w:val="22"/>
        </w:rPr>
      </w:pPr>
    </w:p>
    <w:p w14:paraId="29275D40" w14:textId="77777777" w:rsidR="00B7018B" w:rsidRPr="00B30A12" w:rsidRDefault="00B7018B" w:rsidP="00B7018B">
      <w:pPr>
        <w:widowControl w:val="0"/>
        <w:pBdr>
          <w:top w:val="single" w:sz="4" w:space="1" w:color="auto"/>
          <w:left w:val="single" w:sz="4" w:space="4" w:color="auto"/>
          <w:bottom w:val="single" w:sz="4" w:space="1" w:color="auto"/>
          <w:right w:val="single" w:sz="4" w:space="4" w:color="auto"/>
        </w:pBdr>
        <w:ind w:left="567" w:hanging="567"/>
        <w:outlineLvl w:val="0"/>
        <w:rPr>
          <w:i/>
          <w:noProof/>
          <w:sz w:val="22"/>
          <w:szCs w:val="22"/>
        </w:rPr>
      </w:pPr>
      <w:r w:rsidRPr="00B30A12">
        <w:rPr>
          <w:b/>
          <w:noProof/>
          <w:sz w:val="22"/>
          <w:szCs w:val="22"/>
        </w:rPr>
        <w:t>18.</w:t>
      </w:r>
      <w:r w:rsidRPr="00B30A12">
        <w:rPr>
          <w:b/>
          <w:noProof/>
          <w:sz w:val="22"/>
          <w:szCs w:val="22"/>
        </w:rPr>
        <w:tab/>
        <w:t>INDIVIDUELLES ERKENNUNGSMERKMAL – VOM MENSCHEN LESBARES FORMAT</w:t>
      </w:r>
    </w:p>
    <w:p w14:paraId="663120B0" w14:textId="77777777" w:rsidR="00B7018B" w:rsidRPr="00B30A12" w:rsidRDefault="00B7018B" w:rsidP="00B7018B">
      <w:pPr>
        <w:widowControl w:val="0"/>
        <w:rPr>
          <w:noProof/>
          <w:sz w:val="22"/>
          <w:szCs w:val="22"/>
        </w:rPr>
      </w:pPr>
    </w:p>
    <w:p w14:paraId="05BFE1DF" w14:textId="77777777" w:rsidR="00B7018B" w:rsidRPr="00B30A12" w:rsidRDefault="00B7018B" w:rsidP="00B7018B">
      <w:pPr>
        <w:widowControl w:val="0"/>
        <w:rPr>
          <w:sz w:val="22"/>
          <w:szCs w:val="22"/>
        </w:rPr>
      </w:pPr>
      <w:r w:rsidRPr="00B30A12">
        <w:rPr>
          <w:sz w:val="22"/>
          <w:szCs w:val="22"/>
        </w:rPr>
        <w:t>PC:</w:t>
      </w:r>
    </w:p>
    <w:p w14:paraId="2D48EB00" w14:textId="77777777" w:rsidR="00B7018B" w:rsidRPr="00B30A12" w:rsidRDefault="00B7018B" w:rsidP="00B7018B">
      <w:pPr>
        <w:widowControl w:val="0"/>
        <w:rPr>
          <w:sz w:val="22"/>
          <w:szCs w:val="22"/>
        </w:rPr>
      </w:pPr>
      <w:r w:rsidRPr="00B30A12">
        <w:rPr>
          <w:sz w:val="22"/>
          <w:szCs w:val="22"/>
        </w:rPr>
        <w:t>SN:</w:t>
      </w:r>
    </w:p>
    <w:p w14:paraId="616C214F" w14:textId="77777777" w:rsidR="00B7018B" w:rsidRPr="00B30A12" w:rsidRDefault="00B7018B" w:rsidP="00B7018B">
      <w:pPr>
        <w:widowControl w:val="0"/>
        <w:rPr>
          <w:sz w:val="22"/>
          <w:szCs w:val="22"/>
        </w:rPr>
      </w:pPr>
      <w:r w:rsidRPr="00B30A12">
        <w:rPr>
          <w:sz w:val="22"/>
          <w:szCs w:val="22"/>
        </w:rPr>
        <w:t>NN:</w:t>
      </w:r>
    </w:p>
    <w:p w14:paraId="0C46CA64" w14:textId="77777777" w:rsidR="00AB6D5E" w:rsidRPr="00B30A12" w:rsidRDefault="00AB6D5E" w:rsidP="00AB6D5E">
      <w:pPr>
        <w:widowControl w:val="0"/>
        <w:shd w:val="clear" w:color="auto" w:fill="FFFFFF"/>
        <w:rPr>
          <w:color w:val="000000"/>
          <w:sz w:val="22"/>
          <w:szCs w:val="22"/>
        </w:rPr>
      </w:pPr>
      <w:r w:rsidRPr="00B30A12">
        <w:rPr>
          <w:color w:val="000000"/>
          <w:sz w:val="22"/>
          <w:szCs w:val="22"/>
        </w:rPr>
        <w:br w:type="page"/>
      </w:r>
    </w:p>
    <w:p w14:paraId="12CF0704" w14:textId="77777777" w:rsidR="001E3D49" w:rsidRPr="001E3D49" w:rsidRDefault="001E3D49" w:rsidP="001E3D49">
      <w:pPr>
        <w:rPr>
          <w:color w:val="000000"/>
          <w:sz w:val="22"/>
          <w:szCs w:val="22"/>
        </w:rPr>
      </w:pPr>
    </w:p>
    <w:p w14:paraId="2B4CF022"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MINDESTANGABEN AUF BLISTERPACKUNGEN ODER FOLIENSTREIFEN</w:t>
      </w:r>
    </w:p>
    <w:p w14:paraId="41A50D5C" w14:textId="77777777" w:rsidR="00AB6D5E" w:rsidRPr="00B30A12" w:rsidRDefault="00AB6D5E" w:rsidP="00AB6D5E">
      <w:pPr>
        <w:pBdr>
          <w:top w:val="single" w:sz="4" w:space="1" w:color="auto"/>
          <w:left w:val="single" w:sz="4" w:space="4" w:color="auto"/>
          <w:bottom w:val="single" w:sz="4" w:space="1" w:color="auto"/>
          <w:right w:val="single" w:sz="4" w:space="4" w:color="auto"/>
        </w:pBdr>
        <w:rPr>
          <w:color w:val="000000"/>
          <w:sz w:val="22"/>
          <w:szCs w:val="22"/>
        </w:rPr>
      </w:pPr>
    </w:p>
    <w:p w14:paraId="73FE676C" w14:textId="77777777" w:rsidR="00AB6D5E" w:rsidRPr="00B30A12" w:rsidRDefault="00AB6D5E" w:rsidP="00AB6D5E">
      <w:pPr>
        <w:pBdr>
          <w:top w:val="single" w:sz="4" w:space="1" w:color="auto"/>
          <w:left w:val="single" w:sz="4" w:space="4" w:color="auto"/>
          <w:bottom w:val="single" w:sz="4" w:space="1" w:color="auto"/>
          <w:right w:val="single" w:sz="4" w:space="4" w:color="auto"/>
        </w:pBdr>
        <w:rPr>
          <w:b/>
          <w:color w:val="000000"/>
          <w:sz w:val="22"/>
          <w:szCs w:val="22"/>
        </w:rPr>
      </w:pPr>
      <w:r w:rsidRPr="00B30A12">
        <w:rPr>
          <w:b/>
          <w:color w:val="000000"/>
          <w:sz w:val="22"/>
          <w:szCs w:val="22"/>
        </w:rPr>
        <w:t>BLISTERPACKUNGEN</w:t>
      </w:r>
    </w:p>
    <w:p w14:paraId="01D294BF" w14:textId="77777777" w:rsidR="00AB6D5E" w:rsidRPr="00B30A12" w:rsidRDefault="00AB6D5E" w:rsidP="00AB6D5E">
      <w:pPr>
        <w:rPr>
          <w:color w:val="000000"/>
          <w:sz w:val="22"/>
          <w:szCs w:val="22"/>
        </w:rPr>
      </w:pPr>
    </w:p>
    <w:p w14:paraId="06A11644" w14:textId="77777777" w:rsidR="00AB6D5E" w:rsidRPr="00B30A12" w:rsidRDefault="00AB6D5E" w:rsidP="00AB6D5E">
      <w:pPr>
        <w:rPr>
          <w:color w:val="000000"/>
          <w:sz w:val="22"/>
          <w:szCs w:val="22"/>
        </w:rPr>
      </w:pPr>
    </w:p>
    <w:p w14:paraId="6CDFEEF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1.</w:t>
      </w:r>
      <w:r w:rsidRPr="00B30A12">
        <w:rPr>
          <w:b/>
          <w:color w:val="000000"/>
          <w:sz w:val="22"/>
          <w:szCs w:val="22"/>
        </w:rPr>
        <w:tab/>
        <w:t xml:space="preserve">BEZEICHNUNG </w:t>
      </w:r>
      <w:smartTag w:uri="urn:schemas-microsoft-com:office:smarttags" w:element="stockticker">
        <w:r w:rsidRPr="00B30A12">
          <w:rPr>
            <w:b/>
            <w:color w:val="000000"/>
            <w:sz w:val="22"/>
            <w:szCs w:val="22"/>
          </w:rPr>
          <w:t>DES</w:t>
        </w:r>
      </w:smartTag>
      <w:r w:rsidRPr="00B30A12">
        <w:rPr>
          <w:b/>
          <w:color w:val="000000"/>
          <w:sz w:val="22"/>
          <w:szCs w:val="22"/>
        </w:rPr>
        <w:t xml:space="preserve"> ARZNEIMITTELS</w:t>
      </w:r>
    </w:p>
    <w:p w14:paraId="65E07142" w14:textId="77777777" w:rsidR="00AB6D5E" w:rsidRPr="00B30A12" w:rsidRDefault="00AB6D5E" w:rsidP="00AB6D5E">
      <w:pPr>
        <w:rPr>
          <w:color w:val="000000"/>
          <w:sz w:val="22"/>
          <w:szCs w:val="22"/>
        </w:rPr>
      </w:pPr>
    </w:p>
    <w:p w14:paraId="6E65F0BA" w14:textId="77777777" w:rsidR="00AB6D5E" w:rsidRPr="00B30A12" w:rsidRDefault="00AB6D5E" w:rsidP="00AB6D5E">
      <w:pPr>
        <w:widowControl w:val="0"/>
        <w:rPr>
          <w:color w:val="000000"/>
          <w:sz w:val="22"/>
          <w:szCs w:val="22"/>
        </w:rPr>
      </w:pPr>
      <w:r w:rsidRPr="00B30A12">
        <w:rPr>
          <w:color w:val="000000"/>
          <w:sz w:val="22"/>
          <w:szCs w:val="22"/>
        </w:rPr>
        <w:t>Glivec 400 mg Tabletten</w:t>
      </w:r>
    </w:p>
    <w:p w14:paraId="57D10428" w14:textId="77777777" w:rsidR="00AB6D5E" w:rsidRPr="00B30A12" w:rsidRDefault="00AB6D5E" w:rsidP="00AB6D5E">
      <w:pPr>
        <w:widowControl w:val="0"/>
        <w:rPr>
          <w:color w:val="000000"/>
          <w:sz w:val="22"/>
          <w:szCs w:val="22"/>
        </w:rPr>
      </w:pPr>
      <w:r w:rsidRPr="00B30A12">
        <w:rPr>
          <w:color w:val="000000"/>
          <w:sz w:val="22"/>
          <w:szCs w:val="22"/>
        </w:rPr>
        <w:t>Imatinib</w:t>
      </w:r>
    </w:p>
    <w:p w14:paraId="089964A7" w14:textId="77777777" w:rsidR="00AB6D5E" w:rsidRPr="00B30A12" w:rsidRDefault="00AB6D5E" w:rsidP="00AB6D5E">
      <w:pPr>
        <w:rPr>
          <w:color w:val="000000"/>
          <w:sz w:val="22"/>
          <w:szCs w:val="22"/>
        </w:rPr>
      </w:pPr>
    </w:p>
    <w:p w14:paraId="7FB70047" w14:textId="77777777" w:rsidR="00AB6D5E" w:rsidRPr="00B30A12" w:rsidRDefault="00AB6D5E" w:rsidP="00AB6D5E">
      <w:pPr>
        <w:rPr>
          <w:color w:val="000000"/>
          <w:sz w:val="22"/>
          <w:szCs w:val="22"/>
        </w:rPr>
      </w:pPr>
    </w:p>
    <w:p w14:paraId="2A92AB0A"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2.</w:t>
      </w:r>
      <w:r w:rsidRPr="00B30A12">
        <w:rPr>
          <w:b/>
          <w:color w:val="000000"/>
          <w:sz w:val="22"/>
          <w:szCs w:val="22"/>
        </w:rPr>
        <w:tab/>
        <w:t xml:space="preserve">NAME </w:t>
      </w:r>
      <w:smartTag w:uri="urn:schemas-microsoft-com:office:smarttags" w:element="stockticker">
        <w:r w:rsidRPr="00B30A12">
          <w:rPr>
            <w:b/>
            <w:color w:val="000000"/>
            <w:sz w:val="22"/>
            <w:szCs w:val="22"/>
          </w:rPr>
          <w:t>DES</w:t>
        </w:r>
      </w:smartTag>
      <w:r w:rsidRPr="00B30A12">
        <w:rPr>
          <w:b/>
          <w:color w:val="000000"/>
          <w:sz w:val="22"/>
          <w:szCs w:val="22"/>
        </w:rPr>
        <w:t xml:space="preserve"> PHARMAZEUTISCHEN UNTERNEHMERS</w:t>
      </w:r>
    </w:p>
    <w:p w14:paraId="57B8733A" w14:textId="77777777" w:rsidR="00AB6D5E" w:rsidRPr="00B30A12" w:rsidRDefault="00AB6D5E" w:rsidP="00AB6D5E">
      <w:pPr>
        <w:rPr>
          <w:color w:val="000000"/>
          <w:sz w:val="22"/>
          <w:szCs w:val="22"/>
        </w:rPr>
      </w:pPr>
    </w:p>
    <w:p w14:paraId="5A2954AE" w14:textId="77777777" w:rsidR="00AB6D5E" w:rsidRPr="00B30A12" w:rsidRDefault="00AB6D5E" w:rsidP="00AB6D5E">
      <w:pPr>
        <w:widowControl w:val="0"/>
        <w:rPr>
          <w:color w:val="000000"/>
          <w:sz w:val="22"/>
          <w:szCs w:val="22"/>
        </w:rPr>
      </w:pPr>
      <w:r w:rsidRPr="00B30A12">
        <w:rPr>
          <w:color w:val="000000"/>
          <w:sz w:val="22"/>
          <w:szCs w:val="22"/>
        </w:rPr>
        <w:t>Novartis Europharm Limited</w:t>
      </w:r>
    </w:p>
    <w:p w14:paraId="7EA28487" w14:textId="77777777" w:rsidR="00AB6D5E" w:rsidRPr="00B30A12" w:rsidRDefault="00AB6D5E" w:rsidP="00AB6D5E">
      <w:pPr>
        <w:rPr>
          <w:color w:val="000000"/>
          <w:sz w:val="22"/>
          <w:szCs w:val="22"/>
        </w:rPr>
      </w:pPr>
    </w:p>
    <w:p w14:paraId="3BC32FC5" w14:textId="77777777" w:rsidR="00AB6D5E" w:rsidRPr="00B30A12" w:rsidRDefault="00AB6D5E" w:rsidP="00AB6D5E">
      <w:pPr>
        <w:rPr>
          <w:color w:val="000000"/>
          <w:sz w:val="22"/>
          <w:szCs w:val="22"/>
        </w:rPr>
      </w:pPr>
    </w:p>
    <w:p w14:paraId="4A0C74CE"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3.</w:t>
      </w:r>
      <w:r w:rsidRPr="00B30A12">
        <w:rPr>
          <w:b/>
          <w:color w:val="000000"/>
          <w:sz w:val="22"/>
          <w:szCs w:val="22"/>
        </w:rPr>
        <w:tab/>
        <w:t>VERFALLDATUM</w:t>
      </w:r>
    </w:p>
    <w:p w14:paraId="5AE9CD50" w14:textId="77777777" w:rsidR="00AB6D5E" w:rsidRPr="00B30A12" w:rsidRDefault="00AB6D5E" w:rsidP="00AB6D5E">
      <w:pPr>
        <w:rPr>
          <w:color w:val="000000"/>
          <w:sz w:val="22"/>
          <w:szCs w:val="22"/>
        </w:rPr>
      </w:pPr>
    </w:p>
    <w:p w14:paraId="56766508" w14:textId="77777777" w:rsidR="00AB6D5E" w:rsidRPr="00B30A12" w:rsidRDefault="00AB6D5E" w:rsidP="00AB6D5E">
      <w:pPr>
        <w:widowControl w:val="0"/>
        <w:rPr>
          <w:color w:val="000000"/>
          <w:sz w:val="22"/>
          <w:szCs w:val="22"/>
        </w:rPr>
      </w:pPr>
      <w:r w:rsidRPr="00B30A12">
        <w:rPr>
          <w:color w:val="000000"/>
          <w:sz w:val="22"/>
          <w:szCs w:val="22"/>
        </w:rPr>
        <w:t>EXP</w:t>
      </w:r>
    </w:p>
    <w:p w14:paraId="170EBE1F" w14:textId="77777777" w:rsidR="00AB6D5E" w:rsidRPr="00B30A12" w:rsidRDefault="00AB6D5E" w:rsidP="00AB6D5E">
      <w:pPr>
        <w:rPr>
          <w:color w:val="000000"/>
          <w:sz w:val="22"/>
          <w:szCs w:val="22"/>
        </w:rPr>
      </w:pPr>
    </w:p>
    <w:p w14:paraId="2BA0796A" w14:textId="77777777" w:rsidR="00AB6D5E" w:rsidRPr="00B30A12" w:rsidRDefault="00AB6D5E" w:rsidP="00AB6D5E">
      <w:pPr>
        <w:rPr>
          <w:color w:val="000000"/>
          <w:sz w:val="22"/>
          <w:szCs w:val="22"/>
        </w:rPr>
      </w:pPr>
    </w:p>
    <w:p w14:paraId="465E9C4B" w14:textId="77777777" w:rsidR="00AB6D5E" w:rsidRPr="00B30A12" w:rsidRDefault="00AB6D5E" w:rsidP="00AB6D5E">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B30A12">
        <w:rPr>
          <w:b/>
          <w:color w:val="000000"/>
          <w:sz w:val="22"/>
          <w:szCs w:val="22"/>
        </w:rPr>
        <w:t>4.</w:t>
      </w:r>
      <w:r w:rsidRPr="00B30A12">
        <w:rPr>
          <w:b/>
          <w:color w:val="000000"/>
          <w:sz w:val="22"/>
          <w:szCs w:val="22"/>
        </w:rPr>
        <w:tab/>
        <w:t>CHARGENBEZEICHNUNG</w:t>
      </w:r>
    </w:p>
    <w:p w14:paraId="369EB958" w14:textId="77777777" w:rsidR="00AB6D5E" w:rsidRPr="00B30A12" w:rsidRDefault="00AB6D5E" w:rsidP="00AB6D5E">
      <w:pPr>
        <w:rPr>
          <w:color w:val="000000"/>
          <w:sz w:val="22"/>
          <w:szCs w:val="22"/>
        </w:rPr>
      </w:pPr>
    </w:p>
    <w:p w14:paraId="0239457B" w14:textId="77777777" w:rsidR="00AB6D5E" w:rsidRPr="00B30A12" w:rsidRDefault="00AB6D5E" w:rsidP="00AB6D5E">
      <w:pPr>
        <w:pStyle w:val="Header"/>
        <w:suppressLineNumbers/>
        <w:tabs>
          <w:tab w:val="clear" w:pos="4320"/>
          <w:tab w:val="clear" w:pos="8640"/>
        </w:tabs>
        <w:suppressAutoHyphens/>
        <w:rPr>
          <w:color w:val="000000"/>
          <w:szCs w:val="22"/>
        </w:rPr>
      </w:pPr>
      <w:r w:rsidRPr="00B30A12">
        <w:rPr>
          <w:color w:val="000000"/>
          <w:szCs w:val="22"/>
        </w:rPr>
        <w:t>Lot</w:t>
      </w:r>
    </w:p>
    <w:p w14:paraId="6A2B315C" w14:textId="77777777" w:rsidR="00AB6D5E" w:rsidRPr="00B30A12" w:rsidRDefault="00AB6D5E" w:rsidP="00AB6D5E">
      <w:pPr>
        <w:widowControl w:val="0"/>
        <w:rPr>
          <w:color w:val="000000"/>
          <w:sz w:val="22"/>
          <w:szCs w:val="22"/>
        </w:rPr>
      </w:pPr>
    </w:p>
    <w:p w14:paraId="161180AD" w14:textId="77777777" w:rsidR="00AB6D5E" w:rsidRPr="00B30A12" w:rsidRDefault="00AB6D5E" w:rsidP="00AB6D5E">
      <w:pPr>
        <w:widowControl w:val="0"/>
        <w:rPr>
          <w:color w:val="000000"/>
          <w:sz w:val="22"/>
          <w:szCs w:val="22"/>
        </w:rPr>
      </w:pPr>
    </w:p>
    <w:p w14:paraId="388226B1" w14:textId="77777777" w:rsidR="00AB6D5E" w:rsidRPr="00B30A12" w:rsidRDefault="00AB6D5E" w:rsidP="00AB6D5E">
      <w:pPr>
        <w:widowControl w:val="0"/>
        <w:pBdr>
          <w:top w:val="single" w:sz="4" w:space="1" w:color="auto"/>
          <w:left w:val="single" w:sz="4" w:space="4" w:color="auto"/>
          <w:bottom w:val="single" w:sz="4" w:space="1" w:color="auto"/>
          <w:right w:val="single" w:sz="4" w:space="4" w:color="auto"/>
        </w:pBdr>
        <w:rPr>
          <w:color w:val="000000"/>
          <w:sz w:val="22"/>
          <w:szCs w:val="22"/>
        </w:rPr>
      </w:pPr>
      <w:r w:rsidRPr="00B30A12">
        <w:rPr>
          <w:b/>
          <w:color w:val="000000"/>
          <w:sz w:val="22"/>
          <w:szCs w:val="22"/>
        </w:rPr>
        <w:t>5.</w:t>
      </w:r>
      <w:r w:rsidRPr="00B30A12">
        <w:rPr>
          <w:b/>
          <w:color w:val="000000"/>
          <w:sz w:val="22"/>
          <w:szCs w:val="22"/>
        </w:rPr>
        <w:tab/>
        <w:t>WEITERE ANGABEN</w:t>
      </w:r>
    </w:p>
    <w:p w14:paraId="741336D4" w14:textId="77777777" w:rsidR="00AB6D5E" w:rsidRPr="00B30A12" w:rsidRDefault="00AB6D5E" w:rsidP="00AB6D5E">
      <w:pPr>
        <w:widowControl w:val="0"/>
        <w:rPr>
          <w:color w:val="000000"/>
          <w:sz w:val="22"/>
          <w:szCs w:val="22"/>
        </w:rPr>
      </w:pPr>
    </w:p>
    <w:p w14:paraId="202B5DC0" w14:textId="77777777" w:rsidR="00AB6D5E" w:rsidRPr="00B30A12" w:rsidRDefault="00AB6D5E" w:rsidP="00AB6D5E">
      <w:pPr>
        <w:pStyle w:val="Header"/>
        <w:suppressLineNumbers/>
        <w:tabs>
          <w:tab w:val="clear" w:pos="4320"/>
          <w:tab w:val="clear" w:pos="8640"/>
        </w:tabs>
        <w:suppressAutoHyphens/>
        <w:rPr>
          <w:color w:val="000000"/>
          <w:szCs w:val="22"/>
        </w:rPr>
      </w:pPr>
      <w:r w:rsidRPr="00B30A12">
        <w:rPr>
          <w:color w:val="000000"/>
          <w:szCs w:val="22"/>
        </w:rPr>
        <w:br w:type="page"/>
      </w:r>
    </w:p>
    <w:p w14:paraId="3AB8569B" w14:textId="77777777" w:rsidR="00AB6D5E" w:rsidRPr="00B30A12" w:rsidRDefault="00AB6D5E" w:rsidP="001E3D49">
      <w:pPr>
        <w:rPr>
          <w:color w:val="000000"/>
          <w:sz w:val="22"/>
          <w:szCs w:val="22"/>
        </w:rPr>
      </w:pPr>
    </w:p>
    <w:p w14:paraId="4CDF5991" w14:textId="77777777" w:rsidR="00AB6D5E" w:rsidRPr="00B30A12" w:rsidRDefault="00AB6D5E" w:rsidP="001E3D49">
      <w:pPr>
        <w:rPr>
          <w:color w:val="000000"/>
          <w:sz w:val="22"/>
          <w:szCs w:val="22"/>
        </w:rPr>
      </w:pPr>
    </w:p>
    <w:p w14:paraId="2F7BE0AD" w14:textId="77777777" w:rsidR="00AB6D5E" w:rsidRPr="00B30A12" w:rsidRDefault="00AB6D5E" w:rsidP="001E3D49">
      <w:pPr>
        <w:rPr>
          <w:color w:val="000000"/>
          <w:sz w:val="22"/>
          <w:szCs w:val="22"/>
        </w:rPr>
      </w:pPr>
    </w:p>
    <w:p w14:paraId="3E670DE3" w14:textId="77777777" w:rsidR="00AB6D5E" w:rsidRPr="00B30A12" w:rsidRDefault="00AB6D5E" w:rsidP="001E3D49">
      <w:pPr>
        <w:rPr>
          <w:color w:val="000000"/>
          <w:sz w:val="22"/>
          <w:szCs w:val="22"/>
        </w:rPr>
      </w:pPr>
    </w:p>
    <w:p w14:paraId="128C8A6B" w14:textId="77777777" w:rsidR="00AB6D5E" w:rsidRPr="00B30A12" w:rsidRDefault="00AB6D5E" w:rsidP="001E3D49">
      <w:pPr>
        <w:rPr>
          <w:color w:val="000000"/>
          <w:sz w:val="22"/>
          <w:szCs w:val="22"/>
        </w:rPr>
      </w:pPr>
    </w:p>
    <w:p w14:paraId="34A6F341" w14:textId="77777777" w:rsidR="00AB6D5E" w:rsidRPr="00B30A12" w:rsidRDefault="00AB6D5E" w:rsidP="001E3D49">
      <w:pPr>
        <w:rPr>
          <w:color w:val="000000"/>
          <w:sz w:val="22"/>
          <w:szCs w:val="22"/>
        </w:rPr>
      </w:pPr>
    </w:p>
    <w:p w14:paraId="03CEC9ED" w14:textId="77777777" w:rsidR="00AB6D5E" w:rsidRPr="00B30A12" w:rsidRDefault="00AB6D5E" w:rsidP="001E3D49">
      <w:pPr>
        <w:rPr>
          <w:color w:val="000000"/>
          <w:sz w:val="22"/>
          <w:szCs w:val="22"/>
        </w:rPr>
      </w:pPr>
    </w:p>
    <w:p w14:paraId="2F253D40" w14:textId="77777777" w:rsidR="00AB6D5E" w:rsidRPr="00B30A12" w:rsidRDefault="00AB6D5E" w:rsidP="001E3D49">
      <w:pPr>
        <w:rPr>
          <w:color w:val="000000"/>
          <w:sz w:val="22"/>
          <w:szCs w:val="22"/>
        </w:rPr>
      </w:pPr>
    </w:p>
    <w:p w14:paraId="42AB83E9" w14:textId="77777777" w:rsidR="00AB6D5E" w:rsidRPr="00B30A12" w:rsidRDefault="00AB6D5E" w:rsidP="001E3D49">
      <w:pPr>
        <w:rPr>
          <w:color w:val="000000"/>
          <w:sz w:val="22"/>
          <w:szCs w:val="22"/>
        </w:rPr>
      </w:pPr>
    </w:p>
    <w:p w14:paraId="48F05C4F" w14:textId="77777777" w:rsidR="00AB6D5E" w:rsidRPr="00B30A12" w:rsidRDefault="00AB6D5E" w:rsidP="001E3D49">
      <w:pPr>
        <w:rPr>
          <w:color w:val="000000"/>
          <w:sz w:val="22"/>
          <w:szCs w:val="22"/>
        </w:rPr>
      </w:pPr>
    </w:p>
    <w:p w14:paraId="4812144C" w14:textId="77777777" w:rsidR="00AB6D5E" w:rsidRPr="00B30A12" w:rsidRDefault="00AB6D5E" w:rsidP="001E3D49">
      <w:pPr>
        <w:rPr>
          <w:color w:val="000000"/>
          <w:sz w:val="22"/>
          <w:szCs w:val="22"/>
        </w:rPr>
      </w:pPr>
    </w:p>
    <w:p w14:paraId="78A17A07" w14:textId="77777777" w:rsidR="00AB6D5E" w:rsidRPr="00B30A12" w:rsidRDefault="00AB6D5E" w:rsidP="001E3D49">
      <w:pPr>
        <w:rPr>
          <w:color w:val="000000"/>
          <w:sz w:val="22"/>
          <w:szCs w:val="22"/>
        </w:rPr>
      </w:pPr>
    </w:p>
    <w:p w14:paraId="65D35740" w14:textId="77777777" w:rsidR="00AB6D5E" w:rsidRPr="00B30A12" w:rsidRDefault="00AB6D5E" w:rsidP="001E3D49">
      <w:pPr>
        <w:rPr>
          <w:color w:val="000000"/>
          <w:sz w:val="22"/>
          <w:szCs w:val="22"/>
        </w:rPr>
      </w:pPr>
    </w:p>
    <w:p w14:paraId="77C72410" w14:textId="77777777" w:rsidR="00AB6D5E" w:rsidRPr="00B30A12" w:rsidRDefault="00AB6D5E" w:rsidP="001E3D49">
      <w:pPr>
        <w:rPr>
          <w:color w:val="000000"/>
          <w:sz w:val="22"/>
          <w:szCs w:val="22"/>
        </w:rPr>
      </w:pPr>
    </w:p>
    <w:p w14:paraId="2DBF76A5" w14:textId="77777777" w:rsidR="00AB6D5E" w:rsidRPr="00B30A12" w:rsidRDefault="00AB6D5E" w:rsidP="001E3D49">
      <w:pPr>
        <w:rPr>
          <w:color w:val="000000"/>
          <w:sz w:val="22"/>
          <w:szCs w:val="22"/>
        </w:rPr>
      </w:pPr>
    </w:p>
    <w:p w14:paraId="25376319" w14:textId="77777777" w:rsidR="00AB6D5E" w:rsidRPr="00B30A12" w:rsidRDefault="00AB6D5E" w:rsidP="001E3D49">
      <w:pPr>
        <w:rPr>
          <w:color w:val="000000"/>
          <w:sz w:val="22"/>
          <w:szCs w:val="22"/>
        </w:rPr>
      </w:pPr>
    </w:p>
    <w:p w14:paraId="58E170AD" w14:textId="77777777" w:rsidR="00AB6D5E" w:rsidRPr="00B30A12" w:rsidRDefault="00AB6D5E" w:rsidP="001E3D49">
      <w:pPr>
        <w:rPr>
          <w:color w:val="000000"/>
          <w:sz w:val="22"/>
          <w:szCs w:val="22"/>
        </w:rPr>
      </w:pPr>
    </w:p>
    <w:p w14:paraId="5BAC7855" w14:textId="77777777" w:rsidR="00AB6D5E" w:rsidRPr="00B30A12" w:rsidRDefault="00AB6D5E" w:rsidP="001E3D49">
      <w:pPr>
        <w:rPr>
          <w:color w:val="000000"/>
          <w:sz w:val="22"/>
          <w:szCs w:val="22"/>
        </w:rPr>
      </w:pPr>
    </w:p>
    <w:p w14:paraId="02914CC5" w14:textId="77777777" w:rsidR="00AB6D5E" w:rsidRPr="00B30A12" w:rsidRDefault="00AB6D5E" w:rsidP="001E3D49">
      <w:pPr>
        <w:rPr>
          <w:color w:val="000000"/>
          <w:sz w:val="22"/>
          <w:szCs w:val="22"/>
        </w:rPr>
      </w:pPr>
    </w:p>
    <w:p w14:paraId="1B3AC6A9" w14:textId="77777777" w:rsidR="00AB6D5E" w:rsidRPr="00B30A12" w:rsidRDefault="00AB6D5E" w:rsidP="001E3D49">
      <w:pPr>
        <w:rPr>
          <w:color w:val="000000"/>
          <w:sz w:val="22"/>
          <w:szCs w:val="22"/>
        </w:rPr>
      </w:pPr>
    </w:p>
    <w:p w14:paraId="38E3F180" w14:textId="77777777" w:rsidR="00AB6D5E" w:rsidRPr="00B30A12" w:rsidRDefault="00AB6D5E" w:rsidP="001E3D49">
      <w:pPr>
        <w:rPr>
          <w:color w:val="000000"/>
          <w:sz w:val="22"/>
          <w:szCs w:val="22"/>
        </w:rPr>
      </w:pPr>
    </w:p>
    <w:p w14:paraId="1BB49D82" w14:textId="77777777" w:rsidR="00AB6D5E" w:rsidRDefault="00AB6D5E" w:rsidP="001E3D49">
      <w:pPr>
        <w:rPr>
          <w:color w:val="000000"/>
          <w:sz w:val="22"/>
          <w:szCs w:val="22"/>
        </w:rPr>
      </w:pPr>
    </w:p>
    <w:p w14:paraId="7B0B4E2D" w14:textId="77777777" w:rsidR="001E3D49" w:rsidRPr="00B30A12" w:rsidRDefault="001E3D49" w:rsidP="001E3D49">
      <w:pPr>
        <w:rPr>
          <w:color w:val="000000"/>
          <w:sz w:val="22"/>
          <w:szCs w:val="22"/>
        </w:rPr>
      </w:pPr>
    </w:p>
    <w:p w14:paraId="7BC31F43" w14:textId="77777777" w:rsidR="00AB6D5E" w:rsidRPr="00B30A12" w:rsidRDefault="00AB6D5E" w:rsidP="001E3D49">
      <w:pPr>
        <w:jc w:val="center"/>
        <w:rPr>
          <w:color w:val="000000"/>
          <w:sz w:val="22"/>
          <w:szCs w:val="22"/>
        </w:rPr>
      </w:pPr>
      <w:r w:rsidRPr="00B30A12">
        <w:rPr>
          <w:b/>
          <w:color w:val="000000"/>
          <w:sz w:val="22"/>
          <w:szCs w:val="22"/>
        </w:rPr>
        <w:t>B. PACKUNGSBEILAGE</w:t>
      </w:r>
    </w:p>
    <w:p w14:paraId="6295D058" w14:textId="77777777" w:rsidR="00AB6D5E" w:rsidRPr="00B30A12" w:rsidRDefault="00AB6D5E" w:rsidP="000C47C6">
      <w:pPr>
        <w:widowControl w:val="0"/>
        <w:jc w:val="center"/>
        <w:rPr>
          <w:b/>
          <w:color w:val="000000"/>
          <w:sz w:val="22"/>
          <w:szCs w:val="22"/>
        </w:rPr>
      </w:pPr>
      <w:r w:rsidRPr="00B30A12">
        <w:rPr>
          <w:b/>
          <w:color w:val="000000"/>
          <w:sz w:val="22"/>
          <w:szCs w:val="22"/>
        </w:rPr>
        <w:br w:type="page"/>
      </w:r>
      <w:r w:rsidRPr="00B30A12">
        <w:rPr>
          <w:b/>
          <w:color w:val="000000"/>
          <w:sz w:val="22"/>
          <w:szCs w:val="22"/>
        </w:rPr>
        <w:lastRenderedPageBreak/>
        <w:t>G</w:t>
      </w:r>
      <w:r w:rsidR="00A3411C" w:rsidRPr="00B30A12">
        <w:rPr>
          <w:b/>
          <w:color w:val="000000"/>
          <w:sz w:val="22"/>
          <w:szCs w:val="22"/>
        </w:rPr>
        <w:t>ebrauchsinformation</w:t>
      </w:r>
      <w:r w:rsidRPr="00B30A12">
        <w:rPr>
          <w:b/>
          <w:color w:val="000000"/>
          <w:sz w:val="22"/>
          <w:szCs w:val="22"/>
        </w:rPr>
        <w:t>: I</w:t>
      </w:r>
      <w:r w:rsidR="00A3411C" w:rsidRPr="00B30A12">
        <w:rPr>
          <w:b/>
          <w:color w:val="000000"/>
          <w:sz w:val="22"/>
          <w:szCs w:val="22"/>
        </w:rPr>
        <w:t>nformation</w:t>
      </w:r>
      <w:r w:rsidRPr="00B30A12">
        <w:rPr>
          <w:b/>
          <w:color w:val="000000"/>
          <w:sz w:val="22"/>
          <w:szCs w:val="22"/>
        </w:rPr>
        <w:t xml:space="preserve"> </w:t>
      </w:r>
      <w:r w:rsidR="00A3411C" w:rsidRPr="00B30A12">
        <w:rPr>
          <w:b/>
          <w:color w:val="000000"/>
          <w:sz w:val="22"/>
          <w:szCs w:val="22"/>
        </w:rPr>
        <w:t>für</w:t>
      </w:r>
      <w:r w:rsidRPr="00B30A12">
        <w:rPr>
          <w:b/>
          <w:color w:val="000000"/>
          <w:sz w:val="22"/>
          <w:szCs w:val="22"/>
        </w:rPr>
        <w:t xml:space="preserve"> A</w:t>
      </w:r>
      <w:r w:rsidR="00A3411C" w:rsidRPr="00B30A12">
        <w:rPr>
          <w:b/>
          <w:color w:val="000000"/>
          <w:sz w:val="22"/>
          <w:szCs w:val="22"/>
        </w:rPr>
        <w:t>nwender</w:t>
      </w:r>
    </w:p>
    <w:p w14:paraId="2866A473" w14:textId="77777777" w:rsidR="00AB6D5E" w:rsidRPr="00B30A12" w:rsidRDefault="00AB6D5E" w:rsidP="000C47C6">
      <w:pPr>
        <w:widowControl w:val="0"/>
        <w:rPr>
          <w:color w:val="000000"/>
          <w:sz w:val="22"/>
          <w:szCs w:val="22"/>
        </w:rPr>
      </w:pPr>
    </w:p>
    <w:p w14:paraId="04BF9983" w14:textId="77777777" w:rsidR="00AB6D5E" w:rsidRPr="00B30A12" w:rsidRDefault="00AB6D5E" w:rsidP="000C47C6">
      <w:pPr>
        <w:widowControl w:val="0"/>
        <w:jc w:val="center"/>
        <w:rPr>
          <w:b/>
          <w:color w:val="000000"/>
          <w:sz w:val="22"/>
          <w:szCs w:val="22"/>
        </w:rPr>
      </w:pPr>
      <w:r w:rsidRPr="00B30A12">
        <w:rPr>
          <w:b/>
          <w:color w:val="000000"/>
          <w:sz w:val="22"/>
          <w:szCs w:val="22"/>
        </w:rPr>
        <w:t>Glivec 100 mg Hartkapseln</w:t>
      </w:r>
    </w:p>
    <w:p w14:paraId="4570DFE0" w14:textId="77777777" w:rsidR="00AB6D5E" w:rsidRPr="00B30A12" w:rsidRDefault="00AB6D5E" w:rsidP="000C47C6">
      <w:pPr>
        <w:widowControl w:val="0"/>
        <w:jc w:val="center"/>
        <w:rPr>
          <w:color w:val="000000"/>
          <w:sz w:val="22"/>
          <w:szCs w:val="22"/>
        </w:rPr>
      </w:pPr>
      <w:r w:rsidRPr="00B30A12">
        <w:rPr>
          <w:color w:val="000000"/>
          <w:sz w:val="22"/>
          <w:szCs w:val="22"/>
        </w:rPr>
        <w:t>Imatinib</w:t>
      </w:r>
    </w:p>
    <w:p w14:paraId="16497170" w14:textId="77777777" w:rsidR="00AB6D5E" w:rsidRPr="00B30A12" w:rsidRDefault="00AB6D5E" w:rsidP="000C47C6">
      <w:pPr>
        <w:widowControl w:val="0"/>
        <w:rPr>
          <w:color w:val="000000"/>
          <w:sz w:val="22"/>
          <w:szCs w:val="22"/>
        </w:rPr>
      </w:pPr>
    </w:p>
    <w:p w14:paraId="1A91A018" w14:textId="77777777" w:rsidR="00CB47E3" w:rsidRPr="00B30A12" w:rsidRDefault="00367B53" w:rsidP="000C47C6">
      <w:pPr>
        <w:widowControl w:val="0"/>
        <w:tabs>
          <w:tab w:val="left" w:pos="567"/>
        </w:tabs>
        <w:spacing w:line="260" w:lineRule="exact"/>
        <w:rPr>
          <w:snapToGrid w:val="0"/>
          <w:sz w:val="22"/>
          <w:szCs w:val="22"/>
        </w:rPr>
      </w:pPr>
      <w:r w:rsidRPr="00B30A12">
        <w:rPr>
          <w:noProof/>
          <w:sz w:val="22"/>
          <w:lang w:val="en-GB" w:eastAsia="en-GB"/>
        </w:rPr>
        <w:drawing>
          <wp:inline distT="0" distB="0" distL="0" distR="0" wp14:anchorId="459489B9" wp14:editId="6E74665B">
            <wp:extent cx="198755" cy="174625"/>
            <wp:effectExtent l="0" t="0" r="0" b="0"/>
            <wp:docPr id="8"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CB47E3" w:rsidRPr="00B30A12">
        <w:rPr>
          <w:noProof/>
          <w:snapToGrid w:val="0"/>
          <w:sz w:val="22"/>
          <w:szCs w:val="22"/>
        </w:rPr>
        <w:t>Dieses Arzneimittel unterliegt einer zusätzlichen Überwachung.</w:t>
      </w:r>
      <w:r w:rsidR="00CB47E3" w:rsidRPr="00B30A12">
        <w:rPr>
          <w:snapToGrid w:val="0"/>
          <w:sz w:val="22"/>
          <w:szCs w:val="22"/>
        </w:rPr>
        <w:t xml:space="preserve"> Dies ermöglicht eine schnelle Identifizierung neuer </w:t>
      </w:r>
      <w:r w:rsidR="00CB47E3" w:rsidRPr="00B30A12">
        <w:rPr>
          <w:snapToGrid w:val="0"/>
          <w:sz w:val="22"/>
        </w:rPr>
        <w:t>Erkenntnisse über die Sicherheit</w:t>
      </w:r>
      <w:r w:rsidR="00CB47E3" w:rsidRPr="00B30A12">
        <w:rPr>
          <w:snapToGrid w:val="0"/>
          <w:sz w:val="22"/>
          <w:szCs w:val="22"/>
        </w:rPr>
        <w:t>.</w:t>
      </w:r>
      <w:r w:rsidR="00CB47E3" w:rsidRPr="00B30A12">
        <w:rPr>
          <w:noProof/>
          <w:snapToGrid w:val="0"/>
          <w:sz w:val="22"/>
          <w:szCs w:val="22"/>
        </w:rPr>
        <w:t xml:space="preserve"> Sie können </w:t>
      </w:r>
      <w:r w:rsidR="00CB47E3" w:rsidRPr="00B30A12">
        <w:rPr>
          <w:snapToGrid w:val="0"/>
          <w:sz w:val="22"/>
          <w:szCs w:val="22"/>
        </w:rPr>
        <w:t xml:space="preserve">dabei </w:t>
      </w:r>
      <w:r w:rsidR="00CB47E3" w:rsidRPr="00B30A12">
        <w:rPr>
          <w:noProof/>
          <w:snapToGrid w:val="0"/>
          <w:sz w:val="22"/>
          <w:szCs w:val="22"/>
        </w:rPr>
        <w:t xml:space="preserve">helfen, indem Sie jede auftretende </w:t>
      </w:r>
      <w:r w:rsidR="00CB47E3" w:rsidRPr="00B30A12">
        <w:rPr>
          <w:snapToGrid w:val="0"/>
          <w:sz w:val="22"/>
          <w:szCs w:val="22"/>
        </w:rPr>
        <w:t>Nebenwirkung</w:t>
      </w:r>
      <w:r w:rsidR="00CB47E3" w:rsidRPr="00B30A12">
        <w:rPr>
          <w:noProof/>
          <w:snapToGrid w:val="0"/>
          <w:sz w:val="22"/>
          <w:szCs w:val="22"/>
        </w:rPr>
        <w:t xml:space="preserve"> melden.</w:t>
      </w:r>
      <w:r w:rsidR="00CB47E3" w:rsidRPr="00B30A12">
        <w:rPr>
          <w:snapToGrid w:val="0"/>
          <w:sz w:val="22"/>
          <w:szCs w:val="22"/>
        </w:rPr>
        <w:t xml:space="preserve"> Hinweise zur Meldung von Nebenwirkungen, s</w:t>
      </w:r>
      <w:r w:rsidR="00CB47E3" w:rsidRPr="00B30A12">
        <w:rPr>
          <w:noProof/>
          <w:snapToGrid w:val="0"/>
          <w:sz w:val="22"/>
          <w:szCs w:val="22"/>
        </w:rPr>
        <w:t>iehe Ende Abschnitt 4.</w:t>
      </w:r>
    </w:p>
    <w:p w14:paraId="5FB77A5B" w14:textId="77777777" w:rsidR="00AB6D5E" w:rsidRPr="00B30A12" w:rsidRDefault="00AB6D5E" w:rsidP="000C47C6">
      <w:pPr>
        <w:widowControl w:val="0"/>
        <w:rPr>
          <w:color w:val="000000"/>
          <w:sz w:val="22"/>
          <w:szCs w:val="22"/>
        </w:rPr>
      </w:pPr>
    </w:p>
    <w:p w14:paraId="1CDDD365" w14:textId="77777777" w:rsidR="007217B7" w:rsidRPr="00B30A12" w:rsidRDefault="007217B7" w:rsidP="000C47C6">
      <w:pPr>
        <w:widowControl w:val="0"/>
        <w:rPr>
          <w:color w:val="000000"/>
          <w:sz w:val="22"/>
          <w:szCs w:val="22"/>
        </w:rPr>
      </w:pPr>
      <w:r w:rsidRPr="00B30A12">
        <w:rPr>
          <w:b/>
          <w:color w:val="000000"/>
          <w:sz w:val="22"/>
          <w:szCs w:val="22"/>
        </w:rPr>
        <w:t>Lesen Sie die gesamte Packungsbeilage sorgfältig durch, bevor Sie mit der Einnahme dieses Arzneimittels beginnen, denn sie enthält wichtige Informationen.</w:t>
      </w:r>
    </w:p>
    <w:p w14:paraId="05039779"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Heben Sie die Packungsbeilage auf. Vielleicht möchten Sie diese später nochmals lesen.</w:t>
      </w:r>
    </w:p>
    <w:p w14:paraId="75D69EE6"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 xml:space="preserve">Wenn Sie weitere Fragen haben, wenden Sie sich an Ihren Arzt, Apotheker oder </w:t>
      </w:r>
      <w:r w:rsidR="00514F09" w:rsidRPr="00B30A12">
        <w:rPr>
          <w:color w:val="000000"/>
          <w:sz w:val="22"/>
          <w:szCs w:val="22"/>
        </w:rPr>
        <w:t>das medizinische Fachpersonal</w:t>
      </w:r>
      <w:r w:rsidRPr="00B30A12">
        <w:rPr>
          <w:color w:val="000000"/>
          <w:sz w:val="22"/>
          <w:szCs w:val="22"/>
        </w:rPr>
        <w:t>.</w:t>
      </w:r>
    </w:p>
    <w:p w14:paraId="459AC242"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Dieses Arzneimittel wurde Ihnen persönlich verschrieben. Geben Sie es nicht an Dritte weiter. Es kann anderen Menschen schaden, auch wenn diese die gleichen Beschwerden haben wie Sie.</w:t>
      </w:r>
    </w:p>
    <w:p w14:paraId="5D1B3C9C"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 xml:space="preserve">Wenn Sie Nebenwirkungen bemerken, wenden Sie sich an Ihren Arzt, Apotheker oder </w:t>
      </w:r>
      <w:r w:rsidR="00514F09" w:rsidRPr="00B30A12">
        <w:rPr>
          <w:color w:val="000000"/>
          <w:sz w:val="22"/>
          <w:szCs w:val="22"/>
        </w:rPr>
        <w:t>das medizinische Fachpersonal</w:t>
      </w:r>
      <w:r w:rsidRPr="00B30A12">
        <w:rPr>
          <w:color w:val="000000"/>
          <w:sz w:val="22"/>
          <w:szCs w:val="22"/>
        </w:rPr>
        <w:t>. Dies gilt auch für Nebenwirkungen, die nicht in dieser Packungsbeilage angegeben sind.</w:t>
      </w:r>
      <w:r w:rsidR="0095506C" w:rsidRPr="00B30A12">
        <w:rPr>
          <w:color w:val="000000"/>
          <w:sz w:val="22"/>
          <w:szCs w:val="22"/>
        </w:rPr>
        <w:t xml:space="preserve"> Siehe Abschnitt 4.</w:t>
      </w:r>
    </w:p>
    <w:p w14:paraId="78F11651" w14:textId="77777777" w:rsidR="007217B7" w:rsidRPr="00B30A12" w:rsidRDefault="007217B7" w:rsidP="000C47C6">
      <w:pPr>
        <w:pStyle w:val="Header"/>
        <w:widowControl w:val="0"/>
        <w:tabs>
          <w:tab w:val="clear" w:pos="4320"/>
          <w:tab w:val="clear" w:pos="8640"/>
        </w:tabs>
        <w:rPr>
          <w:color w:val="000000"/>
          <w:szCs w:val="22"/>
        </w:rPr>
      </w:pPr>
    </w:p>
    <w:p w14:paraId="53F225F9" w14:textId="77777777" w:rsidR="007217B7" w:rsidRPr="00B30A12" w:rsidRDefault="007217B7" w:rsidP="000C47C6">
      <w:pPr>
        <w:pStyle w:val="Header"/>
        <w:widowControl w:val="0"/>
        <w:tabs>
          <w:tab w:val="clear" w:pos="4320"/>
          <w:tab w:val="clear" w:pos="8640"/>
        </w:tabs>
        <w:rPr>
          <w:color w:val="000000"/>
          <w:szCs w:val="22"/>
        </w:rPr>
      </w:pPr>
    </w:p>
    <w:p w14:paraId="0BA7A7BD" w14:textId="77777777" w:rsidR="007217B7" w:rsidRPr="00B30A12" w:rsidRDefault="007217B7" w:rsidP="009E18F7">
      <w:pPr>
        <w:keepNext/>
        <w:widowControl w:val="0"/>
        <w:numPr>
          <w:ilvl w:val="12"/>
          <w:numId w:val="0"/>
        </w:numPr>
        <w:rPr>
          <w:color w:val="000000"/>
          <w:sz w:val="22"/>
          <w:szCs w:val="22"/>
        </w:rPr>
      </w:pPr>
      <w:r w:rsidRPr="00B30A12">
        <w:rPr>
          <w:b/>
          <w:color w:val="000000"/>
          <w:sz w:val="22"/>
          <w:szCs w:val="22"/>
        </w:rPr>
        <w:t>Was in dieser Packungsbeilage steht</w:t>
      </w:r>
    </w:p>
    <w:p w14:paraId="39DAAED0"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1.</w:t>
      </w:r>
      <w:r w:rsidRPr="00B30A12">
        <w:rPr>
          <w:color w:val="000000"/>
          <w:sz w:val="22"/>
          <w:szCs w:val="22"/>
        </w:rPr>
        <w:tab/>
        <w:t>Was ist Glivec und wofür wird es angewendet?</w:t>
      </w:r>
    </w:p>
    <w:p w14:paraId="15714166"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2.</w:t>
      </w:r>
      <w:r w:rsidRPr="00B30A12">
        <w:rPr>
          <w:color w:val="000000"/>
          <w:sz w:val="22"/>
          <w:szCs w:val="22"/>
        </w:rPr>
        <w:tab/>
        <w:t>Was sollten Sie vor der Einnahme von Glivec beachten?</w:t>
      </w:r>
    </w:p>
    <w:p w14:paraId="34E6A5BF"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3.</w:t>
      </w:r>
      <w:r w:rsidRPr="00B30A12">
        <w:rPr>
          <w:color w:val="000000"/>
          <w:sz w:val="22"/>
          <w:szCs w:val="22"/>
        </w:rPr>
        <w:tab/>
        <w:t>Wie ist Glivec einzunehmen?</w:t>
      </w:r>
    </w:p>
    <w:p w14:paraId="0F715300"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4.</w:t>
      </w:r>
      <w:r w:rsidRPr="00B30A12">
        <w:rPr>
          <w:color w:val="000000"/>
          <w:sz w:val="22"/>
          <w:szCs w:val="22"/>
        </w:rPr>
        <w:tab/>
        <w:t>Welche Nebenwirkungen sind möglich?</w:t>
      </w:r>
    </w:p>
    <w:p w14:paraId="0989ECD6"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5.</w:t>
      </w:r>
      <w:r w:rsidRPr="00B30A12">
        <w:rPr>
          <w:color w:val="000000"/>
          <w:sz w:val="22"/>
          <w:szCs w:val="22"/>
        </w:rPr>
        <w:tab/>
        <w:t>Wie ist Glivec aufzubewahren?</w:t>
      </w:r>
    </w:p>
    <w:p w14:paraId="0B4F8C50"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6.</w:t>
      </w:r>
      <w:r w:rsidRPr="00B30A12">
        <w:rPr>
          <w:color w:val="000000"/>
          <w:sz w:val="22"/>
          <w:szCs w:val="22"/>
        </w:rPr>
        <w:tab/>
        <w:t>Inhalt der Packung und weitere Informationen</w:t>
      </w:r>
    </w:p>
    <w:p w14:paraId="05C67FE1" w14:textId="77777777" w:rsidR="007217B7" w:rsidRPr="00B30A12" w:rsidRDefault="007217B7" w:rsidP="000C47C6">
      <w:pPr>
        <w:widowControl w:val="0"/>
        <w:numPr>
          <w:ilvl w:val="12"/>
          <w:numId w:val="0"/>
        </w:numPr>
        <w:rPr>
          <w:color w:val="000000"/>
          <w:sz w:val="22"/>
          <w:szCs w:val="22"/>
        </w:rPr>
      </w:pPr>
    </w:p>
    <w:p w14:paraId="2B2491AA" w14:textId="77777777" w:rsidR="007217B7" w:rsidRPr="00B30A12" w:rsidRDefault="007217B7" w:rsidP="000C47C6">
      <w:pPr>
        <w:widowControl w:val="0"/>
        <w:numPr>
          <w:ilvl w:val="12"/>
          <w:numId w:val="0"/>
        </w:numPr>
        <w:rPr>
          <w:color w:val="000000"/>
          <w:sz w:val="22"/>
          <w:szCs w:val="22"/>
        </w:rPr>
      </w:pPr>
    </w:p>
    <w:p w14:paraId="34F4DFB4" w14:textId="77777777" w:rsidR="007217B7" w:rsidRPr="00B30A12" w:rsidRDefault="007217B7" w:rsidP="001E3D49">
      <w:pPr>
        <w:keepNext/>
        <w:widowControl w:val="0"/>
        <w:numPr>
          <w:ilvl w:val="12"/>
          <w:numId w:val="0"/>
        </w:numPr>
        <w:ind w:left="567" w:hanging="567"/>
        <w:rPr>
          <w:b/>
          <w:color w:val="000000"/>
          <w:sz w:val="22"/>
          <w:szCs w:val="22"/>
        </w:rPr>
      </w:pPr>
      <w:r w:rsidRPr="00B30A12">
        <w:rPr>
          <w:b/>
          <w:color w:val="000000"/>
          <w:sz w:val="22"/>
          <w:szCs w:val="22"/>
        </w:rPr>
        <w:t>1.</w:t>
      </w:r>
      <w:r w:rsidRPr="00B30A12">
        <w:rPr>
          <w:b/>
          <w:color w:val="000000"/>
          <w:sz w:val="22"/>
          <w:szCs w:val="22"/>
        </w:rPr>
        <w:tab/>
        <w:t>Was ist Glivec und wofür wird es angewendet?</w:t>
      </w:r>
    </w:p>
    <w:p w14:paraId="3136D807" w14:textId="77777777" w:rsidR="007217B7" w:rsidRPr="00B30A12" w:rsidRDefault="007217B7" w:rsidP="001E3D49">
      <w:pPr>
        <w:keepNext/>
        <w:widowControl w:val="0"/>
        <w:numPr>
          <w:ilvl w:val="12"/>
          <w:numId w:val="0"/>
        </w:numPr>
        <w:rPr>
          <w:color w:val="000000"/>
          <w:sz w:val="22"/>
          <w:szCs w:val="22"/>
        </w:rPr>
      </w:pPr>
    </w:p>
    <w:p w14:paraId="200A6401"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Glivec ist ein Arzneimittel, das den Wirkstoff Imatinib enthält. Dieses Arzneimittel wirkt bei den unten genannten Erkrankungen, indem es das Wachstum von anormalen Zellen hemmt. Einige dieser Erkrankungen sind Krebserkrankungen.</w:t>
      </w:r>
    </w:p>
    <w:p w14:paraId="49AB3D93" w14:textId="77777777" w:rsidR="007217B7" w:rsidRPr="00B30A12" w:rsidRDefault="007217B7" w:rsidP="000C47C6">
      <w:pPr>
        <w:widowControl w:val="0"/>
        <w:numPr>
          <w:ilvl w:val="12"/>
          <w:numId w:val="0"/>
        </w:numPr>
        <w:rPr>
          <w:color w:val="000000"/>
          <w:sz w:val="22"/>
          <w:szCs w:val="22"/>
        </w:rPr>
      </w:pPr>
    </w:p>
    <w:p w14:paraId="4966079E" w14:textId="77777777" w:rsidR="007217B7" w:rsidRPr="00B30A12" w:rsidRDefault="007217B7" w:rsidP="009E18F7">
      <w:pPr>
        <w:keepNext/>
        <w:widowControl w:val="0"/>
        <w:numPr>
          <w:ilvl w:val="12"/>
          <w:numId w:val="0"/>
        </w:numPr>
        <w:rPr>
          <w:b/>
          <w:color w:val="000000"/>
          <w:sz w:val="22"/>
          <w:szCs w:val="22"/>
        </w:rPr>
      </w:pPr>
      <w:r w:rsidRPr="00B30A12">
        <w:rPr>
          <w:b/>
          <w:color w:val="000000"/>
          <w:sz w:val="22"/>
          <w:szCs w:val="22"/>
        </w:rPr>
        <w:t>Glivec wird bei Erwachsenen und Kindern angewendet:</w:t>
      </w:r>
    </w:p>
    <w:p w14:paraId="6A3F22B8" w14:textId="77777777" w:rsidR="007217B7" w:rsidRPr="00B30A12" w:rsidRDefault="007217B7" w:rsidP="009E18F7">
      <w:pPr>
        <w:keepNext/>
        <w:widowControl w:val="0"/>
        <w:numPr>
          <w:ilvl w:val="12"/>
          <w:numId w:val="0"/>
        </w:numPr>
        <w:rPr>
          <w:color w:val="000000"/>
          <w:sz w:val="22"/>
          <w:szCs w:val="22"/>
        </w:rPr>
      </w:pPr>
    </w:p>
    <w:p w14:paraId="1323E362" w14:textId="77777777" w:rsidR="00C773BB" w:rsidRPr="00B30A12" w:rsidRDefault="007217B7" w:rsidP="000C47C6">
      <w:pPr>
        <w:widowControl w:val="0"/>
        <w:numPr>
          <w:ilvl w:val="0"/>
          <w:numId w:val="1"/>
        </w:numPr>
        <w:tabs>
          <w:tab w:val="clear" w:pos="417"/>
        </w:tabs>
        <w:ind w:left="567" w:hanging="567"/>
        <w:rPr>
          <w:color w:val="000000"/>
          <w:sz w:val="22"/>
          <w:szCs w:val="22"/>
        </w:rPr>
      </w:pPr>
      <w:r w:rsidRPr="00B30A12">
        <w:rPr>
          <w:b/>
          <w:color w:val="000000"/>
          <w:sz w:val="22"/>
          <w:szCs w:val="22"/>
        </w:rPr>
        <w:t>Zur Behandlung der chronisch-myeloischen Leukämie (CML).</w:t>
      </w:r>
      <w:r w:rsidRPr="00B30A12">
        <w:rPr>
          <w:color w:val="000000"/>
          <w:sz w:val="22"/>
          <w:szCs w:val="22"/>
        </w:rPr>
        <w:t xml:space="preserve"> Leukämie ist eine Krebserkrankung weißer Blutzellen. Diese weißen Zellen unterstützen normalerweise den Körper bei der Abwehr von Infektionen. Die chronisch-myeloische Leukämie ist eine Form der Leukämie, bei der bestimmte anormale weiße Zellen (so genannte myeloische Zellen) unkontrolliert zu wachsen be</w:t>
      </w:r>
      <w:r w:rsidRPr="00B30A12">
        <w:rPr>
          <w:color w:val="000000"/>
          <w:sz w:val="22"/>
          <w:szCs w:val="22"/>
        </w:rPr>
        <w:softHyphen/>
        <w:t>ginnen.</w:t>
      </w:r>
      <w:r w:rsidR="00C773BB" w:rsidRPr="00B30A12">
        <w:rPr>
          <w:color w:val="000000"/>
          <w:sz w:val="22"/>
          <w:szCs w:val="22"/>
        </w:rPr>
        <w:t xml:space="preserve"> </w:t>
      </w:r>
    </w:p>
    <w:p w14:paraId="62D6E7B6" w14:textId="77777777" w:rsidR="007217B7" w:rsidRPr="00B30A12" w:rsidRDefault="00C773BB" w:rsidP="000C47C6">
      <w:pPr>
        <w:widowControl w:val="0"/>
        <w:numPr>
          <w:ilvl w:val="0"/>
          <w:numId w:val="1"/>
        </w:numPr>
        <w:tabs>
          <w:tab w:val="clear" w:pos="417"/>
        </w:tabs>
        <w:ind w:left="567" w:hanging="567"/>
        <w:rPr>
          <w:color w:val="000000"/>
          <w:sz w:val="22"/>
          <w:szCs w:val="22"/>
        </w:rPr>
      </w:pPr>
      <w:r w:rsidRPr="00B30A12">
        <w:rPr>
          <w:b/>
          <w:color w:val="000000"/>
          <w:sz w:val="22"/>
          <w:szCs w:val="22"/>
        </w:rPr>
        <w:t xml:space="preserve">Zur Behandlung von Philadelphia-Chromosom-positiver akuter lymphoblastischer Leukämie (Ph-positive </w:t>
      </w:r>
      <w:smartTag w:uri="urn:schemas-microsoft-com:office:smarttags" w:element="stockticker">
        <w:r w:rsidRPr="00B30A12">
          <w:rPr>
            <w:b/>
            <w:color w:val="000000"/>
            <w:sz w:val="22"/>
            <w:szCs w:val="22"/>
          </w:rPr>
          <w:t>ALL</w:t>
        </w:r>
      </w:smartTag>
      <w:r w:rsidRPr="00B30A12">
        <w:rPr>
          <w:b/>
          <w:color w:val="000000"/>
          <w:sz w:val="22"/>
          <w:szCs w:val="22"/>
        </w:rPr>
        <w:t>).</w:t>
      </w:r>
      <w:r w:rsidRPr="00B30A12">
        <w:rPr>
          <w:color w:val="000000"/>
          <w:sz w:val="22"/>
          <w:szCs w:val="22"/>
        </w:rPr>
        <w:t xml:space="preserve"> Leukämie ist eine Krebserkrankung weißer Blutzellen. Diese weißen Zellen unterstützen normalerweise den Körper bei der Abwehr von Infektionen. Die akute lymphoblastische Leukämie ist eine Form der Leukämie, bei der bestimmte krankhafte weiße Zellen (so genannte Lymphoblasten) unkontrolliert zu wachsen beginnen. Glivec hemmt das Wachstum dieser Zellen.</w:t>
      </w:r>
    </w:p>
    <w:p w14:paraId="69842B66" w14:textId="77777777" w:rsidR="007217B7" w:rsidRPr="00B30A12" w:rsidRDefault="007217B7" w:rsidP="000C47C6">
      <w:pPr>
        <w:widowControl w:val="0"/>
        <w:numPr>
          <w:ilvl w:val="12"/>
          <w:numId w:val="0"/>
        </w:numPr>
        <w:rPr>
          <w:color w:val="000000"/>
          <w:sz w:val="22"/>
          <w:szCs w:val="22"/>
        </w:rPr>
      </w:pPr>
    </w:p>
    <w:p w14:paraId="0E81D2AE" w14:textId="77777777" w:rsidR="007217B7" w:rsidRPr="00B30A12" w:rsidRDefault="007217B7" w:rsidP="009E18F7">
      <w:pPr>
        <w:keepNext/>
        <w:widowControl w:val="0"/>
        <w:numPr>
          <w:ilvl w:val="12"/>
          <w:numId w:val="0"/>
        </w:numPr>
        <w:rPr>
          <w:b/>
          <w:color w:val="000000"/>
          <w:sz w:val="22"/>
          <w:szCs w:val="22"/>
        </w:rPr>
      </w:pPr>
      <w:r w:rsidRPr="00B30A12">
        <w:rPr>
          <w:b/>
          <w:color w:val="000000"/>
          <w:sz w:val="22"/>
          <w:szCs w:val="22"/>
        </w:rPr>
        <w:t>Glivec wird auch bei Erwachsenen angewendet:</w:t>
      </w:r>
    </w:p>
    <w:p w14:paraId="257C22E5" w14:textId="77777777" w:rsidR="007217B7" w:rsidRPr="00B30A12" w:rsidRDefault="007217B7" w:rsidP="009E18F7">
      <w:pPr>
        <w:keepNext/>
        <w:widowControl w:val="0"/>
        <w:numPr>
          <w:ilvl w:val="12"/>
          <w:numId w:val="0"/>
        </w:numPr>
        <w:rPr>
          <w:color w:val="000000"/>
          <w:sz w:val="22"/>
          <w:szCs w:val="22"/>
        </w:rPr>
      </w:pPr>
    </w:p>
    <w:p w14:paraId="2653822F"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t>Zur Behandlung von Myelodysplastischen/myeloproliferativen Erkrankungen (</w:t>
      </w:r>
      <w:smartTag w:uri="urn:schemas-microsoft-com:office:smarttags" w:element="stockticker">
        <w:r w:rsidRPr="00B30A12">
          <w:rPr>
            <w:b/>
            <w:color w:val="000000"/>
            <w:sz w:val="22"/>
            <w:szCs w:val="22"/>
          </w:rPr>
          <w:t>MDS</w:t>
        </w:r>
      </w:smartTag>
      <w:r w:rsidRPr="00B30A12">
        <w:rPr>
          <w:b/>
          <w:color w:val="000000"/>
          <w:sz w:val="22"/>
          <w:szCs w:val="22"/>
        </w:rPr>
        <w:t>/MPD).</w:t>
      </w:r>
      <w:r w:rsidRPr="00B30A12">
        <w:rPr>
          <w:color w:val="000000"/>
          <w:sz w:val="22"/>
          <w:szCs w:val="22"/>
        </w:rPr>
        <w:t xml:space="preserve"> Diese gehören zu einer Gruppe von Bluterkrankungen, bei denen bestimmte Blutzellen unkontrolliert zu wachsen be</w:t>
      </w:r>
      <w:r w:rsidRPr="00B30A12">
        <w:rPr>
          <w:color w:val="000000"/>
          <w:sz w:val="22"/>
          <w:szCs w:val="22"/>
        </w:rPr>
        <w:softHyphen/>
        <w:t>ginnen. Glivec hemmt das Wachstum dieser Zellen bei einem bestimmten Typ dieser Erkrankungen.</w:t>
      </w:r>
    </w:p>
    <w:p w14:paraId="6CB61A7D"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lastRenderedPageBreak/>
        <w:t>Zur Behandlung des hypereosinophilen Syndroms (HES) und/oder der chronischen eosinophilen Leukämie (</w:t>
      </w:r>
      <w:smartTag w:uri="urn:schemas-microsoft-com:office:smarttags" w:element="stockticker">
        <w:r w:rsidRPr="00B30A12">
          <w:rPr>
            <w:b/>
            <w:color w:val="000000"/>
            <w:sz w:val="22"/>
            <w:szCs w:val="22"/>
          </w:rPr>
          <w:t>CEL</w:t>
        </w:r>
      </w:smartTag>
      <w:r w:rsidRPr="00B30A12">
        <w:rPr>
          <w:b/>
          <w:color w:val="000000"/>
          <w:sz w:val="22"/>
          <w:szCs w:val="22"/>
        </w:rPr>
        <w:t>).</w:t>
      </w:r>
      <w:r w:rsidRPr="00B30A12">
        <w:rPr>
          <w:color w:val="000000"/>
          <w:sz w:val="22"/>
          <w:szCs w:val="22"/>
        </w:rPr>
        <w:t xml:space="preserve"> Dies sind Bluterkrankungen, bei denen bestimmte Blutzellen (so genannte Eosinophile) unkontrolliert zu wachsen beginnen. Glivec hemmt das Wachstum dieser Zellen bei einem bestimmten Typ dieser Erkrankungen.</w:t>
      </w:r>
    </w:p>
    <w:p w14:paraId="21233050"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t>Zur Behandlung von bösartigen Weichteiltumoren des Verdauungstrakts (GIST).</w:t>
      </w:r>
      <w:r w:rsidRPr="00B30A12">
        <w:rPr>
          <w:color w:val="000000"/>
          <w:sz w:val="22"/>
          <w:szCs w:val="22"/>
        </w:rPr>
        <w:t xml:space="preserve"> GIST ist eine Krebserkrankung des Magens und des Darms. Sie entsteht auf Grund des unkontrollierten Wachstums von Bindegewebszellen dieser Organe.</w:t>
      </w:r>
    </w:p>
    <w:p w14:paraId="5E012D20" w14:textId="77777777" w:rsidR="007217B7" w:rsidRPr="00B30A12" w:rsidRDefault="007217B7" w:rsidP="009E18F7">
      <w:pPr>
        <w:keepNext/>
        <w:widowControl w:val="0"/>
        <w:numPr>
          <w:ilvl w:val="0"/>
          <w:numId w:val="15"/>
        </w:numPr>
        <w:tabs>
          <w:tab w:val="clear" w:pos="360"/>
        </w:tabs>
        <w:ind w:left="567" w:hanging="567"/>
        <w:rPr>
          <w:color w:val="000000"/>
          <w:sz w:val="22"/>
          <w:szCs w:val="22"/>
        </w:rPr>
      </w:pPr>
      <w:r w:rsidRPr="00B30A12">
        <w:rPr>
          <w:b/>
          <w:color w:val="000000"/>
          <w:sz w:val="22"/>
          <w:szCs w:val="22"/>
        </w:rPr>
        <w:t>Zur Behandlung von Dermatofibrosarcoma protuberans (DFSP).</w:t>
      </w:r>
      <w:r w:rsidRPr="00B30A12">
        <w:rPr>
          <w:color w:val="000000"/>
          <w:sz w:val="22"/>
          <w:szCs w:val="22"/>
        </w:rPr>
        <w:t xml:space="preserve"> DFSP ist eine Krebserkrankung des Gewebes unter der Haut, in dem bestimmte Zellen unkontrolliert zu wachsen be</w:t>
      </w:r>
      <w:r w:rsidRPr="00B30A12">
        <w:rPr>
          <w:color w:val="000000"/>
          <w:sz w:val="22"/>
          <w:szCs w:val="22"/>
        </w:rPr>
        <w:softHyphen/>
        <w:t>ginnen. Glivec hemmt das Wachstum dieser Zellen.</w:t>
      </w:r>
    </w:p>
    <w:p w14:paraId="6E2D0A13"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Im folgenden Teil der Gebrauchsinformation werden die oben genannten Abkürzungen verwendet, wenn über diese Erkrankungen gesprochen wird.</w:t>
      </w:r>
    </w:p>
    <w:p w14:paraId="50E878DB" w14:textId="77777777" w:rsidR="007217B7" w:rsidRPr="00B30A12" w:rsidRDefault="007217B7" w:rsidP="000C47C6">
      <w:pPr>
        <w:widowControl w:val="0"/>
        <w:numPr>
          <w:ilvl w:val="12"/>
          <w:numId w:val="0"/>
        </w:numPr>
        <w:rPr>
          <w:color w:val="000000"/>
          <w:sz w:val="22"/>
          <w:szCs w:val="22"/>
        </w:rPr>
      </w:pPr>
    </w:p>
    <w:p w14:paraId="01715070"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Fragen Sie Ihren Arzt, wenn Sie wissen wollen, wie Glivec wirkt oder warum Ihnen dieses Arzneimittel verschrieben worden ist.</w:t>
      </w:r>
    </w:p>
    <w:p w14:paraId="73279B39" w14:textId="77777777" w:rsidR="007217B7" w:rsidRPr="00B30A12" w:rsidRDefault="007217B7" w:rsidP="000C47C6">
      <w:pPr>
        <w:widowControl w:val="0"/>
        <w:numPr>
          <w:ilvl w:val="12"/>
          <w:numId w:val="0"/>
        </w:numPr>
        <w:rPr>
          <w:color w:val="000000"/>
          <w:sz w:val="22"/>
          <w:szCs w:val="22"/>
        </w:rPr>
      </w:pPr>
    </w:p>
    <w:p w14:paraId="517ABEF0" w14:textId="77777777" w:rsidR="007217B7" w:rsidRPr="00B30A12" w:rsidRDefault="007217B7" w:rsidP="000C47C6">
      <w:pPr>
        <w:widowControl w:val="0"/>
        <w:numPr>
          <w:ilvl w:val="12"/>
          <w:numId w:val="0"/>
        </w:numPr>
        <w:rPr>
          <w:color w:val="000000"/>
          <w:sz w:val="22"/>
          <w:szCs w:val="22"/>
        </w:rPr>
      </w:pPr>
    </w:p>
    <w:p w14:paraId="6CFBCB7C" w14:textId="77777777" w:rsidR="007217B7" w:rsidRPr="00B30A12" w:rsidRDefault="007217B7" w:rsidP="00F83CD2">
      <w:pPr>
        <w:keepNext/>
        <w:widowControl w:val="0"/>
        <w:numPr>
          <w:ilvl w:val="12"/>
          <w:numId w:val="0"/>
        </w:numPr>
        <w:ind w:left="567" w:hanging="567"/>
        <w:rPr>
          <w:color w:val="000000"/>
          <w:sz w:val="22"/>
          <w:szCs w:val="22"/>
        </w:rPr>
      </w:pPr>
      <w:r w:rsidRPr="00B30A12">
        <w:rPr>
          <w:b/>
          <w:color w:val="000000"/>
          <w:sz w:val="22"/>
          <w:szCs w:val="22"/>
        </w:rPr>
        <w:t>2.</w:t>
      </w:r>
      <w:r w:rsidRPr="00B30A12">
        <w:rPr>
          <w:b/>
          <w:color w:val="000000"/>
          <w:sz w:val="22"/>
          <w:szCs w:val="22"/>
        </w:rPr>
        <w:tab/>
        <w:t>Was sollten Sie vor der Einnahme von Glivec beachten?</w:t>
      </w:r>
    </w:p>
    <w:p w14:paraId="12BA4D22" w14:textId="77777777" w:rsidR="007217B7" w:rsidRPr="00B30A12" w:rsidRDefault="007217B7" w:rsidP="00F83CD2">
      <w:pPr>
        <w:pStyle w:val="Header"/>
        <w:keepNext/>
        <w:widowControl w:val="0"/>
        <w:numPr>
          <w:ilvl w:val="12"/>
          <w:numId w:val="0"/>
        </w:numPr>
        <w:tabs>
          <w:tab w:val="clear" w:pos="4320"/>
          <w:tab w:val="clear" w:pos="8640"/>
        </w:tabs>
        <w:rPr>
          <w:color w:val="000000"/>
          <w:szCs w:val="22"/>
        </w:rPr>
      </w:pPr>
    </w:p>
    <w:p w14:paraId="102DD936" w14:textId="77777777" w:rsidR="007217B7" w:rsidRPr="00B30A12" w:rsidRDefault="007217B7" w:rsidP="000C47C6">
      <w:pPr>
        <w:pStyle w:val="Header"/>
        <w:widowControl w:val="0"/>
        <w:numPr>
          <w:ilvl w:val="12"/>
          <w:numId w:val="0"/>
        </w:numPr>
        <w:tabs>
          <w:tab w:val="clear" w:pos="4320"/>
          <w:tab w:val="clear" w:pos="8640"/>
        </w:tabs>
        <w:rPr>
          <w:color w:val="000000"/>
          <w:szCs w:val="22"/>
        </w:rPr>
      </w:pPr>
      <w:r w:rsidRPr="00B30A12">
        <w:rPr>
          <w:color w:val="000000"/>
          <w:szCs w:val="22"/>
        </w:rPr>
        <w:t>Glivec wird Ihnen nur von einem Arzt verschrieben werden, der Erfahrung mit Arzneimitteln zur Behandlung von Blutkrebs oder soliden Tumoren hat.</w:t>
      </w:r>
    </w:p>
    <w:p w14:paraId="49F2A783" w14:textId="77777777" w:rsidR="007217B7" w:rsidRPr="00B30A12" w:rsidRDefault="007217B7" w:rsidP="000C47C6">
      <w:pPr>
        <w:pStyle w:val="Header"/>
        <w:widowControl w:val="0"/>
        <w:numPr>
          <w:ilvl w:val="12"/>
          <w:numId w:val="0"/>
        </w:numPr>
        <w:tabs>
          <w:tab w:val="clear" w:pos="4320"/>
          <w:tab w:val="clear" w:pos="8640"/>
        </w:tabs>
        <w:rPr>
          <w:color w:val="000000"/>
          <w:szCs w:val="22"/>
        </w:rPr>
      </w:pPr>
    </w:p>
    <w:p w14:paraId="7D111D95" w14:textId="77777777" w:rsidR="007217B7" w:rsidRPr="00B30A12" w:rsidRDefault="007217B7" w:rsidP="000C47C6">
      <w:pPr>
        <w:pStyle w:val="Header"/>
        <w:widowControl w:val="0"/>
        <w:numPr>
          <w:ilvl w:val="12"/>
          <w:numId w:val="0"/>
        </w:numPr>
        <w:tabs>
          <w:tab w:val="clear" w:pos="4320"/>
          <w:tab w:val="clear" w:pos="8640"/>
        </w:tabs>
        <w:rPr>
          <w:color w:val="000000"/>
          <w:szCs w:val="22"/>
        </w:rPr>
      </w:pPr>
      <w:r w:rsidRPr="00B30A12">
        <w:rPr>
          <w:color w:val="000000"/>
          <w:szCs w:val="22"/>
        </w:rPr>
        <w:t>Folgen Sie bitte sorgfältig allen Anweisungen Ihres Arztes, auch wenn sie von den allgemeinen Informationen in dieser Packungsbeilage abweichen.</w:t>
      </w:r>
    </w:p>
    <w:p w14:paraId="14A8EAE5" w14:textId="77777777" w:rsidR="007217B7" w:rsidRPr="00B30A12" w:rsidRDefault="007217B7" w:rsidP="000C47C6">
      <w:pPr>
        <w:pStyle w:val="Header"/>
        <w:widowControl w:val="0"/>
        <w:numPr>
          <w:ilvl w:val="12"/>
          <w:numId w:val="0"/>
        </w:numPr>
        <w:tabs>
          <w:tab w:val="clear" w:pos="4320"/>
          <w:tab w:val="clear" w:pos="8640"/>
        </w:tabs>
        <w:rPr>
          <w:color w:val="000000"/>
          <w:szCs w:val="22"/>
        </w:rPr>
      </w:pPr>
    </w:p>
    <w:p w14:paraId="2F482025" w14:textId="77777777" w:rsidR="007217B7" w:rsidRPr="00B30A12" w:rsidRDefault="007217B7" w:rsidP="00F83CD2">
      <w:pPr>
        <w:keepNext/>
        <w:widowControl w:val="0"/>
        <w:numPr>
          <w:ilvl w:val="12"/>
          <w:numId w:val="0"/>
        </w:numPr>
        <w:rPr>
          <w:color w:val="000000"/>
          <w:sz w:val="22"/>
          <w:szCs w:val="22"/>
        </w:rPr>
      </w:pPr>
      <w:r w:rsidRPr="00B30A12">
        <w:rPr>
          <w:b/>
          <w:color w:val="000000"/>
          <w:sz w:val="22"/>
          <w:szCs w:val="22"/>
        </w:rPr>
        <w:t>Glivec darf nicht eingenommen werden,</w:t>
      </w:r>
    </w:p>
    <w:p w14:paraId="7D05F3D2" w14:textId="77777777" w:rsidR="007217B7" w:rsidRPr="00B30A12" w:rsidRDefault="007217B7" w:rsidP="00F83CD2">
      <w:pPr>
        <w:keepNext/>
        <w:widowControl w:val="0"/>
        <w:numPr>
          <w:ilvl w:val="0"/>
          <w:numId w:val="1"/>
        </w:numPr>
        <w:tabs>
          <w:tab w:val="clear" w:pos="417"/>
        </w:tabs>
        <w:ind w:left="567" w:hanging="567"/>
        <w:rPr>
          <w:color w:val="000000"/>
          <w:sz w:val="22"/>
          <w:szCs w:val="22"/>
        </w:rPr>
      </w:pPr>
      <w:r w:rsidRPr="00B30A12">
        <w:rPr>
          <w:color w:val="000000"/>
          <w:sz w:val="22"/>
          <w:szCs w:val="22"/>
        </w:rPr>
        <w:t>wenn Sie allergisch gegen Imatinib oder einen der in Abschnitt 6. genannten sonstigen Bestandteile dieses Arzneimittels sind.</w:t>
      </w:r>
    </w:p>
    <w:p w14:paraId="6867AAF5" w14:textId="77777777" w:rsidR="007217B7" w:rsidRPr="00B30A12" w:rsidRDefault="007217B7" w:rsidP="000C47C6">
      <w:pPr>
        <w:widowControl w:val="0"/>
        <w:rPr>
          <w:color w:val="000000"/>
          <w:sz w:val="22"/>
          <w:szCs w:val="22"/>
        </w:rPr>
      </w:pPr>
      <w:r w:rsidRPr="00B30A12">
        <w:rPr>
          <w:color w:val="000000"/>
          <w:sz w:val="22"/>
          <w:szCs w:val="22"/>
        </w:rPr>
        <w:t xml:space="preserve">Wenn dies auf Sie zutrifft, </w:t>
      </w:r>
      <w:r w:rsidRPr="00B30A12">
        <w:rPr>
          <w:b/>
          <w:color w:val="000000"/>
          <w:sz w:val="22"/>
          <w:szCs w:val="22"/>
        </w:rPr>
        <w:t>teilen Sie es Ihrem Arzt mit und nehmen Sie Glivec nicht ein.</w:t>
      </w:r>
    </w:p>
    <w:p w14:paraId="6C1679F4" w14:textId="77777777" w:rsidR="007217B7" w:rsidRPr="00B30A12" w:rsidRDefault="007217B7" w:rsidP="000C47C6">
      <w:pPr>
        <w:widowControl w:val="0"/>
        <w:rPr>
          <w:color w:val="000000"/>
          <w:sz w:val="22"/>
          <w:szCs w:val="22"/>
        </w:rPr>
      </w:pPr>
    </w:p>
    <w:p w14:paraId="355176A2" w14:textId="77777777" w:rsidR="007217B7" w:rsidRPr="00B30A12" w:rsidRDefault="007217B7" w:rsidP="000C47C6">
      <w:pPr>
        <w:widowControl w:val="0"/>
        <w:rPr>
          <w:color w:val="000000"/>
          <w:sz w:val="22"/>
          <w:szCs w:val="22"/>
        </w:rPr>
      </w:pPr>
      <w:r w:rsidRPr="00B30A12">
        <w:rPr>
          <w:color w:val="000000"/>
          <w:sz w:val="22"/>
          <w:szCs w:val="22"/>
        </w:rPr>
        <w:t>Wenn Sie glauben, allergisch zu sein, sich aber nicht sicher sind, fragen Sie Ihren Arzt um Rat.</w:t>
      </w:r>
    </w:p>
    <w:p w14:paraId="1140FB66" w14:textId="77777777" w:rsidR="007217B7" w:rsidRPr="00B30A12" w:rsidRDefault="007217B7" w:rsidP="000C47C6">
      <w:pPr>
        <w:widowControl w:val="0"/>
        <w:numPr>
          <w:ilvl w:val="12"/>
          <w:numId w:val="0"/>
        </w:numPr>
        <w:rPr>
          <w:color w:val="000000"/>
          <w:sz w:val="22"/>
          <w:szCs w:val="22"/>
        </w:rPr>
      </w:pPr>
    </w:p>
    <w:p w14:paraId="04F923AB" w14:textId="77777777" w:rsidR="007217B7" w:rsidRPr="00B30A12" w:rsidRDefault="007217B7" w:rsidP="00F83CD2">
      <w:pPr>
        <w:keepNext/>
        <w:widowControl w:val="0"/>
        <w:numPr>
          <w:ilvl w:val="12"/>
          <w:numId w:val="0"/>
        </w:numPr>
        <w:rPr>
          <w:b/>
          <w:color w:val="000000"/>
          <w:sz w:val="22"/>
          <w:szCs w:val="22"/>
        </w:rPr>
      </w:pPr>
      <w:r w:rsidRPr="00B30A12">
        <w:rPr>
          <w:b/>
          <w:color w:val="000000"/>
          <w:sz w:val="22"/>
          <w:szCs w:val="22"/>
        </w:rPr>
        <w:t>Warnhinweise und Vorsichtsmaßnahmen</w:t>
      </w:r>
    </w:p>
    <w:p w14:paraId="64D9FFA8" w14:textId="77777777" w:rsidR="007217B7" w:rsidRPr="00B30A12" w:rsidRDefault="007217B7" w:rsidP="00F83CD2">
      <w:pPr>
        <w:keepNext/>
        <w:widowControl w:val="0"/>
        <w:numPr>
          <w:ilvl w:val="12"/>
          <w:numId w:val="0"/>
        </w:numPr>
        <w:rPr>
          <w:color w:val="000000"/>
          <w:sz w:val="22"/>
          <w:szCs w:val="22"/>
        </w:rPr>
      </w:pPr>
      <w:r w:rsidRPr="00B30A12">
        <w:rPr>
          <w:color w:val="000000"/>
          <w:sz w:val="22"/>
          <w:szCs w:val="22"/>
        </w:rPr>
        <w:t>Bitte sprechen Sie mit Ihrem Arzt, bevor Sie Glivec einnehmen:</w:t>
      </w:r>
    </w:p>
    <w:p w14:paraId="1A31B423" w14:textId="77777777" w:rsidR="007217B7" w:rsidRPr="00B30A12" w:rsidRDefault="007217B7" w:rsidP="00F83CD2">
      <w:pPr>
        <w:keepNext/>
        <w:widowControl w:val="0"/>
        <w:numPr>
          <w:ilvl w:val="0"/>
          <w:numId w:val="1"/>
        </w:numPr>
        <w:tabs>
          <w:tab w:val="clear" w:pos="417"/>
        </w:tabs>
        <w:ind w:left="567" w:hanging="567"/>
        <w:rPr>
          <w:color w:val="000000"/>
          <w:sz w:val="22"/>
          <w:szCs w:val="22"/>
        </w:rPr>
      </w:pPr>
      <w:r w:rsidRPr="00B30A12">
        <w:rPr>
          <w:color w:val="000000"/>
          <w:sz w:val="22"/>
          <w:szCs w:val="22"/>
        </w:rPr>
        <w:t>wenn Sie eine Leber-, Nieren- oder Herzerkrankung haben oder jemals hatten.</w:t>
      </w:r>
    </w:p>
    <w:p w14:paraId="7FD86FF6" w14:textId="77777777" w:rsidR="00B37BFB" w:rsidRPr="00B30A12" w:rsidRDefault="007217B7" w:rsidP="00F83CD2">
      <w:pPr>
        <w:keepNext/>
        <w:widowControl w:val="0"/>
        <w:numPr>
          <w:ilvl w:val="0"/>
          <w:numId w:val="1"/>
        </w:numPr>
        <w:tabs>
          <w:tab w:val="clear" w:pos="417"/>
        </w:tabs>
        <w:ind w:left="567" w:hanging="567"/>
        <w:rPr>
          <w:color w:val="000000"/>
          <w:sz w:val="22"/>
          <w:szCs w:val="22"/>
        </w:rPr>
      </w:pPr>
      <w:r w:rsidRPr="00B30A12">
        <w:rPr>
          <w:color w:val="000000"/>
          <w:sz w:val="22"/>
          <w:szCs w:val="22"/>
        </w:rPr>
        <w:t>wenn Sie das Arzneimittel Levothyroxin einnehmen, weil Ihre Schilddrüse entfernt wurde.</w:t>
      </w:r>
    </w:p>
    <w:p w14:paraId="2D4C3AFC" w14:textId="77777777" w:rsidR="007F4F8D" w:rsidRDefault="00B37BFB" w:rsidP="007F4F8D">
      <w:pPr>
        <w:keepNext/>
        <w:widowControl w:val="0"/>
        <w:numPr>
          <w:ilvl w:val="0"/>
          <w:numId w:val="1"/>
        </w:numPr>
        <w:tabs>
          <w:tab w:val="clear" w:pos="417"/>
        </w:tabs>
        <w:ind w:left="567" w:hanging="567"/>
        <w:rPr>
          <w:color w:val="000000"/>
          <w:sz w:val="22"/>
          <w:szCs w:val="22"/>
        </w:rPr>
      </w:pPr>
      <w:r w:rsidRPr="00B30A12">
        <w:rPr>
          <w:color w:val="000000"/>
          <w:sz w:val="22"/>
          <w:szCs w:val="22"/>
        </w:rPr>
        <w:t>wenn Sie in der Vergangenheit eine Hepatitis-B-Infektion hatten oder möglicherweise derzeit haben. Dies ist notwendig, weil Glivec zu einer Reaktivierung der Hepatitis-B-Erkrankung führen könnte, welche in manchen Fällen tödlich verlaufen kann. Patienten werden von ihren Ärzten sorgfältig auf Anzeichen dieser Infektion hin untersucht, bevor die Behandlung begonnen wird.</w:t>
      </w:r>
    </w:p>
    <w:p w14:paraId="607FB0E2" w14:textId="77777777" w:rsidR="00B37BFB" w:rsidRPr="00B30A12" w:rsidRDefault="007F4F8D" w:rsidP="007F4F8D">
      <w:pPr>
        <w:keepNext/>
        <w:widowControl w:val="0"/>
        <w:numPr>
          <w:ilvl w:val="0"/>
          <w:numId w:val="1"/>
        </w:numPr>
        <w:tabs>
          <w:tab w:val="clear" w:pos="417"/>
        </w:tabs>
        <w:ind w:left="567" w:hanging="567"/>
        <w:rPr>
          <w:color w:val="000000"/>
          <w:sz w:val="22"/>
          <w:szCs w:val="22"/>
        </w:rPr>
      </w:pPr>
      <w:r>
        <w:rPr>
          <w:color w:val="000000"/>
          <w:sz w:val="22"/>
          <w:szCs w:val="22"/>
        </w:rPr>
        <w:t>w</w:t>
      </w:r>
      <w:r w:rsidRPr="006B3D38">
        <w:rPr>
          <w:color w:val="000000"/>
          <w:sz w:val="22"/>
          <w:szCs w:val="22"/>
        </w:rPr>
        <w:t xml:space="preserve">enn Sie </w:t>
      </w:r>
      <w:r>
        <w:rPr>
          <w:color w:val="000000"/>
          <w:sz w:val="22"/>
          <w:szCs w:val="22"/>
        </w:rPr>
        <w:t>während der Einnahme von Glivec blaue Flecken</w:t>
      </w:r>
      <w:r w:rsidRPr="006B3D38">
        <w:rPr>
          <w:color w:val="000000"/>
          <w:sz w:val="22"/>
          <w:szCs w:val="22"/>
        </w:rPr>
        <w:t xml:space="preserve">, Blutungen, </w:t>
      </w:r>
      <w:r>
        <w:rPr>
          <w:color w:val="000000"/>
          <w:sz w:val="22"/>
          <w:szCs w:val="22"/>
        </w:rPr>
        <w:t>Fieber, Müdigkeit und Verwirrtheit</w:t>
      </w:r>
      <w:r w:rsidRPr="006B3D38">
        <w:rPr>
          <w:color w:val="000000"/>
          <w:sz w:val="22"/>
          <w:szCs w:val="22"/>
        </w:rPr>
        <w:t xml:space="preserve"> </w:t>
      </w:r>
      <w:r>
        <w:rPr>
          <w:color w:val="000000"/>
          <w:sz w:val="22"/>
          <w:szCs w:val="22"/>
        </w:rPr>
        <w:t>bemerken</w:t>
      </w:r>
      <w:r w:rsidRPr="006B3D38">
        <w:rPr>
          <w:color w:val="000000"/>
          <w:sz w:val="22"/>
          <w:szCs w:val="22"/>
        </w:rPr>
        <w:t xml:space="preserve">, wenden Sie sich an Ihren Arzt. Dies </w:t>
      </w:r>
      <w:r>
        <w:rPr>
          <w:color w:val="000000"/>
          <w:sz w:val="22"/>
          <w:szCs w:val="22"/>
        </w:rPr>
        <w:t>kann ein</w:t>
      </w:r>
      <w:r w:rsidR="00A14A5C">
        <w:rPr>
          <w:color w:val="000000"/>
          <w:sz w:val="22"/>
          <w:szCs w:val="22"/>
        </w:rPr>
        <w:t xml:space="preserve"> Anz</w:t>
      </w:r>
      <w:r w:rsidRPr="006B3D38">
        <w:rPr>
          <w:color w:val="000000"/>
          <w:sz w:val="22"/>
          <w:szCs w:val="22"/>
        </w:rPr>
        <w:t xml:space="preserve">eichen für eine Schädigung der Blutgefäße sein, die als thrombotische Mikroangiopathie (TMA) </w:t>
      </w:r>
      <w:r>
        <w:rPr>
          <w:color w:val="000000"/>
          <w:sz w:val="22"/>
          <w:szCs w:val="22"/>
        </w:rPr>
        <w:t>bezeichnet wird</w:t>
      </w:r>
      <w:r w:rsidRPr="006B3D38">
        <w:rPr>
          <w:color w:val="000000"/>
          <w:sz w:val="22"/>
          <w:szCs w:val="22"/>
        </w:rPr>
        <w:t>.</w:t>
      </w:r>
    </w:p>
    <w:p w14:paraId="1DB1B80D" w14:textId="77777777" w:rsidR="007217B7" w:rsidRPr="00B30A12" w:rsidRDefault="007217B7" w:rsidP="000C47C6">
      <w:pPr>
        <w:widowControl w:val="0"/>
        <w:rPr>
          <w:b/>
          <w:color w:val="000000"/>
          <w:sz w:val="22"/>
          <w:szCs w:val="22"/>
        </w:rPr>
      </w:pPr>
      <w:r w:rsidRPr="00B30A12">
        <w:rPr>
          <w:color w:val="000000"/>
          <w:sz w:val="22"/>
          <w:szCs w:val="22"/>
        </w:rPr>
        <w:t xml:space="preserve">Wenn einer dieser Punkte auf Sie zutrifft, </w:t>
      </w:r>
      <w:r w:rsidRPr="00B30A12">
        <w:rPr>
          <w:b/>
          <w:color w:val="000000"/>
          <w:sz w:val="22"/>
          <w:szCs w:val="22"/>
        </w:rPr>
        <w:t>informieren Sie Ihren Arzt, bevor Sie Glivec einnehmen.</w:t>
      </w:r>
    </w:p>
    <w:p w14:paraId="45EE9E6B" w14:textId="77777777" w:rsidR="00402494" w:rsidRPr="00244DD2" w:rsidRDefault="00402494" w:rsidP="00402494">
      <w:pPr>
        <w:widowControl w:val="0"/>
        <w:rPr>
          <w:color w:val="000000"/>
          <w:sz w:val="22"/>
          <w:szCs w:val="22"/>
        </w:rPr>
      </w:pPr>
    </w:p>
    <w:p w14:paraId="6E404496" w14:textId="77777777" w:rsidR="007217B7" w:rsidRDefault="00547136" w:rsidP="000C47C6">
      <w:pPr>
        <w:widowControl w:val="0"/>
        <w:rPr>
          <w:color w:val="000000"/>
          <w:sz w:val="22"/>
          <w:szCs w:val="22"/>
        </w:rPr>
      </w:pPr>
      <w:r w:rsidRPr="00547136">
        <w:rPr>
          <w:color w:val="000000"/>
          <w:sz w:val="22"/>
          <w:szCs w:val="22"/>
        </w:rPr>
        <w:t>Sie können empfindlicher auf Sonnenlicht reagieren, während Sie Glivec einnehmen. Es ist wichtig, dass Sie Hautpartien bedecken, die der Sonne ausgesetzt sind, und ein Sonnenschutzmittel mit hohem Lichtschutzfaktor (LSF) verwenden. Diese Vorsichtsmaßnahmen gelten auch für Kinder.</w:t>
      </w:r>
    </w:p>
    <w:p w14:paraId="329426E7" w14:textId="77777777" w:rsidR="00547136" w:rsidRPr="00B30A12" w:rsidRDefault="00547136" w:rsidP="000C47C6">
      <w:pPr>
        <w:widowControl w:val="0"/>
        <w:rPr>
          <w:color w:val="000000"/>
          <w:sz w:val="22"/>
          <w:szCs w:val="22"/>
        </w:rPr>
      </w:pPr>
    </w:p>
    <w:p w14:paraId="78A541DC" w14:textId="77777777" w:rsidR="007217B7" w:rsidRPr="00B30A12" w:rsidRDefault="007217B7" w:rsidP="000C47C6">
      <w:pPr>
        <w:widowControl w:val="0"/>
        <w:rPr>
          <w:b/>
          <w:color w:val="000000"/>
          <w:sz w:val="22"/>
          <w:szCs w:val="22"/>
        </w:rPr>
      </w:pPr>
      <w:r w:rsidRPr="00B30A12">
        <w:rPr>
          <w:b/>
          <w:color w:val="000000"/>
          <w:sz w:val="22"/>
          <w:szCs w:val="22"/>
        </w:rPr>
        <w:t>Sprechen Sie bitte unverzüglich mit Ihrem Arzt,</w:t>
      </w:r>
      <w:r w:rsidRPr="00B30A12">
        <w:rPr>
          <w:color w:val="000000"/>
          <w:sz w:val="22"/>
          <w:szCs w:val="22"/>
        </w:rPr>
        <w:t xml:space="preserve"> wenn Sie bei sich </w:t>
      </w:r>
      <w:r w:rsidRPr="00B30A12">
        <w:rPr>
          <w:b/>
          <w:color w:val="000000"/>
          <w:sz w:val="22"/>
          <w:szCs w:val="22"/>
        </w:rPr>
        <w:t>während der Einnahme von Glivec</w:t>
      </w:r>
      <w:r w:rsidRPr="00B30A12">
        <w:rPr>
          <w:color w:val="000000"/>
          <w:sz w:val="22"/>
          <w:szCs w:val="22"/>
        </w:rPr>
        <w:t xml:space="preserve"> eine schnelle Gewichtszunahme feststellen. Glivec kann zu Wasseransammlungen im Körper führen (schwere Flüssigkeitsretention).</w:t>
      </w:r>
    </w:p>
    <w:p w14:paraId="76DC7BDF" w14:textId="77777777" w:rsidR="007217B7" w:rsidRPr="00B30A12" w:rsidRDefault="007217B7" w:rsidP="000C47C6">
      <w:pPr>
        <w:widowControl w:val="0"/>
        <w:rPr>
          <w:color w:val="000000"/>
          <w:sz w:val="22"/>
          <w:szCs w:val="22"/>
        </w:rPr>
      </w:pPr>
    </w:p>
    <w:p w14:paraId="03890A09" w14:textId="77777777" w:rsidR="007217B7" w:rsidRPr="00B30A12" w:rsidRDefault="007217B7" w:rsidP="000C47C6">
      <w:pPr>
        <w:pStyle w:val="BodyText3"/>
        <w:widowControl w:val="0"/>
        <w:rPr>
          <w:color w:val="000000"/>
          <w:szCs w:val="22"/>
        </w:rPr>
      </w:pPr>
      <w:r w:rsidRPr="00B30A12">
        <w:rPr>
          <w:color w:val="000000"/>
          <w:szCs w:val="22"/>
        </w:rPr>
        <w:t>Während der Einnahme von Glivec wird Ihr Arzt regelmäßig überwachen, ob das Arzneimittel wirkt. Ihr Blut und Ihr Körpergewicht werden ebenfalls regelmäßig überprüft.</w:t>
      </w:r>
    </w:p>
    <w:p w14:paraId="3B529DAA" w14:textId="77777777" w:rsidR="007217B7" w:rsidRPr="00B30A12" w:rsidRDefault="007217B7" w:rsidP="000C47C6">
      <w:pPr>
        <w:widowControl w:val="0"/>
        <w:rPr>
          <w:color w:val="000000"/>
          <w:sz w:val="22"/>
          <w:szCs w:val="22"/>
        </w:rPr>
      </w:pPr>
    </w:p>
    <w:p w14:paraId="6B77448B" w14:textId="77777777" w:rsidR="007217B7" w:rsidRPr="00B30A12" w:rsidRDefault="007217B7" w:rsidP="00F83CD2">
      <w:pPr>
        <w:pStyle w:val="BodyTextIndent2"/>
        <w:keepNext/>
        <w:ind w:firstLine="6"/>
        <w:rPr>
          <w:b/>
          <w:noProof/>
          <w:color w:val="000000"/>
          <w:szCs w:val="22"/>
        </w:rPr>
      </w:pPr>
      <w:r w:rsidRPr="00B30A12">
        <w:rPr>
          <w:b/>
          <w:noProof/>
          <w:color w:val="000000"/>
          <w:szCs w:val="22"/>
        </w:rPr>
        <w:t>Kinder und Jugendliche</w:t>
      </w:r>
    </w:p>
    <w:p w14:paraId="598D74C4" w14:textId="77777777" w:rsidR="007217B7" w:rsidRPr="00B30A12" w:rsidRDefault="007217B7" w:rsidP="000C47C6">
      <w:pPr>
        <w:pStyle w:val="BodyTextIndent2"/>
        <w:rPr>
          <w:noProof/>
          <w:color w:val="000000"/>
          <w:szCs w:val="22"/>
        </w:rPr>
      </w:pPr>
      <w:r w:rsidRPr="00B30A12">
        <w:rPr>
          <w:noProof/>
          <w:color w:val="000000"/>
          <w:szCs w:val="22"/>
        </w:rPr>
        <w:t>Glivec dient auch der Behandlung von Kindern mit CML. Es gibt keine Erfahrungen bei Kindern unter 2 Jahren mit CML. Die Erfahrung bei Kindern mit Ph-positiver </w:t>
      </w:r>
      <w:smartTag w:uri="urn:schemas-microsoft-com:office:smarttags" w:element="stockticker">
        <w:r w:rsidRPr="00B30A12">
          <w:rPr>
            <w:noProof/>
            <w:color w:val="000000"/>
            <w:szCs w:val="22"/>
          </w:rPr>
          <w:t>ALL</w:t>
        </w:r>
      </w:smartTag>
      <w:r w:rsidRPr="00B30A12">
        <w:rPr>
          <w:noProof/>
          <w:color w:val="000000"/>
          <w:szCs w:val="22"/>
        </w:rPr>
        <w:t xml:space="preserve"> ist begrenzt</w:t>
      </w:r>
      <w:r w:rsidR="00F2223D" w:rsidRPr="00B30A12">
        <w:rPr>
          <w:noProof/>
          <w:color w:val="000000"/>
          <w:szCs w:val="22"/>
        </w:rPr>
        <w:t xml:space="preserve"> und bei Kindern mit MDS/MPD, DFSP, GIST und HES/CEL sehr begrenzt</w:t>
      </w:r>
      <w:r w:rsidR="00A12DC6" w:rsidRPr="00B30A12">
        <w:rPr>
          <w:noProof/>
          <w:color w:val="000000"/>
          <w:szCs w:val="22"/>
        </w:rPr>
        <w:t>.</w:t>
      </w:r>
    </w:p>
    <w:p w14:paraId="22C56F2D" w14:textId="77777777" w:rsidR="007217B7" w:rsidRPr="00B30A12" w:rsidRDefault="007217B7" w:rsidP="000C47C6">
      <w:pPr>
        <w:pStyle w:val="BodyTextIndent2"/>
        <w:rPr>
          <w:noProof/>
          <w:color w:val="000000"/>
          <w:szCs w:val="22"/>
        </w:rPr>
      </w:pPr>
    </w:p>
    <w:p w14:paraId="0B46E160" w14:textId="77777777" w:rsidR="007217B7" w:rsidRPr="00B30A12" w:rsidRDefault="007217B7" w:rsidP="000C47C6">
      <w:pPr>
        <w:pStyle w:val="BodyTextIndent2"/>
        <w:rPr>
          <w:color w:val="000000"/>
          <w:szCs w:val="22"/>
        </w:rPr>
      </w:pPr>
      <w:r w:rsidRPr="00B30A12">
        <w:rPr>
          <w:noProof/>
          <w:color w:val="000000"/>
          <w:szCs w:val="22"/>
        </w:rPr>
        <w:t>Einige Kinder und Jugendliche wachsen unter Glivec langsamer als normal. Der Arzt wird das Wachstum regelmäßig überwachen.</w:t>
      </w:r>
    </w:p>
    <w:p w14:paraId="3940D30D" w14:textId="77777777" w:rsidR="007217B7" w:rsidRPr="00B30A12" w:rsidRDefault="007217B7" w:rsidP="000C47C6">
      <w:pPr>
        <w:widowControl w:val="0"/>
        <w:rPr>
          <w:color w:val="000000"/>
          <w:sz w:val="22"/>
          <w:szCs w:val="22"/>
        </w:rPr>
      </w:pPr>
    </w:p>
    <w:p w14:paraId="06ED75E3" w14:textId="77777777" w:rsidR="007217B7" w:rsidRPr="00B30A12" w:rsidRDefault="007217B7" w:rsidP="002B313C">
      <w:pPr>
        <w:pStyle w:val="Heading2"/>
        <w:widowControl w:val="0"/>
        <w:numPr>
          <w:ilvl w:val="0"/>
          <w:numId w:val="0"/>
        </w:numPr>
        <w:tabs>
          <w:tab w:val="clear" w:pos="567"/>
        </w:tabs>
        <w:rPr>
          <w:color w:val="000000"/>
          <w:szCs w:val="22"/>
        </w:rPr>
      </w:pPr>
      <w:r w:rsidRPr="00B30A12">
        <w:rPr>
          <w:color w:val="000000"/>
          <w:szCs w:val="22"/>
        </w:rPr>
        <w:t>Einnahme von Glivec zusammen mit anderen Arzneimitteln</w:t>
      </w:r>
    </w:p>
    <w:p w14:paraId="5ED048F9" w14:textId="77777777" w:rsidR="00061AEA" w:rsidRPr="00B30A12" w:rsidRDefault="007217B7" w:rsidP="000C47C6">
      <w:pPr>
        <w:pStyle w:val="BodyText3"/>
        <w:widowControl w:val="0"/>
        <w:rPr>
          <w:color w:val="000000"/>
          <w:szCs w:val="22"/>
        </w:rPr>
      </w:pPr>
      <w:r w:rsidRPr="00B30A12">
        <w:rPr>
          <w:color w:val="000000"/>
          <w:szCs w:val="22"/>
        </w:rPr>
        <w:t>Informieren Sie Ihren Arzt oder Apotheker, wenn Sie andere Arzneimittel einnehmen, kürzlich andere Arzneimittel eingenommen haben oder beabsichtigen andere A</w:t>
      </w:r>
      <w:r w:rsidR="00126253" w:rsidRPr="00B30A12">
        <w:rPr>
          <w:color w:val="000000"/>
          <w:szCs w:val="22"/>
        </w:rPr>
        <w:t>r</w:t>
      </w:r>
      <w:r w:rsidRPr="00B30A12">
        <w:rPr>
          <w:color w:val="000000"/>
          <w:szCs w:val="22"/>
        </w:rPr>
        <w:t>zneimittel einzunehmen, auch wenn es sich um nicht verschreibungspflichtige Arzneimittel handelt (wie z. B. Paracetamol), einschließlich pflanzlicher Arzneimittel (wie z. B. Johanniskraut). Einige Arzneimittel können die Wirkung von Glivec beeinflussen, wenn sie zusammen eingenommen werden. Sie können die Wirkung von Glivec verstärken oder vermindern, was entweder zu verstärkten Nebenwirkungen führen kann oder dazu, dass Glivec weniger wirkt. Glivec kann auf einige andere Arzneimittel den gleichen Einfluss haben.</w:t>
      </w:r>
    </w:p>
    <w:p w14:paraId="778C6B8B" w14:textId="77777777" w:rsidR="00061AEA" w:rsidRPr="00B30A12" w:rsidRDefault="00061AEA" w:rsidP="000C47C6">
      <w:pPr>
        <w:pStyle w:val="BodyText3"/>
        <w:widowControl w:val="0"/>
        <w:rPr>
          <w:color w:val="000000"/>
          <w:szCs w:val="22"/>
        </w:rPr>
      </w:pPr>
    </w:p>
    <w:p w14:paraId="6106B3B2" w14:textId="77777777" w:rsidR="007217B7" w:rsidRPr="00B30A12" w:rsidRDefault="00061AEA" w:rsidP="000C47C6">
      <w:pPr>
        <w:pStyle w:val="BodyText3"/>
        <w:widowControl w:val="0"/>
        <w:rPr>
          <w:color w:val="000000"/>
          <w:szCs w:val="22"/>
        </w:rPr>
      </w:pPr>
      <w:r w:rsidRPr="00B30A12">
        <w:rPr>
          <w:color w:val="000000"/>
          <w:szCs w:val="22"/>
        </w:rPr>
        <w:t>Informieren Sie Ihren Arzt, wenn Sie Arzneimittel einnehmen/anwenden, die die Entstehung von Blutgerinnseln verhindern.</w:t>
      </w:r>
    </w:p>
    <w:p w14:paraId="5928ABC6" w14:textId="77777777" w:rsidR="007217B7" w:rsidRPr="00B30A12" w:rsidRDefault="007217B7" w:rsidP="000C47C6">
      <w:pPr>
        <w:pStyle w:val="Heading2"/>
        <w:keepNext w:val="0"/>
        <w:widowControl w:val="0"/>
        <w:numPr>
          <w:ilvl w:val="0"/>
          <w:numId w:val="0"/>
        </w:numPr>
        <w:tabs>
          <w:tab w:val="clear" w:pos="567"/>
        </w:tabs>
        <w:rPr>
          <w:b w:val="0"/>
          <w:color w:val="000000"/>
          <w:szCs w:val="22"/>
        </w:rPr>
      </w:pPr>
    </w:p>
    <w:p w14:paraId="0852AB4B" w14:textId="77777777" w:rsidR="007217B7" w:rsidRPr="00B30A12" w:rsidRDefault="007217B7" w:rsidP="002B313C">
      <w:pPr>
        <w:pStyle w:val="EndnoteText"/>
        <w:keepNext/>
        <w:widowControl w:val="0"/>
        <w:rPr>
          <w:color w:val="000000"/>
          <w:sz w:val="22"/>
          <w:szCs w:val="22"/>
          <w:lang w:val="de-DE"/>
        </w:rPr>
      </w:pPr>
      <w:r w:rsidRPr="00B30A12">
        <w:rPr>
          <w:b/>
          <w:color w:val="000000"/>
          <w:sz w:val="22"/>
          <w:szCs w:val="22"/>
          <w:lang w:val="de-DE"/>
        </w:rPr>
        <w:t xml:space="preserve">Schwangerschaft, Stillzeit und </w:t>
      </w:r>
      <w:r w:rsidR="00BB2626" w:rsidRPr="00B30A12">
        <w:rPr>
          <w:b/>
          <w:color w:val="000000"/>
          <w:sz w:val="22"/>
          <w:szCs w:val="22"/>
          <w:lang w:val="de-DE"/>
        </w:rPr>
        <w:t>Fortpflanzungsfähigkeit</w:t>
      </w:r>
    </w:p>
    <w:p w14:paraId="6681FFFC"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schwanger sind oder stillen, oder wenn Sie vermuten, schwanger zu sein oder beabsichtigen, schwanger zu werden, fragen Sie vor der Einnahme dieses Arzneimittels Ihren Arzt um Rat.</w:t>
      </w:r>
    </w:p>
    <w:p w14:paraId="2446590A"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Glivec sollte nicht während der Schwangerschaft verwendet werden, es sei denn, dies ist eindeutig erforderlich, weil es Ihrem Baby schaden kann. Ihr Arzt wird mit Ihnen die möglichen Risiken einer Einnahme von Glivec während der Schwangerschaft besprechen.</w:t>
      </w:r>
    </w:p>
    <w:p w14:paraId="39D29D17" w14:textId="3C1CEBCA"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 xml:space="preserve">Frauen, die schwanger werden können, wird </w:t>
      </w:r>
      <w:r w:rsidR="003B3786">
        <w:rPr>
          <w:color w:val="000000"/>
          <w:sz w:val="22"/>
          <w:szCs w:val="22"/>
        </w:rPr>
        <w:t>dringend empfohlen,</w:t>
      </w:r>
      <w:r w:rsidRPr="00B30A12">
        <w:rPr>
          <w:color w:val="000000"/>
          <w:sz w:val="22"/>
          <w:szCs w:val="22"/>
        </w:rPr>
        <w:t xml:space="preserve"> während der Behandlung</w:t>
      </w:r>
      <w:r w:rsidR="003B3786">
        <w:rPr>
          <w:color w:val="000000"/>
          <w:sz w:val="22"/>
          <w:szCs w:val="22"/>
        </w:rPr>
        <w:t xml:space="preserve"> </w:t>
      </w:r>
      <w:r w:rsidR="003B3786" w:rsidRPr="002A051A">
        <w:rPr>
          <w:sz w:val="22"/>
          <w:szCs w:val="22"/>
        </w:rPr>
        <w:t xml:space="preserve">und </w:t>
      </w:r>
      <w:r w:rsidR="003B3786">
        <w:rPr>
          <w:sz w:val="22"/>
          <w:szCs w:val="22"/>
        </w:rPr>
        <w:t>für 15 Tage</w:t>
      </w:r>
      <w:r w:rsidR="003B3786" w:rsidRPr="002A051A">
        <w:rPr>
          <w:sz w:val="22"/>
          <w:szCs w:val="22"/>
        </w:rPr>
        <w:t xml:space="preserve"> nach Beendigung der Behandlung</w:t>
      </w:r>
      <w:r w:rsidR="003B3786">
        <w:rPr>
          <w:sz w:val="22"/>
          <w:szCs w:val="22"/>
        </w:rPr>
        <w:t xml:space="preserve"> </w:t>
      </w:r>
      <w:r w:rsidR="003B3786">
        <w:rPr>
          <w:color w:val="000000"/>
          <w:sz w:val="22"/>
          <w:szCs w:val="22"/>
        </w:rPr>
        <w:t>wirksame Verhütungsmethoden anzuwenden</w:t>
      </w:r>
      <w:r w:rsidRPr="00B30A12">
        <w:rPr>
          <w:color w:val="000000"/>
          <w:sz w:val="22"/>
          <w:szCs w:val="22"/>
        </w:rPr>
        <w:t>.</w:t>
      </w:r>
    </w:p>
    <w:p w14:paraId="5FE147A1" w14:textId="77777777" w:rsidR="007217B7" w:rsidRPr="00B30A12" w:rsidRDefault="007217B7" w:rsidP="000C47C6">
      <w:pPr>
        <w:widowControl w:val="0"/>
        <w:numPr>
          <w:ilvl w:val="0"/>
          <w:numId w:val="15"/>
        </w:numPr>
        <w:tabs>
          <w:tab w:val="clear" w:pos="360"/>
        </w:tabs>
        <w:ind w:left="567" w:hanging="567"/>
        <w:rPr>
          <w:color w:val="000000"/>
          <w:sz w:val="22"/>
          <w:szCs w:val="22"/>
          <w:lang w:val="de-CH"/>
        </w:rPr>
      </w:pPr>
      <w:r w:rsidRPr="00B30A12">
        <w:rPr>
          <w:color w:val="000000"/>
          <w:sz w:val="22"/>
          <w:szCs w:val="22"/>
        </w:rPr>
        <w:t xml:space="preserve">Während der Behandlung mit Glivec </w:t>
      </w:r>
      <w:r w:rsidR="001214A9" w:rsidRPr="002A051A">
        <w:rPr>
          <w:sz w:val="22"/>
          <w:szCs w:val="22"/>
        </w:rPr>
        <w:t xml:space="preserve">und </w:t>
      </w:r>
      <w:r w:rsidR="001214A9">
        <w:rPr>
          <w:sz w:val="22"/>
          <w:szCs w:val="22"/>
        </w:rPr>
        <w:t>für 15 Tage</w:t>
      </w:r>
      <w:r w:rsidR="001214A9" w:rsidRPr="002A051A">
        <w:rPr>
          <w:sz w:val="22"/>
          <w:szCs w:val="22"/>
        </w:rPr>
        <w:t xml:space="preserve"> nach Beendigung der Behandlung </w:t>
      </w:r>
      <w:r w:rsidRPr="00B30A12">
        <w:rPr>
          <w:color w:val="000000"/>
          <w:sz w:val="22"/>
          <w:szCs w:val="22"/>
          <w:lang w:val="de-CH"/>
        </w:rPr>
        <w:t>dürfen Sie nicht stillen</w:t>
      </w:r>
      <w:r w:rsidR="001214A9">
        <w:rPr>
          <w:color w:val="000000"/>
          <w:sz w:val="22"/>
          <w:szCs w:val="22"/>
          <w:lang w:val="de-CH"/>
        </w:rPr>
        <w:t>, da es Ihrem Baby schaden könnte</w:t>
      </w:r>
      <w:r w:rsidRPr="00B30A12">
        <w:rPr>
          <w:color w:val="000000"/>
          <w:sz w:val="22"/>
          <w:szCs w:val="22"/>
          <w:lang w:val="de-CH"/>
        </w:rPr>
        <w:t>.</w:t>
      </w:r>
    </w:p>
    <w:p w14:paraId="6085E83E" w14:textId="77777777" w:rsidR="007217B7" w:rsidRPr="00B30A12" w:rsidRDefault="007217B7" w:rsidP="000C47C6">
      <w:pPr>
        <w:widowControl w:val="0"/>
        <w:numPr>
          <w:ilvl w:val="0"/>
          <w:numId w:val="15"/>
        </w:numPr>
        <w:tabs>
          <w:tab w:val="clear" w:pos="360"/>
        </w:tabs>
        <w:ind w:left="567" w:hanging="567"/>
        <w:rPr>
          <w:color w:val="000000"/>
          <w:sz w:val="22"/>
          <w:szCs w:val="22"/>
          <w:lang w:val="de-CH"/>
        </w:rPr>
      </w:pPr>
      <w:r w:rsidRPr="00B30A12">
        <w:rPr>
          <w:color w:val="000000"/>
          <w:sz w:val="22"/>
          <w:szCs w:val="22"/>
          <w:lang w:val="de-CH"/>
        </w:rPr>
        <w:t>Patienten, die sich während der Behandlung mit Glivec Sorgen um Ihre Fruchtbarkeit machen, wird empfohlen mit Ihrem Arzt darüber zu sprechen.</w:t>
      </w:r>
    </w:p>
    <w:p w14:paraId="0C2B7CED" w14:textId="77777777" w:rsidR="007217B7" w:rsidRPr="00B30A12" w:rsidRDefault="007217B7" w:rsidP="000C47C6">
      <w:pPr>
        <w:widowControl w:val="0"/>
        <w:rPr>
          <w:color w:val="000000"/>
          <w:sz w:val="22"/>
          <w:szCs w:val="22"/>
        </w:rPr>
      </w:pPr>
    </w:p>
    <w:p w14:paraId="7B6440DF" w14:textId="77777777" w:rsidR="007217B7" w:rsidRPr="00B30A12" w:rsidRDefault="007217B7" w:rsidP="002B313C">
      <w:pPr>
        <w:keepNext/>
        <w:widowControl w:val="0"/>
        <w:rPr>
          <w:color w:val="000000"/>
          <w:sz w:val="22"/>
          <w:szCs w:val="22"/>
        </w:rPr>
      </w:pPr>
      <w:r w:rsidRPr="00B30A12">
        <w:rPr>
          <w:b/>
          <w:color w:val="000000"/>
          <w:sz w:val="22"/>
          <w:szCs w:val="22"/>
        </w:rPr>
        <w:t>Verkehrstüchtigkeit und Fähigkeit zum Bedienen von Maschinen</w:t>
      </w:r>
    </w:p>
    <w:p w14:paraId="5019B4BB" w14:textId="77777777" w:rsidR="007217B7" w:rsidRPr="00B30A12" w:rsidRDefault="007217B7" w:rsidP="000C47C6">
      <w:pPr>
        <w:pStyle w:val="BodyText3"/>
        <w:widowControl w:val="0"/>
        <w:rPr>
          <w:color w:val="000000"/>
          <w:szCs w:val="22"/>
        </w:rPr>
      </w:pPr>
      <w:r w:rsidRPr="00B30A12">
        <w:rPr>
          <w:color w:val="000000"/>
          <w:szCs w:val="22"/>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05373E62" w14:textId="77777777" w:rsidR="00AB6D5E" w:rsidRPr="00B30A12" w:rsidRDefault="00AB6D5E" w:rsidP="000C47C6">
      <w:pPr>
        <w:widowControl w:val="0"/>
        <w:rPr>
          <w:color w:val="000000"/>
          <w:sz w:val="22"/>
          <w:szCs w:val="22"/>
        </w:rPr>
      </w:pPr>
    </w:p>
    <w:p w14:paraId="3360DDEA" w14:textId="77777777" w:rsidR="00AB6D5E" w:rsidRPr="00B30A12" w:rsidRDefault="00AB6D5E" w:rsidP="000C47C6">
      <w:pPr>
        <w:widowControl w:val="0"/>
        <w:rPr>
          <w:color w:val="000000"/>
          <w:sz w:val="22"/>
          <w:szCs w:val="22"/>
        </w:rPr>
      </w:pPr>
    </w:p>
    <w:p w14:paraId="262E2935" w14:textId="77777777" w:rsidR="00AB6D5E" w:rsidRPr="00B30A12" w:rsidRDefault="00AB6D5E" w:rsidP="002B313C">
      <w:pPr>
        <w:keepNext/>
        <w:widowControl w:val="0"/>
        <w:ind w:left="567" w:hanging="567"/>
        <w:rPr>
          <w:b/>
          <w:color w:val="000000"/>
          <w:sz w:val="22"/>
          <w:szCs w:val="22"/>
        </w:rPr>
      </w:pPr>
      <w:r w:rsidRPr="00B30A12">
        <w:rPr>
          <w:b/>
          <w:color w:val="000000"/>
          <w:sz w:val="22"/>
          <w:szCs w:val="22"/>
        </w:rPr>
        <w:t>3.</w:t>
      </w:r>
      <w:r w:rsidRPr="00B30A12">
        <w:rPr>
          <w:b/>
          <w:color w:val="000000"/>
          <w:sz w:val="22"/>
          <w:szCs w:val="22"/>
        </w:rPr>
        <w:tab/>
        <w:t>W</w:t>
      </w:r>
      <w:r w:rsidR="00A3411C" w:rsidRPr="00B30A12">
        <w:rPr>
          <w:b/>
          <w:color w:val="000000"/>
          <w:sz w:val="22"/>
          <w:szCs w:val="22"/>
        </w:rPr>
        <w:t>ie ist Glivec einzunehmen</w:t>
      </w:r>
      <w:r w:rsidRPr="00B30A12">
        <w:rPr>
          <w:b/>
          <w:color w:val="000000"/>
          <w:sz w:val="22"/>
          <w:szCs w:val="22"/>
        </w:rPr>
        <w:t>?</w:t>
      </w:r>
    </w:p>
    <w:p w14:paraId="53EFAFDE" w14:textId="77777777" w:rsidR="00AB6D5E" w:rsidRPr="00B30A12" w:rsidRDefault="00AB6D5E" w:rsidP="002B313C">
      <w:pPr>
        <w:pStyle w:val="EndnoteText"/>
        <w:keepNext/>
        <w:widowControl w:val="0"/>
        <w:rPr>
          <w:color w:val="000000"/>
          <w:sz w:val="22"/>
          <w:szCs w:val="22"/>
          <w:lang w:val="de-DE"/>
        </w:rPr>
      </w:pPr>
    </w:p>
    <w:p w14:paraId="2D3ABAC8" w14:textId="77777777" w:rsidR="00AB6D5E" w:rsidRPr="00B30A12" w:rsidRDefault="00AB6D5E" w:rsidP="000C47C6">
      <w:pPr>
        <w:widowControl w:val="0"/>
        <w:rPr>
          <w:color w:val="000000"/>
          <w:sz w:val="22"/>
          <w:szCs w:val="22"/>
        </w:rPr>
      </w:pPr>
      <w:r w:rsidRPr="00B30A12">
        <w:rPr>
          <w:color w:val="000000"/>
          <w:sz w:val="22"/>
          <w:szCs w:val="22"/>
        </w:rPr>
        <w:t>Ihr Arzt hat Ihnen Glivec verschrieben, weil Sie an einer ernsten Erkrankung leiden. Glivec kann Ihnen helfen, diese Erkrankung zu bekämpfen.</w:t>
      </w:r>
    </w:p>
    <w:p w14:paraId="411C4A0C" w14:textId="77777777" w:rsidR="00AB6D5E" w:rsidRPr="00B30A12" w:rsidRDefault="00AB6D5E" w:rsidP="000C47C6">
      <w:pPr>
        <w:widowControl w:val="0"/>
        <w:rPr>
          <w:color w:val="000000"/>
          <w:sz w:val="22"/>
          <w:szCs w:val="22"/>
        </w:rPr>
      </w:pPr>
    </w:p>
    <w:p w14:paraId="75517B75" w14:textId="77777777" w:rsidR="00AB6D5E" w:rsidRPr="00B30A12" w:rsidRDefault="00AB6D5E" w:rsidP="000C47C6">
      <w:pPr>
        <w:widowControl w:val="0"/>
        <w:rPr>
          <w:color w:val="000000"/>
          <w:sz w:val="22"/>
          <w:szCs w:val="22"/>
        </w:rPr>
      </w:pPr>
      <w:r w:rsidRPr="00B30A12">
        <w:rPr>
          <w:color w:val="000000"/>
          <w:sz w:val="22"/>
          <w:szCs w:val="22"/>
        </w:rPr>
        <w:t xml:space="preserve">Nehmen Sie </w:t>
      </w:r>
      <w:r w:rsidR="00A3411C" w:rsidRPr="00B30A12">
        <w:rPr>
          <w:color w:val="000000"/>
          <w:sz w:val="22"/>
          <w:szCs w:val="22"/>
        </w:rPr>
        <w:t>dieses Arzneimittel</w:t>
      </w:r>
      <w:r w:rsidRPr="00B30A12">
        <w:rPr>
          <w:color w:val="000000"/>
          <w:sz w:val="22"/>
          <w:szCs w:val="22"/>
        </w:rPr>
        <w:t xml:space="preserve"> immer genau nach A</w:t>
      </w:r>
      <w:r w:rsidR="00A3411C" w:rsidRPr="00B30A12">
        <w:rPr>
          <w:color w:val="000000"/>
          <w:sz w:val="22"/>
          <w:szCs w:val="22"/>
        </w:rPr>
        <w:t>bsprache mit Ihrem</w:t>
      </w:r>
      <w:r w:rsidRPr="00B30A12">
        <w:rPr>
          <w:color w:val="000000"/>
          <w:sz w:val="22"/>
          <w:szCs w:val="22"/>
        </w:rPr>
        <w:t xml:space="preserve"> Arzt </w:t>
      </w:r>
      <w:r w:rsidR="00A3411C" w:rsidRPr="00B30A12">
        <w:rPr>
          <w:color w:val="000000"/>
          <w:sz w:val="22"/>
          <w:szCs w:val="22"/>
        </w:rPr>
        <w:t xml:space="preserve">oder Apotheker </w:t>
      </w:r>
      <w:r w:rsidRPr="00B30A12">
        <w:rPr>
          <w:color w:val="000000"/>
          <w:sz w:val="22"/>
          <w:szCs w:val="22"/>
        </w:rPr>
        <w:t>ein. Es ist wichtig, dass Sie dies solange tun, wie es Ihnen Ihr Arzt</w:t>
      </w:r>
      <w:r w:rsidR="00A3411C" w:rsidRPr="00B30A12">
        <w:rPr>
          <w:color w:val="000000"/>
          <w:sz w:val="22"/>
          <w:szCs w:val="22"/>
        </w:rPr>
        <w:t xml:space="preserve"> oder Apotheker</w:t>
      </w:r>
      <w:r w:rsidRPr="00B30A12">
        <w:rPr>
          <w:color w:val="000000"/>
          <w:sz w:val="22"/>
          <w:szCs w:val="22"/>
        </w:rPr>
        <w:t xml:space="preserve"> sagt. </w:t>
      </w:r>
      <w:r w:rsidR="00A3411C" w:rsidRPr="00B30A12">
        <w:rPr>
          <w:color w:val="000000"/>
          <w:sz w:val="22"/>
          <w:szCs w:val="22"/>
        </w:rPr>
        <w:t>F</w:t>
      </w:r>
      <w:r w:rsidRPr="00B30A12">
        <w:rPr>
          <w:color w:val="000000"/>
          <w:sz w:val="22"/>
          <w:szCs w:val="22"/>
        </w:rPr>
        <w:t>ragen Sie bei Ihrem Arzt oder Apotheker nach, wenn Sie sich nicht sicher sind.</w:t>
      </w:r>
    </w:p>
    <w:p w14:paraId="51FA342F" w14:textId="77777777" w:rsidR="00AB6D5E" w:rsidRPr="00B30A12" w:rsidRDefault="00AB6D5E" w:rsidP="000C47C6">
      <w:pPr>
        <w:widowControl w:val="0"/>
        <w:rPr>
          <w:color w:val="000000"/>
          <w:sz w:val="22"/>
          <w:szCs w:val="22"/>
        </w:rPr>
      </w:pPr>
    </w:p>
    <w:p w14:paraId="06B0D282" w14:textId="77777777" w:rsidR="00AB6D5E" w:rsidRPr="00B30A12" w:rsidRDefault="00AB6D5E" w:rsidP="000C47C6">
      <w:pPr>
        <w:widowControl w:val="0"/>
        <w:rPr>
          <w:color w:val="000000"/>
          <w:sz w:val="22"/>
          <w:szCs w:val="22"/>
        </w:rPr>
      </w:pPr>
      <w:r w:rsidRPr="00B30A12">
        <w:rPr>
          <w:color w:val="000000"/>
          <w:sz w:val="22"/>
          <w:szCs w:val="22"/>
        </w:rPr>
        <w:t>Hören Sie nicht auf Glivec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48887A20" w14:textId="77777777" w:rsidR="00AB6D5E" w:rsidRPr="00B30A12" w:rsidRDefault="00AB6D5E" w:rsidP="000C47C6">
      <w:pPr>
        <w:pStyle w:val="EndnoteText"/>
        <w:widowControl w:val="0"/>
        <w:rPr>
          <w:color w:val="000000"/>
          <w:sz w:val="22"/>
          <w:szCs w:val="22"/>
          <w:lang w:val="de-DE"/>
        </w:rPr>
      </w:pPr>
    </w:p>
    <w:p w14:paraId="36C2009B" w14:textId="77777777" w:rsidR="00AB6D5E" w:rsidRPr="00B30A12" w:rsidRDefault="00AB6D5E" w:rsidP="002B313C">
      <w:pPr>
        <w:keepNext/>
        <w:widowControl w:val="0"/>
        <w:rPr>
          <w:b/>
          <w:color w:val="000000"/>
          <w:sz w:val="22"/>
          <w:szCs w:val="22"/>
        </w:rPr>
      </w:pPr>
      <w:r w:rsidRPr="00B30A12">
        <w:rPr>
          <w:b/>
          <w:color w:val="000000"/>
          <w:sz w:val="22"/>
          <w:szCs w:val="22"/>
        </w:rPr>
        <w:lastRenderedPageBreak/>
        <w:t xml:space="preserve">Wie viel </w:t>
      </w:r>
      <w:r w:rsidR="00A3411C" w:rsidRPr="00B30A12">
        <w:rPr>
          <w:b/>
          <w:color w:val="000000"/>
          <w:sz w:val="22"/>
          <w:szCs w:val="22"/>
        </w:rPr>
        <w:t xml:space="preserve">Glivec </w:t>
      </w:r>
      <w:r w:rsidRPr="00B30A12">
        <w:rPr>
          <w:b/>
          <w:color w:val="000000"/>
          <w:sz w:val="22"/>
          <w:szCs w:val="22"/>
        </w:rPr>
        <w:t>sollten Sie einnehmen?</w:t>
      </w:r>
    </w:p>
    <w:p w14:paraId="4B9E1220" w14:textId="77777777" w:rsidR="00AB6D5E" w:rsidRPr="00B30A12" w:rsidRDefault="00AB6D5E" w:rsidP="002B313C">
      <w:pPr>
        <w:keepNext/>
        <w:widowControl w:val="0"/>
        <w:rPr>
          <w:color w:val="000000"/>
          <w:sz w:val="22"/>
          <w:szCs w:val="22"/>
        </w:rPr>
      </w:pPr>
    </w:p>
    <w:p w14:paraId="0A2A2AF9" w14:textId="77777777" w:rsidR="00AB6D5E" w:rsidRPr="00B30A12" w:rsidRDefault="00AB6D5E" w:rsidP="002B313C">
      <w:pPr>
        <w:keepNext/>
        <w:widowControl w:val="0"/>
        <w:rPr>
          <w:color w:val="000000"/>
          <w:sz w:val="22"/>
          <w:szCs w:val="22"/>
        </w:rPr>
      </w:pPr>
      <w:r w:rsidRPr="00B30A12">
        <w:rPr>
          <w:b/>
          <w:color w:val="000000"/>
          <w:sz w:val="22"/>
          <w:szCs w:val="22"/>
        </w:rPr>
        <w:t>Anwendung bei Erwachsenen</w:t>
      </w:r>
    </w:p>
    <w:p w14:paraId="0EBF41AA" w14:textId="77777777" w:rsidR="00AB6D5E" w:rsidRPr="00B30A12" w:rsidRDefault="00AB6D5E" w:rsidP="000C47C6">
      <w:pPr>
        <w:widowControl w:val="0"/>
        <w:rPr>
          <w:color w:val="000000"/>
          <w:sz w:val="22"/>
          <w:szCs w:val="22"/>
        </w:rPr>
      </w:pPr>
      <w:r w:rsidRPr="00B30A12">
        <w:rPr>
          <w:color w:val="000000"/>
          <w:sz w:val="22"/>
          <w:szCs w:val="22"/>
        </w:rPr>
        <w:t>Ihr Arzt wird Sie genau informieren, wie viele Glivec Kapseln Sie einnehmen sollen.</w:t>
      </w:r>
    </w:p>
    <w:p w14:paraId="5A46DADE" w14:textId="77777777" w:rsidR="00AB6D5E" w:rsidRPr="00B30A12" w:rsidRDefault="00AB6D5E" w:rsidP="000C47C6">
      <w:pPr>
        <w:widowControl w:val="0"/>
        <w:rPr>
          <w:color w:val="000000"/>
          <w:sz w:val="22"/>
          <w:szCs w:val="22"/>
        </w:rPr>
      </w:pPr>
    </w:p>
    <w:p w14:paraId="6B4754C2"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CML behandelt werden:</w:t>
      </w:r>
    </w:p>
    <w:p w14:paraId="2A8B75B6" w14:textId="77777777" w:rsidR="00AB6D5E" w:rsidRPr="00B30A12" w:rsidRDefault="00AB6D5E" w:rsidP="002B313C">
      <w:pPr>
        <w:pStyle w:val="Text"/>
        <w:keepNext/>
        <w:widowControl w:val="0"/>
        <w:spacing w:before="0"/>
        <w:ind w:left="567"/>
        <w:jc w:val="left"/>
        <w:rPr>
          <w:color w:val="000000"/>
          <w:sz w:val="22"/>
          <w:szCs w:val="22"/>
          <w:lang w:val="de-DE"/>
        </w:rPr>
      </w:pPr>
      <w:r w:rsidRPr="00B30A12">
        <w:rPr>
          <w:color w:val="000000"/>
          <w:sz w:val="22"/>
          <w:szCs w:val="22"/>
          <w:lang w:val="de-DE"/>
        </w:rPr>
        <w:t>In Abhängigkeit von Ihrem Zustand beträgt die übliche Anfangsdosis entweder 400 mg oder 600 mg:</w:t>
      </w:r>
    </w:p>
    <w:p w14:paraId="432F9BDC" w14:textId="77777777" w:rsidR="00AB6D5E" w:rsidRPr="00B30A12" w:rsidRDefault="00AB6D5E" w:rsidP="002B313C">
      <w:pPr>
        <w:keepNext/>
        <w:widowControl w:val="0"/>
        <w:numPr>
          <w:ilvl w:val="0"/>
          <w:numId w:val="14"/>
        </w:numPr>
        <w:tabs>
          <w:tab w:val="clear" w:pos="360"/>
        </w:tabs>
        <w:ind w:left="1134" w:hanging="567"/>
        <w:rPr>
          <w:color w:val="000000"/>
          <w:sz w:val="22"/>
          <w:szCs w:val="22"/>
        </w:rPr>
      </w:pPr>
      <w:r w:rsidRPr="00B30A12">
        <w:rPr>
          <w:b/>
          <w:bCs/>
          <w:color w:val="000000"/>
          <w:sz w:val="22"/>
          <w:szCs w:val="22"/>
        </w:rPr>
        <w:t>400 mg</w:t>
      </w:r>
      <w:r w:rsidRPr="00B30A12">
        <w:rPr>
          <w:color w:val="000000"/>
          <w:sz w:val="22"/>
          <w:szCs w:val="22"/>
        </w:rPr>
        <w:t xml:space="preserve"> werden in Form von 4 Kapseln </w:t>
      </w:r>
      <w:r w:rsidRPr="00B30A12">
        <w:rPr>
          <w:b/>
          <w:bCs/>
          <w:color w:val="000000"/>
          <w:sz w:val="22"/>
          <w:szCs w:val="22"/>
        </w:rPr>
        <w:t>einmal</w:t>
      </w:r>
      <w:r w:rsidRPr="00B30A12">
        <w:rPr>
          <w:color w:val="000000"/>
          <w:sz w:val="22"/>
          <w:szCs w:val="22"/>
        </w:rPr>
        <w:t xml:space="preserve"> täg</w:t>
      </w:r>
      <w:r w:rsidRPr="00B30A12">
        <w:rPr>
          <w:color w:val="000000"/>
          <w:sz w:val="22"/>
          <w:szCs w:val="22"/>
        </w:rPr>
        <w:softHyphen/>
        <w:t>lich eingenommen.</w:t>
      </w:r>
    </w:p>
    <w:p w14:paraId="147B3179" w14:textId="77777777" w:rsidR="00AB6D5E" w:rsidRPr="00B30A12" w:rsidRDefault="00AB6D5E" w:rsidP="000C47C6">
      <w:pPr>
        <w:widowControl w:val="0"/>
        <w:numPr>
          <w:ilvl w:val="0"/>
          <w:numId w:val="14"/>
        </w:numPr>
        <w:tabs>
          <w:tab w:val="clear" w:pos="360"/>
        </w:tabs>
        <w:ind w:left="1134" w:hanging="567"/>
        <w:rPr>
          <w:color w:val="000000"/>
          <w:sz w:val="22"/>
          <w:szCs w:val="22"/>
        </w:rPr>
      </w:pPr>
      <w:r w:rsidRPr="00B30A12">
        <w:rPr>
          <w:b/>
          <w:bCs/>
          <w:color w:val="000000"/>
          <w:sz w:val="22"/>
          <w:szCs w:val="22"/>
        </w:rPr>
        <w:t>600 mg</w:t>
      </w:r>
      <w:r w:rsidRPr="00B30A12">
        <w:rPr>
          <w:color w:val="000000"/>
          <w:sz w:val="22"/>
          <w:szCs w:val="22"/>
        </w:rPr>
        <w:t xml:space="preserve"> werden in Form von 6 Kapseln </w:t>
      </w:r>
      <w:r w:rsidRPr="00B30A12">
        <w:rPr>
          <w:b/>
          <w:bCs/>
          <w:color w:val="000000"/>
          <w:sz w:val="22"/>
          <w:szCs w:val="22"/>
        </w:rPr>
        <w:t>einmal</w:t>
      </w:r>
      <w:r w:rsidRPr="00B30A12">
        <w:rPr>
          <w:color w:val="000000"/>
          <w:sz w:val="22"/>
          <w:szCs w:val="22"/>
        </w:rPr>
        <w:t xml:space="preserve"> täglich eingenommen.</w:t>
      </w:r>
    </w:p>
    <w:p w14:paraId="5525ADAC" w14:textId="77777777" w:rsidR="00AB6D5E" w:rsidRPr="00B30A12" w:rsidRDefault="00AB6D5E" w:rsidP="000C47C6">
      <w:pPr>
        <w:widowControl w:val="0"/>
        <w:rPr>
          <w:color w:val="000000"/>
          <w:sz w:val="22"/>
          <w:szCs w:val="22"/>
        </w:rPr>
      </w:pPr>
    </w:p>
    <w:p w14:paraId="21847A99"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GIST behandelt werden:</w:t>
      </w:r>
    </w:p>
    <w:p w14:paraId="7260149F" w14:textId="77777777"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 xml:space="preserve">Die Anfangsdosis beträgt 400 mg und wird in Form von 4 Kapseln </w:t>
      </w:r>
      <w:r w:rsidRPr="00B30A12">
        <w:rPr>
          <w:b/>
          <w:bCs/>
          <w:color w:val="000000"/>
          <w:sz w:val="22"/>
          <w:szCs w:val="22"/>
          <w:lang w:val="de-DE"/>
        </w:rPr>
        <w:t>einmal</w:t>
      </w:r>
      <w:r w:rsidRPr="00B30A12">
        <w:rPr>
          <w:color w:val="000000"/>
          <w:sz w:val="22"/>
          <w:szCs w:val="22"/>
          <w:lang w:val="de-DE"/>
        </w:rPr>
        <w:t xml:space="preserve"> täglich eingenommen.</w:t>
      </w:r>
    </w:p>
    <w:p w14:paraId="6B041E2E" w14:textId="77777777" w:rsidR="00AB6D5E" w:rsidRPr="00B30A12" w:rsidRDefault="00AB6D5E" w:rsidP="000C47C6">
      <w:pPr>
        <w:widowControl w:val="0"/>
        <w:rPr>
          <w:color w:val="000000"/>
          <w:sz w:val="22"/>
          <w:szCs w:val="22"/>
        </w:rPr>
      </w:pPr>
    </w:p>
    <w:p w14:paraId="1806C5D2" w14:textId="77777777" w:rsidR="00AB6D5E" w:rsidRPr="00B30A12" w:rsidRDefault="00AB6D5E" w:rsidP="000C47C6">
      <w:pPr>
        <w:widowControl w:val="0"/>
        <w:rPr>
          <w:color w:val="000000"/>
          <w:sz w:val="22"/>
          <w:szCs w:val="22"/>
        </w:rPr>
      </w:pPr>
      <w:r w:rsidRPr="00B30A12">
        <w:rPr>
          <w:color w:val="000000"/>
          <w:sz w:val="22"/>
          <w:szCs w:val="22"/>
        </w:rPr>
        <w:t>In Abhängigkeit von Ihrem Ansprechen auf die Behandlung kann Ihr Arzt für CML und GIST eine höhere oder niedrigere Dosis verschreiben. Wenn Ihre tägliche Dosis 800 mg (8 Kapseln) beträgt, sollten Sie 4 Kapseln morgens und 4 Kapseln abends einnehmen.</w:t>
      </w:r>
    </w:p>
    <w:p w14:paraId="56DFCD8C" w14:textId="77777777" w:rsidR="00AB6D5E" w:rsidRPr="00B30A12" w:rsidRDefault="00AB6D5E" w:rsidP="000C47C6">
      <w:pPr>
        <w:widowControl w:val="0"/>
        <w:rPr>
          <w:color w:val="000000"/>
          <w:sz w:val="22"/>
          <w:szCs w:val="22"/>
        </w:rPr>
      </w:pPr>
    </w:p>
    <w:p w14:paraId="62DD5FE7"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 xml:space="preserve">Wenn Sie wegen Ph-positiver </w:t>
      </w:r>
      <w:smartTag w:uri="urn:schemas-microsoft-com:office:smarttags" w:element="stockticker">
        <w:r w:rsidRPr="00B30A12">
          <w:rPr>
            <w:b/>
            <w:color w:val="000000"/>
            <w:sz w:val="22"/>
            <w:szCs w:val="22"/>
          </w:rPr>
          <w:t>ALL</w:t>
        </w:r>
      </w:smartTag>
      <w:r w:rsidRPr="00B30A12">
        <w:rPr>
          <w:b/>
          <w:color w:val="000000"/>
          <w:sz w:val="22"/>
          <w:szCs w:val="22"/>
        </w:rPr>
        <w:t xml:space="preserve"> behandelt werden:</w:t>
      </w:r>
    </w:p>
    <w:p w14:paraId="61B51E45" w14:textId="77777777"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 xml:space="preserve">Die Anfangsdosis beträgt 600 mg und wird in Form von 6 Kapseln </w:t>
      </w:r>
      <w:r w:rsidRPr="00B30A12">
        <w:rPr>
          <w:b/>
          <w:bCs/>
          <w:color w:val="000000"/>
          <w:sz w:val="22"/>
          <w:szCs w:val="22"/>
          <w:lang w:val="de-DE"/>
        </w:rPr>
        <w:t>einmal</w:t>
      </w:r>
      <w:r w:rsidRPr="00B30A12">
        <w:rPr>
          <w:color w:val="000000"/>
          <w:sz w:val="22"/>
          <w:szCs w:val="22"/>
          <w:lang w:val="de-DE"/>
        </w:rPr>
        <w:t xml:space="preserve"> täglich eingenommen.</w:t>
      </w:r>
    </w:p>
    <w:p w14:paraId="7C5738D8" w14:textId="77777777" w:rsidR="00AB6D5E" w:rsidRPr="00B30A12" w:rsidRDefault="00AB6D5E" w:rsidP="000C47C6">
      <w:pPr>
        <w:widowControl w:val="0"/>
        <w:rPr>
          <w:color w:val="000000"/>
          <w:sz w:val="22"/>
          <w:szCs w:val="22"/>
        </w:rPr>
      </w:pPr>
    </w:p>
    <w:p w14:paraId="392CB95F"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 xml:space="preserve">Wenn Sie wegen </w:t>
      </w:r>
      <w:smartTag w:uri="urn:schemas-microsoft-com:office:smarttags" w:element="stockticker">
        <w:r w:rsidRPr="00B30A12">
          <w:rPr>
            <w:b/>
            <w:color w:val="000000"/>
            <w:sz w:val="22"/>
            <w:szCs w:val="22"/>
          </w:rPr>
          <w:t>MDS</w:t>
        </w:r>
      </w:smartTag>
      <w:r w:rsidRPr="00B30A12">
        <w:rPr>
          <w:b/>
          <w:color w:val="000000"/>
          <w:sz w:val="22"/>
          <w:szCs w:val="22"/>
        </w:rPr>
        <w:t>/MPD behandelt werden:</w:t>
      </w:r>
    </w:p>
    <w:p w14:paraId="03D03194" w14:textId="77777777"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 xml:space="preserve">Die Anfangsdosis beträgt 400 mg und wird in Form von 4 Kapseln </w:t>
      </w:r>
      <w:r w:rsidRPr="00B30A12">
        <w:rPr>
          <w:b/>
          <w:bCs/>
          <w:color w:val="000000"/>
          <w:sz w:val="22"/>
          <w:szCs w:val="22"/>
          <w:lang w:val="de-DE"/>
        </w:rPr>
        <w:t>einmal</w:t>
      </w:r>
      <w:r w:rsidRPr="00B30A12">
        <w:rPr>
          <w:color w:val="000000"/>
          <w:sz w:val="22"/>
          <w:szCs w:val="22"/>
          <w:lang w:val="de-DE"/>
        </w:rPr>
        <w:t xml:space="preserve"> täglich eingenommen.</w:t>
      </w:r>
    </w:p>
    <w:p w14:paraId="650AB9DA" w14:textId="77777777" w:rsidR="00AB6D5E" w:rsidRPr="00B30A12" w:rsidRDefault="00AB6D5E" w:rsidP="000C47C6">
      <w:pPr>
        <w:widowControl w:val="0"/>
        <w:rPr>
          <w:color w:val="000000"/>
          <w:sz w:val="22"/>
          <w:szCs w:val="22"/>
        </w:rPr>
      </w:pPr>
    </w:p>
    <w:p w14:paraId="6788DE26"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HES/</w:t>
      </w:r>
      <w:smartTag w:uri="urn:schemas-microsoft-com:office:smarttags" w:element="stockticker">
        <w:r w:rsidRPr="00B30A12">
          <w:rPr>
            <w:b/>
            <w:color w:val="000000"/>
            <w:sz w:val="22"/>
            <w:szCs w:val="22"/>
          </w:rPr>
          <w:t>CEL</w:t>
        </w:r>
      </w:smartTag>
      <w:r w:rsidRPr="00B30A12">
        <w:rPr>
          <w:b/>
          <w:color w:val="000000"/>
          <w:sz w:val="22"/>
          <w:szCs w:val="22"/>
        </w:rPr>
        <w:t xml:space="preserve"> behandelt werden:</w:t>
      </w:r>
    </w:p>
    <w:p w14:paraId="08BF3E9C" w14:textId="77777777"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 xml:space="preserve">Die Anfangsdosis beträgt 100 mg und wird in Form von einer Kapsel </w:t>
      </w:r>
      <w:r w:rsidRPr="00B30A12">
        <w:rPr>
          <w:b/>
          <w:bCs/>
          <w:color w:val="000000"/>
          <w:sz w:val="22"/>
          <w:szCs w:val="22"/>
          <w:lang w:val="de-DE"/>
        </w:rPr>
        <w:t>einmal</w:t>
      </w:r>
      <w:r w:rsidRPr="00B30A12">
        <w:rPr>
          <w:color w:val="000000"/>
          <w:sz w:val="22"/>
          <w:szCs w:val="22"/>
          <w:lang w:val="de-DE"/>
        </w:rPr>
        <w:t xml:space="preserve"> täglich eingenommen. Ihr Arzt wird darüber entscheiden, ob die Dosis auf 400 mg erhöht wird, die in Form von 4 Kapseln </w:t>
      </w:r>
      <w:r w:rsidRPr="00B30A12">
        <w:rPr>
          <w:b/>
          <w:bCs/>
          <w:color w:val="000000"/>
          <w:sz w:val="22"/>
          <w:szCs w:val="22"/>
          <w:lang w:val="de-DE"/>
        </w:rPr>
        <w:t>einmal</w:t>
      </w:r>
      <w:r w:rsidRPr="00B30A12">
        <w:rPr>
          <w:color w:val="000000"/>
          <w:sz w:val="22"/>
          <w:szCs w:val="22"/>
          <w:lang w:val="de-DE"/>
        </w:rPr>
        <w:t xml:space="preserve"> täglich eingenommen wird. Dies hängt davon ab, wie Sie auf die Behandlung ansprechen.</w:t>
      </w:r>
    </w:p>
    <w:p w14:paraId="2BD1A23E" w14:textId="77777777" w:rsidR="00AB6D5E" w:rsidRPr="00B30A12" w:rsidRDefault="00AB6D5E" w:rsidP="000C47C6">
      <w:pPr>
        <w:widowControl w:val="0"/>
        <w:rPr>
          <w:color w:val="000000"/>
          <w:sz w:val="22"/>
          <w:szCs w:val="22"/>
        </w:rPr>
      </w:pPr>
    </w:p>
    <w:p w14:paraId="2449E783" w14:textId="77777777" w:rsidR="00AB6D5E" w:rsidRPr="00B30A12" w:rsidRDefault="00AB6D5E" w:rsidP="002B313C">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DFSP behandelt werden:</w:t>
      </w:r>
    </w:p>
    <w:p w14:paraId="42434EE7" w14:textId="77777777"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Die Dosis beträgt 800 mg pro Tag (8 Kapseln), die in Form von 4 Kapseln morgens und 4 Kapseln abends eingenommen wird.</w:t>
      </w:r>
    </w:p>
    <w:p w14:paraId="2B36C43E" w14:textId="77777777" w:rsidR="00AB6D5E" w:rsidRPr="00B30A12" w:rsidRDefault="00AB6D5E" w:rsidP="000C47C6">
      <w:pPr>
        <w:widowControl w:val="0"/>
        <w:rPr>
          <w:color w:val="000000"/>
          <w:sz w:val="22"/>
          <w:szCs w:val="22"/>
        </w:rPr>
      </w:pPr>
    </w:p>
    <w:p w14:paraId="6F134D92" w14:textId="77777777" w:rsidR="00AB6D5E" w:rsidRPr="00B30A12" w:rsidRDefault="00AB6D5E" w:rsidP="002B313C">
      <w:pPr>
        <w:keepNext/>
        <w:widowControl w:val="0"/>
        <w:rPr>
          <w:b/>
          <w:color w:val="000000"/>
          <w:sz w:val="22"/>
          <w:szCs w:val="22"/>
        </w:rPr>
      </w:pPr>
      <w:r w:rsidRPr="00B30A12">
        <w:rPr>
          <w:b/>
          <w:color w:val="000000"/>
          <w:sz w:val="22"/>
          <w:szCs w:val="22"/>
        </w:rPr>
        <w:t>Anwendung bei Kindern und Jugendlichen</w:t>
      </w:r>
    </w:p>
    <w:p w14:paraId="5293CC14" w14:textId="77777777" w:rsidR="00AB6D5E" w:rsidRPr="00B30A12" w:rsidRDefault="00AB6D5E" w:rsidP="000C47C6">
      <w:pPr>
        <w:widowControl w:val="0"/>
        <w:rPr>
          <w:color w:val="000000"/>
          <w:sz w:val="22"/>
          <w:szCs w:val="22"/>
        </w:rPr>
      </w:pPr>
      <w:r w:rsidRPr="00B30A12">
        <w:rPr>
          <w:color w:val="000000"/>
          <w:sz w:val="22"/>
          <w:szCs w:val="22"/>
        </w:rPr>
        <w:t>Ihr Arzt wird Sie informieren, wie</w:t>
      </w:r>
      <w:r w:rsidR="00687CCF" w:rsidRPr="00B30A12">
        <w:rPr>
          <w:color w:val="000000"/>
          <w:sz w:val="22"/>
          <w:szCs w:val="22"/>
        </w:rPr>
        <w:t xml:space="preserve"> </w:t>
      </w:r>
      <w:r w:rsidRPr="00B30A12">
        <w:rPr>
          <w:color w:val="000000"/>
          <w:sz w:val="22"/>
          <w:szCs w:val="22"/>
        </w:rPr>
        <w:t xml:space="preserve">viele Glivec Kapseln Ihrem Kind gegeben werden sollen. Die notwendige Menge an Glivec hängt vom Zustand Ihres Kindes, von seinem Körpergewicht und seiner Größe ab. Die tägliche Gesamtdosis für ein Kind darf 800 mg </w:t>
      </w:r>
      <w:r w:rsidR="00F6006F" w:rsidRPr="00B30A12">
        <w:rPr>
          <w:color w:val="000000"/>
          <w:sz w:val="22"/>
          <w:szCs w:val="22"/>
        </w:rPr>
        <w:t xml:space="preserve">bei CML und 600 mg bei Ph-positiver ALL </w:t>
      </w:r>
      <w:r w:rsidRPr="00B30A12">
        <w:rPr>
          <w:color w:val="000000"/>
          <w:sz w:val="22"/>
          <w:szCs w:val="22"/>
        </w:rPr>
        <w:t>nicht überschreiten. Die tägliche Dosis kann Ihrem Kind als Einmalgabe verabreicht oder auf zwei Gaben (die Hälfte morgens und die Hälfte abends) aufgeteilt werden.</w:t>
      </w:r>
    </w:p>
    <w:p w14:paraId="0B0906CB" w14:textId="77777777" w:rsidR="00AB6D5E" w:rsidRPr="00B30A12" w:rsidRDefault="00AB6D5E" w:rsidP="000C47C6">
      <w:pPr>
        <w:widowControl w:val="0"/>
        <w:rPr>
          <w:color w:val="000000"/>
          <w:sz w:val="22"/>
          <w:szCs w:val="22"/>
        </w:rPr>
      </w:pPr>
    </w:p>
    <w:p w14:paraId="74563FF5" w14:textId="77777777" w:rsidR="00AB6D5E" w:rsidRPr="00B30A12" w:rsidRDefault="00AB6D5E" w:rsidP="002B313C">
      <w:pPr>
        <w:keepNext/>
        <w:widowControl w:val="0"/>
        <w:rPr>
          <w:b/>
          <w:color w:val="000000"/>
          <w:sz w:val="22"/>
          <w:szCs w:val="22"/>
        </w:rPr>
      </w:pPr>
      <w:r w:rsidRPr="00B30A12">
        <w:rPr>
          <w:b/>
          <w:color w:val="000000"/>
          <w:sz w:val="22"/>
          <w:szCs w:val="22"/>
        </w:rPr>
        <w:t>Wann und wie wird Glivec eingenommen?</w:t>
      </w:r>
    </w:p>
    <w:p w14:paraId="2BE08C45"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b/>
          <w:color w:val="000000"/>
          <w:sz w:val="22"/>
          <w:szCs w:val="22"/>
        </w:rPr>
        <w:t>Nehmen Sie Glivec mit einer Mahlzeit ein.</w:t>
      </w:r>
      <w:r w:rsidRPr="00B30A12">
        <w:rPr>
          <w:color w:val="000000"/>
          <w:sz w:val="22"/>
          <w:szCs w:val="22"/>
        </w:rPr>
        <w:t xml:space="preserve"> Dies kann helfen, Magenbeschwerden bei der Einnahme von Glivec vorzubeugen.</w:t>
      </w:r>
    </w:p>
    <w:p w14:paraId="60720D0E"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b/>
          <w:color w:val="000000"/>
          <w:sz w:val="22"/>
          <w:szCs w:val="22"/>
        </w:rPr>
        <w:t xml:space="preserve">Schlucken Sie die Kapseln im Ganzen und trinken Sie dazu ein großes Glas Wasser. </w:t>
      </w:r>
      <w:r w:rsidRPr="00B30A12">
        <w:rPr>
          <w:color w:val="000000"/>
          <w:sz w:val="22"/>
          <w:szCs w:val="22"/>
        </w:rPr>
        <w:t>Öffnen oder zerdrücken Sie die Kapseln bitte nicht, es sei denn, Sie haben Schwierigkeiten mit dem Schlucken (z. B. Kinder).</w:t>
      </w:r>
    </w:p>
    <w:p w14:paraId="126BB1B3"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nicht in der Lage sind, die Kapseln zu schlucken, können Sie die Kapseln öffnen und den Kap</w:t>
      </w:r>
      <w:r w:rsidRPr="00B30A12">
        <w:rPr>
          <w:color w:val="000000"/>
          <w:sz w:val="22"/>
          <w:szCs w:val="22"/>
        </w:rPr>
        <w:softHyphen/>
        <w:t>selinhalt in ein Glas Wasser ohne Kohlensäure oder Apfelsaft geben.</w:t>
      </w:r>
    </w:p>
    <w:p w14:paraId="488CCAD0"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schwanger sind oder schwanger werden können und die Kapseln zu öffnen versuchen, sollten Sie mit dem Inhalt vorsichtig umgehen, um Kontakt mit Haut oder Augen oder das Einatmen des Pulvers zu vermeiden. Waschen Sie unmittelbar danach Ihre Hände.</w:t>
      </w:r>
    </w:p>
    <w:p w14:paraId="5C4D5C89" w14:textId="77777777" w:rsidR="00AB6D5E" w:rsidRPr="00B30A12" w:rsidRDefault="00AB6D5E" w:rsidP="000C47C6">
      <w:pPr>
        <w:widowControl w:val="0"/>
        <w:rPr>
          <w:color w:val="000000"/>
          <w:sz w:val="22"/>
          <w:szCs w:val="22"/>
        </w:rPr>
      </w:pPr>
    </w:p>
    <w:p w14:paraId="1EE3DED8" w14:textId="77777777" w:rsidR="00AB6D5E" w:rsidRPr="00B30A12" w:rsidRDefault="00AB6D5E" w:rsidP="002B313C">
      <w:pPr>
        <w:pStyle w:val="Heading2"/>
        <w:widowControl w:val="0"/>
        <w:numPr>
          <w:ilvl w:val="0"/>
          <w:numId w:val="0"/>
        </w:numPr>
        <w:tabs>
          <w:tab w:val="clear" w:pos="567"/>
        </w:tabs>
        <w:rPr>
          <w:color w:val="000000"/>
          <w:szCs w:val="22"/>
        </w:rPr>
      </w:pPr>
      <w:r w:rsidRPr="00B30A12">
        <w:rPr>
          <w:color w:val="000000"/>
          <w:szCs w:val="22"/>
        </w:rPr>
        <w:lastRenderedPageBreak/>
        <w:t>Wie lange wird Glivec eingenommen?</w:t>
      </w:r>
    </w:p>
    <w:p w14:paraId="26E8CD9A" w14:textId="77777777" w:rsidR="00AB6D5E" w:rsidRPr="00B30A12" w:rsidRDefault="00AB6D5E" w:rsidP="000C47C6">
      <w:pPr>
        <w:widowControl w:val="0"/>
        <w:rPr>
          <w:color w:val="000000"/>
          <w:sz w:val="22"/>
          <w:szCs w:val="22"/>
        </w:rPr>
      </w:pPr>
      <w:r w:rsidRPr="00B30A12">
        <w:rPr>
          <w:color w:val="000000"/>
          <w:sz w:val="22"/>
          <w:szCs w:val="22"/>
        </w:rPr>
        <w:t>Nehmen Sie Glivec jeden Tag ein, solange Ihr Arzt Ihnen dies empfiehlt.</w:t>
      </w:r>
    </w:p>
    <w:p w14:paraId="4C244B36" w14:textId="77777777" w:rsidR="00AB6D5E" w:rsidRPr="00B30A12" w:rsidRDefault="00AB6D5E" w:rsidP="000C47C6">
      <w:pPr>
        <w:widowControl w:val="0"/>
        <w:rPr>
          <w:color w:val="000000"/>
          <w:sz w:val="22"/>
          <w:szCs w:val="22"/>
        </w:rPr>
      </w:pPr>
    </w:p>
    <w:p w14:paraId="27662E49" w14:textId="77777777" w:rsidR="00AB6D5E" w:rsidRPr="00B30A12" w:rsidRDefault="00AB6D5E" w:rsidP="002B313C">
      <w:pPr>
        <w:keepNext/>
        <w:widowControl w:val="0"/>
        <w:rPr>
          <w:color w:val="000000"/>
          <w:sz w:val="22"/>
          <w:szCs w:val="22"/>
        </w:rPr>
      </w:pPr>
      <w:r w:rsidRPr="00B30A12">
        <w:rPr>
          <w:b/>
          <w:color w:val="000000"/>
          <w:sz w:val="22"/>
          <w:szCs w:val="22"/>
        </w:rPr>
        <w:t>Wenn Sie eine größere Menge von Glivec eingenommen haben, als Sie sollten</w:t>
      </w:r>
    </w:p>
    <w:p w14:paraId="160A6DEE" w14:textId="77777777" w:rsidR="00AB6D5E" w:rsidRPr="00B30A12" w:rsidRDefault="00AB6D5E" w:rsidP="000C47C6">
      <w:pPr>
        <w:widowControl w:val="0"/>
        <w:rPr>
          <w:color w:val="000000"/>
          <w:sz w:val="22"/>
          <w:szCs w:val="22"/>
        </w:rPr>
      </w:pPr>
      <w:r w:rsidRPr="00B30A12">
        <w:rPr>
          <w:color w:val="000000"/>
          <w:sz w:val="22"/>
          <w:szCs w:val="22"/>
        </w:rPr>
        <w:t xml:space="preserve">Sprechen Sie bitte </w:t>
      </w:r>
      <w:r w:rsidRPr="00B30A12">
        <w:rPr>
          <w:b/>
          <w:color w:val="000000"/>
          <w:sz w:val="22"/>
          <w:szCs w:val="22"/>
        </w:rPr>
        <w:t>unverzüglich</w:t>
      </w:r>
      <w:r w:rsidRPr="00B30A12">
        <w:rPr>
          <w:color w:val="000000"/>
          <w:sz w:val="22"/>
          <w:szCs w:val="22"/>
        </w:rPr>
        <w:t xml:space="preserve"> mit Ihrem Arzt, wenn Sie unbeabsichtigt zu viele Kapseln Glivec ein</w:t>
      </w:r>
      <w:r w:rsidRPr="00B30A12">
        <w:rPr>
          <w:color w:val="000000"/>
          <w:sz w:val="22"/>
          <w:szCs w:val="22"/>
        </w:rPr>
        <w:softHyphen/>
        <w:t>genommen haben. Es kann sein, dass Sie in diesem Fall eine medizinische Beobachtung benötigen. Bringen Sie die Medikamentenpackung mit.</w:t>
      </w:r>
    </w:p>
    <w:p w14:paraId="2927FAE9" w14:textId="77777777" w:rsidR="00AB6D5E" w:rsidRPr="00B30A12" w:rsidRDefault="00AB6D5E" w:rsidP="000C47C6">
      <w:pPr>
        <w:widowControl w:val="0"/>
        <w:rPr>
          <w:color w:val="000000"/>
          <w:sz w:val="22"/>
          <w:szCs w:val="22"/>
        </w:rPr>
      </w:pPr>
    </w:p>
    <w:p w14:paraId="7DD18000" w14:textId="77777777" w:rsidR="00AB6D5E" w:rsidRPr="00B30A12" w:rsidRDefault="00AB6D5E" w:rsidP="002B313C">
      <w:pPr>
        <w:keepNext/>
        <w:widowControl w:val="0"/>
        <w:rPr>
          <w:b/>
          <w:color w:val="000000"/>
          <w:sz w:val="22"/>
          <w:szCs w:val="22"/>
        </w:rPr>
      </w:pPr>
      <w:r w:rsidRPr="00B30A12">
        <w:rPr>
          <w:b/>
          <w:color w:val="000000"/>
          <w:sz w:val="22"/>
          <w:szCs w:val="22"/>
        </w:rPr>
        <w:t>Wenn Sie die Einnahme von Glivec vergessen haben</w:t>
      </w:r>
    </w:p>
    <w:p w14:paraId="69288B84"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eine Einnahme vergessen haben, nehmen Sie die fehlende Dosis sobald Sie sich daran erinnern. Falls die Einnahme der nächsten Dosis unmittelbar bevorsteht, lassen Sie die vergessene Dosis aus.</w:t>
      </w:r>
    </w:p>
    <w:p w14:paraId="537D292F"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Dann fahren Sie mit Ihrem normalen Einnahmeschema fort.</w:t>
      </w:r>
    </w:p>
    <w:p w14:paraId="03A1CEF0"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 xml:space="preserve">Nehmen Sie nicht die doppelte </w:t>
      </w:r>
      <w:r w:rsidR="00A3411C" w:rsidRPr="00B30A12">
        <w:rPr>
          <w:color w:val="000000"/>
          <w:sz w:val="22"/>
          <w:szCs w:val="22"/>
        </w:rPr>
        <w:t>Menge</w:t>
      </w:r>
      <w:r w:rsidRPr="00B30A12">
        <w:rPr>
          <w:color w:val="000000"/>
          <w:sz w:val="22"/>
          <w:szCs w:val="22"/>
        </w:rPr>
        <w:t xml:space="preserve"> ein, wenn Sie die vorherige Einnahme vergessen haben.</w:t>
      </w:r>
    </w:p>
    <w:p w14:paraId="718C7F03" w14:textId="77777777" w:rsidR="00AB6D5E" w:rsidRPr="00B30A12" w:rsidRDefault="00AB6D5E" w:rsidP="000C47C6">
      <w:pPr>
        <w:widowControl w:val="0"/>
        <w:rPr>
          <w:color w:val="000000"/>
          <w:sz w:val="22"/>
          <w:szCs w:val="22"/>
        </w:rPr>
      </w:pPr>
    </w:p>
    <w:p w14:paraId="35F18E47" w14:textId="77777777" w:rsidR="00AB6D5E" w:rsidRPr="00B30A12" w:rsidRDefault="00AB6D5E" w:rsidP="000C47C6">
      <w:pPr>
        <w:widowControl w:val="0"/>
        <w:rPr>
          <w:color w:val="000000"/>
          <w:sz w:val="22"/>
          <w:szCs w:val="22"/>
        </w:rPr>
      </w:pPr>
      <w:r w:rsidRPr="00B30A12">
        <w:rPr>
          <w:color w:val="000000"/>
          <w:sz w:val="22"/>
          <w:szCs w:val="22"/>
        </w:rPr>
        <w:t xml:space="preserve">Wenn Sie weitere Fragen zur </w:t>
      </w:r>
      <w:r w:rsidR="00BB2626" w:rsidRPr="00B30A12">
        <w:rPr>
          <w:color w:val="000000"/>
          <w:sz w:val="22"/>
          <w:szCs w:val="22"/>
        </w:rPr>
        <w:t>Einnahme</w:t>
      </w:r>
      <w:r w:rsidRPr="00B30A12">
        <w:rPr>
          <w:color w:val="000000"/>
          <w:sz w:val="22"/>
          <w:szCs w:val="22"/>
        </w:rPr>
        <w:t xml:space="preserve"> d</w:t>
      </w:r>
      <w:r w:rsidR="00A3411C" w:rsidRPr="00B30A12">
        <w:rPr>
          <w:color w:val="000000"/>
          <w:sz w:val="22"/>
          <w:szCs w:val="22"/>
        </w:rPr>
        <w:t>ies</w:t>
      </w:r>
      <w:r w:rsidRPr="00B30A12">
        <w:rPr>
          <w:color w:val="000000"/>
          <w:sz w:val="22"/>
          <w:szCs w:val="22"/>
        </w:rPr>
        <w:t xml:space="preserve">es Arzneimittels haben, </w:t>
      </w:r>
      <w:r w:rsidR="00A3411C" w:rsidRPr="00B30A12">
        <w:rPr>
          <w:color w:val="000000"/>
          <w:sz w:val="22"/>
          <w:szCs w:val="22"/>
        </w:rPr>
        <w:t>wenden</w:t>
      </w:r>
      <w:r w:rsidRPr="00B30A12">
        <w:rPr>
          <w:color w:val="000000"/>
          <w:sz w:val="22"/>
          <w:szCs w:val="22"/>
        </w:rPr>
        <w:t xml:space="preserve"> Sie</w:t>
      </w:r>
      <w:r w:rsidR="00A3411C" w:rsidRPr="00B30A12">
        <w:rPr>
          <w:color w:val="000000"/>
          <w:sz w:val="22"/>
          <w:szCs w:val="22"/>
        </w:rPr>
        <w:t xml:space="preserve"> sich an</w:t>
      </w:r>
      <w:r w:rsidRPr="00B30A12">
        <w:rPr>
          <w:color w:val="000000"/>
          <w:sz w:val="22"/>
          <w:szCs w:val="22"/>
        </w:rPr>
        <w:t xml:space="preserve"> Ihren Arzt</w:t>
      </w:r>
      <w:r w:rsidR="00A3411C" w:rsidRPr="00B30A12">
        <w:rPr>
          <w:color w:val="000000"/>
          <w:sz w:val="22"/>
          <w:szCs w:val="22"/>
        </w:rPr>
        <w:t>,</w:t>
      </w:r>
      <w:r w:rsidRPr="00B30A12">
        <w:rPr>
          <w:color w:val="000000"/>
          <w:sz w:val="22"/>
          <w:szCs w:val="22"/>
        </w:rPr>
        <w:t xml:space="preserve"> Apotheker</w:t>
      </w:r>
      <w:r w:rsidR="00A3411C" w:rsidRPr="00B30A12">
        <w:rPr>
          <w:color w:val="000000"/>
          <w:sz w:val="22"/>
          <w:szCs w:val="22"/>
        </w:rPr>
        <w:t xml:space="preserve"> oder </w:t>
      </w:r>
      <w:r w:rsidR="0095506C" w:rsidRPr="00B30A12">
        <w:rPr>
          <w:color w:val="000000"/>
          <w:sz w:val="22"/>
          <w:szCs w:val="22"/>
        </w:rPr>
        <w:t>das medizinische Fachpersonal</w:t>
      </w:r>
      <w:r w:rsidRPr="00B30A12">
        <w:rPr>
          <w:color w:val="000000"/>
          <w:sz w:val="22"/>
          <w:szCs w:val="22"/>
        </w:rPr>
        <w:t>.</w:t>
      </w:r>
    </w:p>
    <w:p w14:paraId="0EEBFAC2" w14:textId="77777777" w:rsidR="00AB6D5E" w:rsidRPr="00B30A12" w:rsidRDefault="00AB6D5E" w:rsidP="000C47C6">
      <w:pPr>
        <w:widowControl w:val="0"/>
        <w:rPr>
          <w:color w:val="000000"/>
          <w:sz w:val="22"/>
          <w:szCs w:val="22"/>
        </w:rPr>
      </w:pPr>
    </w:p>
    <w:p w14:paraId="0DFFAA77" w14:textId="77777777" w:rsidR="00AB6D5E" w:rsidRPr="00B30A12" w:rsidRDefault="00AB6D5E" w:rsidP="000C47C6">
      <w:pPr>
        <w:widowControl w:val="0"/>
        <w:rPr>
          <w:color w:val="000000"/>
          <w:sz w:val="22"/>
          <w:szCs w:val="22"/>
        </w:rPr>
      </w:pPr>
    </w:p>
    <w:p w14:paraId="243B3D5F" w14:textId="77777777" w:rsidR="003A33A6" w:rsidRPr="00B30A12" w:rsidRDefault="003A33A6" w:rsidP="002B313C">
      <w:pPr>
        <w:keepNext/>
        <w:widowControl w:val="0"/>
        <w:tabs>
          <w:tab w:val="left" w:pos="567"/>
        </w:tabs>
        <w:rPr>
          <w:color w:val="000000"/>
          <w:sz w:val="22"/>
          <w:szCs w:val="22"/>
        </w:rPr>
      </w:pPr>
      <w:r w:rsidRPr="00B30A12">
        <w:rPr>
          <w:b/>
          <w:color w:val="000000"/>
          <w:sz w:val="22"/>
          <w:szCs w:val="22"/>
        </w:rPr>
        <w:t>4.</w:t>
      </w:r>
      <w:r w:rsidRPr="00B30A12">
        <w:rPr>
          <w:b/>
          <w:color w:val="000000"/>
          <w:sz w:val="22"/>
          <w:szCs w:val="22"/>
        </w:rPr>
        <w:tab/>
        <w:t>Welche Nebenwirkungen sind möglich?</w:t>
      </w:r>
    </w:p>
    <w:p w14:paraId="0FAE2A73" w14:textId="77777777" w:rsidR="003A33A6" w:rsidRPr="00B30A12" w:rsidRDefault="003A33A6" w:rsidP="002B313C">
      <w:pPr>
        <w:keepNext/>
        <w:widowControl w:val="0"/>
        <w:rPr>
          <w:color w:val="000000"/>
          <w:sz w:val="22"/>
          <w:szCs w:val="22"/>
        </w:rPr>
      </w:pPr>
    </w:p>
    <w:p w14:paraId="279F3573" w14:textId="77777777" w:rsidR="003A33A6" w:rsidRPr="00B30A12" w:rsidRDefault="003A33A6" w:rsidP="000C47C6">
      <w:pPr>
        <w:widowControl w:val="0"/>
        <w:rPr>
          <w:color w:val="000000"/>
          <w:sz w:val="22"/>
          <w:szCs w:val="22"/>
        </w:rPr>
      </w:pPr>
      <w:r w:rsidRPr="00B30A12">
        <w:rPr>
          <w:color w:val="000000"/>
          <w:sz w:val="22"/>
          <w:szCs w:val="22"/>
        </w:rPr>
        <w:t>Wie alle Arzneimittel kann auch dieses Arzneimittel Nebenwirkungen haben, die aber nicht bei jedem auftreten müssen. Diese sind im Allgemeinen von geringem bis mäßigem Schweregrad.</w:t>
      </w:r>
    </w:p>
    <w:p w14:paraId="21D2550C" w14:textId="77777777" w:rsidR="003A33A6" w:rsidRPr="00B30A12" w:rsidRDefault="003A33A6" w:rsidP="000C47C6">
      <w:pPr>
        <w:widowControl w:val="0"/>
        <w:rPr>
          <w:color w:val="000000"/>
          <w:sz w:val="22"/>
          <w:szCs w:val="22"/>
        </w:rPr>
      </w:pPr>
    </w:p>
    <w:p w14:paraId="1D155FCA" w14:textId="77777777" w:rsidR="003A33A6" w:rsidRPr="00B30A12" w:rsidRDefault="003A33A6" w:rsidP="001E3D49">
      <w:pPr>
        <w:keepNext/>
        <w:keepLines/>
        <w:widowControl w:val="0"/>
        <w:rPr>
          <w:b/>
          <w:color w:val="000000"/>
          <w:sz w:val="22"/>
          <w:szCs w:val="22"/>
        </w:rPr>
      </w:pPr>
      <w:r w:rsidRPr="00B30A12">
        <w:rPr>
          <w:b/>
          <w:color w:val="000000"/>
          <w:sz w:val="22"/>
          <w:szCs w:val="22"/>
        </w:rPr>
        <w:t>Einige Nebenwirkungen können schwerwiegend sein. Informieren Sie Ihren Arzt unverzüglich, wenn bei Ihnen eine der folgenden Nebenwirkungen auftritt:</w:t>
      </w:r>
    </w:p>
    <w:p w14:paraId="58088539" w14:textId="77777777" w:rsidR="003A33A6" w:rsidRPr="00B30A12" w:rsidRDefault="003A33A6" w:rsidP="002B313C">
      <w:pPr>
        <w:keepNext/>
        <w:widowControl w:val="0"/>
        <w:rPr>
          <w:color w:val="000000"/>
          <w:sz w:val="22"/>
          <w:szCs w:val="22"/>
        </w:rPr>
      </w:pPr>
    </w:p>
    <w:p w14:paraId="59EBC86D" w14:textId="77777777" w:rsidR="003A33A6" w:rsidRPr="00B30A12" w:rsidRDefault="003A33A6" w:rsidP="001E3D49">
      <w:pPr>
        <w:keepNext/>
        <w:keepLines/>
        <w:widowControl w:val="0"/>
        <w:rPr>
          <w:color w:val="000000"/>
          <w:sz w:val="22"/>
          <w:szCs w:val="22"/>
        </w:rPr>
      </w:pPr>
      <w:r w:rsidRPr="00B30A12">
        <w:rPr>
          <w:b/>
          <w:color w:val="000000"/>
          <w:sz w:val="22"/>
          <w:szCs w:val="22"/>
        </w:rPr>
        <w:t xml:space="preserve">Sehr häufig </w:t>
      </w:r>
      <w:r w:rsidRPr="00B30A12">
        <w:rPr>
          <w:color w:val="000000"/>
          <w:sz w:val="22"/>
          <w:szCs w:val="22"/>
        </w:rPr>
        <w:t>(</w:t>
      </w:r>
      <w:r w:rsidR="00540AAA" w:rsidRPr="00B30A12">
        <w:rPr>
          <w:color w:val="000000"/>
          <w:sz w:val="22"/>
          <w:szCs w:val="22"/>
        </w:rPr>
        <w:t>kann mehr als 1 von 10 Behandelten betreffen</w:t>
      </w:r>
      <w:r w:rsidRPr="00B30A12">
        <w:rPr>
          <w:color w:val="000000"/>
          <w:sz w:val="22"/>
          <w:szCs w:val="22"/>
        </w:rPr>
        <w:t>)</w:t>
      </w:r>
      <w:r w:rsidRPr="00B30A12">
        <w:rPr>
          <w:b/>
          <w:color w:val="000000"/>
          <w:sz w:val="22"/>
          <w:szCs w:val="22"/>
        </w:rPr>
        <w:t xml:space="preserve"> oder häufig </w:t>
      </w:r>
      <w:r w:rsidRPr="00B30A12">
        <w:rPr>
          <w:color w:val="000000"/>
          <w:sz w:val="22"/>
          <w:szCs w:val="22"/>
        </w:rPr>
        <w:t>(</w:t>
      </w:r>
      <w:r w:rsidR="00540AAA" w:rsidRPr="00B30A12">
        <w:rPr>
          <w:color w:val="000000"/>
          <w:sz w:val="22"/>
          <w:szCs w:val="22"/>
        </w:rPr>
        <w:t>kann bis zu 1 von 10 Behandelten betreffen</w:t>
      </w:r>
      <w:r w:rsidRPr="00B30A12">
        <w:rPr>
          <w:color w:val="000000"/>
          <w:sz w:val="22"/>
          <w:szCs w:val="22"/>
        </w:rPr>
        <w:t>):</w:t>
      </w:r>
    </w:p>
    <w:p w14:paraId="4574ECF1" w14:textId="77777777" w:rsidR="003A33A6" w:rsidRPr="00B30A12" w:rsidRDefault="003A33A6" w:rsidP="000C47C6">
      <w:pPr>
        <w:widowControl w:val="0"/>
        <w:numPr>
          <w:ilvl w:val="0"/>
          <w:numId w:val="4"/>
        </w:numPr>
        <w:tabs>
          <w:tab w:val="clear" w:pos="360"/>
        </w:tabs>
        <w:ind w:left="567" w:hanging="567"/>
        <w:rPr>
          <w:color w:val="000000"/>
          <w:sz w:val="22"/>
          <w:szCs w:val="22"/>
        </w:rPr>
      </w:pPr>
      <w:r w:rsidRPr="00B30A12">
        <w:rPr>
          <w:color w:val="000000"/>
          <w:sz w:val="22"/>
          <w:szCs w:val="22"/>
        </w:rPr>
        <w:t>Rasche Gewichtszunahme. Die Behandlung mit Glivec kann dazu führen, dass Ihr Körper beginnt, Wasser einzulagern (schwere Flüssigkeitsretention).</w:t>
      </w:r>
    </w:p>
    <w:p w14:paraId="31B2B03E"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Anzeichen einer Infektion wie Fieber, Schüttelfrost, Halsentzündung oder Mundgeschwüre. Glivec kann die Anzahl der weißen Blutkörperchen vermindern, sodass Sie leichter Infektionen bekommen können.</w:t>
      </w:r>
    </w:p>
    <w:p w14:paraId="2F201A6F" w14:textId="77777777" w:rsidR="003A33A6" w:rsidRPr="00B30A12" w:rsidRDefault="003A33A6" w:rsidP="000C47C6">
      <w:pPr>
        <w:widowControl w:val="0"/>
        <w:numPr>
          <w:ilvl w:val="0"/>
          <w:numId w:val="3"/>
        </w:numPr>
        <w:tabs>
          <w:tab w:val="clear" w:pos="360"/>
        </w:tabs>
        <w:ind w:left="567" w:hanging="567"/>
        <w:rPr>
          <w:color w:val="000000"/>
          <w:sz w:val="22"/>
          <w:szCs w:val="22"/>
        </w:rPr>
      </w:pPr>
      <w:r w:rsidRPr="00B30A12">
        <w:rPr>
          <w:color w:val="000000"/>
          <w:sz w:val="22"/>
          <w:szCs w:val="22"/>
        </w:rPr>
        <w:t>Unerwartete Blutungen oder blaue Flecken (obwohl Sie sich nicht verletzt haben).</w:t>
      </w:r>
    </w:p>
    <w:p w14:paraId="7DA2DAFA" w14:textId="77777777" w:rsidR="003A33A6" w:rsidRPr="00B30A12" w:rsidRDefault="003A33A6" w:rsidP="000C47C6">
      <w:pPr>
        <w:widowControl w:val="0"/>
        <w:rPr>
          <w:color w:val="000000"/>
          <w:sz w:val="22"/>
          <w:szCs w:val="22"/>
        </w:rPr>
      </w:pPr>
    </w:p>
    <w:p w14:paraId="6BB7B409" w14:textId="77777777" w:rsidR="003A33A6" w:rsidRPr="00B30A12" w:rsidRDefault="003A33A6" w:rsidP="002B313C">
      <w:pPr>
        <w:keepNext/>
        <w:widowControl w:val="0"/>
        <w:rPr>
          <w:color w:val="000000"/>
          <w:sz w:val="22"/>
          <w:szCs w:val="22"/>
        </w:rPr>
      </w:pPr>
      <w:r w:rsidRPr="00B30A12">
        <w:rPr>
          <w:b/>
          <w:color w:val="000000"/>
          <w:sz w:val="22"/>
          <w:szCs w:val="22"/>
        </w:rPr>
        <w:t xml:space="preserve">Gelegentlich </w:t>
      </w:r>
      <w:r w:rsidRPr="00B30A12">
        <w:rPr>
          <w:color w:val="000000"/>
          <w:sz w:val="22"/>
          <w:szCs w:val="22"/>
        </w:rPr>
        <w:t>(</w:t>
      </w:r>
      <w:r w:rsidR="00540AAA" w:rsidRPr="00B30A12">
        <w:rPr>
          <w:color w:val="000000"/>
          <w:sz w:val="22"/>
          <w:szCs w:val="22"/>
        </w:rPr>
        <w:t>kann bis zu 1 von 100 Behandelten betreffen</w:t>
      </w:r>
      <w:r w:rsidRPr="00B30A12">
        <w:rPr>
          <w:color w:val="000000"/>
          <w:sz w:val="22"/>
          <w:szCs w:val="22"/>
        </w:rPr>
        <w:t>)</w:t>
      </w:r>
      <w:r w:rsidRPr="00B30A12">
        <w:rPr>
          <w:b/>
          <w:color w:val="000000"/>
          <w:sz w:val="22"/>
          <w:szCs w:val="22"/>
        </w:rPr>
        <w:t xml:space="preserve"> oder selten </w:t>
      </w:r>
      <w:r w:rsidRPr="00B30A12">
        <w:rPr>
          <w:color w:val="000000"/>
          <w:sz w:val="22"/>
          <w:szCs w:val="22"/>
        </w:rPr>
        <w:t>(</w:t>
      </w:r>
      <w:r w:rsidR="00540AAA" w:rsidRPr="00B30A12">
        <w:rPr>
          <w:color w:val="000000"/>
          <w:sz w:val="22"/>
          <w:szCs w:val="22"/>
        </w:rPr>
        <w:t>kann bis zu 1 von 1.000 Behandelten betreffen</w:t>
      </w:r>
      <w:r w:rsidRPr="00B30A12">
        <w:rPr>
          <w:color w:val="000000"/>
          <w:sz w:val="22"/>
          <w:szCs w:val="22"/>
        </w:rPr>
        <w:t>):</w:t>
      </w:r>
    </w:p>
    <w:p w14:paraId="0182A9FF"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Brustschmerzen, unregelmäßiger Herzschlag (Anzeichen von Herzbeschwerden).</w:t>
      </w:r>
    </w:p>
    <w:p w14:paraId="0CC03E55"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Husten, schwieriges oder schmerzhaftes Atmen (Anzeichen von Lungenbeschwerden).</w:t>
      </w:r>
    </w:p>
    <w:p w14:paraId="4623FA2D"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Benommenheit, Schwindel oder Ohnmacht (Anzeichen von niedrigem Blutdruck).</w:t>
      </w:r>
    </w:p>
    <w:p w14:paraId="6D4177A2" w14:textId="77777777" w:rsidR="003A33A6" w:rsidRPr="00B30A12" w:rsidRDefault="003A33A6" w:rsidP="000C47C6">
      <w:pPr>
        <w:widowControl w:val="0"/>
        <w:numPr>
          <w:ilvl w:val="0"/>
          <w:numId w:val="6"/>
        </w:numPr>
        <w:tabs>
          <w:tab w:val="clear" w:pos="360"/>
        </w:tabs>
        <w:ind w:left="567" w:hanging="567"/>
        <w:rPr>
          <w:color w:val="000000"/>
          <w:sz w:val="22"/>
          <w:szCs w:val="22"/>
        </w:rPr>
      </w:pPr>
      <w:r w:rsidRPr="00B30A12">
        <w:rPr>
          <w:color w:val="000000"/>
          <w:sz w:val="22"/>
          <w:szCs w:val="22"/>
        </w:rPr>
        <w:t>Übelkeit mit Appetitverlust, eine dunkle Färbung des Urins, Gelbfärbung der Haut oder Augen (Anzeichen von Leberproblemen).</w:t>
      </w:r>
    </w:p>
    <w:p w14:paraId="03977DF0" w14:textId="77777777" w:rsidR="003A33A6" w:rsidRPr="00B30A12" w:rsidRDefault="003A33A6" w:rsidP="000C47C6">
      <w:pPr>
        <w:widowControl w:val="0"/>
        <w:numPr>
          <w:ilvl w:val="0"/>
          <w:numId w:val="7"/>
        </w:numPr>
        <w:tabs>
          <w:tab w:val="clear" w:pos="360"/>
        </w:tabs>
        <w:ind w:left="567" w:hanging="567"/>
        <w:rPr>
          <w:color w:val="000000"/>
          <w:sz w:val="22"/>
          <w:szCs w:val="22"/>
        </w:rPr>
      </w:pPr>
      <w:r w:rsidRPr="00B30A12">
        <w:rPr>
          <w:color w:val="000000"/>
          <w:sz w:val="22"/>
          <w:szCs w:val="22"/>
        </w:rPr>
        <w:t>Hautausschlag, Hautrötung mit Bläschen auf den Lippen, den Augen, der Haut oder im Mund, Abschälen der Haut, Fieber, rote oder purpurne Flecken auf der Haut, Juckreiz, brennendes Gefühl, Pustelbildung (Anzeichen von Hautproblemen).</w:t>
      </w:r>
    </w:p>
    <w:p w14:paraId="65C70BD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Starke Bauchschmerzen, Blut in Erbrochenem, im Stuhl oder im Urin, schwarzer Stuhl (Anzeichen von Magen-Darm-Erkrankungen).</w:t>
      </w:r>
    </w:p>
    <w:p w14:paraId="201F3FE2"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Stark verminderte Urinmenge, Durst (Anzeichen von Nierenbeschwerden).</w:t>
      </w:r>
    </w:p>
    <w:p w14:paraId="69E27AB8"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Übelkeit mit Durchfall und Erbrechen, Bauchschmerzen oder Fieber (Anzeichen von Darmbeschwerden).</w:t>
      </w:r>
    </w:p>
    <w:p w14:paraId="308AD8D6"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Schwere Kopfschmerzen, Erschlaffen oder Lähmung der Gliedmaßen oder des Gesichts, Schwierigkeiten beim Sprechen, plötzlicher Bewusstseinsverlust (Anzeichen von Beschwerden des Nervensystems wie beispielsweise Blutungen oder Schwellungen in Kopf und Gehirn).</w:t>
      </w:r>
    </w:p>
    <w:p w14:paraId="59AD441C"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Blasse Haut, Müdigkeit, Kurzatmigkeit und Dunkelfärbung des Urins (Anzeichen einer erniedrigten Anzahl roter Blutkörperchen).</w:t>
      </w:r>
    </w:p>
    <w:p w14:paraId="671AD31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lastRenderedPageBreak/>
        <w:t>Augenschmerzen oder Verschlechterung des Sehvermögens, Blutungen in den Augen.</w:t>
      </w:r>
    </w:p>
    <w:p w14:paraId="0B2203C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Schmerzen in der Hüfte oder Schwierigkeiten beim Gehen.</w:t>
      </w:r>
    </w:p>
    <w:p w14:paraId="32F80059"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Taube oder kalte Zehen und Finger (Anzeichen eines Raynaud-Syndroms).</w:t>
      </w:r>
    </w:p>
    <w:p w14:paraId="6F32375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Plötzliche Schwellung und Rötung der Haut (Anzeichen einer bakteriellen Zellgewebsentzündung).</w:t>
      </w:r>
    </w:p>
    <w:p w14:paraId="7482CD3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Schwerhörigkeit.</w:t>
      </w:r>
    </w:p>
    <w:p w14:paraId="59089113"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Erschlaffung der Muskulatur und Muskelkrämpfe mit einem anormalen Herzrhythmus (Anzeichen einer Änderung des Kaliumspiegels im Blut).</w:t>
      </w:r>
    </w:p>
    <w:p w14:paraId="38B25FB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Blaue Flecken.</w:t>
      </w:r>
    </w:p>
    <w:p w14:paraId="2E0FCDB2"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Magenschmerzen mit Übelkeit.</w:t>
      </w:r>
    </w:p>
    <w:p w14:paraId="2F52FF0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Muskelkrämpfe mit Fieber, rotbrauner Urin, Schmerzen oder Muskelschwäche (Anzeichen von Muskelbeschwerden).</w:t>
      </w:r>
    </w:p>
    <w:p w14:paraId="1E0F8A5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Schmerzen im Becken, manchmal zusammen mit Übelkeit und Erbrechen, mit unerwarteter Blutung aus der Scheide, Schwindel oder Ohnmacht wegen eines niedrigen Blutdruckes (Anzeichen für Eierstock- oder Unterleibsbeschwerden).</w:t>
      </w:r>
    </w:p>
    <w:p w14:paraId="5539EAD0" w14:textId="77777777" w:rsidR="007F4F8D" w:rsidRDefault="003A33A6" w:rsidP="007F4F8D">
      <w:pPr>
        <w:widowControl w:val="0"/>
        <w:numPr>
          <w:ilvl w:val="0"/>
          <w:numId w:val="8"/>
        </w:numPr>
        <w:tabs>
          <w:tab w:val="clear" w:pos="360"/>
        </w:tabs>
        <w:ind w:left="567" w:hanging="567"/>
        <w:rPr>
          <w:color w:val="000000"/>
          <w:sz w:val="22"/>
          <w:szCs w:val="22"/>
        </w:rPr>
      </w:pPr>
      <w:r w:rsidRPr="00B30A12">
        <w:rPr>
          <w:color w:val="000000"/>
          <w:sz w:val="22"/>
          <w:szCs w:val="22"/>
        </w:rPr>
        <w:t xml:space="preserve">Übelkeit, Kurzatmigkeit, unregelmäßiger Herzschlag, trüber Urin, Müdigkeit und/oder Gelenkbeschwerden zusammen mit abnormalen Laborwerten (z. B. hohe Kalium-, Harnsäure- und </w:t>
      </w:r>
      <w:r w:rsidR="0046673B" w:rsidRPr="00B30A12">
        <w:rPr>
          <w:color w:val="000000"/>
          <w:sz w:val="22"/>
          <w:szCs w:val="22"/>
        </w:rPr>
        <w:t>Kalzium</w:t>
      </w:r>
      <w:r w:rsidRPr="00B30A12">
        <w:rPr>
          <w:color w:val="000000"/>
          <w:sz w:val="22"/>
          <w:szCs w:val="22"/>
        </w:rPr>
        <w:t xml:space="preserve">spiegel sowie niedrige </w:t>
      </w:r>
      <w:r w:rsidR="0046673B" w:rsidRPr="00B30A12">
        <w:rPr>
          <w:color w:val="000000"/>
          <w:sz w:val="22"/>
          <w:szCs w:val="22"/>
        </w:rPr>
        <w:t>Phosphat</w:t>
      </w:r>
      <w:r w:rsidRPr="00B30A12">
        <w:rPr>
          <w:color w:val="000000"/>
          <w:sz w:val="22"/>
          <w:szCs w:val="22"/>
        </w:rPr>
        <w:t>spiegel im Blut).</w:t>
      </w:r>
    </w:p>
    <w:p w14:paraId="29F21FE8" w14:textId="77777777" w:rsidR="003A33A6" w:rsidRPr="00B30A12" w:rsidRDefault="007F4F8D" w:rsidP="007F4F8D">
      <w:pPr>
        <w:widowControl w:val="0"/>
        <w:numPr>
          <w:ilvl w:val="0"/>
          <w:numId w:val="8"/>
        </w:numPr>
        <w:tabs>
          <w:tab w:val="clear" w:pos="360"/>
        </w:tabs>
        <w:ind w:left="567" w:hanging="567"/>
        <w:rPr>
          <w:color w:val="000000"/>
          <w:sz w:val="22"/>
          <w:szCs w:val="22"/>
        </w:rPr>
      </w:pPr>
      <w:r>
        <w:rPr>
          <w:color w:val="000000"/>
          <w:sz w:val="22"/>
          <w:szCs w:val="22"/>
        </w:rPr>
        <w:t>Blutgerinnsel in kleinen Blutgefäßen (thrombotische Mikroangiopathie).</w:t>
      </w:r>
    </w:p>
    <w:p w14:paraId="48BEC1CD" w14:textId="77777777" w:rsidR="00040717" w:rsidRPr="00B30A12" w:rsidRDefault="00040717" w:rsidP="000C47C6">
      <w:pPr>
        <w:widowControl w:val="0"/>
        <w:rPr>
          <w:color w:val="000000"/>
          <w:sz w:val="22"/>
          <w:szCs w:val="22"/>
        </w:rPr>
      </w:pPr>
    </w:p>
    <w:p w14:paraId="591DA9FE" w14:textId="77777777" w:rsidR="00040717" w:rsidRPr="00B30A12" w:rsidRDefault="00040717" w:rsidP="002B313C">
      <w:pPr>
        <w:keepNext/>
        <w:widowControl w:val="0"/>
        <w:rPr>
          <w:color w:val="000000"/>
          <w:sz w:val="22"/>
          <w:szCs w:val="22"/>
        </w:rPr>
      </w:pPr>
      <w:r w:rsidRPr="00B30A12">
        <w:rPr>
          <w:b/>
          <w:color w:val="000000"/>
          <w:sz w:val="22"/>
          <w:szCs w:val="22"/>
        </w:rPr>
        <w:t>Nicht bekannt</w:t>
      </w:r>
      <w:r w:rsidR="0046673B" w:rsidRPr="00B30A12">
        <w:rPr>
          <w:b/>
          <w:color w:val="000000"/>
          <w:sz w:val="22"/>
          <w:szCs w:val="22"/>
        </w:rPr>
        <w:t xml:space="preserve"> </w:t>
      </w:r>
      <w:r w:rsidR="0046673B" w:rsidRPr="00B30A12">
        <w:rPr>
          <w:color w:val="000000"/>
          <w:sz w:val="22"/>
          <w:szCs w:val="22"/>
        </w:rPr>
        <w:t>(Häufigkeit auf Grundlage der verfügbaren Daten nicht abschätzbar)</w:t>
      </w:r>
      <w:r w:rsidRPr="00B30A12">
        <w:rPr>
          <w:color w:val="000000"/>
          <w:sz w:val="22"/>
          <w:szCs w:val="22"/>
        </w:rPr>
        <w:t>:</w:t>
      </w:r>
    </w:p>
    <w:p w14:paraId="620F4AEA" w14:textId="77777777" w:rsidR="009522CA" w:rsidRPr="00B30A12" w:rsidRDefault="009522CA" w:rsidP="002B313C">
      <w:pPr>
        <w:keepNext/>
        <w:widowControl w:val="0"/>
        <w:numPr>
          <w:ilvl w:val="0"/>
          <w:numId w:val="4"/>
        </w:numPr>
        <w:tabs>
          <w:tab w:val="clear" w:pos="360"/>
        </w:tabs>
        <w:ind w:left="567" w:hanging="567"/>
        <w:rPr>
          <w:color w:val="000000"/>
          <w:sz w:val="22"/>
          <w:szCs w:val="22"/>
        </w:rPr>
      </w:pPr>
      <w:r w:rsidRPr="00B30A12">
        <w:rPr>
          <w:color w:val="000000"/>
          <w:sz w:val="22"/>
          <w:szCs w:val="22"/>
        </w:rPr>
        <w:t>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w:t>
      </w:r>
    </w:p>
    <w:p w14:paraId="7FB9E472" w14:textId="77777777" w:rsidR="009522CA" w:rsidRPr="00B30A12" w:rsidRDefault="009522CA" w:rsidP="002B313C">
      <w:pPr>
        <w:keepNext/>
        <w:widowControl w:val="0"/>
        <w:numPr>
          <w:ilvl w:val="0"/>
          <w:numId w:val="4"/>
        </w:numPr>
        <w:tabs>
          <w:tab w:val="clear" w:pos="360"/>
        </w:tabs>
        <w:ind w:left="567" w:hanging="567"/>
        <w:rPr>
          <w:color w:val="000000"/>
          <w:sz w:val="22"/>
          <w:szCs w:val="22"/>
        </w:rPr>
      </w:pPr>
      <w:r w:rsidRPr="00B30A12">
        <w:rPr>
          <w:color w:val="000000"/>
          <w:sz w:val="22"/>
          <w:szCs w:val="22"/>
        </w:rPr>
        <w:t>Chronisches Nierenversagen.</w:t>
      </w:r>
    </w:p>
    <w:p w14:paraId="197DE9C5" w14:textId="77777777" w:rsidR="009522CA" w:rsidRPr="00B30A12" w:rsidRDefault="009522CA" w:rsidP="002B313C">
      <w:pPr>
        <w:keepNext/>
        <w:widowControl w:val="0"/>
        <w:numPr>
          <w:ilvl w:val="0"/>
          <w:numId w:val="4"/>
        </w:numPr>
        <w:tabs>
          <w:tab w:val="clear" w:pos="360"/>
        </w:tabs>
        <w:ind w:left="567" w:hanging="567"/>
        <w:rPr>
          <w:color w:val="000000"/>
          <w:sz w:val="22"/>
          <w:szCs w:val="22"/>
        </w:rPr>
      </w:pPr>
      <w:r w:rsidRPr="00B30A12">
        <w:rPr>
          <w:color w:val="000000"/>
          <w:sz w:val="22"/>
          <w:szCs w:val="22"/>
        </w:rPr>
        <w:t>Erneutes Auftreten (Reaktivierung) einer Hepatitis-B-Infektion, wenn Sie in der Vergangenheit bereits Hepatitis B (eine Leberinfektion) hatten.</w:t>
      </w:r>
    </w:p>
    <w:p w14:paraId="0E7DE3E4" w14:textId="77777777" w:rsidR="00040717" w:rsidRPr="00B30A12" w:rsidRDefault="00040717" w:rsidP="002B313C">
      <w:pPr>
        <w:keepNext/>
        <w:widowControl w:val="0"/>
        <w:rPr>
          <w:color w:val="000000"/>
          <w:sz w:val="22"/>
          <w:szCs w:val="22"/>
        </w:rPr>
      </w:pPr>
    </w:p>
    <w:p w14:paraId="0E9C5395" w14:textId="77777777" w:rsidR="003A33A6" w:rsidRPr="00B30A12" w:rsidRDefault="003A33A6" w:rsidP="000C47C6">
      <w:pPr>
        <w:widowControl w:val="0"/>
        <w:rPr>
          <w:color w:val="000000"/>
          <w:sz w:val="22"/>
          <w:szCs w:val="22"/>
        </w:rPr>
      </w:pPr>
      <w:r w:rsidRPr="00B30A12">
        <w:rPr>
          <w:color w:val="000000"/>
          <w:sz w:val="22"/>
          <w:szCs w:val="22"/>
        </w:rPr>
        <w:t xml:space="preserve">Falls bei Ihnen eine der genannten Nebenwirkungen auftritt, </w:t>
      </w:r>
      <w:r w:rsidRPr="00B30A12">
        <w:rPr>
          <w:b/>
          <w:color w:val="000000"/>
          <w:sz w:val="22"/>
          <w:szCs w:val="22"/>
        </w:rPr>
        <w:t>informieren Sie unverzüglich Ihren Arzt.</w:t>
      </w:r>
    </w:p>
    <w:p w14:paraId="1E3F45FC" w14:textId="77777777" w:rsidR="003A33A6" w:rsidRPr="00B30A12" w:rsidRDefault="003A33A6" w:rsidP="000C47C6">
      <w:pPr>
        <w:widowControl w:val="0"/>
        <w:rPr>
          <w:color w:val="000000"/>
          <w:sz w:val="22"/>
          <w:szCs w:val="22"/>
        </w:rPr>
      </w:pPr>
    </w:p>
    <w:p w14:paraId="7C6C99A1" w14:textId="77777777" w:rsidR="003A33A6" w:rsidRPr="00B30A12" w:rsidRDefault="003A33A6" w:rsidP="002B313C">
      <w:pPr>
        <w:keepNext/>
        <w:widowControl w:val="0"/>
        <w:rPr>
          <w:b/>
          <w:color w:val="000000"/>
          <w:sz w:val="22"/>
          <w:szCs w:val="22"/>
        </w:rPr>
      </w:pPr>
      <w:r w:rsidRPr="00B30A12">
        <w:rPr>
          <w:b/>
          <w:color w:val="000000"/>
          <w:sz w:val="22"/>
          <w:szCs w:val="22"/>
        </w:rPr>
        <w:t>Andere Nebenwirkungen können umfassen:</w:t>
      </w:r>
    </w:p>
    <w:p w14:paraId="6D4EA175" w14:textId="77777777" w:rsidR="003A33A6" w:rsidRPr="00B30A12" w:rsidRDefault="003A33A6" w:rsidP="002B313C">
      <w:pPr>
        <w:keepNext/>
        <w:widowControl w:val="0"/>
        <w:rPr>
          <w:color w:val="000000"/>
          <w:sz w:val="22"/>
          <w:szCs w:val="22"/>
        </w:rPr>
      </w:pPr>
    </w:p>
    <w:p w14:paraId="7C94FBF6" w14:textId="77777777" w:rsidR="003A33A6" w:rsidRPr="00B30A12" w:rsidRDefault="003A33A6" w:rsidP="002B313C">
      <w:pPr>
        <w:keepNext/>
        <w:widowControl w:val="0"/>
        <w:rPr>
          <w:color w:val="000000"/>
          <w:sz w:val="22"/>
          <w:szCs w:val="22"/>
        </w:rPr>
      </w:pPr>
      <w:r w:rsidRPr="00B30A12">
        <w:rPr>
          <w:b/>
          <w:color w:val="000000"/>
          <w:sz w:val="22"/>
          <w:szCs w:val="22"/>
        </w:rPr>
        <w:t xml:space="preserve">Sehr häufig </w:t>
      </w:r>
      <w:r w:rsidRPr="00B30A12">
        <w:rPr>
          <w:color w:val="000000"/>
          <w:sz w:val="22"/>
          <w:szCs w:val="22"/>
        </w:rPr>
        <w:t>(</w:t>
      </w:r>
      <w:r w:rsidR="00540AAA" w:rsidRPr="00B30A12">
        <w:rPr>
          <w:color w:val="000000"/>
          <w:sz w:val="22"/>
          <w:szCs w:val="22"/>
        </w:rPr>
        <w:t>kann mehr als 1 von 10 Behandelten betreffen</w:t>
      </w:r>
      <w:r w:rsidRPr="00B30A12">
        <w:rPr>
          <w:color w:val="000000"/>
          <w:sz w:val="22"/>
          <w:szCs w:val="22"/>
        </w:rPr>
        <w:t>):</w:t>
      </w:r>
    </w:p>
    <w:p w14:paraId="7A93134F"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Kopfschmerzen oder Müdigkeit.</w:t>
      </w:r>
    </w:p>
    <w:p w14:paraId="7758C325"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Übelkeit, Erbrechen, Durchfall oder Verdauungsstörungen.</w:t>
      </w:r>
    </w:p>
    <w:p w14:paraId="23434F9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Hautausschlag.</w:t>
      </w:r>
    </w:p>
    <w:p w14:paraId="68520689"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Muskelkrämpfe oder Gelenk-, Muskel- oder Knochenschmerzen</w:t>
      </w:r>
      <w:r w:rsidR="00613598" w:rsidRPr="00B30A12">
        <w:rPr>
          <w:color w:val="000000"/>
          <w:sz w:val="22"/>
          <w:szCs w:val="22"/>
        </w:rPr>
        <w:t>, während der Behandlung mit Glivec oder nachdem Sie die Einnahme von Glivec beendet haben</w:t>
      </w:r>
      <w:r w:rsidRPr="00B30A12">
        <w:rPr>
          <w:color w:val="000000"/>
          <w:sz w:val="22"/>
          <w:szCs w:val="22"/>
        </w:rPr>
        <w:t>.</w:t>
      </w:r>
    </w:p>
    <w:p w14:paraId="2DD1A111"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Schwellungen wie Gelenkschwellungen oder geschwollene Augen.</w:t>
      </w:r>
    </w:p>
    <w:p w14:paraId="5E1CE736" w14:textId="77777777" w:rsidR="003A33A6" w:rsidRPr="00B30A12" w:rsidRDefault="003A33A6" w:rsidP="001E3D49">
      <w:pPr>
        <w:keepNext/>
        <w:widowControl w:val="0"/>
        <w:numPr>
          <w:ilvl w:val="0"/>
          <w:numId w:val="8"/>
        </w:numPr>
        <w:tabs>
          <w:tab w:val="clear" w:pos="360"/>
        </w:tabs>
        <w:ind w:left="567" w:hanging="567"/>
        <w:rPr>
          <w:color w:val="000000"/>
          <w:sz w:val="22"/>
          <w:szCs w:val="22"/>
        </w:rPr>
      </w:pPr>
      <w:r w:rsidRPr="00B30A12">
        <w:rPr>
          <w:color w:val="000000"/>
          <w:sz w:val="22"/>
          <w:szCs w:val="22"/>
        </w:rPr>
        <w:t>Gewichtszunahme.</w:t>
      </w:r>
    </w:p>
    <w:p w14:paraId="15DEDAE3" w14:textId="77777777" w:rsidR="003A33A6" w:rsidRPr="00B30A12" w:rsidRDefault="003A33A6" w:rsidP="000C47C6">
      <w:pPr>
        <w:widowControl w:val="0"/>
        <w:rPr>
          <w:b/>
          <w:color w:val="000000"/>
          <w:sz w:val="22"/>
          <w:szCs w:val="22"/>
        </w:rPr>
      </w:pPr>
      <w:r w:rsidRPr="00B30A12">
        <w:rPr>
          <w:color w:val="000000"/>
          <w:sz w:val="22"/>
          <w:szCs w:val="22"/>
        </w:rPr>
        <w:t xml:space="preserve">Wenn Sie einer dieser Effekte in starkem Maße betrifft, </w:t>
      </w:r>
      <w:r w:rsidRPr="00B30A12">
        <w:rPr>
          <w:b/>
          <w:color w:val="000000"/>
          <w:sz w:val="22"/>
          <w:szCs w:val="22"/>
        </w:rPr>
        <w:t>informieren Sie Ihren Arzt.</w:t>
      </w:r>
    </w:p>
    <w:p w14:paraId="217FE8E5" w14:textId="77777777" w:rsidR="003A33A6" w:rsidRPr="00B30A12" w:rsidRDefault="003A33A6" w:rsidP="000C47C6">
      <w:pPr>
        <w:widowControl w:val="0"/>
        <w:rPr>
          <w:color w:val="000000"/>
          <w:sz w:val="22"/>
          <w:szCs w:val="22"/>
        </w:rPr>
      </w:pPr>
    </w:p>
    <w:p w14:paraId="43165609" w14:textId="77777777" w:rsidR="003A33A6" w:rsidRPr="00B30A12" w:rsidRDefault="003A33A6" w:rsidP="002B313C">
      <w:pPr>
        <w:keepNext/>
        <w:widowControl w:val="0"/>
        <w:rPr>
          <w:i/>
          <w:color w:val="000000"/>
          <w:sz w:val="22"/>
          <w:szCs w:val="22"/>
        </w:rPr>
      </w:pPr>
      <w:r w:rsidRPr="00B30A12">
        <w:rPr>
          <w:b/>
          <w:color w:val="000000"/>
          <w:sz w:val="22"/>
          <w:szCs w:val="22"/>
        </w:rPr>
        <w:t xml:space="preserve">Häufig </w:t>
      </w:r>
      <w:r w:rsidRPr="00B30A12">
        <w:rPr>
          <w:color w:val="000000"/>
          <w:sz w:val="22"/>
          <w:szCs w:val="22"/>
        </w:rPr>
        <w:t>(</w:t>
      </w:r>
      <w:r w:rsidR="00540AAA" w:rsidRPr="00B30A12">
        <w:rPr>
          <w:color w:val="000000"/>
          <w:sz w:val="22"/>
          <w:szCs w:val="22"/>
        </w:rPr>
        <w:t>kann bis zu 1 von 10 Behandelten betreffen</w:t>
      </w:r>
      <w:r w:rsidRPr="00B30A12">
        <w:rPr>
          <w:color w:val="000000"/>
          <w:sz w:val="22"/>
          <w:szCs w:val="22"/>
        </w:rPr>
        <w:t>):</w:t>
      </w:r>
    </w:p>
    <w:p w14:paraId="4AEF5DA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Appetitverlust, Gewichtsverlust oder Geschmacks</w:t>
      </w:r>
      <w:r w:rsidRPr="00B30A12">
        <w:rPr>
          <w:color w:val="000000"/>
          <w:sz w:val="22"/>
          <w:szCs w:val="22"/>
        </w:rPr>
        <w:softHyphen/>
        <w:t>störungen.</w:t>
      </w:r>
    </w:p>
    <w:p w14:paraId="5BE7B278"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Schwindel oder Schwächegefühl.</w:t>
      </w:r>
    </w:p>
    <w:p w14:paraId="62B67C49"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Schlaflosigkeit.</w:t>
      </w:r>
    </w:p>
    <w:p w14:paraId="0DCADC6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Augenirritationen mit Juckreiz, Rötung und Schwellung (Bindehautentzündung), vermehrter Tränenfluss oder verschwommenes Sehen.</w:t>
      </w:r>
    </w:p>
    <w:p w14:paraId="3A772E9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Nasenbluten.</w:t>
      </w:r>
    </w:p>
    <w:p w14:paraId="09444841"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Bauchschmerzen oder Bläh</w:t>
      </w:r>
      <w:r w:rsidRPr="00B30A12">
        <w:rPr>
          <w:color w:val="000000"/>
          <w:sz w:val="22"/>
          <w:szCs w:val="22"/>
        </w:rPr>
        <w:softHyphen/>
        <w:t>bauch, Blähungen, Sodbrennen oder Verstopfung.</w:t>
      </w:r>
    </w:p>
    <w:p w14:paraId="1B94ABD3"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Jucken.</w:t>
      </w:r>
    </w:p>
    <w:p w14:paraId="319078B2"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Ungewöhnlicher Haarverlust oder Ausdünnen der Haare.</w:t>
      </w:r>
    </w:p>
    <w:p w14:paraId="0E73239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Taubheit an Händen und Füßen.</w:t>
      </w:r>
    </w:p>
    <w:p w14:paraId="722983B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lastRenderedPageBreak/>
        <w:t>Entzündungen im Mund.</w:t>
      </w:r>
    </w:p>
    <w:p w14:paraId="3DAFDDB9"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Gelenkschwellungen und Gelenkschmerzen.</w:t>
      </w:r>
    </w:p>
    <w:p w14:paraId="1ED9E9FC"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Mundtrockenheit, trockene Haut oder trockene Augen.</w:t>
      </w:r>
    </w:p>
    <w:p w14:paraId="28F231F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Verminderte oder erhöhte Hautempfindlichkeit.</w:t>
      </w:r>
    </w:p>
    <w:p w14:paraId="6E741DF5" w14:textId="77777777" w:rsidR="003A33A6" w:rsidRPr="00B30A12" w:rsidRDefault="003A33A6" w:rsidP="001E3D49">
      <w:pPr>
        <w:keepNext/>
        <w:widowControl w:val="0"/>
        <w:numPr>
          <w:ilvl w:val="0"/>
          <w:numId w:val="8"/>
        </w:numPr>
        <w:tabs>
          <w:tab w:val="clear" w:pos="360"/>
        </w:tabs>
        <w:ind w:left="567" w:hanging="567"/>
        <w:rPr>
          <w:color w:val="000000"/>
          <w:sz w:val="22"/>
          <w:szCs w:val="22"/>
        </w:rPr>
      </w:pPr>
      <w:r w:rsidRPr="00B30A12">
        <w:rPr>
          <w:color w:val="000000"/>
          <w:sz w:val="22"/>
          <w:szCs w:val="22"/>
        </w:rPr>
        <w:t>Hitzewallungen, Schüttelfrost oder Nachtschweiß.</w:t>
      </w:r>
    </w:p>
    <w:p w14:paraId="77AE2D8C" w14:textId="77777777" w:rsidR="003A33A6" w:rsidRPr="00B30A12" w:rsidRDefault="003A33A6" w:rsidP="000C47C6">
      <w:pPr>
        <w:widowControl w:val="0"/>
        <w:rPr>
          <w:b/>
          <w:color w:val="000000"/>
          <w:sz w:val="22"/>
          <w:szCs w:val="22"/>
        </w:rPr>
      </w:pPr>
      <w:r w:rsidRPr="00B30A12">
        <w:rPr>
          <w:color w:val="000000"/>
          <w:sz w:val="22"/>
          <w:szCs w:val="22"/>
        </w:rPr>
        <w:t xml:space="preserve">Wenn Sie einer dieser Effekte in starkem Maße betrifft, </w:t>
      </w:r>
      <w:r w:rsidRPr="00B30A12">
        <w:rPr>
          <w:b/>
          <w:color w:val="000000"/>
          <w:sz w:val="22"/>
          <w:szCs w:val="22"/>
        </w:rPr>
        <w:t>informieren Sie Ihren Arzt.</w:t>
      </w:r>
    </w:p>
    <w:p w14:paraId="70164346" w14:textId="77777777" w:rsidR="003A33A6" w:rsidRPr="00B30A12" w:rsidRDefault="003A33A6" w:rsidP="000C47C6">
      <w:pPr>
        <w:widowControl w:val="0"/>
        <w:rPr>
          <w:color w:val="000000"/>
          <w:sz w:val="22"/>
          <w:szCs w:val="22"/>
        </w:rPr>
      </w:pPr>
    </w:p>
    <w:p w14:paraId="211FD888" w14:textId="77777777" w:rsidR="003A33A6" w:rsidRPr="00B30A12" w:rsidRDefault="003A33A6" w:rsidP="002B313C">
      <w:pPr>
        <w:keepNext/>
        <w:widowControl w:val="0"/>
        <w:rPr>
          <w:color w:val="000000"/>
          <w:sz w:val="22"/>
          <w:szCs w:val="22"/>
        </w:rPr>
      </w:pPr>
      <w:r w:rsidRPr="00B30A12">
        <w:rPr>
          <w:b/>
          <w:color w:val="000000"/>
          <w:sz w:val="22"/>
          <w:szCs w:val="22"/>
        </w:rPr>
        <w:t xml:space="preserve">Nicht bekannt </w:t>
      </w:r>
      <w:r w:rsidRPr="00B30A12">
        <w:rPr>
          <w:color w:val="000000"/>
          <w:sz w:val="22"/>
          <w:szCs w:val="22"/>
        </w:rPr>
        <w:t>(Häufigkeit auf Grundlage der verfügbaren Daten nicht abschätzbar):</w:t>
      </w:r>
    </w:p>
    <w:p w14:paraId="5DC295DF" w14:textId="77777777" w:rsidR="003A33A6" w:rsidRDefault="003A33A6" w:rsidP="002B313C">
      <w:pPr>
        <w:keepNext/>
        <w:widowControl w:val="0"/>
        <w:numPr>
          <w:ilvl w:val="0"/>
          <w:numId w:val="8"/>
        </w:numPr>
        <w:tabs>
          <w:tab w:val="clear" w:pos="360"/>
        </w:tabs>
        <w:ind w:left="567" w:hanging="567"/>
        <w:rPr>
          <w:color w:val="000000"/>
          <w:sz w:val="22"/>
          <w:szCs w:val="22"/>
        </w:rPr>
      </w:pPr>
      <w:r w:rsidRPr="00B30A12">
        <w:rPr>
          <w:color w:val="000000"/>
          <w:sz w:val="22"/>
          <w:szCs w:val="22"/>
        </w:rPr>
        <w:t>Rötung und/oder Schwellung der Handflächen und Fußsohlen, das von Kribbeln und brennendem Schmerz begleitet sein kann.</w:t>
      </w:r>
    </w:p>
    <w:p w14:paraId="0CFC7C42" w14:textId="77777777" w:rsidR="00935428" w:rsidRPr="002C0CB2" w:rsidRDefault="00935428" w:rsidP="00935428">
      <w:pPr>
        <w:keepNext/>
        <w:widowControl w:val="0"/>
        <w:numPr>
          <w:ilvl w:val="0"/>
          <w:numId w:val="8"/>
        </w:numPr>
        <w:tabs>
          <w:tab w:val="clear" w:pos="360"/>
        </w:tabs>
        <w:ind w:left="567" w:hanging="567"/>
        <w:rPr>
          <w:color w:val="000000"/>
          <w:sz w:val="22"/>
          <w:szCs w:val="22"/>
        </w:rPr>
      </w:pPr>
      <w:r w:rsidRPr="00935428">
        <w:rPr>
          <w:color w:val="000000"/>
          <w:sz w:val="22"/>
          <w:szCs w:val="22"/>
        </w:rPr>
        <w:t>Schmerzhafte und/oder blasenbildende Hautveränderungen.</w:t>
      </w:r>
    </w:p>
    <w:p w14:paraId="4D37A733" w14:textId="77777777" w:rsidR="003A33A6" w:rsidRPr="00B30A12" w:rsidRDefault="003A33A6" w:rsidP="002B313C">
      <w:pPr>
        <w:keepNext/>
        <w:widowControl w:val="0"/>
        <w:numPr>
          <w:ilvl w:val="0"/>
          <w:numId w:val="8"/>
        </w:numPr>
        <w:tabs>
          <w:tab w:val="clear" w:pos="360"/>
        </w:tabs>
        <w:ind w:left="567" w:hanging="567"/>
        <w:rPr>
          <w:color w:val="000000"/>
          <w:sz w:val="22"/>
          <w:szCs w:val="22"/>
        </w:rPr>
      </w:pPr>
      <w:r w:rsidRPr="00B30A12">
        <w:rPr>
          <w:color w:val="000000"/>
          <w:sz w:val="22"/>
          <w:szCs w:val="22"/>
        </w:rPr>
        <w:t>Verlangsamtes Wachstum bei Kindern und Jugendlichen.</w:t>
      </w:r>
    </w:p>
    <w:p w14:paraId="6B162458" w14:textId="77777777" w:rsidR="003A33A6" w:rsidRPr="00B30A12" w:rsidRDefault="003A33A6" w:rsidP="000C47C6">
      <w:pPr>
        <w:widowControl w:val="0"/>
        <w:rPr>
          <w:b/>
          <w:color w:val="000000"/>
          <w:sz w:val="22"/>
          <w:szCs w:val="22"/>
        </w:rPr>
      </w:pPr>
      <w:r w:rsidRPr="00B30A12">
        <w:rPr>
          <w:color w:val="000000"/>
          <w:sz w:val="22"/>
          <w:szCs w:val="22"/>
        </w:rPr>
        <w:t xml:space="preserve">Wenn Sie eine dieser Nebenwirkungen in starkem Maße betrifft, </w:t>
      </w:r>
      <w:r w:rsidRPr="00B30A12">
        <w:rPr>
          <w:b/>
          <w:color w:val="000000"/>
          <w:sz w:val="22"/>
          <w:szCs w:val="22"/>
        </w:rPr>
        <w:t>informieren Sie Ihren Arzt.</w:t>
      </w:r>
    </w:p>
    <w:p w14:paraId="4B7D357C" w14:textId="77777777" w:rsidR="003A33A6" w:rsidRPr="00B30A12" w:rsidRDefault="003A33A6" w:rsidP="000C47C6">
      <w:pPr>
        <w:widowControl w:val="0"/>
        <w:rPr>
          <w:color w:val="000000"/>
          <w:sz w:val="22"/>
          <w:szCs w:val="22"/>
        </w:rPr>
      </w:pPr>
    </w:p>
    <w:p w14:paraId="1D79B715" w14:textId="77777777" w:rsidR="003A33A6" w:rsidRPr="00B30A12" w:rsidRDefault="003A33A6" w:rsidP="002B313C">
      <w:pPr>
        <w:pStyle w:val="Text"/>
        <w:keepNext/>
        <w:widowControl w:val="0"/>
        <w:spacing w:before="0"/>
        <w:jc w:val="left"/>
        <w:rPr>
          <w:b/>
          <w:color w:val="000000"/>
          <w:sz w:val="22"/>
          <w:szCs w:val="22"/>
          <w:lang w:val="de-DE"/>
        </w:rPr>
      </w:pPr>
      <w:r w:rsidRPr="00B30A12">
        <w:rPr>
          <w:b/>
          <w:color w:val="000000"/>
          <w:sz w:val="22"/>
          <w:szCs w:val="22"/>
          <w:lang w:val="de-DE"/>
        </w:rPr>
        <w:t>Meldung von Nebenwirkungen</w:t>
      </w:r>
    </w:p>
    <w:p w14:paraId="61715CB8" w14:textId="77777777" w:rsidR="003A33A6" w:rsidRPr="00B30A12" w:rsidRDefault="003A33A6" w:rsidP="000C47C6">
      <w:pPr>
        <w:widowControl w:val="0"/>
        <w:rPr>
          <w:b/>
          <w:color w:val="000000"/>
          <w:sz w:val="22"/>
          <w:szCs w:val="22"/>
        </w:rPr>
      </w:pPr>
      <w:r w:rsidRPr="00B30A12">
        <w:rPr>
          <w:color w:val="000000"/>
          <w:sz w:val="22"/>
          <w:szCs w:val="22"/>
        </w:rPr>
        <w:t>Wenn Sie Nebenwirkungen bemerken, wenden Sie sich an Ihren Arzt, Apotheker oder das medizinische Fachpersonal. Dies gilt auch für Nebenwirkungen, die nicht in dieser Packungsbeilage angegeben sind.</w:t>
      </w:r>
      <w:r w:rsidRPr="00B30A12">
        <w:rPr>
          <w:noProof/>
          <w:sz w:val="22"/>
          <w:szCs w:val="22"/>
        </w:rPr>
        <w:t xml:space="preserve"> Sie können Nebenwirkungen auch direkt über </w:t>
      </w:r>
      <w:r w:rsidRPr="00B30A12">
        <w:rPr>
          <w:noProof/>
          <w:sz w:val="22"/>
          <w:szCs w:val="22"/>
          <w:shd w:val="pct15" w:color="auto" w:fill="auto"/>
        </w:rPr>
        <w:t xml:space="preserve">das in </w:t>
      </w:r>
      <w:hyperlink r:id="rId16" w:history="1">
        <w:r w:rsidRPr="00B30A12">
          <w:rPr>
            <w:rStyle w:val="Hyperlink"/>
            <w:noProof/>
            <w:sz w:val="22"/>
            <w:szCs w:val="22"/>
            <w:shd w:val="pct15" w:color="auto" w:fill="auto"/>
          </w:rPr>
          <w:t>Anhang V</w:t>
        </w:r>
      </w:hyperlink>
      <w:r w:rsidRPr="00B30A12">
        <w:rPr>
          <w:noProof/>
          <w:sz w:val="22"/>
          <w:szCs w:val="22"/>
          <w:shd w:val="pct15" w:color="auto" w:fill="auto"/>
        </w:rPr>
        <w:t xml:space="preserve"> aufgeführte nationale Meldesystem</w:t>
      </w:r>
      <w:r w:rsidRPr="00B30A12">
        <w:rPr>
          <w:noProof/>
          <w:sz w:val="22"/>
          <w:szCs w:val="22"/>
        </w:rPr>
        <w:t xml:space="preserve"> anzeigen.</w:t>
      </w:r>
      <w:r w:rsidRPr="00B30A12">
        <w:rPr>
          <w:sz w:val="22"/>
          <w:szCs w:val="22"/>
        </w:rPr>
        <w:t xml:space="preserve"> </w:t>
      </w:r>
      <w:r w:rsidRPr="00B30A12">
        <w:rPr>
          <w:noProof/>
          <w:sz w:val="22"/>
          <w:szCs w:val="22"/>
        </w:rPr>
        <w:t>Indem Sie Nebenwirkungen melden, können Sie dazu beitragen, dass mehr Informationen über die Sicherheit dieses Arzneimittels zur Verfügung gestellt werden.</w:t>
      </w:r>
    </w:p>
    <w:p w14:paraId="54FEF29B" w14:textId="77777777" w:rsidR="003A33A6" w:rsidRPr="00B30A12" w:rsidRDefault="003A33A6" w:rsidP="000C47C6">
      <w:pPr>
        <w:pStyle w:val="Header"/>
        <w:widowControl w:val="0"/>
        <w:tabs>
          <w:tab w:val="clear" w:pos="4320"/>
          <w:tab w:val="clear" w:pos="8640"/>
        </w:tabs>
        <w:rPr>
          <w:color w:val="000000"/>
          <w:szCs w:val="22"/>
        </w:rPr>
      </w:pPr>
    </w:p>
    <w:p w14:paraId="53AE1680" w14:textId="77777777" w:rsidR="003A33A6" w:rsidRPr="00B30A12" w:rsidRDefault="003A33A6" w:rsidP="000C47C6">
      <w:pPr>
        <w:widowControl w:val="0"/>
        <w:rPr>
          <w:color w:val="000000"/>
          <w:sz w:val="22"/>
          <w:szCs w:val="22"/>
        </w:rPr>
      </w:pPr>
    </w:p>
    <w:p w14:paraId="58A1FF72" w14:textId="77777777" w:rsidR="007217B7" w:rsidRPr="00B30A12" w:rsidRDefault="007217B7" w:rsidP="002B313C">
      <w:pPr>
        <w:keepNext/>
        <w:widowControl w:val="0"/>
        <w:ind w:left="567" w:hanging="567"/>
        <w:rPr>
          <w:color w:val="000000"/>
          <w:sz w:val="22"/>
          <w:szCs w:val="22"/>
        </w:rPr>
      </w:pPr>
      <w:r w:rsidRPr="00B30A12">
        <w:rPr>
          <w:b/>
          <w:color w:val="000000"/>
          <w:sz w:val="22"/>
          <w:szCs w:val="22"/>
        </w:rPr>
        <w:t>5.</w:t>
      </w:r>
      <w:r w:rsidRPr="00B30A12">
        <w:rPr>
          <w:b/>
          <w:color w:val="000000"/>
          <w:sz w:val="22"/>
          <w:szCs w:val="22"/>
        </w:rPr>
        <w:tab/>
        <w:t>Wie ist Glivec aufzubewahren?</w:t>
      </w:r>
    </w:p>
    <w:p w14:paraId="59D1952D" w14:textId="77777777" w:rsidR="007217B7" w:rsidRPr="00B30A12" w:rsidRDefault="007217B7" w:rsidP="002B313C">
      <w:pPr>
        <w:keepNext/>
        <w:widowControl w:val="0"/>
        <w:rPr>
          <w:color w:val="000000"/>
          <w:sz w:val="22"/>
          <w:szCs w:val="22"/>
        </w:rPr>
      </w:pPr>
    </w:p>
    <w:p w14:paraId="5854B43E"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Bewahren Sie dieses Arzneimittel für Kinder unzugänglich auf.</w:t>
      </w:r>
    </w:p>
    <w:p w14:paraId="449380A5"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 xml:space="preserve">Sie dürfen dieses Arzneimittel nach dem auf dem Umkarton </w:t>
      </w:r>
      <w:r w:rsidR="00935428">
        <w:rPr>
          <w:color w:val="000000"/>
          <w:sz w:val="22"/>
          <w:szCs w:val="22"/>
        </w:rPr>
        <w:t>nach</w:t>
      </w:r>
      <w:r w:rsidR="00910D9D">
        <w:rPr>
          <w:color w:val="000000"/>
          <w:sz w:val="22"/>
          <w:szCs w:val="22"/>
        </w:rPr>
        <w:t xml:space="preserve"> </w:t>
      </w:r>
      <w:r w:rsidR="00935428">
        <w:rPr>
          <w:color w:val="000000"/>
          <w:sz w:val="22"/>
          <w:szCs w:val="22"/>
        </w:rPr>
        <w:t>„</w:t>
      </w:r>
      <w:r w:rsidR="00935428" w:rsidRPr="00B30A12">
        <w:rPr>
          <w:color w:val="000000"/>
          <w:sz w:val="22"/>
          <w:szCs w:val="22"/>
        </w:rPr>
        <w:t>Verwendbar bis</w:t>
      </w:r>
      <w:r w:rsidR="00935428">
        <w:rPr>
          <w:color w:val="000000"/>
          <w:sz w:val="22"/>
          <w:szCs w:val="22"/>
        </w:rPr>
        <w:t xml:space="preserve">“ </w:t>
      </w:r>
      <w:r w:rsidRPr="00B30A12">
        <w:rPr>
          <w:color w:val="000000"/>
          <w:sz w:val="22"/>
          <w:szCs w:val="22"/>
        </w:rPr>
        <w:t>angegebenen Verfalldatum nicht mehr verwenden.</w:t>
      </w:r>
    </w:p>
    <w:p w14:paraId="69BB16C6"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Nicht über 30°C lagern.</w:t>
      </w:r>
    </w:p>
    <w:p w14:paraId="4965AC28"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In der Originalverpackung aufbewahren, um den Inhalt vor Feuchtigkeit zu schützen.</w:t>
      </w:r>
    </w:p>
    <w:p w14:paraId="5C8A4888" w14:textId="77777777" w:rsidR="00912AC8"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Verwenden Sie keine Packung, die beschädigt ist oder an der manipuliert wurde.</w:t>
      </w:r>
    </w:p>
    <w:p w14:paraId="400D669E" w14:textId="77777777" w:rsidR="007217B7" w:rsidRPr="00B30A12" w:rsidRDefault="00912AC8" w:rsidP="000C47C6">
      <w:pPr>
        <w:widowControl w:val="0"/>
        <w:numPr>
          <w:ilvl w:val="0"/>
          <w:numId w:val="12"/>
        </w:numPr>
        <w:tabs>
          <w:tab w:val="clear" w:pos="360"/>
        </w:tabs>
        <w:ind w:left="567" w:hanging="567"/>
        <w:rPr>
          <w:color w:val="000000"/>
          <w:sz w:val="22"/>
          <w:szCs w:val="22"/>
        </w:rPr>
      </w:pPr>
      <w:r w:rsidRPr="00B30A12">
        <w:rPr>
          <w:color w:val="000000"/>
          <w:sz w:val="22"/>
          <w:szCs w:val="22"/>
        </w:rPr>
        <w:t>Entsorgen Sie Arzneimittel nicht im Abwasser oder Haushaltsabfall. Fragen Sie Ihren Apotheker, wie das Arzneimittel zu entsorgen ist, wenn Sie es nicht mehr verwenden. Sie tragen damit zum Schutz der Umwelt bei.</w:t>
      </w:r>
    </w:p>
    <w:p w14:paraId="5D2693BD" w14:textId="77777777" w:rsidR="00AB6D5E" w:rsidRPr="00B30A12" w:rsidRDefault="00AB6D5E" w:rsidP="000C47C6">
      <w:pPr>
        <w:pStyle w:val="Header"/>
        <w:widowControl w:val="0"/>
        <w:tabs>
          <w:tab w:val="clear" w:pos="4320"/>
          <w:tab w:val="clear" w:pos="8640"/>
        </w:tabs>
        <w:rPr>
          <w:color w:val="000000"/>
          <w:szCs w:val="22"/>
        </w:rPr>
      </w:pPr>
    </w:p>
    <w:p w14:paraId="2BFE996C" w14:textId="77777777" w:rsidR="00AB6D5E" w:rsidRPr="00B30A12" w:rsidRDefault="00AB6D5E" w:rsidP="000C47C6">
      <w:pPr>
        <w:widowControl w:val="0"/>
        <w:rPr>
          <w:color w:val="000000"/>
          <w:sz w:val="22"/>
          <w:szCs w:val="22"/>
        </w:rPr>
      </w:pPr>
    </w:p>
    <w:p w14:paraId="61507CF4" w14:textId="77777777" w:rsidR="00AB6D5E" w:rsidRPr="00B30A12" w:rsidRDefault="00AB6D5E" w:rsidP="002B313C">
      <w:pPr>
        <w:keepNext/>
        <w:widowControl w:val="0"/>
        <w:rPr>
          <w:b/>
          <w:color w:val="000000"/>
          <w:sz w:val="22"/>
          <w:szCs w:val="22"/>
        </w:rPr>
      </w:pPr>
      <w:r w:rsidRPr="00B30A12">
        <w:rPr>
          <w:b/>
          <w:color w:val="000000"/>
          <w:sz w:val="22"/>
          <w:szCs w:val="22"/>
        </w:rPr>
        <w:t>6.</w:t>
      </w:r>
      <w:r w:rsidRPr="00B30A12">
        <w:rPr>
          <w:b/>
          <w:color w:val="000000"/>
          <w:sz w:val="22"/>
          <w:szCs w:val="22"/>
        </w:rPr>
        <w:tab/>
      </w:r>
      <w:r w:rsidR="00027DCD" w:rsidRPr="00B30A12">
        <w:rPr>
          <w:b/>
          <w:color w:val="000000"/>
          <w:sz w:val="22"/>
          <w:szCs w:val="22"/>
        </w:rPr>
        <w:t>Inhalt der Packung und weitere Informationen</w:t>
      </w:r>
    </w:p>
    <w:p w14:paraId="67D689BC" w14:textId="77777777" w:rsidR="00AB6D5E" w:rsidRPr="00B30A12" w:rsidRDefault="00AB6D5E" w:rsidP="002B313C">
      <w:pPr>
        <w:keepNext/>
        <w:widowControl w:val="0"/>
        <w:rPr>
          <w:color w:val="000000"/>
          <w:sz w:val="22"/>
          <w:szCs w:val="22"/>
        </w:rPr>
      </w:pPr>
    </w:p>
    <w:p w14:paraId="2C6EDD1F" w14:textId="77777777" w:rsidR="00AB6D5E" w:rsidRPr="00B30A12" w:rsidRDefault="00AB6D5E" w:rsidP="002B313C">
      <w:pPr>
        <w:pStyle w:val="BodyText"/>
        <w:widowControl w:val="0"/>
        <w:spacing w:line="240" w:lineRule="auto"/>
        <w:jc w:val="left"/>
        <w:rPr>
          <w:b/>
          <w:color w:val="000000"/>
          <w:szCs w:val="22"/>
        </w:rPr>
      </w:pPr>
      <w:r w:rsidRPr="00B30A12">
        <w:rPr>
          <w:b/>
          <w:color w:val="000000"/>
          <w:szCs w:val="22"/>
        </w:rPr>
        <w:t>Was Glivec enthält</w:t>
      </w:r>
    </w:p>
    <w:p w14:paraId="3425B059" w14:textId="77777777" w:rsidR="00AB6D5E" w:rsidRPr="00B30A12" w:rsidRDefault="00AB6D5E" w:rsidP="000C47C6">
      <w:pPr>
        <w:widowControl w:val="0"/>
        <w:numPr>
          <w:ilvl w:val="0"/>
          <w:numId w:val="1"/>
        </w:numPr>
        <w:tabs>
          <w:tab w:val="clear" w:pos="417"/>
        </w:tabs>
        <w:ind w:left="567" w:hanging="567"/>
        <w:rPr>
          <w:color w:val="000000"/>
          <w:sz w:val="22"/>
          <w:szCs w:val="22"/>
        </w:rPr>
      </w:pPr>
      <w:r w:rsidRPr="00B30A12">
        <w:rPr>
          <w:color w:val="000000"/>
          <w:sz w:val="22"/>
          <w:szCs w:val="22"/>
        </w:rPr>
        <w:t>Der Wirkstoff ist Imatinibmesilat. Jede Kapsel Glivec enthält 100 mg Imatinib</w:t>
      </w:r>
      <w:r w:rsidR="00027DCD" w:rsidRPr="00B30A12">
        <w:rPr>
          <w:color w:val="000000"/>
          <w:sz w:val="22"/>
          <w:szCs w:val="22"/>
        </w:rPr>
        <w:t xml:space="preserve"> (als M</w:t>
      </w:r>
      <w:r w:rsidRPr="00B30A12">
        <w:rPr>
          <w:color w:val="000000"/>
          <w:sz w:val="22"/>
          <w:szCs w:val="22"/>
        </w:rPr>
        <w:t>esilat</w:t>
      </w:r>
      <w:r w:rsidR="00027DCD" w:rsidRPr="00B30A12">
        <w:rPr>
          <w:color w:val="000000"/>
          <w:sz w:val="22"/>
          <w:szCs w:val="22"/>
        </w:rPr>
        <w:t>)</w:t>
      </w:r>
      <w:r w:rsidRPr="00B30A12">
        <w:rPr>
          <w:color w:val="000000"/>
          <w:sz w:val="22"/>
          <w:szCs w:val="22"/>
        </w:rPr>
        <w:t>.</w:t>
      </w:r>
    </w:p>
    <w:p w14:paraId="24EB281E" w14:textId="77777777" w:rsidR="00AB6D5E" w:rsidRPr="00B30A12" w:rsidRDefault="00AB6D5E" w:rsidP="000C47C6">
      <w:pPr>
        <w:widowControl w:val="0"/>
        <w:numPr>
          <w:ilvl w:val="0"/>
          <w:numId w:val="1"/>
        </w:numPr>
        <w:tabs>
          <w:tab w:val="clear" w:pos="417"/>
        </w:tabs>
        <w:ind w:left="567" w:hanging="567"/>
        <w:rPr>
          <w:color w:val="000000"/>
          <w:sz w:val="22"/>
          <w:szCs w:val="22"/>
        </w:rPr>
      </w:pPr>
      <w:r w:rsidRPr="00B30A12">
        <w:rPr>
          <w:color w:val="000000"/>
          <w:sz w:val="22"/>
          <w:szCs w:val="22"/>
        </w:rPr>
        <w:t xml:space="preserve">Die sonstigen Bestandteile sind mikrokristalline Cellulose, Crospovidon, Magnesiumstearat </w:t>
      </w:r>
      <w:r w:rsidR="000F76A4" w:rsidRPr="00B30A12">
        <w:rPr>
          <w:color w:val="000000"/>
          <w:sz w:val="22"/>
          <w:szCs w:val="22"/>
        </w:rPr>
        <w:t xml:space="preserve">[pflanzlich] </w:t>
      </w:r>
      <w:r w:rsidRPr="00B30A12">
        <w:rPr>
          <w:color w:val="000000"/>
          <w:sz w:val="22"/>
          <w:szCs w:val="22"/>
        </w:rPr>
        <w:t>und hochdisperses Siliciumdioxid. Die Kapselhülle besteht aus Gelatine, Eisen(</w:t>
      </w:r>
      <w:smartTag w:uri="urn:schemas-microsoft-com:office:smarttags" w:element="stockticker">
        <w:r w:rsidRPr="00B30A12">
          <w:rPr>
            <w:color w:val="000000"/>
            <w:sz w:val="22"/>
            <w:szCs w:val="22"/>
          </w:rPr>
          <w:t>III</w:t>
        </w:r>
      </w:smartTag>
      <w:r w:rsidRPr="00B30A12">
        <w:rPr>
          <w:color w:val="000000"/>
          <w:sz w:val="22"/>
          <w:szCs w:val="22"/>
        </w:rPr>
        <w:t>)-oxid (E 172</w:t>
      </w:r>
      <w:r w:rsidR="001371BD" w:rsidRPr="00B30A12">
        <w:rPr>
          <w:color w:val="000000"/>
          <w:sz w:val="22"/>
          <w:szCs w:val="22"/>
        </w:rPr>
        <w:t>, rot</w:t>
      </w:r>
      <w:r w:rsidRPr="00B30A12">
        <w:rPr>
          <w:color w:val="000000"/>
          <w:sz w:val="22"/>
          <w:szCs w:val="22"/>
        </w:rPr>
        <w:t xml:space="preserve">), </w:t>
      </w:r>
      <w:r w:rsidR="001371BD" w:rsidRPr="00B30A12">
        <w:rPr>
          <w:sz w:val="22"/>
          <w:szCs w:val="22"/>
          <w:lang w:val="de-CH"/>
        </w:rPr>
        <w:t>Eisen(III)-hydroxid-oxid x H</w:t>
      </w:r>
      <w:r w:rsidR="001371BD" w:rsidRPr="00B30A12">
        <w:rPr>
          <w:sz w:val="22"/>
          <w:szCs w:val="22"/>
          <w:vertAlign w:val="subscript"/>
          <w:lang w:val="de-CH"/>
        </w:rPr>
        <w:t>2</w:t>
      </w:r>
      <w:r w:rsidR="001371BD" w:rsidRPr="00B30A12">
        <w:rPr>
          <w:sz w:val="22"/>
          <w:szCs w:val="22"/>
          <w:lang w:val="de-CH"/>
        </w:rPr>
        <w:t>O</w:t>
      </w:r>
      <w:r w:rsidR="001371BD" w:rsidRPr="00B30A12">
        <w:rPr>
          <w:color w:val="000000"/>
          <w:sz w:val="22"/>
          <w:szCs w:val="22"/>
        </w:rPr>
        <w:t xml:space="preserve"> </w:t>
      </w:r>
      <w:r w:rsidRPr="00B30A12">
        <w:rPr>
          <w:color w:val="000000"/>
          <w:sz w:val="22"/>
          <w:szCs w:val="22"/>
        </w:rPr>
        <w:t>(E 172</w:t>
      </w:r>
      <w:r w:rsidR="001371BD" w:rsidRPr="00B30A12">
        <w:rPr>
          <w:color w:val="000000"/>
          <w:sz w:val="22"/>
          <w:szCs w:val="22"/>
        </w:rPr>
        <w:t>, gelb</w:t>
      </w:r>
      <w:r w:rsidRPr="00B30A12">
        <w:rPr>
          <w:color w:val="000000"/>
          <w:sz w:val="22"/>
          <w:szCs w:val="22"/>
        </w:rPr>
        <w:t xml:space="preserve">) und Titandioxid (E 171). Die Drucktinte besteht aus </w:t>
      </w:r>
      <w:r w:rsidR="0007744E" w:rsidRPr="00B30A12">
        <w:rPr>
          <w:color w:val="000000"/>
          <w:sz w:val="22"/>
          <w:szCs w:val="22"/>
        </w:rPr>
        <w:t>Eisen(</w:t>
      </w:r>
      <w:smartTag w:uri="urn:schemas-microsoft-com:office:smarttags" w:element="stockticker">
        <w:r w:rsidR="0007744E" w:rsidRPr="00B30A12">
          <w:rPr>
            <w:color w:val="000000"/>
            <w:sz w:val="22"/>
            <w:szCs w:val="22"/>
          </w:rPr>
          <w:t>III</w:t>
        </w:r>
      </w:smartTag>
      <w:r w:rsidR="0007744E" w:rsidRPr="00B30A12">
        <w:rPr>
          <w:color w:val="000000"/>
          <w:sz w:val="22"/>
          <w:szCs w:val="22"/>
        </w:rPr>
        <w:t>)-oxid (E 172</w:t>
      </w:r>
      <w:r w:rsidR="001371BD" w:rsidRPr="00B30A12">
        <w:rPr>
          <w:color w:val="000000"/>
          <w:sz w:val="22"/>
          <w:szCs w:val="22"/>
        </w:rPr>
        <w:t>, rot</w:t>
      </w:r>
      <w:r w:rsidR="0007744E" w:rsidRPr="00B30A12">
        <w:rPr>
          <w:color w:val="000000"/>
          <w:sz w:val="22"/>
          <w:szCs w:val="22"/>
        </w:rPr>
        <w:t>) und Schellack.</w:t>
      </w:r>
    </w:p>
    <w:p w14:paraId="6C6EBBF2" w14:textId="77777777" w:rsidR="00AB6D5E" w:rsidRPr="00B30A12" w:rsidRDefault="00AB6D5E" w:rsidP="000C47C6">
      <w:pPr>
        <w:widowControl w:val="0"/>
        <w:rPr>
          <w:color w:val="000000"/>
          <w:sz w:val="22"/>
          <w:szCs w:val="22"/>
        </w:rPr>
      </w:pPr>
    </w:p>
    <w:p w14:paraId="6F2D23D4" w14:textId="77777777" w:rsidR="00AB6D5E" w:rsidRPr="00B30A12" w:rsidRDefault="00AB6D5E" w:rsidP="002B313C">
      <w:pPr>
        <w:keepNext/>
        <w:widowControl w:val="0"/>
        <w:rPr>
          <w:b/>
          <w:color w:val="000000"/>
          <w:sz w:val="22"/>
          <w:szCs w:val="22"/>
        </w:rPr>
      </w:pPr>
      <w:r w:rsidRPr="00B30A12">
        <w:rPr>
          <w:b/>
          <w:color w:val="000000"/>
          <w:sz w:val="22"/>
          <w:szCs w:val="22"/>
        </w:rPr>
        <w:t>Wie Glivec aussieht und Inhalt der Packung</w:t>
      </w:r>
    </w:p>
    <w:p w14:paraId="31C47207" w14:textId="77777777" w:rsidR="00AB6D5E" w:rsidRPr="00B30A12" w:rsidRDefault="00AB6D5E" w:rsidP="000C47C6">
      <w:pPr>
        <w:widowControl w:val="0"/>
        <w:rPr>
          <w:color w:val="000000"/>
          <w:sz w:val="22"/>
          <w:szCs w:val="22"/>
        </w:rPr>
      </w:pPr>
      <w:r w:rsidRPr="00B30A12">
        <w:rPr>
          <w:color w:val="000000"/>
          <w:sz w:val="22"/>
          <w:szCs w:val="22"/>
        </w:rPr>
        <w:t>Glivec 100 mg Hartkapseln sind orange bis gräulich-orange und mit „</w:t>
      </w:r>
      <w:smartTag w:uri="urn:schemas-microsoft-com:office:smarttags" w:element="stockticker">
        <w:r w:rsidRPr="00B30A12">
          <w:rPr>
            <w:color w:val="000000"/>
            <w:sz w:val="22"/>
            <w:szCs w:val="22"/>
          </w:rPr>
          <w:t>NVR</w:t>
        </w:r>
      </w:smartTag>
      <w:r w:rsidRPr="00B30A12">
        <w:rPr>
          <w:color w:val="000000"/>
          <w:sz w:val="22"/>
          <w:szCs w:val="22"/>
        </w:rPr>
        <w:t xml:space="preserve"> SI“ gekennzeichnet. Sie enthalten ein weißes bis gelbes Pulver.</w:t>
      </w:r>
    </w:p>
    <w:p w14:paraId="585753AD" w14:textId="77777777" w:rsidR="00AB6D5E" w:rsidRPr="00B30A12" w:rsidRDefault="00AB6D5E" w:rsidP="000C47C6">
      <w:pPr>
        <w:widowControl w:val="0"/>
        <w:rPr>
          <w:color w:val="000000"/>
          <w:sz w:val="22"/>
          <w:szCs w:val="22"/>
        </w:rPr>
      </w:pPr>
    </w:p>
    <w:p w14:paraId="29320B96" w14:textId="77777777" w:rsidR="00AB6D5E" w:rsidRPr="00B30A12" w:rsidRDefault="00AB6D5E" w:rsidP="000C47C6">
      <w:pPr>
        <w:widowControl w:val="0"/>
        <w:rPr>
          <w:color w:val="000000"/>
          <w:sz w:val="22"/>
          <w:szCs w:val="22"/>
        </w:rPr>
      </w:pPr>
      <w:r w:rsidRPr="00B30A12">
        <w:rPr>
          <w:color w:val="000000"/>
          <w:sz w:val="22"/>
          <w:szCs w:val="22"/>
        </w:rPr>
        <w:t>Sie werden in Packungen mit 24, 48, 96, 120 oder 180 Kapseln zur Verfügung gestellt, aber nicht alle Packungsgrößen müssen in Ihrem Land verfügbar sein.</w:t>
      </w:r>
    </w:p>
    <w:p w14:paraId="7FF33701" w14:textId="77777777" w:rsidR="00AB6D5E" w:rsidRPr="00B30A12" w:rsidRDefault="00AB6D5E" w:rsidP="000C47C6">
      <w:pPr>
        <w:widowControl w:val="0"/>
        <w:rPr>
          <w:color w:val="000000"/>
          <w:sz w:val="22"/>
          <w:szCs w:val="22"/>
        </w:rPr>
      </w:pPr>
    </w:p>
    <w:p w14:paraId="30922670" w14:textId="77777777" w:rsidR="00AB6D5E" w:rsidRPr="002A051A" w:rsidRDefault="00AB6D5E" w:rsidP="002B313C">
      <w:pPr>
        <w:keepNext/>
        <w:widowControl w:val="0"/>
        <w:rPr>
          <w:b/>
          <w:color w:val="000000"/>
          <w:sz w:val="22"/>
          <w:szCs w:val="22"/>
          <w:lang w:val="en-US"/>
        </w:rPr>
      </w:pPr>
      <w:r w:rsidRPr="002A051A">
        <w:rPr>
          <w:b/>
          <w:color w:val="000000"/>
          <w:sz w:val="22"/>
          <w:szCs w:val="22"/>
          <w:lang w:val="en-US"/>
        </w:rPr>
        <w:lastRenderedPageBreak/>
        <w:t>Pharmazeutischer Unternehmer</w:t>
      </w:r>
    </w:p>
    <w:p w14:paraId="71D960F0" w14:textId="77777777" w:rsidR="00AB6D5E" w:rsidRPr="002A051A" w:rsidRDefault="00AB6D5E" w:rsidP="002B313C">
      <w:pPr>
        <w:keepNext/>
        <w:widowControl w:val="0"/>
        <w:rPr>
          <w:color w:val="000000"/>
          <w:sz w:val="22"/>
          <w:szCs w:val="22"/>
          <w:lang w:val="en-US"/>
        </w:rPr>
      </w:pPr>
      <w:r w:rsidRPr="002A051A">
        <w:rPr>
          <w:color w:val="000000"/>
          <w:sz w:val="22"/>
          <w:szCs w:val="22"/>
          <w:lang w:val="en-US"/>
        </w:rPr>
        <w:t>Novartis Europharm Limited</w:t>
      </w:r>
    </w:p>
    <w:p w14:paraId="3B68D79D"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402488C3"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549F7BCD" w14:textId="77777777" w:rsidR="002C158B" w:rsidRPr="002A051A" w:rsidRDefault="002C158B" w:rsidP="002C158B">
      <w:pPr>
        <w:keepNext/>
        <w:widowControl w:val="0"/>
        <w:rPr>
          <w:color w:val="000000"/>
          <w:sz w:val="22"/>
          <w:szCs w:val="22"/>
          <w:lang w:val="en-US"/>
        </w:rPr>
      </w:pPr>
      <w:r w:rsidRPr="002A051A">
        <w:rPr>
          <w:color w:val="000000"/>
          <w:sz w:val="22"/>
          <w:szCs w:val="22"/>
          <w:lang w:val="en-US"/>
        </w:rPr>
        <w:t>Dublin 4</w:t>
      </w:r>
    </w:p>
    <w:p w14:paraId="055D54F2" w14:textId="77777777" w:rsidR="00AB6D5E" w:rsidRPr="00B30A12" w:rsidRDefault="002C158B" w:rsidP="000C47C6">
      <w:pPr>
        <w:widowControl w:val="0"/>
        <w:rPr>
          <w:color w:val="000000"/>
          <w:sz w:val="22"/>
          <w:szCs w:val="22"/>
        </w:rPr>
      </w:pPr>
      <w:r w:rsidRPr="002C158B">
        <w:rPr>
          <w:color w:val="000000"/>
          <w:sz w:val="22"/>
          <w:szCs w:val="22"/>
        </w:rPr>
        <w:t>Irland</w:t>
      </w:r>
    </w:p>
    <w:p w14:paraId="689089D9" w14:textId="77777777" w:rsidR="00AB6D5E" w:rsidRPr="00B30A12" w:rsidRDefault="00AB6D5E" w:rsidP="000C47C6">
      <w:pPr>
        <w:widowControl w:val="0"/>
        <w:rPr>
          <w:color w:val="000000"/>
          <w:sz w:val="22"/>
          <w:szCs w:val="22"/>
        </w:rPr>
      </w:pPr>
    </w:p>
    <w:p w14:paraId="0C05440B" w14:textId="77777777" w:rsidR="00AB6D5E" w:rsidRPr="00B30A12" w:rsidRDefault="00AB6D5E" w:rsidP="002B313C">
      <w:pPr>
        <w:keepNext/>
        <w:widowControl w:val="0"/>
        <w:rPr>
          <w:b/>
          <w:color w:val="000000"/>
          <w:sz w:val="22"/>
          <w:szCs w:val="22"/>
        </w:rPr>
      </w:pPr>
      <w:r w:rsidRPr="00B30A12">
        <w:rPr>
          <w:b/>
          <w:color w:val="000000"/>
          <w:sz w:val="22"/>
          <w:szCs w:val="22"/>
        </w:rPr>
        <w:t>Hersteller</w:t>
      </w:r>
    </w:p>
    <w:p w14:paraId="4110174A" w14:textId="77777777" w:rsidR="00AB6D5E" w:rsidRPr="00B30A12" w:rsidRDefault="00AB6D5E" w:rsidP="002B313C">
      <w:pPr>
        <w:keepNext/>
        <w:widowControl w:val="0"/>
        <w:rPr>
          <w:color w:val="000000"/>
          <w:sz w:val="22"/>
          <w:szCs w:val="22"/>
        </w:rPr>
      </w:pPr>
      <w:r w:rsidRPr="00B30A12">
        <w:rPr>
          <w:color w:val="000000"/>
          <w:sz w:val="22"/>
          <w:szCs w:val="22"/>
        </w:rPr>
        <w:t>Novartis Pharma GmbH</w:t>
      </w:r>
    </w:p>
    <w:p w14:paraId="215A3BB0" w14:textId="77777777" w:rsidR="00AB6D5E" w:rsidRPr="00B30A12" w:rsidRDefault="00AB6D5E" w:rsidP="002B313C">
      <w:pPr>
        <w:keepNext/>
        <w:widowControl w:val="0"/>
        <w:rPr>
          <w:color w:val="000000"/>
          <w:sz w:val="22"/>
          <w:szCs w:val="22"/>
        </w:rPr>
      </w:pPr>
      <w:r w:rsidRPr="00B30A12">
        <w:rPr>
          <w:color w:val="000000"/>
          <w:sz w:val="22"/>
          <w:szCs w:val="22"/>
        </w:rPr>
        <w:t>Roonstraße 25</w:t>
      </w:r>
    </w:p>
    <w:p w14:paraId="1DB0A58F" w14:textId="77777777" w:rsidR="00AB6D5E" w:rsidRPr="00B30A12" w:rsidRDefault="00AB6D5E" w:rsidP="002B313C">
      <w:pPr>
        <w:keepNext/>
        <w:widowControl w:val="0"/>
        <w:rPr>
          <w:color w:val="000000"/>
          <w:sz w:val="22"/>
          <w:szCs w:val="22"/>
        </w:rPr>
      </w:pPr>
      <w:r w:rsidRPr="00B30A12">
        <w:rPr>
          <w:color w:val="000000"/>
          <w:sz w:val="22"/>
          <w:szCs w:val="22"/>
        </w:rPr>
        <w:t>D-90429 Nürnberg</w:t>
      </w:r>
    </w:p>
    <w:p w14:paraId="1CCC1187" w14:textId="77777777" w:rsidR="00AB6D5E" w:rsidRPr="00B30A12" w:rsidRDefault="00AB6D5E" w:rsidP="000C47C6">
      <w:pPr>
        <w:widowControl w:val="0"/>
        <w:rPr>
          <w:color w:val="000000"/>
          <w:sz w:val="22"/>
          <w:szCs w:val="22"/>
        </w:rPr>
      </w:pPr>
      <w:r w:rsidRPr="00B30A12">
        <w:rPr>
          <w:color w:val="000000"/>
          <w:sz w:val="22"/>
          <w:szCs w:val="22"/>
        </w:rPr>
        <w:t>Deutschland</w:t>
      </w:r>
    </w:p>
    <w:p w14:paraId="5BC932D2" w14:textId="6F2B691F" w:rsidR="00AB6D5E" w:rsidRDefault="00AB6D5E" w:rsidP="000C47C6">
      <w:pPr>
        <w:widowControl w:val="0"/>
        <w:rPr>
          <w:color w:val="000000"/>
          <w:sz w:val="22"/>
          <w:szCs w:val="22"/>
        </w:rPr>
      </w:pPr>
    </w:p>
    <w:p w14:paraId="6441074A" w14:textId="77777777" w:rsidR="001F6B08" w:rsidRPr="001F6B08" w:rsidRDefault="001F6B08" w:rsidP="001F6B08">
      <w:pPr>
        <w:keepNext/>
        <w:widowControl w:val="0"/>
        <w:rPr>
          <w:color w:val="000000"/>
          <w:sz w:val="22"/>
          <w:szCs w:val="22"/>
          <w:shd w:val="pct15" w:color="auto" w:fill="auto"/>
        </w:rPr>
      </w:pPr>
      <w:r w:rsidRPr="001F6B08">
        <w:rPr>
          <w:color w:val="000000"/>
          <w:sz w:val="22"/>
          <w:szCs w:val="22"/>
          <w:shd w:val="pct15" w:color="auto" w:fill="auto"/>
        </w:rPr>
        <w:t>Sandoz S.R.L.</w:t>
      </w:r>
    </w:p>
    <w:p w14:paraId="2DC17B80" w14:textId="77777777" w:rsidR="001F6B08" w:rsidRPr="00055A65" w:rsidRDefault="001F6B08" w:rsidP="001F6B08">
      <w:pPr>
        <w:keepNext/>
        <w:widowControl w:val="0"/>
        <w:rPr>
          <w:color w:val="000000"/>
          <w:sz w:val="22"/>
          <w:szCs w:val="22"/>
          <w:shd w:val="pct15" w:color="auto" w:fill="auto"/>
          <w:lang w:val="en-US"/>
        </w:rPr>
      </w:pPr>
      <w:r w:rsidRPr="00055A65">
        <w:rPr>
          <w:color w:val="000000"/>
          <w:sz w:val="22"/>
          <w:szCs w:val="22"/>
          <w:shd w:val="pct15" w:color="auto" w:fill="auto"/>
          <w:lang w:val="en-US"/>
        </w:rPr>
        <w:t>Str. Livezeni nr. 7A</w:t>
      </w:r>
    </w:p>
    <w:p w14:paraId="72AB9A44" w14:textId="77777777" w:rsidR="001F6B08" w:rsidRPr="00055A65" w:rsidRDefault="001F6B08" w:rsidP="001F6B08">
      <w:pPr>
        <w:keepNext/>
        <w:widowControl w:val="0"/>
        <w:rPr>
          <w:color w:val="000000"/>
          <w:sz w:val="22"/>
          <w:szCs w:val="22"/>
          <w:shd w:val="pct15" w:color="auto" w:fill="auto"/>
          <w:lang w:val="en-US"/>
        </w:rPr>
      </w:pPr>
      <w:r w:rsidRPr="00055A65">
        <w:rPr>
          <w:color w:val="000000"/>
          <w:sz w:val="22"/>
          <w:szCs w:val="22"/>
          <w:shd w:val="pct15" w:color="auto" w:fill="auto"/>
          <w:lang w:val="en-US"/>
        </w:rPr>
        <w:t>540472, Targu Mures</w:t>
      </w:r>
    </w:p>
    <w:p w14:paraId="6F6CC524" w14:textId="0DB6638D" w:rsidR="001F6B08" w:rsidRPr="001F6B08" w:rsidRDefault="001F6B08" w:rsidP="001F6B08">
      <w:pPr>
        <w:widowControl w:val="0"/>
        <w:rPr>
          <w:color w:val="000000"/>
          <w:sz w:val="22"/>
          <w:szCs w:val="22"/>
          <w:shd w:val="pct15" w:color="auto" w:fill="auto"/>
        </w:rPr>
      </w:pPr>
      <w:r w:rsidRPr="001F6B08">
        <w:rPr>
          <w:color w:val="000000"/>
          <w:sz w:val="22"/>
          <w:szCs w:val="22"/>
          <w:shd w:val="pct15" w:color="auto" w:fill="auto"/>
        </w:rPr>
        <w:t>Rumänien</w:t>
      </w:r>
    </w:p>
    <w:p w14:paraId="2915CD93" w14:textId="77777777" w:rsidR="001F6B08" w:rsidRPr="00B30A12" w:rsidRDefault="001F6B08" w:rsidP="001F6B08">
      <w:pPr>
        <w:widowControl w:val="0"/>
        <w:rPr>
          <w:color w:val="000000"/>
          <w:sz w:val="22"/>
          <w:szCs w:val="22"/>
        </w:rPr>
      </w:pPr>
    </w:p>
    <w:p w14:paraId="50AF86C4" w14:textId="77777777" w:rsidR="00AB6D5E" w:rsidRPr="00B30A12" w:rsidRDefault="00AB6D5E" w:rsidP="001F6B08">
      <w:pPr>
        <w:pStyle w:val="BodyText"/>
        <w:keepLines/>
        <w:widowControl w:val="0"/>
        <w:spacing w:line="240" w:lineRule="auto"/>
        <w:jc w:val="left"/>
        <w:rPr>
          <w:color w:val="000000"/>
          <w:szCs w:val="22"/>
        </w:rPr>
      </w:pPr>
      <w:r w:rsidRPr="00B30A12">
        <w:rPr>
          <w:color w:val="000000"/>
          <w:szCs w:val="22"/>
        </w:rPr>
        <w:t xml:space="preserve">Falls </w:t>
      </w:r>
      <w:r w:rsidR="00027DCD" w:rsidRPr="00B30A12">
        <w:rPr>
          <w:color w:val="000000"/>
          <w:szCs w:val="22"/>
        </w:rPr>
        <w:t xml:space="preserve">Sie </w:t>
      </w:r>
      <w:r w:rsidRPr="00B30A12">
        <w:rPr>
          <w:color w:val="000000"/>
          <w:szCs w:val="22"/>
        </w:rPr>
        <w:t>weitere Informationen über das Arzneimittel wünsch</w:t>
      </w:r>
      <w:r w:rsidR="00027DCD" w:rsidRPr="00B30A12">
        <w:rPr>
          <w:color w:val="000000"/>
          <w:szCs w:val="22"/>
        </w:rPr>
        <w:t>en</w:t>
      </w:r>
      <w:r w:rsidRPr="00B30A12">
        <w:rPr>
          <w:color w:val="000000"/>
          <w:szCs w:val="22"/>
        </w:rPr>
        <w:t xml:space="preserve">, setzen Sie sich bitte mit dem örtlichen Vertreter des </w:t>
      </w:r>
      <w:r w:rsidR="0095506C" w:rsidRPr="00B30A12">
        <w:rPr>
          <w:color w:val="000000"/>
          <w:szCs w:val="22"/>
        </w:rPr>
        <w:t>p</w:t>
      </w:r>
      <w:r w:rsidRPr="00B30A12">
        <w:rPr>
          <w:color w:val="000000"/>
          <w:szCs w:val="22"/>
        </w:rPr>
        <w:t>harmazeutischen Unternehmers in Verbindung.</w:t>
      </w:r>
    </w:p>
    <w:p w14:paraId="78D1FD4B" w14:textId="77777777" w:rsidR="008C5A51" w:rsidRPr="00B30A12" w:rsidRDefault="008C5A51" w:rsidP="002B313C">
      <w:pPr>
        <w:keepNext/>
        <w:widowControl w:val="0"/>
        <w:ind w:right="-449"/>
        <w:rPr>
          <w:color w:val="000000"/>
          <w:sz w:val="22"/>
          <w:szCs w:val="22"/>
        </w:rPr>
      </w:pPr>
    </w:p>
    <w:tbl>
      <w:tblPr>
        <w:tblW w:w="9300" w:type="dxa"/>
        <w:tblLayout w:type="fixed"/>
        <w:tblLook w:val="0000" w:firstRow="0" w:lastRow="0" w:firstColumn="0" w:lastColumn="0" w:noHBand="0" w:noVBand="0"/>
      </w:tblPr>
      <w:tblGrid>
        <w:gridCol w:w="4650"/>
        <w:gridCol w:w="4650"/>
      </w:tblGrid>
      <w:tr w:rsidR="008C5A51" w:rsidRPr="002A051A" w14:paraId="62346A89" w14:textId="77777777" w:rsidTr="00CC644C">
        <w:trPr>
          <w:cantSplit/>
        </w:trPr>
        <w:tc>
          <w:tcPr>
            <w:tcW w:w="4650" w:type="dxa"/>
          </w:tcPr>
          <w:p w14:paraId="2AEF1C43" w14:textId="77777777" w:rsidR="008C5A51" w:rsidRPr="00B30A12" w:rsidRDefault="008C5A51" w:rsidP="000C47C6">
            <w:pPr>
              <w:widowControl w:val="0"/>
              <w:rPr>
                <w:b/>
                <w:color w:val="000000"/>
                <w:sz w:val="22"/>
                <w:szCs w:val="22"/>
                <w:lang w:val="fr-FR"/>
              </w:rPr>
            </w:pPr>
            <w:r w:rsidRPr="00B30A12">
              <w:rPr>
                <w:b/>
                <w:color w:val="000000"/>
                <w:sz w:val="22"/>
                <w:szCs w:val="22"/>
                <w:lang w:val="fr-FR"/>
              </w:rPr>
              <w:t>België/Belgique/Belgien</w:t>
            </w:r>
          </w:p>
          <w:p w14:paraId="321BED1D" w14:textId="77777777" w:rsidR="008C5A51" w:rsidRPr="00B30A12" w:rsidRDefault="008C5A51" w:rsidP="000C47C6">
            <w:pPr>
              <w:widowControl w:val="0"/>
              <w:rPr>
                <w:color w:val="000000"/>
                <w:sz w:val="22"/>
                <w:szCs w:val="22"/>
                <w:lang w:val="fr-FR"/>
              </w:rPr>
            </w:pPr>
            <w:r w:rsidRPr="00B30A12">
              <w:rPr>
                <w:color w:val="000000"/>
                <w:sz w:val="22"/>
                <w:szCs w:val="22"/>
                <w:lang w:val="fr-FR"/>
              </w:rPr>
              <w:t>Novartis Pharma N.V.</w:t>
            </w:r>
          </w:p>
          <w:p w14:paraId="746442E8" w14:textId="77777777" w:rsidR="008C5A51" w:rsidRPr="00B30A12" w:rsidRDefault="008C5A51" w:rsidP="000C47C6">
            <w:pPr>
              <w:widowControl w:val="0"/>
              <w:rPr>
                <w:color w:val="000000"/>
                <w:sz w:val="22"/>
                <w:szCs w:val="22"/>
              </w:rPr>
            </w:pPr>
            <w:r w:rsidRPr="00B30A12">
              <w:rPr>
                <w:color w:val="000000"/>
                <w:sz w:val="22"/>
                <w:szCs w:val="22"/>
              </w:rPr>
              <w:t>Tél/Tel: +32 2 246 16 11</w:t>
            </w:r>
          </w:p>
          <w:p w14:paraId="4567A229" w14:textId="77777777" w:rsidR="008C5A51" w:rsidRPr="00B30A12" w:rsidRDefault="008C5A51" w:rsidP="000C47C6">
            <w:pPr>
              <w:widowControl w:val="0"/>
              <w:rPr>
                <w:b/>
                <w:color w:val="000000"/>
                <w:sz w:val="22"/>
                <w:szCs w:val="22"/>
              </w:rPr>
            </w:pPr>
          </w:p>
        </w:tc>
        <w:tc>
          <w:tcPr>
            <w:tcW w:w="4650" w:type="dxa"/>
          </w:tcPr>
          <w:p w14:paraId="33C4DDAE" w14:textId="77777777" w:rsidR="008C5A51" w:rsidRPr="00E37E76" w:rsidRDefault="008C5A51" w:rsidP="000C47C6">
            <w:pPr>
              <w:widowControl w:val="0"/>
              <w:rPr>
                <w:b/>
                <w:color w:val="000000"/>
                <w:sz w:val="22"/>
                <w:szCs w:val="22"/>
                <w:lang w:val="es-ES"/>
              </w:rPr>
            </w:pPr>
            <w:r w:rsidRPr="00E37E76">
              <w:rPr>
                <w:b/>
                <w:color w:val="000000"/>
                <w:sz w:val="22"/>
                <w:szCs w:val="22"/>
                <w:lang w:val="es-ES"/>
              </w:rPr>
              <w:t>Lietuva</w:t>
            </w:r>
          </w:p>
          <w:p w14:paraId="22792D6F" w14:textId="1BE1627A" w:rsidR="008C5A51" w:rsidRPr="00E37E76" w:rsidRDefault="00E37E76" w:rsidP="000C47C6">
            <w:pPr>
              <w:widowControl w:val="0"/>
              <w:rPr>
                <w:color w:val="000000"/>
                <w:sz w:val="22"/>
                <w:szCs w:val="22"/>
                <w:lang w:val="es-ES"/>
              </w:rPr>
            </w:pPr>
            <w:r w:rsidRPr="00F16CCC">
              <w:rPr>
                <w:sz w:val="22"/>
                <w:szCs w:val="22"/>
                <w:lang w:val="es-ES"/>
              </w:rPr>
              <w:t>SIA Novartis Baltics Lietuvos filialas</w:t>
            </w:r>
          </w:p>
          <w:p w14:paraId="1DD0D145" w14:textId="77777777" w:rsidR="008C5A51" w:rsidRPr="00E37E76" w:rsidRDefault="008C5A51" w:rsidP="000C47C6">
            <w:pPr>
              <w:widowControl w:val="0"/>
              <w:rPr>
                <w:color w:val="000000"/>
                <w:sz w:val="22"/>
                <w:szCs w:val="22"/>
                <w:lang w:val="es-ES"/>
              </w:rPr>
            </w:pPr>
            <w:r w:rsidRPr="00E37E76">
              <w:rPr>
                <w:color w:val="000000"/>
                <w:sz w:val="22"/>
                <w:szCs w:val="22"/>
                <w:lang w:val="es-ES"/>
              </w:rPr>
              <w:t>Tel: +370 5 269 16 50</w:t>
            </w:r>
          </w:p>
          <w:p w14:paraId="6EF904A7" w14:textId="77777777" w:rsidR="008C5A51" w:rsidRPr="00E37E76" w:rsidRDefault="008C5A51" w:rsidP="000C47C6">
            <w:pPr>
              <w:widowControl w:val="0"/>
              <w:rPr>
                <w:color w:val="000000"/>
                <w:sz w:val="22"/>
                <w:szCs w:val="22"/>
                <w:lang w:val="es-ES"/>
              </w:rPr>
            </w:pPr>
          </w:p>
        </w:tc>
      </w:tr>
      <w:tr w:rsidR="008C5A51" w:rsidRPr="00B30A12" w14:paraId="7304D1EC" w14:textId="77777777" w:rsidTr="00CC644C">
        <w:trPr>
          <w:cantSplit/>
        </w:trPr>
        <w:tc>
          <w:tcPr>
            <w:tcW w:w="4650" w:type="dxa"/>
          </w:tcPr>
          <w:p w14:paraId="0FE7EAF4" w14:textId="77777777" w:rsidR="008C5A51" w:rsidRPr="00B30A12" w:rsidRDefault="008C5A51" w:rsidP="000C47C6">
            <w:pPr>
              <w:widowControl w:val="0"/>
              <w:rPr>
                <w:b/>
                <w:noProof/>
                <w:color w:val="000000"/>
                <w:sz w:val="22"/>
                <w:szCs w:val="22"/>
                <w:lang w:val="fr-FR"/>
              </w:rPr>
            </w:pPr>
            <w:r w:rsidRPr="00B30A12">
              <w:rPr>
                <w:b/>
                <w:noProof/>
                <w:color w:val="000000"/>
                <w:sz w:val="22"/>
                <w:szCs w:val="22"/>
              </w:rPr>
              <w:t>България</w:t>
            </w:r>
          </w:p>
          <w:p w14:paraId="4F2D5CAB" w14:textId="77777777" w:rsidR="008C5A51" w:rsidRPr="00B30A12" w:rsidRDefault="00935428" w:rsidP="000C47C6">
            <w:pPr>
              <w:widowControl w:val="0"/>
              <w:rPr>
                <w:noProof/>
                <w:color w:val="000000"/>
                <w:sz w:val="22"/>
                <w:szCs w:val="22"/>
                <w:lang w:val="fr-FR"/>
              </w:rPr>
            </w:pPr>
            <w:r w:rsidRPr="00935428">
              <w:rPr>
                <w:noProof/>
                <w:color w:val="000000"/>
                <w:sz w:val="22"/>
                <w:szCs w:val="22"/>
                <w:lang w:val="fr-FR"/>
              </w:rPr>
              <w:t>Novartis Bulgaria EOOD</w:t>
            </w:r>
          </w:p>
          <w:p w14:paraId="1A48F7A5" w14:textId="77777777" w:rsidR="008C5A51" w:rsidRPr="003633BD" w:rsidRDefault="008C5A51" w:rsidP="000C47C6">
            <w:pPr>
              <w:widowControl w:val="0"/>
              <w:rPr>
                <w:noProof/>
                <w:color w:val="000000"/>
                <w:sz w:val="22"/>
                <w:szCs w:val="22"/>
              </w:rPr>
            </w:pPr>
            <w:r w:rsidRPr="00B30A12">
              <w:rPr>
                <w:noProof/>
                <w:color w:val="000000"/>
                <w:sz w:val="22"/>
                <w:szCs w:val="22"/>
              </w:rPr>
              <w:t>Тел</w:t>
            </w:r>
            <w:r w:rsidRPr="003633BD">
              <w:rPr>
                <w:noProof/>
                <w:color w:val="000000"/>
                <w:sz w:val="22"/>
                <w:szCs w:val="22"/>
              </w:rPr>
              <w:t>.: +359 2 489 98 28</w:t>
            </w:r>
          </w:p>
          <w:p w14:paraId="7C514184" w14:textId="77777777" w:rsidR="008C5A51" w:rsidRPr="00B30A12" w:rsidRDefault="008C5A51" w:rsidP="000C47C6">
            <w:pPr>
              <w:widowControl w:val="0"/>
              <w:rPr>
                <w:b/>
                <w:color w:val="000000"/>
                <w:sz w:val="22"/>
                <w:szCs w:val="22"/>
                <w:lang w:val="pt-BR"/>
              </w:rPr>
            </w:pPr>
          </w:p>
        </w:tc>
        <w:tc>
          <w:tcPr>
            <w:tcW w:w="4650" w:type="dxa"/>
          </w:tcPr>
          <w:p w14:paraId="544B5738" w14:textId="77777777" w:rsidR="008C5A51" w:rsidRPr="00B30A12" w:rsidRDefault="008C5A51" w:rsidP="000C47C6">
            <w:pPr>
              <w:widowControl w:val="0"/>
              <w:rPr>
                <w:b/>
                <w:color w:val="000000"/>
                <w:sz w:val="22"/>
                <w:szCs w:val="22"/>
                <w:lang w:val="de-CH"/>
              </w:rPr>
            </w:pPr>
            <w:r w:rsidRPr="00B30A12">
              <w:rPr>
                <w:b/>
                <w:color w:val="000000"/>
                <w:sz w:val="22"/>
                <w:szCs w:val="22"/>
                <w:lang w:val="de-CH"/>
              </w:rPr>
              <w:t>Luxembourg/Luxemburg</w:t>
            </w:r>
          </w:p>
          <w:p w14:paraId="695DD955" w14:textId="77777777" w:rsidR="008C5A51" w:rsidRPr="00B30A12" w:rsidRDefault="008C5A51" w:rsidP="000C47C6">
            <w:pPr>
              <w:widowControl w:val="0"/>
              <w:rPr>
                <w:color w:val="000000"/>
                <w:sz w:val="22"/>
                <w:szCs w:val="22"/>
                <w:lang w:val="de-CH"/>
              </w:rPr>
            </w:pPr>
            <w:r w:rsidRPr="00B30A12">
              <w:rPr>
                <w:color w:val="000000"/>
                <w:sz w:val="22"/>
                <w:szCs w:val="22"/>
                <w:lang w:val="de-CH"/>
              </w:rPr>
              <w:t>Novartis Pharma N.V.</w:t>
            </w:r>
          </w:p>
          <w:p w14:paraId="5067717D" w14:textId="77777777" w:rsidR="008C5A51" w:rsidRPr="00B30A12" w:rsidRDefault="008C5A51" w:rsidP="000C47C6">
            <w:pPr>
              <w:widowControl w:val="0"/>
              <w:rPr>
                <w:color w:val="000000"/>
                <w:sz w:val="22"/>
                <w:szCs w:val="22"/>
                <w:lang w:val="de-CH"/>
              </w:rPr>
            </w:pPr>
            <w:r w:rsidRPr="00B30A12">
              <w:rPr>
                <w:color w:val="000000"/>
                <w:sz w:val="22"/>
                <w:szCs w:val="22"/>
                <w:lang w:val="de-CH"/>
              </w:rPr>
              <w:t>Tél/Tel: +32 2 246 16 11</w:t>
            </w:r>
          </w:p>
          <w:p w14:paraId="2B79998F" w14:textId="77777777" w:rsidR="008C5A51" w:rsidRPr="00B30A12" w:rsidRDefault="008C5A51" w:rsidP="000C47C6">
            <w:pPr>
              <w:widowControl w:val="0"/>
              <w:rPr>
                <w:color w:val="000000"/>
                <w:sz w:val="22"/>
                <w:szCs w:val="22"/>
                <w:lang w:val="de-CH"/>
              </w:rPr>
            </w:pPr>
          </w:p>
        </w:tc>
      </w:tr>
      <w:tr w:rsidR="008C5A51" w:rsidRPr="009D20BB" w14:paraId="4860F723" w14:textId="77777777" w:rsidTr="00CC644C">
        <w:trPr>
          <w:cantSplit/>
        </w:trPr>
        <w:tc>
          <w:tcPr>
            <w:tcW w:w="4650" w:type="dxa"/>
          </w:tcPr>
          <w:p w14:paraId="1AF635CF"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Česká republika</w:t>
            </w:r>
          </w:p>
          <w:p w14:paraId="727B0F67"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s.r.o.</w:t>
            </w:r>
          </w:p>
          <w:p w14:paraId="760ACE03" w14:textId="77777777" w:rsidR="008C5A51" w:rsidRPr="00B30A12" w:rsidRDefault="008C5A51" w:rsidP="000C47C6">
            <w:pPr>
              <w:widowControl w:val="0"/>
              <w:rPr>
                <w:color w:val="000000"/>
                <w:sz w:val="22"/>
                <w:szCs w:val="22"/>
              </w:rPr>
            </w:pPr>
            <w:r w:rsidRPr="00B30A12">
              <w:rPr>
                <w:color w:val="000000"/>
                <w:sz w:val="22"/>
                <w:szCs w:val="22"/>
              </w:rPr>
              <w:t>Tel: +420 225 775 111</w:t>
            </w:r>
          </w:p>
          <w:p w14:paraId="178E4300" w14:textId="77777777" w:rsidR="008C5A51" w:rsidRPr="00B30A12" w:rsidRDefault="008C5A51" w:rsidP="000C47C6">
            <w:pPr>
              <w:widowControl w:val="0"/>
              <w:rPr>
                <w:b/>
                <w:color w:val="000000"/>
                <w:sz w:val="22"/>
                <w:szCs w:val="22"/>
              </w:rPr>
            </w:pPr>
          </w:p>
        </w:tc>
        <w:tc>
          <w:tcPr>
            <w:tcW w:w="4650" w:type="dxa"/>
          </w:tcPr>
          <w:p w14:paraId="47AD1EDB"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Magyarország</w:t>
            </w:r>
          </w:p>
          <w:p w14:paraId="578598D0"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Hungária Kft.</w:t>
            </w:r>
          </w:p>
          <w:p w14:paraId="3B445AED" w14:textId="77777777" w:rsidR="008C5A51" w:rsidRPr="00B30A12" w:rsidRDefault="008C5A51" w:rsidP="000C47C6">
            <w:pPr>
              <w:widowControl w:val="0"/>
              <w:rPr>
                <w:color w:val="000000"/>
                <w:sz w:val="22"/>
                <w:szCs w:val="22"/>
                <w:lang w:val="pt-BR"/>
              </w:rPr>
            </w:pPr>
            <w:r w:rsidRPr="00B30A12">
              <w:rPr>
                <w:color w:val="000000"/>
                <w:sz w:val="22"/>
                <w:szCs w:val="22"/>
                <w:lang w:val="pt-BR"/>
              </w:rPr>
              <w:t>Tel.: +36 1 457 65 00</w:t>
            </w:r>
          </w:p>
        </w:tc>
      </w:tr>
      <w:tr w:rsidR="008C5A51" w:rsidRPr="00B30A12" w14:paraId="72DB2B5A" w14:textId="77777777" w:rsidTr="00CC644C">
        <w:trPr>
          <w:cantSplit/>
        </w:trPr>
        <w:tc>
          <w:tcPr>
            <w:tcW w:w="4650" w:type="dxa"/>
          </w:tcPr>
          <w:p w14:paraId="4AF5C6AA" w14:textId="77777777" w:rsidR="008C5A51" w:rsidRPr="00B30A12" w:rsidRDefault="008C5A51" w:rsidP="000C47C6">
            <w:pPr>
              <w:widowControl w:val="0"/>
              <w:rPr>
                <w:b/>
                <w:color w:val="000000"/>
                <w:sz w:val="22"/>
                <w:szCs w:val="22"/>
                <w:lang w:val="en-US"/>
              </w:rPr>
            </w:pPr>
            <w:r w:rsidRPr="00B30A12">
              <w:rPr>
                <w:b/>
                <w:color w:val="000000"/>
                <w:sz w:val="22"/>
                <w:szCs w:val="22"/>
                <w:lang w:val="en-US"/>
              </w:rPr>
              <w:t>Danmark</w:t>
            </w:r>
          </w:p>
          <w:p w14:paraId="51D35680" w14:textId="77777777" w:rsidR="008C5A51" w:rsidRPr="00B30A12" w:rsidRDefault="008C5A51" w:rsidP="000C47C6">
            <w:pPr>
              <w:widowControl w:val="0"/>
              <w:rPr>
                <w:color w:val="000000"/>
                <w:sz w:val="22"/>
                <w:szCs w:val="22"/>
                <w:lang w:val="en-US"/>
              </w:rPr>
            </w:pPr>
            <w:r w:rsidRPr="00B30A12">
              <w:rPr>
                <w:color w:val="000000"/>
                <w:sz w:val="22"/>
                <w:szCs w:val="22"/>
                <w:lang w:val="en-US"/>
              </w:rPr>
              <w:t>Novartis Healthcare A/S</w:t>
            </w:r>
          </w:p>
          <w:p w14:paraId="33AA582C" w14:textId="77777777" w:rsidR="008C5A51" w:rsidRPr="00B30A12" w:rsidRDefault="008C5A51" w:rsidP="000C47C6">
            <w:pPr>
              <w:widowControl w:val="0"/>
              <w:rPr>
                <w:color w:val="000000"/>
                <w:sz w:val="22"/>
                <w:szCs w:val="22"/>
                <w:lang w:val="en-US"/>
              </w:rPr>
            </w:pPr>
            <w:r w:rsidRPr="00B30A12">
              <w:rPr>
                <w:color w:val="000000"/>
                <w:sz w:val="22"/>
                <w:szCs w:val="22"/>
                <w:lang w:val="en-US"/>
              </w:rPr>
              <w:t>Tlf: +45 39 16 84 00</w:t>
            </w:r>
          </w:p>
          <w:p w14:paraId="29056A80" w14:textId="77777777" w:rsidR="008C5A51" w:rsidRPr="00B30A12" w:rsidRDefault="008C5A51" w:rsidP="000C47C6">
            <w:pPr>
              <w:widowControl w:val="0"/>
              <w:rPr>
                <w:b/>
                <w:color w:val="000000"/>
                <w:sz w:val="22"/>
                <w:szCs w:val="22"/>
                <w:lang w:val="en-US"/>
              </w:rPr>
            </w:pPr>
          </w:p>
        </w:tc>
        <w:tc>
          <w:tcPr>
            <w:tcW w:w="4650" w:type="dxa"/>
          </w:tcPr>
          <w:p w14:paraId="4FD37429"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Malta</w:t>
            </w:r>
          </w:p>
          <w:p w14:paraId="7E1C238E"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Pharma Services Inc.</w:t>
            </w:r>
          </w:p>
          <w:p w14:paraId="188CF68D" w14:textId="77777777" w:rsidR="008C5A51" w:rsidRPr="00B30A12" w:rsidRDefault="008C5A51" w:rsidP="000C47C6">
            <w:pPr>
              <w:widowControl w:val="0"/>
              <w:rPr>
                <w:color w:val="000000"/>
                <w:sz w:val="22"/>
                <w:szCs w:val="22"/>
              </w:rPr>
            </w:pPr>
            <w:r w:rsidRPr="00B30A12">
              <w:rPr>
                <w:color w:val="000000"/>
                <w:sz w:val="22"/>
                <w:szCs w:val="22"/>
              </w:rPr>
              <w:t>Tel: +356 2122 2872</w:t>
            </w:r>
          </w:p>
        </w:tc>
      </w:tr>
      <w:tr w:rsidR="008C5A51" w:rsidRPr="00B30A12" w14:paraId="2399658D" w14:textId="77777777" w:rsidTr="00CC644C">
        <w:trPr>
          <w:cantSplit/>
        </w:trPr>
        <w:tc>
          <w:tcPr>
            <w:tcW w:w="4650" w:type="dxa"/>
          </w:tcPr>
          <w:p w14:paraId="5D1B1B5F" w14:textId="77777777" w:rsidR="008C5A51" w:rsidRPr="00B30A12" w:rsidRDefault="008C5A51" w:rsidP="000C47C6">
            <w:pPr>
              <w:widowControl w:val="0"/>
              <w:rPr>
                <w:b/>
                <w:color w:val="000000"/>
                <w:sz w:val="22"/>
                <w:szCs w:val="22"/>
                <w:lang w:val="de-CH"/>
              </w:rPr>
            </w:pPr>
            <w:r w:rsidRPr="00B30A12">
              <w:rPr>
                <w:b/>
                <w:color w:val="000000"/>
                <w:sz w:val="22"/>
                <w:szCs w:val="22"/>
                <w:lang w:val="de-CH"/>
              </w:rPr>
              <w:t>Deutschland</w:t>
            </w:r>
          </w:p>
          <w:p w14:paraId="73F5F921" w14:textId="77777777" w:rsidR="008C5A51" w:rsidRPr="00B30A12" w:rsidRDefault="008C5A51" w:rsidP="000C47C6">
            <w:pPr>
              <w:widowControl w:val="0"/>
              <w:rPr>
                <w:color w:val="000000"/>
                <w:sz w:val="22"/>
                <w:szCs w:val="22"/>
                <w:lang w:val="de-CH"/>
              </w:rPr>
            </w:pPr>
            <w:r w:rsidRPr="00B30A12">
              <w:rPr>
                <w:color w:val="000000"/>
                <w:sz w:val="22"/>
                <w:szCs w:val="22"/>
                <w:lang w:val="de-CH"/>
              </w:rPr>
              <w:t>Novartis Pharma GmbH</w:t>
            </w:r>
          </w:p>
          <w:p w14:paraId="3E635D3A" w14:textId="77777777" w:rsidR="008C5A51" w:rsidRPr="00B30A12" w:rsidRDefault="008C5A51" w:rsidP="000C47C6">
            <w:pPr>
              <w:widowControl w:val="0"/>
              <w:rPr>
                <w:color w:val="000000"/>
                <w:sz w:val="22"/>
                <w:szCs w:val="22"/>
                <w:lang w:val="de-CH"/>
              </w:rPr>
            </w:pPr>
            <w:r w:rsidRPr="00B30A12">
              <w:rPr>
                <w:color w:val="000000"/>
                <w:sz w:val="22"/>
                <w:szCs w:val="22"/>
                <w:lang w:val="de-CH"/>
              </w:rPr>
              <w:t>Tel: +49 911 273 0</w:t>
            </w:r>
          </w:p>
          <w:p w14:paraId="04FC45D4" w14:textId="77777777" w:rsidR="008C5A51" w:rsidRPr="00B30A12" w:rsidRDefault="008C5A51" w:rsidP="000C47C6">
            <w:pPr>
              <w:widowControl w:val="0"/>
              <w:rPr>
                <w:b/>
                <w:color w:val="000000"/>
                <w:sz w:val="22"/>
                <w:szCs w:val="22"/>
                <w:lang w:val="de-CH"/>
              </w:rPr>
            </w:pPr>
          </w:p>
        </w:tc>
        <w:tc>
          <w:tcPr>
            <w:tcW w:w="4650" w:type="dxa"/>
          </w:tcPr>
          <w:p w14:paraId="5D0F7BA1" w14:textId="77777777" w:rsidR="008C5A51" w:rsidRPr="00B30A12" w:rsidRDefault="008C5A51" w:rsidP="000C47C6">
            <w:pPr>
              <w:widowControl w:val="0"/>
              <w:rPr>
                <w:b/>
                <w:color w:val="000000"/>
                <w:sz w:val="22"/>
                <w:szCs w:val="22"/>
                <w:lang w:val="de-CH"/>
              </w:rPr>
            </w:pPr>
            <w:r w:rsidRPr="00B30A12">
              <w:rPr>
                <w:b/>
                <w:color w:val="000000"/>
                <w:sz w:val="22"/>
                <w:szCs w:val="22"/>
                <w:lang w:val="de-CH"/>
              </w:rPr>
              <w:t>Nederland</w:t>
            </w:r>
          </w:p>
          <w:p w14:paraId="3606B05F" w14:textId="77777777" w:rsidR="008C5A51" w:rsidRPr="00B30A12" w:rsidRDefault="008C5A51" w:rsidP="000C47C6">
            <w:pPr>
              <w:widowControl w:val="0"/>
              <w:rPr>
                <w:color w:val="000000"/>
                <w:sz w:val="22"/>
                <w:szCs w:val="22"/>
                <w:lang w:val="de-CH"/>
              </w:rPr>
            </w:pPr>
            <w:r w:rsidRPr="00B30A12">
              <w:rPr>
                <w:color w:val="000000"/>
                <w:sz w:val="22"/>
                <w:szCs w:val="22"/>
                <w:lang w:val="de-CH"/>
              </w:rPr>
              <w:t>Novartis Pharma B.V.</w:t>
            </w:r>
          </w:p>
          <w:p w14:paraId="39A90108" w14:textId="308B9114" w:rsidR="008C5A51" w:rsidRPr="00B30A12" w:rsidRDefault="008C5A51" w:rsidP="00055A65">
            <w:pPr>
              <w:widowControl w:val="0"/>
              <w:rPr>
                <w:color w:val="000000"/>
                <w:sz w:val="22"/>
                <w:szCs w:val="22"/>
              </w:rPr>
            </w:pPr>
            <w:r w:rsidRPr="00B30A12">
              <w:rPr>
                <w:color w:val="000000"/>
                <w:sz w:val="22"/>
                <w:szCs w:val="22"/>
              </w:rPr>
              <w:t xml:space="preserve">Tel: +31 </w:t>
            </w:r>
            <w:r w:rsidR="00055A65" w:rsidRPr="00055A65">
              <w:rPr>
                <w:color w:val="000000"/>
                <w:sz w:val="22"/>
                <w:szCs w:val="22"/>
              </w:rPr>
              <w:t>88 04 52</w:t>
            </w:r>
            <w:r w:rsidR="00055A65">
              <w:rPr>
                <w:color w:val="000000"/>
                <w:sz w:val="22"/>
                <w:szCs w:val="22"/>
              </w:rPr>
              <w:t xml:space="preserve"> </w:t>
            </w:r>
            <w:r w:rsidR="0095506C" w:rsidRPr="00B30A12">
              <w:rPr>
                <w:color w:val="000000"/>
                <w:sz w:val="22"/>
                <w:szCs w:val="22"/>
              </w:rPr>
              <w:t>555</w:t>
            </w:r>
          </w:p>
        </w:tc>
      </w:tr>
      <w:tr w:rsidR="008C5A51" w:rsidRPr="009D20BB" w14:paraId="2F60FCA6" w14:textId="77777777" w:rsidTr="00CC644C">
        <w:trPr>
          <w:cantSplit/>
        </w:trPr>
        <w:tc>
          <w:tcPr>
            <w:tcW w:w="4650" w:type="dxa"/>
          </w:tcPr>
          <w:p w14:paraId="4ED99D4D" w14:textId="77777777" w:rsidR="008C5A51" w:rsidRPr="00E37E76" w:rsidRDefault="008C5A51" w:rsidP="000C47C6">
            <w:pPr>
              <w:widowControl w:val="0"/>
              <w:rPr>
                <w:b/>
                <w:color w:val="000000"/>
                <w:sz w:val="22"/>
                <w:szCs w:val="22"/>
                <w:lang w:val="it-IT"/>
              </w:rPr>
            </w:pPr>
            <w:r w:rsidRPr="00E37E76">
              <w:rPr>
                <w:b/>
                <w:color w:val="000000"/>
                <w:sz w:val="22"/>
                <w:szCs w:val="22"/>
                <w:lang w:val="it-IT"/>
              </w:rPr>
              <w:t>Eesti</w:t>
            </w:r>
          </w:p>
          <w:p w14:paraId="0D746CF7" w14:textId="77777777" w:rsidR="008C5A51" w:rsidRPr="00E37E76" w:rsidRDefault="00E37E76" w:rsidP="000C47C6">
            <w:pPr>
              <w:widowControl w:val="0"/>
              <w:rPr>
                <w:color w:val="000000"/>
                <w:sz w:val="22"/>
                <w:szCs w:val="22"/>
                <w:lang w:val="it-IT"/>
              </w:rPr>
            </w:pPr>
            <w:r w:rsidRPr="00F16CCC">
              <w:rPr>
                <w:sz w:val="22"/>
                <w:szCs w:val="22"/>
                <w:lang w:val="it-IT"/>
              </w:rPr>
              <w:t>SIA Novartis Baltics Eesti filiaal</w:t>
            </w:r>
          </w:p>
          <w:p w14:paraId="4684F8FA" w14:textId="77777777" w:rsidR="008C5A51" w:rsidRPr="00E37E76" w:rsidRDefault="008C5A51" w:rsidP="000C47C6">
            <w:pPr>
              <w:widowControl w:val="0"/>
              <w:rPr>
                <w:color w:val="000000"/>
                <w:sz w:val="22"/>
                <w:szCs w:val="22"/>
                <w:lang w:val="it-IT"/>
              </w:rPr>
            </w:pPr>
            <w:r w:rsidRPr="00E37E76">
              <w:rPr>
                <w:color w:val="000000"/>
                <w:sz w:val="22"/>
                <w:szCs w:val="22"/>
                <w:lang w:val="it-IT"/>
              </w:rPr>
              <w:t>Tel: +372 66 30 810</w:t>
            </w:r>
          </w:p>
          <w:p w14:paraId="76505FF7" w14:textId="77777777" w:rsidR="008C5A51" w:rsidRPr="00E37E76" w:rsidRDefault="008C5A51" w:rsidP="000C47C6">
            <w:pPr>
              <w:widowControl w:val="0"/>
              <w:rPr>
                <w:b/>
                <w:color w:val="000000"/>
                <w:sz w:val="22"/>
                <w:szCs w:val="22"/>
                <w:lang w:val="it-IT"/>
              </w:rPr>
            </w:pPr>
          </w:p>
        </w:tc>
        <w:tc>
          <w:tcPr>
            <w:tcW w:w="4650" w:type="dxa"/>
          </w:tcPr>
          <w:p w14:paraId="047E7C12"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Norge</w:t>
            </w:r>
          </w:p>
          <w:p w14:paraId="036A8367"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Norge AS</w:t>
            </w:r>
          </w:p>
          <w:p w14:paraId="283FB720" w14:textId="77777777" w:rsidR="008C5A51" w:rsidRPr="00B30A12" w:rsidRDefault="008C5A51" w:rsidP="000C47C6">
            <w:pPr>
              <w:widowControl w:val="0"/>
              <w:rPr>
                <w:color w:val="000000"/>
                <w:sz w:val="22"/>
                <w:szCs w:val="22"/>
                <w:lang w:val="pt-BR"/>
              </w:rPr>
            </w:pPr>
            <w:r w:rsidRPr="00B30A12">
              <w:rPr>
                <w:color w:val="000000"/>
                <w:sz w:val="22"/>
                <w:szCs w:val="22"/>
                <w:lang w:val="pt-BR"/>
              </w:rPr>
              <w:t>Tlf: +47 23 05 20 00</w:t>
            </w:r>
          </w:p>
        </w:tc>
      </w:tr>
      <w:tr w:rsidR="008C5A51" w:rsidRPr="00B30A12" w14:paraId="626E83E6" w14:textId="77777777" w:rsidTr="00CC644C">
        <w:trPr>
          <w:cantSplit/>
        </w:trPr>
        <w:tc>
          <w:tcPr>
            <w:tcW w:w="4650" w:type="dxa"/>
          </w:tcPr>
          <w:p w14:paraId="36C944B9" w14:textId="77777777" w:rsidR="008C5A51" w:rsidRPr="00B30A12" w:rsidRDefault="008C5A51" w:rsidP="000C47C6">
            <w:pPr>
              <w:widowControl w:val="0"/>
              <w:rPr>
                <w:b/>
                <w:color w:val="000000"/>
                <w:sz w:val="22"/>
                <w:szCs w:val="22"/>
                <w:lang w:val="pt-BR"/>
              </w:rPr>
            </w:pPr>
            <w:r w:rsidRPr="00B30A12">
              <w:rPr>
                <w:b/>
                <w:color w:val="000000"/>
                <w:sz w:val="22"/>
                <w:szCs w:val="22"/>
              </w:rPr>
              <w:t>Ελλάδα</w:t>
            </w:r>
          </w:p>
          <w:p w14:paraId="625E2D92"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(Hellas) A.E.B.E.</w:t>
            </w:r>
          </w:p>
          <w:p w14:paraId="52071500" w14:textId="77777777" w:rsidR="008C5A51" w:rsidRPr="00B30A12" w:rsidRDefault="008C5A51" w:rsidP="000C47C6">
            <w:pPr>
              <w:widowControl w:val="0"/>
              <w:rPr>
                <w:color w:val="000000"/>
                <w:sz w:val="22"/>
                <w:szCs w:val="22"/>
                <w:lang w:val="pt-BR"/>
              </w:rPr>
            </w:pPr>
            <w:r w:rsidRPr="00B30A12">
              <w:rPr>
                <w:color w:val="000000"/>
                <w:sz w:val="22"/>
                <w:szCs w:val="22"/>
              </w:rPr>
              <w:t>Τηλ</w:t>
            </w:r>
            <w:r w:rsidRPr="00B30A12">
              <w:rPr>
                <w:color w:val="000000"/>
                <w:sz w:val="22"/>
                <w:szCs w:val="22"/>
                <w:lang w:val="pt-BR"/>
              </w:rPr>
              <w:t>: +30 210 281 17 12</w:t>
            </w:r>
          </w:p>
          <w:p w14:paraId="74BD8E78" w14:textId="77777777" w:rsidR="008C5A51" w:rsidRPr="00B30A12" w:rsidRDefault="008C5A51" w:rsidP="000C47C6">
            <w:pPr>
              <w:widowControl w:val="0"/>
              <w:rPr>
                <w:b/>
                <w:color w:val="000000"/>
                <w:sz w:val="22"/>
                <w:szCs w:val="22"/>
                <w:lang w:val="pt-BR"/>
              </w:rPr>
            </w:pPr>
          </w:p>
        </w:tc>
        <w:tc>
          <w:tcPr>
            <w:tcW w:w="4650" w:type="dxa"/>
          </w:tcPr>
          <w:p w14:paraId="270F79E5" w14:textId="77777777" w:rsidR="008C5A51" w:rsidRPr="00B30A12" w:rsidRDefault="008C5A51" w:rsidP="000C47C6">
            <w:pPr>
              <w:widowControl w:val="0"/>
              <w:rPr>
                <w:b/>
                <w:color w:val="000000"/>
                <w:sz w:val="22"/>
                <w:szCs w:val="22"/>
                <w:lang w:val="de-CH"/>
              </w:rPr>
            </w:pPr>
            <w:r w:rsidRPr="00B30A12">
              <w:rPr>
                <w:b/>
                <w:color w:val="000000"/>
                <w:sz w:val="22"/>
                <w:szCs w:val="22"/>
                <w:lang w:val="de-CH"/>
              </w:rPr>
              <w:t>Österreich</w:t>
            </w:r>
          </w:p>
          <w:p w14:paraId="17C41A0A" w14:textId="77777777" w:rsidR="008C5A51" w:rsidRPr="00B30A12" w:rsidRDefault="008C5A51" w:rsidP="000C47C6">
            <w:pPr>
              <w:widowControl w:val="0"/>
              <w:rPr>
                <w:color w:val="000000"/>
                <w:sz w:val="22"/>
                <w:szCs w:val="22"/>
                <w:lang w:val="de-CH"/>
              </w:rPr>
            </w:pPr>
            <w:r w:rsidRPr="00B30A12">
              <w:rPr>
                <w:color w:val="000000"/>
                <w:sz w:val="22"/>
                <w:szCs w:val="22"/>
                <w:lang w:val="de-CH"/>
              </w:rPr>
              <w:t>Novartis Pharma GmbH</w:t>
            </w:r>
          </w:p>
          <w:p w14:paraId="5927AEEC" w14:textId="77777777" w:rsidR="008C5A51" w:rsidRPr="00B30A12" w:rsidRDefault="008C5A51" w:rsidP="000C47C6">
            <w:pPr>
              <w:widowControl w:val="0"/>
              <w:rPr>
                <w:color w:val="000000"/>
                <w:sz w:val="22"/>
                <w:szCs w:val="22"/>
                <w:lang w:val="de-CH"/>
              </w:rPr>
            </w:pPr>
            <w:r w:rsidRPr="00B30A12">
              <w:rPr>
                <w:color w:val="000000"/>
                <w:sz w:val="22"/>
                <w:szCs w:val="22"/>
                <w:lang w:val="de-CH"/>
              </w:rPr>
              <w:t>Tel: +43 1 86 6570</w:t>
            </w:r>
          </w:p>
        </w:tc>
      </w:tr>
      <w:tr w:rsidR="008C5A51" w:rsidRPr="00B30A12" w14:paraId="433035A0" w14:textId="77777777" w:rsidTr="00CC644C">
        <w:trPr>
          <w:cantSplit/>
        </w:trPr>
        <w:tc>
          <w:tcPr>
            <w:tcW w:w="4650" w:type="dxa"/>
          </w:tcPr>
          <w:p w14:paraId="44C70B89"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España</w:t>
            </w:r>
          </w:p>
          <w:p w14:paraId="23125FB6"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Farmacéutica, S.A.</w:t>
            </w:r>
          </w:p>
          <w:p w14:paraId="12EE93E6" w14:textId="77777777" w:rsidR="008C5A51" w:rsidRPr="00B30A12" w:rsidRDefault="008C5A51" w:rsidP="000C47C6">
            <w:pPr>
              <w:widowControl w:val="0"/>
              <w:rPr>
                <w:color w:val="000000"/>
                <w:sz w:val="22"/>
                <w:szCs w:val="22"/>
              </w:rPr>
            </w:pPr>
            <w:r w:rsidRPr="00B30A12">
              <w:rPr>
                <w:color w:val="000000"/>
                <w:sz w:val="22"/>
                <w:szCs w:val="22"/>
              </w:rPr>
              <w:t>Tel: +34 93 306 42 00</w:t>
            </w:r>
          </w:p>
          <w:p w14:paraId="65AC9CAB" w14:textId="77777777" w:rsidR="008C5A51" w:rsidRPr="00B30A12" w:rsidRDefault="008C5A51" w:rsidP="000C47C6">
            <w:pPr>
              <w:widowControl w:val="0"/>
              <w:rPr>
                <w:b/>
                <w:color w:val="000000"/>
                <w:sz w:val="22"/>
                <w:szCs w:val="22"/>
              </w:rPr>
            </w:pPr>
          </w:p>
        </w:tc>
        <w:tc>
          <w:tcPr>
            <w:tcW w:w="4650" w:type="dxa"/>
          </w:tcPr>
          <w:p w14:paraId="2A033C37"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Polska</w:t>
            </w:r>
          </w:p>
          <w:p w14:paraId="5929D9A1"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Poland Sp. z o.o.</w:t>
            </w:r>
          </w:p>
          <w:p w14:paraId="358ED28D" w14:textId="77777777" w:rsidR="008C5A51" w:rsidRPr="00B30A12" w:rsidRDefault="008C5A51" w:rsidP="000C47C6">
            <w:pPr>
              <w:widowControl w:val="0"/>
              <w:rPr>
                <w:color w:val="000000"/>
                <w:sz w:val="22"/>
                <w:szCs w:val="22"/>
                <w:lang w:val="pt-BR"/>
              </w:rPr>
            </w:pPr>
            <w:r w:rsidRPr="00B30A12">
              <w:rPr>
                <w:color w:val="000000"/>
                <w:sz w:val="22"/>
                <w:szCs w:val="22"/>
                <w:lang w:val="pt-BR"/>
              </w:rPr>
              <w:t xml:space="preserve">Tel.: +48 22 </w:t>
            </w:r>
            <w:r w:rsidRPr="00B30A12">
              <w:rPr>
                <w:sz w:val="22"/>
                <w:szCs w:val="22"/>
              </w:rPr>
              <w:t>375 4888</w:t>
            </w:r>
          </w:p>
        </w:tc>
      </w:tr>
      <w:tr w:rsidR="008C5A51" w:rsidRPr="00B30A12" w14:paraId="417AC922" w14:textId="77777777" w:rsidTr="00CC644C">
        <w:trPr>
          <w:cantSplit/>
        </w:trPr>
        <w:tc>
          <w:tcPr>
            <w:tcW w:w="4650" w:type="dxa"/>
          </w:tcPr>
          <w:p w14:paraId="2B862321" w14:textId="77777777" w:rsidR="008C5A51" w:rsidRPr="00B30A12" w:rsidRDefault="008C5A51" w:rsidP="000C47C6">
            <w:pPr>
              <w:widowControl w:val="0"/>
              <w:rPr>
                <w:b/>
                <w:color w:val="000000"/>
                <w:sz w:val="22"/>
                <w:szCs w:val="22"/>
                <w:lang w:val="fr-FR"/>
              </w:rPr>
            </w:pPr>
            <w:r w:rsidRPr="00B30A12">
              <w:rPr>
                <w:b/>
                <w:color w:val="000000"/>
                <w:sz w:val="22"/>
                <w:szCs w:val="22"/>
                <w:lang w:val="fr-FR"/>
              </w:rPr>
              <w:t>France</w:t>
            </w:r>
          </w:p>
          <w:p w14:paraId="53FE60F5" w14:textId="77777777" w:rsidR="008C5A51" w:rsidRPr="00B30A12" w:rsidRDefault="008C5A51" w:rsidP="000C47C6">
            <w:pPr>
              <w:widowControl w:val="0"/>
              <w:rPr>
                <w:color w:val="000000"/>
                <w:sz w:val="22"/>
                <w:szCs w:val="22"/>
                <w:lang w:val="fr-FR"/>
              </w:rPr>
            </w:pPr>
            <w:r w:rsidRPr="00B30A12">
              <w:rPr>
                <w:color w:val="000000"/>
                <w:sz w:val="22"/>
                <w:szCs w:val="22"/>
                <w:lang w:val="fr-FR"/>
              </w:rPr>
              <w:t>Novartis Pharma S.A.S.</w:t>
            </w:r>
          </w:p>
          <w:p w14:paraId="60DA8B24" w14:textId="77777777" w:rsidR="008C5A51" w:rsidRPr="00B30A12" w:rsidRDefault="008C5A51" w:rsidP="000C47C6">
            <w:pPr>
              <w:widowControl w:val="0"/>
              <w:rPr>
                <w:color w:val="000000"/>
                <w:sz w:val="22"/>
                <w:szCs w:val="22"/>
                <w:lang w:val="fr-FR"/>
              </w:rPr>
            </w:pPr>
            <w:r w:rsidRPr="00B30A12">
              <w:rPr>
                <w:color w:val="000000"/>
                <w:sz w:val="22"/>
                <w:szCs w:val="22"/>
                <w:lang w:val="fr-FR"/>
              </w:rPr>
              <w:t>Tél: +33 1 55 47 66 00</w:t>
            </w:r>
          </w:p>
          <w:p w14:paraId="3B18D2BF" w14:textId="77777777" w:rsidR="008C5A51" w:rsidRPr="00B30A12" w:rsidRDefault="008C5A51" w:rsidP="000C47C6">
            <w:pPr>
              <w:widowControl w:val="0"/>
              <w:rPr>
                <w:b/>
                <w:color w:val="000000"/>
                <w:sz w:val="22"/>
                <w:szCs w:val="22"/>
                <w:lang w:val="fr-FR"/>
              </w:rPr>
            </w:pPr>
          </w:p>
        </w:tc>
        <w:tc>
          <w:tcPr>
            <w:tcW w:w="4650" w:type="dxa"/>
          </w:tcPr>
          <w:p w14:paraId="4259CE17"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Portugal</w:t>
            </w:r>
          </w:p>
          <w:p w14:paraId="0A4426FE"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Farma - Produtos Farmacêuticos, S.A.</w:t>
            </w:r>
          </w:p>
          <w:p w14:paraId="7398A18E" w14:textId="77777777" w:rsidR="008C5A51" w:rsidRPr="00B30A12" w:rsidRDefault="008C5A51" w:rsidP="000C47C6">
            <w:pPr>
              <w:widowControl w:val="0"/>
              <w:rPr>
                <w:color w:val="000000"/>
                <w:sz w:val="22"/>
                <w:szCs w:val="22"/>
              </w:rPr>
            </w:pPr>
            <w:r w:rsidRPr="00B30A12">
              <w:rPr>
                <w:color w:val="000000"/>
                <w:sz w:val="22"/>
                <w:szCs w:val="22"/>
              </w:rPr>
              <w:t>Tel: +351 21 000 8600</w:t>
            </w:r>
          </w:p>
        </w:tc>
      </w:tr>
      <w:tr w:rsidR="008C5A51" w:rsidRPr="00B30A12" w14:paraId="50E71E8D" w14:textId="77777777" w:rsidTr="00CC644C">
        <w:trPr>
          <w:cantSplit/>
        </w:trPr>
        <w:tc>
          <w:tcPr>
            <w:tcW w:w="4650" w:type="dxa"/>
          </w:tcPr>
          <w:p w14:paraId="1E8303A2" w14:textId="77777777" w:rsidR="008C5A51" w:rsidRPr="00B30A12" w:rsidRDefault="008C5A51" w:rsidP="000C47C6">
            <w:pPr>
              <w:widowControl w:val="0"/>
              <w:rPr>
                <w:rFonts w:eastAsia="PMingLiU"/>
                <w:b/>
                <w:sz w:val="22"/>
                <w:szCs w:val="22"/>
              </w:rPr>
            </w:pPr>
            <w:r w:rsidRPr="00B30A12">
              <w:rPr>
                <w:rFonts w:eastAsia="PMingLiU"/>
                <w:b/>
                <w:sz w:val="22"/>
                <w:szCs w:val="22"/>
              </w:rPr>
              <w:lastRenderedPageBreak/>
              <w:t>Hrvatska</w:t>
            </w:r>
          </w:p>
          <w:p w14:paraId="232F0F02" w14:textId="77777777" w:rsidR="008C5A51" w:rsidRPr="00B30A12" w:rsidRDefault="008C5A51" w:rsidP="000C47C6">
            <w:pPr>
              <w:widowControl w:val="0"/>
              <w:rPr>
                <w:sz w:val="22"/>
                <w:szCs w:val="22"/>
              </w:rPr>
            </w:pPr>
            <w:r w:rsidRPr="00B30A12">
              <w:rPr>
                <w:sz w:val="22"/>
                <w:szCs w:val="22"/>
              </w:rPr>
              <w:t>Novartis Hrvatska d.o.o.</w:t>
            </w:r>
          </w:p>
          <w:p w14:paraId="5F5F7932" w14:textId="77777777" w:rsidR="008C5A51" w:rsidRPr="00B30A12" w:rsidRDefault="008C5A51" w:rsidP="000C47C6">
            <w:pPr>
              <w:widowControl w:val="0"/>
              <w:rPr>
                <w:sz w:val="22"/>
                <w:szCs w:val="22"/>
              </w:rPr>
            </w:pPr>
            <w:r w:rsidRPr="00B30A12">
              <w:rPr>
                <w:sz w:val="22"/>
                <w:szCs w:val="22"/>
              </w:rPr>
              <w:t>Tel. +385 1 6274 220</w:t>
            </w:r>
          </w:p>
          <w:p w14:paraId="6CB95937" w14:textId="77777777" w:rsidR="008C5A51" w:rsidRPr="00B30A12" w:rsidRDefault="008C5A51" w:rsidP="000C47C6">
            <w:pPr>
              <w:widowControl w:val="0"/>
              <w:rPr>
                <w:b/>
                <w:color w:val="000000"/>
                <w:sz w:val="22"/>
                <w:szCs w:val="22"/>
                <w:lang w:val="fr-FR"/>
              </w:rPr>
            </w:pPr>
          </w:p>
        </w:tc>
        <w:tc>
          <w:tcPr>
            <w:tcW w:w="4650" w:type="dxa"/>
          </w:tcPr>
          <w:p w14:paraId="1DA07BF5" w14:textId="77777777" w:rsidR="008C5A51" w:rsidRPr="00B30A12" w:rsidRDefault="008C5A51" w:rsidP="000C47C6">
            <w:pPr>
              <w:widowControl w:val="0"/>
              <w:rPr>
                <w:b/>
                <w:noProof/>
                <w:color w:val="000000"/>
                <w:sz w:val="22"/>
                <w:szCs w:val="22"/>
                <w:lang w:val="it-IT"/>
              </w:rPr>
            </w:pPr>
            <w:r w:rsidRPr="00B30A12">
              <w:rPr>
                <w:b/>
                <w:noProof/>
                <w:color w:val="000000"/>
                <w:sz w:val="22"/>
                <w:szCs w:val="22"/>
                <w:lang w:val="it-IT"/>
              </w:rPr>
              <w:t>România</w:t>
            </w:r>
          </w:p>
          <w:p w14:paraId="30C02BEA" w14:textId="77777777" w:rsidR="008C5A51" w:rsidRPr="00B30A12" w:rsidRDefault="008C5A51" w:rsidP="000C47C6">
            <w:pPr>
              <w:widowControl w:val="0"/>
              <w:rPr>
                <w:noProof/>
                <w:color w:val="000000"/>
                <w:sz w:val="22"/>
                <w:szCs w:val="22"/>
                <w:lang w:val="it-IT"/>
              </w:rPr>
            </w:pPr>
            <w:r w:rsidRPr="00B30A12">
              <w:rPr>
                <w:noProof/>
                <w:color w:val="000000"/>
                <w:sz w:val="22"/>
                <w:szCs w:val="22"/>
                <w:lang w:val="it-IT"/>
              </w:rPr>
              <w:t xml:space="preserve">Novartis Pharma Services </w:t>
            </w:r>
            <w:r w:rsidRPr="002A051A">
              <w:rPr>
                <w:color w:val="2F2F2F"/>
                <w:sz w:val="22"/>
                <w:szCs w:val="22"/>
                <w:lang w:val="en-US"/>
              </w:rPr>
              <w:t>Romania SRL</w:t>
            </w:r>
          </w:p>
          <w:p w14:paraId="5761758A" w14:textId="77777777" w:rsidR="008C5A51" w:rsidRPr="00B30A12" w:rsidRDefault="008C5A51" w:rsidP="000C47C6">
            <w:pPr>
              <w:widowControl w:val="0"/>
              <w:rPr>
                <w:color w:val="000000"/>
                <w:sz w:val="22"/>
                <w:szCs w:val="22"/>
              </w:rPr>
            </w:pPr>
            <w:r w:rsidRPr="00B30A12">
              <w:rPr>
                <w:noProof/>
                <w:color w:val="000000"/>
                <w:sz w:val="22"/>
                <w:szCs w:val="22"/>
                <w:lang w:val="it-IT"/>
              </w:rPr>
              <w:t>Tel: +40 21 31299 01</w:t>
            </w:r>
          </w:p>
        </w:tc>
      </w:tr>
      <w:tr w:rsidR="008C5A51" w:rsidRPr="00B30A12" w14:paraId="6CFD06CB" w14:textId="77777777" w:rsidTr="00CC644C">
        <w:trPr>
          <w:cantSplit/>
        </w:trPr>
        <w:tc>
          <w:tcPr>
            <w:tcW w:w="4650" w:type="dxa"/>
          </w:tcPr>
          <w:p w14:paraId="4D8BE4E2" w14:textId="77777777" w:rsidR="008C5A51" w:rsidRPr="00B30A12" w:rsidRDefault="008C5A51" w:rsidP="000C47C6">
            <w:pPr>
              <w:widowControl w:val="0"/>
              <w:rPr>
                <w:b/>
                <w:color w:val="000000"/>
                <w:sz w:val="22"/>
                <w:szCs w:val="22"/>
                <w:lang w:val="en-US"/>
              </w:rPr>
            </w:pPr>
            <w:r w:rsidRPr="00B30A12">
              <w:rPr>
                <w:b/>
                <w:color w:val="000000"/>
                <w:sz w:val="22"/>
                <w:szCs w:val="22"/>
                <w:lang w:val="en-US"/>
              </w:rPr>
              <w:t>Ireland</w:t>
            </w:r>
          </w:p>
          <w:p w14:paraId="0AD88DE4" w14:textId="77777777" w:rsidR="008C5A51" w:rsidRPr="00B30A12" w:rsidRDefault="008C5A51" w:rsidP="000C47C6">
            <w:pPr>
              <w:widowControl w:val="0"/>
              <w:rPr>
                <w:color w:val="000000"/>
                <w:sz w:val="22"/>
                <w:szCs w:val="22"/>
                <w:lang w:val="en-US"/>
              </w:rPr>
            </w:pPr>
            <w:r w:rsidRPr="00B30A12">
              <w:rPr>
                <w:color w:val="000000"/>
                <w:sz w:val="22"/>
                <w:szCs w:val="22"/>
                <w:lang w:val="en-US"/>
              </w:rPr>
              <w:t>Novartis Ireland Limited</w:t>
            </w:r>
          </w:p>
          <w:p w14:paraId="30C82ADD" w14:textId="77777777" w:rsidR="008C5A51" w:rsidRPr="00B30A12" w:rsidRDefault="008C5A51" w:rsidP="000C47C6">
            <w:pPr>
              <w:widowControl w:val="0"/>
              <w:rPr>
                <w:color w:val="000000"/>
                <w:sz w:val="22"/>
                <w:szCs w:val="22"/>
                <w:lang w:val="en-US"/>
              </w:rPr>
            </w:pPr>
            <w:r w:rsidRPr="00B30A12">
              <w:rPr>
                <w:color w:val="000000"/>
                <w:sz w:val="22"/>
                <w:szCs w:val="22"/>
                <w:lang w:val="en-US"/>
              </w:rPr>
              <w:t>Tel: +353 1 260 12 55</w:t>
            </w:r>
          </w:p>
          <w:p w14:paraId="0A211B42" w14:textId="77777777" w:rsidR="008C5A51" w:rsidRPr="00B30A12" w:rsidRDefault="008C5A51" w:rsidP="000C47C6">
            <w:pPr>
              <w:widowControl w:val="0"/>
              <w:rPr>
                <w:b/>
                <w:color w:val="000000"/>
                <w:sz w:val="22"/>
                <w:szCs w:val="22"/>
                <w:lang w:val="en-US"/>
              </w:rPr>
            </w:pPr>
          </w:p>
        </w:tc>
        <w:tc>
          <w:tcPr>
            <w:tcW w:w="4650" w:type="dxa"/>
          </w:tcPr>
          <w:p w14:paraId="331F6495" w14:textId="77777777" w:rsidR="008C5A51" w:rsidRPr="00B30A12" w:rsidRDefault="008C5A51" w:rsidP="000C47C6">
            <w:pPr>
              <w:widowControl w:val="0"/>
              <w:rPr>
                <w:b/>
                <w:color w:val="000000"/>
                <w:sz w:val="22"/>
                <w:szCs w:val="22"/>
                <w:lang w:val="fr-FR"/>
              </w:rPr>
            </w:pPr>
            <w:r w:rsidRPr="00B30A12">
              <w:rPr>
                <w:b/>
                <w:color w:val="000000"/>
                <w:sz w:val="22"/>
                <w:szCs w:val="22"/>
                <w:lang w:val="fr-FR"/>
              </w:rPr>
              <w:t>Slovenija</w:t>
            </w:r>
          </w:p>
          <w:p w14:paraId="5662650B" w14:textId="77777777" w:rsidR="008C5A51" w:rsidRPr="00B30A12" w:rsidRDefault="008C5A51" w:rsidP="000C47C6">
            <w:pPr>
              <w:widowControl w:val="0"/>
              <w:rPr>
                <w:color w:val="000000"/>
                <w:sz w:val="22"/>
                <w:szCs w:val="22"/>
                <w:lang w:val="fr-FR"/>
              </w:rPr>
            </w:pPr>
            <w:r w:rsidRPr="00B30A12">
              <w:rPr>
                <w:color w:val="000000"/>
                <w:sz w:val="22"/>
                <w:szCs w:val="22"/>
                <w:lang w:val="fr-FR"/>
              </w:rPr>
              <w:t>Novartis Pharma Services Inc.</w:t>
            </w:r>
          </w:p>
          <w:p w14:paraId="17CB4AB0" w14:textId="77777777" w:rsidR="008C5A51" w:rsidRPr="00B30A12" w:rsidRDefault="008C5A51" w:rsidP="000C47C6">
            <w:pPr>
              <w:widowControl w:val="0"/>
              <w:rPr>
                <w:color w:val="000000"/>
                <w:sz w:val="22"/>
                <w:szCs w:val="22"/>
                <w:lang w:val="fr-FR"/>
              </w:rPr>
            </w:pPr>
            <w:r w:rsidRPr="00B30A12">
              <w:rPr>
                <w:color w:val="000000"/>
                <w:sz w:val="22"/>
                <w:szCs w:val="22"/>
                <w:lang w:val="fr-FR"/>
              </w:rPr>
              <w:t>Tel: +386 1 300 75 50</w:t>
            </w:r>
          </w:p>
        </w:tc>
      </w:tr>
      <w:tr w:rsidR="008C5A51" w:rsidRPr="00B30A12" w14:paraId="61B7C193" w14:textId="77777777" w:rsidTr="00CC644C">
        <w:trPr>
          <w:cantSplit/>
        </w:trPr>
        <w:tc>
          <w:tcPr>
            <w:tcW w:w="4650" w:type="dxa"/>
          </w:tcPr>
          <w:p w14:paraId="41FA972D" w14:textId="77777777" w:rsidR="008C5A51" w:rsidRPr="00B30A12" w:rsidRDefault="008C5A51" w:rsidP="000C47C6">
            <w:pPr>
              <w:widowControl w:val="0"/>
              <w:rPr>
                <w:b/>
                <w:color w:val="000000"/>
                <w:sz w:val="22"/>
                <w:szCs w:val="22"/>
              </w:rPr>
            </w:pPr>
            <w:r w:rsidRPr="00B30A12">
              <w:rPr>
                <w:b/>
                <w:color w:val="000000"/>
                <w:sz w:val="22"/>
                <w:szCs w:val="22"/>
              </w:rPr>
              <w:t>Ísland</w:t>
            </w:r>
          </w:p>
          <w:p w14:paraId="458675E2" w14:textId="77777777" w:rsidR="008C5A51" w:rsidRPr="00B30A12" w:rsidRDefault="008C5A51" w:rsidP="000C47C6">
            <w:pPr>
              <w:widowControl w:val="0"/>
              <w:rPr>
                <w:color w:val="000000"/>
                <w:sz w:val="22"/>
                <w:szCs w:val="22"/>
              </w:rPr>
            </w:pPr>
            <w:r w:rsidRPr="00B30A12">
              <w:rPr>
                <w:color w:val="000000"/>
                <w:sz w:val="22"/>
                <w:szCs w:val="22"/>
              </w:rPr>
              <w:t>Vistor hf.</w:t>
            </w:r>
          </w:p>
          <w:p w14:paraId="52654574" w14:textId="77777777" w:rsidR="008C5A51" w:rsidRPr="00B30A12" w:rsidRDefault="008C5A51" w:rsidP="000C47C6">
            <w:pPr>
              <w:widowControl w:val="0"/>
              <w:rPr>
                <w:color w:val="000000"/>
                <w:sz w:val="22"/>
                <w:szCs w:val="22"/>
              </w:rPr>
            </w:pPr>
            <w:r w:rsidRPr="00B30A12">
              <w:rPr>
                <w:noProof/>
                <w:color w:val="000000"/>
                <w:sz w:val="22"/>
                <w:szCs w:val="22"/>
                <w:lang w:val="it-IT"/>
              </w:rPr>
              <w:t>S</w:t>
            </w:r>
            <w:r w:rsidRPr="00B30A12">
              <w:rPr>
                <w:noProof/>
                <w:color w:val="000000"/>
                <w:sz w:val="22"/>
                <w:szCs w:val="22"/>
                <w:lang w:val="cs-CZ"/>
              </w:rPr>
              <w:t>í</w:t>
            </w:r>
            <w:r w:rsidRPr="00B30A12">
              <w:rPr>
                <w:noProof/>
                <w:color w:val="000000"/>
                <w:sz w:val="22"/>
                <w:szCs w:val="22"/>
                <w:lang w:val="it-IT"/>
              </w:rPr>
              <w:t>mi</w:t>
            </w:r>
            <w:r w:rsidRPr="00B30A12">
              <w:rPr>
                <w:color w:val="000000"/>
                <w:sz w:val="22"/>
                <w:szCs w:val="22"/>
              </w:rPr>
              <w:t>: +354 535 7000</w:t>
            </w:r>
          </w:p>
          <w:p w14:paraId="122651A1" w14:textId="77777777" w:rsidR="008C5A51" w:rsidRPr="00B30A12" w:rsidRDefault="008C5A51" w:rsidP="000C47C6">
            <w:pPr>
              <w:widowControl w:val="0"/>
              <w:rPr>
                <w:b/>
                <w:color w:val="000000"/>
                <w:sz w:val="22"/>
                <w:szCs w:val="22"/>
              </w:rPr>
            </w:pPr>
          </w:p>
        </w:tc>
        <w:tc>
          <w:tcPr>
            <w:tcW w:w="4650" w:type="dxa"/>
          </w:tcPr>
          <w:p w14:paraId="631642D6"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Slovenská republika</w:t>
            </w:r>
          </w:p>
          <w:p w14:paraId="680EF22B"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Slovakia s.r.o.</w:t>
            </w:r>
          </w:p>
          <w:p w14:paraId="206D4114" w14:textId="77777777" w:rsidR="008C5A51" w:rsidRPr="00B30A12" w:rsidRDefault="008C5A51" w:rsidP="000C47C6">
            <w:pPr>
              <w:widowControl w:val="0"/>
              <w:rPr>
                <w:color w:val="000000"/>
                <w:sz w:val="22"/>
                <w:szCs w:val="22"/>
              </w:rPr>
            </w:pPr>
            <w:r w:rsidRPr="00B30A12">
              <w:rPr>
                <w:color w:val="000000"/>
                <w:sz w:val="22"/>
                <w:szCs w:val="22"/>
              </w:rPr>
              <w:t>Tel: +421 2 5542 5439</w:t>
            </w:r>
          </w:p>
          <w:p w14:paraId="1A664D7F" w14:textId="77777777" w:rsidR="008C5A51" w:rsidRPr="00B30A12" w:rsidRDefault="008C5A51" w:rsidP="000C47C6">
            <w:pPr>
              <w:widowControl w:val="0"/>
              <w:rPr>
                <w:color w:val="000000"/>
                <w:sz w:val="22"/>
                <w:szCs w:val="22"/>
              </w:rPr>
            </w:pPr>
          </w:p>
        </w:tc>
      </w:tr>
      <w:tr w:rsidR="008C5A51" w:rsidRPr="00B30A12" w14:paraId="27541E30" w14:textId="77777777" w:rsidTr="00CC644C">
        <w:trPr>
          <w:cantSplit/>
        </w:trPr>
        <w:tc>
          <w:tcPr>
            <w:tcW w:w="4650" w:type="dxa"/>
          </w:tcPr>
          <w:p w14:paraId="618A0655" w14:textId="77777777" w:rsidR="008C5A51" w:rsidRPr="00B30A12" w:rsidRDefault="008C5A51" w:rsidP="000C47C6">
            <w:pPr>
              <w:widowControl w:val="0"/>
              <w:rPr>
                <w:b/>
                <w:color w:val="000000"/>
                <w:sz w:val="22"/>
                <w:szCs w:val="22"/>
                <w:lang w:val="pt-BR"/>
              </w:rPr>
            </w:pPr>
            <w:r w:rsidRPr="00B30A12">
              <w:rPr>
                <w:b/>
                <w:color w:val="000000"/>
                <w:sz w:val="22"/>
                <w:szCs w:val="22"/>
                <w:lang w:val="pt-BR"/>
              </w:rPr>
              <w:t>Italia</w:t>
            </w:r>
          </w:p>
          <w:p w14:paraId="0721D43B" w14:textId="77777777" w:rsidR="008C5A51" w:rsidRPr="00B30A12" w:rsidRDefault="008C5A51" w:rsidP="000C47C6">
            <w:pPr>
              <w:widowControl w:val="0"/>
              <w:rPr>
                <w:color w:val="000000"/>
                <w:sz w:val="22"/>
                <w:szCs w:val="22"/>
                <w:lang w:val="pt-BR"/>
              </w:rPr>
            </w:pPr>
            <w:r w:rsidRPr="00B30A12">
              <w:rPr>
                <w:color w:val="000000"/>
                <w:sz w:val="22"/>
                <w:szCs w:val="22"/>
                <w:lang w:val="pt-BR"/>
              </w:rPr>
              <w:t>Novartis Farma S.p.A.</w:t>
            </w:r>
          </w:p>
          <w:p w14:paraId="37D79DBF" w14:textId="77777777" w:rsidR="008C5A51" w:rsidRPr="00B30A12" w:rsidRDefault="008C5A51" w:rsidP="000C47C6">
            <w:pPr>
              <w:widowControl w:val="0"/>
              <w:rPr>
                <w:b/>
                <w:color w:val="000000"/>
                <w:sz w:val="22"/>
                <w:szCs w:val="22"/>
              </w:rPr>
            </w:pPr>
            <w:r w:rsidRPr="00B30A12">
              <w:rPr>
                <w:color w:val="000000"/>
                <w:sz w:val="22"/>
                <w:szCs w:val="22"/>
              </w:rPr>
              <w:t>Tel: +39 02 96 54 1</w:t>
            </w:r>
          </w:p>
        </w:tc>
        <w:tc>
          <w:tcPr>
            <w:tcW w:w="4650" w:type="dxa"/>
          </w:tcPr>
          <w:p w14:paraId="65CB78B5" w14:textId="77777777" w:rsidR="008C5A51" w:rsidRPr="00B30A12" w:rsidRDefault="008C5A51" w:rsidP="000C47C6">
            <w:pPr>
              <w:widowControl w:val="0"/>
              <w:rPr>
                <w:b/>
                <w:color w:val="000000"/>
                <w:sz w:val="22"/>
                <w:szCs w:val="22"/>
                <w:lang w:val="fr-FR"/>
              </w:rPr>
            </w:pPr>
            <w:r w:rsidRPr="00B30A12">
              <w:rPr>
                <w:b/>
                <w:color w:val="000000"/>
                <w:sz w:val="22"/>
                <w:szCs w:val="22"/>
                <w:lang w:val="fr-FR"/>
              </w:rPr>
              <w:t>Suomi/Finland</w:t>
            </w:r>
          </w:p>
          <w:p w14:paraId="49E2AD2B" w14:textId="77777777" w:rsidR="008C5A51" w:rsidRPr="00B30A12" w:rsidRDefault="008C5A51" w:rsidP="000C47C6">
            <w:pPr>
              <w:widowControl w:val="0"/>
              <w:rPr>
                <w:color w:val="000000"/>
                <w:sz w:val="22"/>
                <w:szCs w:val="22"/>
                <w:lang w:val="fr-FR"/>
              </w:rPr>
            </w:pPr>
            <w:r w:rsidRPr="00B30A12">
              <w:rPr>
                <w:color w:val="000000"/>
                <w:sz w:val="22"/>
                <w:szCs w:val="22"/>
                <w:lang w:val="fr-FR"/>
              </w:rPr>
              <w:t>Novartis Finland Oy</w:t>
            </w:r>
          </w:p>
          <w:p w14:paraId="181A164D" w14:textId="77777777" w:rsidR="008C5A51" w:rsidRPr="00B30A12" w:rsidRDefault="008C5A51" w:rsidP="000C47C6">
            <w:pPr>
              <w:widowControl w:val="0"/>
              <w:rPr>
                <w:color w:val="000000"/>
                <w:sz w:val="22"/>
                <w:szCs w:val="22"/>
                <w:lang w:val="fr-FR"/>
              </w:rPr>
            </w:pPr>
            <w:r w:rsidRPr="00B30A12">
              <w:rPr>
                <w:color w:val="000000"/>
                <w:sz w:val="22"/>
                <w:szCs w:val="22"/>
                <w:lang w:val="fr-FR"/>
              </w:rPr>
              <w:t xml:space="preserve">Puh/Tel: </w:t>
            </w:r>
            <w:r w:rsidRPr="00B30A12">
              <w:rPr>
                <w:color w:val="000000"/>
                <w:sz w:val="22"/>
                <w:szCs w:val="22"/>
                <w:lang w:val="de-CH" w:bidi="he-IL"/>
              </w:rPr>
              <w:t>+358 (0)10 6133 200</w:t>
            </w:r>
          </w:p>
          <w:p w14:paraId="3BD64CFB" w14:textId="77777777" w:rsidR="008C5A51" w:rsidRPr="00B30A12" w:rsidRDefault="008C5A51" w:rsidP="000C47C6">
            <w:pPr>
              <w:widowControl w:val="0"/>
              <w:rPr>
                <w:color w:val="000000"/>
                <w:sz w:val="22"/>
                <w:szCs w:val="22"/>
                <w:lang w:val="fr-FR"/>
              </w:rPr>
            </w:pPr>
          </w:p>
        </w:tc>
      </w:tr>
      <w:tr w:rsidR="008C5A51" w:rsidRPr="00B30A12" w14:paraId="18273172" w14:textId="77777777" w:rsidTr="00CC644C">
        <w:trPr>
          <w:cantSplit/>
        </w:trPr>
        <w:tc>
          <w:tcPr>
            <w:tcW w:w="4650" w:type="dxa"/>
          </w:tcPr>
          <w:p w14:paraId="6116EB95" w14:textId="77777777" w:rsidR="008C5A51" w:rsidRPr="00B30A12" w:rsidRDefault="008C5A51" w:rsidP="000C47C6">
            <w:pPr>
              <w:widowControl w:val="0"/>
              <w:rPr>
                <w:b/>
                <w:color w:val="000000"/>
                <w:sz w:val="22"/>
                <w:szCs w:val="22"/>
                <w:lang w:val="fr-FR"/>
              </w:rPr>
            </w:pPr>
            <w:r w:rsidRPr="00B30A12">
              <w:rPr>
                <w:b/>
                <w:color w:val="000000"/>
                <w:sz w:val="22"/>
                <w:szCs w:val="22"/>
              </w:rPr>
              <w:t>Κύπρος</w:t>
            </w:r>
          </w:p>
          <w:p w14:paraId="47588C4B" w14:textId="77777777" w:rsidR="008C5A51" w:rsidRPr="00B30A12" w:rsidRDefault="008C5A51" w:rsidP="000C47C6">
            <w:pPr>
              <w:widowControl w:val="0"/>
              <w:rPr>
                <w:color w:val="000000"/>
                <w:sz w:val="22"/>
                <w:szCs w:val="22"/>
                <w:lang w:val="fr-FR"/>
              </w:rPr>
            </w:pPr>
            <w:r w:rsidRPr="00B30A12">
              <w:rPr>
                <w:color w:val="000000"/>
                <w:sz w:val="22"/>
                <w:szCs w:val="22"/>
                <w:lang w:val="fr-FR" w:bidi="he-IL"/>
              </w:rPr>
              <w:t>Novartis Pharma Services Inc.</w:t>
            </w:r>
          </w:p>
          <w:p w14:paraId="2B0AF8EE" w14:textId="77777777" w:rsidR="008C5A51" w:rsidRPr="00B30A12" w:rsidRDefault="008C5A51" w:rsidP="000C47C6">
            <w:pPr>
              <w:widowControl w:val="0"/>
              <w:rPr>
                <w:color w:val="000000"/>
                <w:sz w:val="22"/>
                <w:szCs w:val="22"/>
                <w:lang w:val="fr-FR"/>
              </w:rPr>
            </w:pPr>
            <w:r w:rsidRPr="00B30A12">
              <w:rPr>
                <w:color w:val="000000"/>
                <w:sz w:val="22"/>
                <w:szCs w:val="22"/>
              </w:rPr>
              <w:t>Τηλ</w:t>
            </w:r>
            <w:r w:rsidRPr="00B30A12">
              <w:rPr>
                <w:color w:val="000000"/>
                <w:sz w:val="22"/>
                <w:szCs w:val="22"/>
                <w:lang w:val="fr-FR"/>
              </w:rPr>
              <w:t>: +357 22 690 690</w:t>
            </w:r>
          </w:p>
          <w:p w14:paraId="5EFC9A93" w14:textId="77777777" w:rsidR="008C5A51" w:rsidRPr="00B30A12" w:rsidRDefault="008C5A51" w:rsidP="000C47C6">
            <w:pPr>
              <w:widowControl w:val="0"/>
              <w:rPr>
                <w:b/>
                <w:color w:val="000000"/>
                <w:sz w:val="22"/>
                <w:szCs w:val="22"/>
                <w:lang w:val="fr-FR"/>
              </w:rPr>
            </w:pPr>
          </w:p>
        </w:tc>
        <w:tc>
          <w:tcPr>
            <w:tcW w:w="4650" w:type="dxa"/>
          </w:tcPr>
          <w:p w14:paraId="1BC2EA9F" w14:textId="77777777" w:rsidR="008C5A51" w:rsidRPr="00B30A12" w:rsidRDefault="008C5A51" w:rsidP="000C47C6">
            <w:pPr>
              <w:widowControl w:val="0"/>
              <w:rPr>
                <w:b/>
                <w:color w:val="000000"/>
                <w:sz w:val="22"/>
                <w:szCs w:val="22"/>
                <w:lang w:val="de-CH"/>
              </w:rPr>
            </w:pPr>
            <w:r w:rsidRPr="00B30A12">
              <w:rPr>
                <w:b/>
                <w:color w:val="000000"/>
                <w:sz w:val="22"/>
                <w:szCs w:val="22"/>
                <w:lang w:val="de-CH"/>
              </w:rPr>
              <w:t>Sverige</w:t>
            </w:r>
          </w:p>
          <w:p w14:paraId="1FAF9AD9" w14:textId="77777777" w:rsidR="008C5A51" w:rsidRPr="00B30A12" w:rsidRDefault="008C5A51" w:rsidP="000C47C6">
            <w:pPr>
              <w:widowControl w:val="0"/>
              <w:rPr>
                <w:color w:val="000000"/>
                <w:sz w:val="22"/>
                <w:szCs w:val="22"/>
                <w:lang w:val="de-CH"/>
              </w:rPr>
            </w:pPr>
            <w:r w:rsidRPr="00B30A12">
              <w:rPr>
                <w:color w:val="000000"/>
                <w:sz w:val="22"/>
                <w:szCs w:val="22"/>
                <w:lang w:val="de-CH"/>
              </w:rPr>
              <w:t>Novartis Sverige AB</w:t>
            </w:r>
          </w:p>
          <w:p w14:paraId="2ED43C71" w14:textId="77777777" w:rsidR="008C5A51" w:rsidRPr="00B30A12" w:rsidRDefault="008C5A51" w:rsidP="000C47C6">
            <w:pPr>
              <w:widowControl w:val="0"/>
              <w:rPr>
                <w:color w:val="000000"/>
                <w:sz w:val="22"/>
                <w:szCs w:val="22"/>
                <w:lang w:val="de-CH"/>
              </w:rPr>
            </w:pPr>
            <w:r w:rsidRPr="00B30A12">
              <w:rPr>
                <w:color w:val="000000"/>
                <w:sz w:val="22"/>
                <w:szCs w:val="22"/>
                <w:lang w:val="de-CH"/>
              </w:rPr>
              <w:t>Tel: +46 8 732 32 00</w:t>
            </w:r>
          </w:p>
          <w:p w14:paraId="1F1F8B14" w14:textId="77777777" w:rsidR="008C5A51" w:rsidRPr="00B30A12" w:rsidRDefault="008C5A51" w:rsidP="000C47C6">
            <w:pPr>
              <w:widowControl w:val="0"/>
              <w:rPr>
                <w:color w:val="000000"/>
                <w:sz w:val="22"/>
                <w:szCs w:val="22"/>
                <w:lang w:val="de-CH"/>
              </w:rPr>
            </w:pPr>
          </w:p>
        </w:tc>
      </w:tr>
      <w:tr w:rsidR="008C5A51" w:rsidRPr="00B30A12" w14:paraId="5D4BA670" w14:textId="77777777" w:rsidTr="00CC644C">
        <w:trPr>
          <w:cantSplit/>
        </w:trPr>
        <w:tc>
          <w:tcPr>
            <w:tcW w:w="4650" w:type="dxa"/>
          </w:tcPr>
          <w:p w14:paraId="32A09837" w14:textId="77777777" w:rsidR="008C5A51" w:rsidRPr="00935428" w:rsidRDefault="008C5A51" w:rsidP="000C47C6">
            <w:pPr>
              <w:widowControl w:val="0"/>
              <w:rPr>
                <w:b/>
                <w:color w:val="000000"/>
                <w:sz w:val="22"/>
                <w:szCs w:val="22"/>
                <w:lang w:val="fr-FR"/>
              </w:rPr>
            </w:pPr>
            <w:r w:rsidRPr="00935428">
              <w:rPr>
                <w:b/>
                <w:color w:val="000000"/>
                <w:sz w:val="22"/>
                <w:szCs w:val="22"/>
                <w:lang w:val="fr-FR"/>
              </w:rPr>
              <w:t>Latvija</w:t>
            </w:r>
          </w:p>
          <w:p w14:paraId="55FC397D" w14:textId="1CE4B6F0" w:rsidR="008C5A51" w:rsidRPr="00935428" w:rsidRDefault="00935428" w:rsidP="000C47C6">
            <w:pPr>
              <w:widowControl w:val="0"/>
              <w:rPr>
                <w:color w:val="000000"/>
                <w:sz w:val="22"/>
                <w:szCs w:val="22"/>
                <w:lang w:val="fr-FR"/>
              </w:rPr>
            </w:pPr>
            <w:r w:rsidRPr="00935428">
              <w:rPr>
                <w:color w:val="000000"/>
                <w:sz w:val="22"/>
                <w:szCs w:val="22"/>
                <w:lang w:val="fr-FR"/>
              </w:rPr>
              <w:t>SIA Novartis Baltics</w:t>
            </w:r>
          </w:p>
          <w:p w14:paraId="48366380" w14:textId="77777777" w:rsidR="008C5A51" w:rsidRPr="002A051A" w:rsidRDefault="008C5A51" w:rsidP="000C47C6">
            <w:pPr>
              <w:widowControl w:val="0"/>
              <w:rPr>
                <w:color w:val="000000"/>
                <w:sz w:val="22"/>
                <w:szCs w:val="22"/>
                <w:lang w:val="en-US"/>
              </w:rPr>
            </w:pPr>
            <w:r w:rsidRPr="002A051A">
              <w:rPr>
                <w:color w:val="000000"/>
                <w:sz w:val="22"/>
                <w:szCs w:val="22"/>
                <w:lang w:val="en-US"/>
              </w:rPr>
              <w:t>Tel: +371 67 887 070</w:t>
            </w:r>
          </w:p>
          <w:p w14:paraId="6993FF56" w14:textId="77777777" w:rsidR="008C5A51" w:rsidRPr="002A051A" w:rsidRDefault="008C5A51" w:rsidP="000C47C6">
            <w:pPr>
              <w:widowControl w:val="0"/>
              <w:rPr>
                <w:b/>
                <w:color w:val="000000"/>
                <w:sz w:val="22"/>
                <w:szCs w:val="22"/>
                <w:lang w:val="en-US"/>
              </w:rPr>
            </w:pPr>
          </w:p>
        </w:tc>
        <w:tc>
          <w:tcPr>
            <w:tcW w:w="4650" w:type="dxa"/>
          </w:tcPr>
          <w:p w14:paraId="6DB77E46" w14:textId="77777777" w:rsidR="008C5A51" w:rsidRPr="00B30A12" w:rsidRDefault="008C5A51" w:rsidP="000C47C6">
            <w:pPr>
              <w:widowControl w:val="0"/>
              <w:rPr>
                <w:b/>
                <w:color w:val="000000"/>
                <w:sz w:val="22"/>
                <w:szCs w:val="22"/>
                <w:lang w:val="en-US"/>
              </w:rPr>
            </w:pPr>
            <w:r w:rsidRPr="00B30A12">
              <w:rPr>
                <w:b/>
                <w:color w:val="000000"/>
                <w:sz w:val="22"/>
                <w:szCs w:val="22"/>
                <w:lang w:val="en-US"/>
              </w:rPr>
              <w:t>United Kingdom</w:t>
            </w:r>
          </w:p>
          <w:p w14:paraId="3374432F" w14:textId="77777777" w:rsidR="008C5A51" w:rsidRPr="00B30A12" w:rsidRDefault="008C5A51" w:rsidP="000C47C6">
            <w:pPr>
              <w:widowControl w:val="0"/>
              <w:rPr>
                <w:color w:val="000000"/>
                <w:sz w:val="22"/>
                <w:szCs w:val="22"/>
                <w:lang w:val="en-US"/>
              </w:rPr>
            </w:pPr>
            <w:r w:rsidRPr="00B30A12">
              <w:rPr>
                <w:color w:val="000000"/>
                <w:sz w:val="22"/>
                <w:szCs w:val="22"/>
                <w:lang w:val="en-US"/>
              </w:rPr>
              <w:t>Novartis Pharmaceuticals UK Ltd.</w:t>
            </w:r>
          </w:p>
          <w:p w14:paraId="0E423061" w14:textId="77777777" w:rsidR="008C5A51" w:rsidRPr="00B30A12" w:rsidRDefault="008C5A51" w:rsidP="000C47C6">
            <w:pPr>
              <w:widowControl w:val="0"/>
              <w:rPr>
                <w:color w:val="000000"/>
                <w:sz w:val="22"/>
                <w:szCs w:val="22"/>
              </w:rPr>
            </w:pPr>
            <w:r w:rsidRPr="00B30A12">
              <w:rPr>
                <w:color w:val="000000"/>
                <w:sz w:val="22"/>
                <w:szCs w:val="22"/>
              </w:rPr>
              <w:t>Tel: +44 1276 698370</w:t>
            </w:r>
          </w:p>
          <w:p w14:paraId="1C46A599" w14:textId="77777777" w:rsidR="008C5A51" w:rsidRPr="00B30A12" w:rsidRDefault="008C5A51" w:rsidP="000C47C6">
            <w:pPr>
              <w:widowControl w:val="0"/>
              <w:rPr>
                <w:color w:val="000000"/>
                <w:sz w:val="22"/>
                <w:szCs w:val="22"/>
              </w:rPr>
            </w:pPr>
          </w:p>
        </w:tc>
      </w:tr>
    </w:tbl>
    <w:p w14:paraId="3A3CF7F2" w14:textId="77777777" w:rsidR="008C5A51" w:rsidRPr="00B30A12" w:rsidRDefault="008C5A51" w:rsidP="000C47C6">
      <w:pPr>
        <w:widowControl w:val="0"/>
        <w:ind w:right="-449"/>
        <w:rPr>
          <w:color w:val="000000"/>
          <w:sz w:val="22"/>
          <w:szCs w:val="22"/>
        </w:rPr>
      </w:pPr>
    </w:p>
    <w:p w14:paraId="5000CFE9" w14:textId="77777777" w:rsidR="00AB6D5E" w:rsidRPr="00B30A12" w:rsidRDefault="00AB6D5E" w:rsidP="000C47C6">
      <w:pPr>
        <w:widowControl w:val="0"/>
        <w:numPr>
          <w:ilvl w:val="12"/>
          <w:numId w:val="0"/>
        </w:numPr>
        <w:rPr>
          <w:b/>
          <w:color w:val="000000"/>
          <w:sz w:val="22"/>
          <w:szCs w:val="22"/>
        </w:rPr>
      </w:pPr>
      <w:r w:rsidRPr="00B30A12">
        <w:rPr>
          <w:b/>
          <w:color w:val="000000"/>
          <w:sz w:val="22"/>
          <w:szCs w:val="22"/>
        </w:rPr>
        <w:t xml:space="preserve">Diese </w:t>
      </w:r>
      <w:r w:rsidR="00027DCD" w:rsidRPr="00B30A12">
        <w:rPr>
          <w:b/>
          <w:color w:val="000000"/>
          <w:sz w:val="22"/>
          <w:szCs w:val="22"/>
        </w:rPr>
        <w:t>Packungsbeilage</w:t>
      </w:r>
      <w:r w:rsidRPr="00B30A12">
        <w:rPr>
          <w:b/>
          <w:color w:val="000000"/>
          <w:sz w:val="22"/>
          <w:szCs w:val="22"/>
        </w:rPr>
        <w:t xml:space="preserve"> wurde zuletzt </w:t>
      </w:r>
      <w:r w:rsidR="00027DCD" w:rsidRPr="00B30A12">
        <w:rPr>
          <w:b/>
          <w:color w:val="000000"/>
          <w:sz w:val="22"/>
          <w:szCs w:val="22"/>
        </w:rPr>
        <w:t>überarbeitet</w:t>
      </w:r>
      <w:r w:rsidRPr="00B30A12">
        <w:rPr>
          <w:b/>
          <w:color w:val="000000"/>
          <w:sz w:val="22"/>
          <w:szCs w:val="22"/>
        </w:rPr>
        <w:t xml:space="preserve"> im</w:t>
      </w:r>
    </w:p>
    <w:p w14:paraId="4A35050C" w14:textId="77777777" w:rsidR="00AB6D5E" w:rsidRPr="00B30A12" w:rsidRDefault="00AB6D5E" w:rsidP="000C47C6">
      <w:pPr>
        <w:widowControl w:val="0"/>
        <w:numPr>
          <w:ilvl w:val="12"/>
          <w:numId w:val="0"/>
        </w:numPr>
        <w:rPr>
          <w:color w:val="000000"/>
          <w:sz w:val="22"/>
          <w:szCs w:val="22"/>
        </w:rPr>
      </w:pPr>
    </w:p>
    <w:p w14:paraId="6F0F6A4F" w14:textId="77777777" w:rsidR="00027DCD" w:rsidRPr="00B30A12" w:rsidRDefault="00027DCD" w:rsidP="002B313C">
      <w:pPr>
        <w:keepNext/>
        <w:widowControl w:val="0"/>
        <w:numPr>
          <w:ilvl w:val="12"/>
          <w:numId w:val="0"/>
        </w:numPr>
        <w:rPr>
          <w:color w:val="000000"/>
          <w:sz w:val="22"/>
          <w:szCs w:val="22"/>
        </w:rPr>
      </w:pPr>
      <w:r w:rsidRPr="00B30A12">
        <w:rPr>
          <w:b/>
          <w:sz w:val="22"/>
          <w:szCs w:val="22"/>
        </w:rPr>
        <w:t>Weitere Informationsquellen</w:t>
      </w:r>
    </w:p>
    <w:p w14:paraId="3D6E4772" w14:textId="77777777" w:rsidR="00AB6D5E" w:rsidRPr="00B30A12" w:rsidRDefault="00AB6D5E" w:rsidP="000C47C6">
      <w:pPr>
        <w:widowControl w:val="0"/>
        <w:numPr>
          <w:ilvl w:val="12"/>
          <w:numId w:val="0"/>
        </w:numPr>
        <w:rPr>
          <w:color w:val="000000"/>
          <w:sz w:val="22"/>
          <w:szCs w:val="22"/>
        </w:rPr>
      </w:pPr>
      <w:r w:rsidRPr="00B30A12">
        <w:rPr>
          <w:color w:val="000000"/>
          <w:sz w:val="22"/>
          <w:szCs w:val="22"/>
        </w:rPr>
        <w:t>Ausführliche Informationen zu diesem Arzneimittel sind auf de</w:t>
      </w:r>
      <w:r w:rsidR="00027DCD" w:rsidRPr="00B30A12">
        <w:rPr>
          <w:color w:val="000000"/>
          <w:sz w:val="22"/>
          <w:szCs w:val="22"/>
        </w:rPr>
        <w:t>n Internetseiten</w:t>
      </w:r>
      <w:r w:rsidRPr="00B30A12">
        <w:rPr>
          <w:color w:val="000000"/>
          <w:sz w:val="22"/>
          <w:szCs w:val="22"/>
        </w:rPr>
        <w:t xml:space="preserve"> der Europäischen Arzneimittel-Agentur http://www.ema.europa.eu</w:t>
      </w:r>
      <w:r w:rsidR="002906C1" w:rsidRPr="00B30A12">
        <w:rPr>
          <w:color w:val="000000"/>
          <w:sz w:val="22"/>
          <w:szCs w:val="22"/>
        </w:rPr>
        <w:t>/</w:t>
      </w:r>
      <w:r w:rsidRPr="00B30A12">
        <w:rPr>
          <w:color w:val="000000"/>
          <w:sz w:val="22"/>
          <w:szCs w:val="22"/>
        </w:rPr>
        <w:t xml:space="preserve"> verfügbar.</w:t>
      </w:r>
    </w:p>
    <w:p w14:paraId="4AB7A5DF" w14:textId="77777777" w:rsidR="00AB6D5E" w:rsidRPr="00B30A12" w:rsidRDefault="00AB6D5E" w:rsidP="000C47C6">
      <w:pPr>
        <w:widowControl w:val="0"/>
        <w:numPr>
          <w:ilvl w:val="12"/>
          <w:numId w:val="0"/>
        </w:numPr>
        <w:rPr>
          <w:color w:val="000000"/>
          <w:sz w:val="22"/>
          <w:szCs w:val="22"/>
        </w:rPr>
      </w:pPr>
    </w:p>
    <w:p w14:paraId="02634477" w14:textId="77777777" w:rsidR="00AB6D5E" w:rsidRPr="00B30A12" w:rsidRDefault="00AB6D5E" w:rsidP="000C47C6">
      <w:pPr>
        <w:widowControl w:val="0"/>
        <w:jc w:val="center"/>
        <w:rPr>
          <w:b/>
          <w:color w:val="000000"/>
          <w:sz w:val="22"/>
          <w:szCs w:val="22"/>
        </w:rPr>
      </w:pPr>
      <w:r w:rsidRPr="00B30A12">
        <w:rPr>
          <w:b/>
          <w:color w:val="000000"/>
          <w:sz w:val="22"/>
          <w:szCs w:val="22"/>
        </w:rPr>
        <w:br w:type="page"/>
      </w:r>
      <w:r w:rsidRPr="00B30A12">
        <w:rPr>
          <w:b/>
          <w:color w:val="000000"/>
          <w:sz w:val="22"/>
          <w:szCs w:val="22"/>
        </w:rPr>
        <w:lastRenderedPageBreak/>
        <w:t>G</w:t>
      </w:r>
      <w:r w:rsidR="002906C1" w:rsidRPr="00B30A12">
        <w:rPr>
          <w:b/>
          <w:color w:val="000000"/>
          <w:sz w:val="22"/>
          <w:szCs w:val="22"/>
        </w:rPr>
        <w:t>ebrauchsinformation</w:t>
      </w:r>
      <w:r w:rsidRPr="00B30A12">
        <w:rPr>
          <w:b/>
          <w:color w:val="000000"/>
          <w:sz w:val="22"/>
          <w:szCs w:val="22"/>
        </w:rPr>
        <w:t>: I</w:t>
      </w:r>
      <w:r w:rsidR="002906C1" w:rsidRPr="00B30A12">
        <w:rPr>
          <w:b/>
          <w:color w:val="000000"/>
          <w:sz w:val="22"/>
          <w:szCs w:val="22"/>
        </w:rPr>
        <w:t>nformation</w:t>
      </w:r>
      <w:r w:rsidRPr="00B30A12">
        <w:rPr>
          <w:b/>
          <w:color w:val="000000"/>
          <w:sz w:val="22"/>
          <w:szCs w:val="22"/>
        </w:rPr>
        <w:t xml:space="preserve"> </w:t>
      </w:r>
      <w:r w:rsidR="002906C1" w:rsidRPr="00B30A12">
        <w:rPr>
          <w:b/>
          <w:color w:val="000000"/>
          <w:sz w:val="22"/>
          <w:szCs w:val="22"/>
        </w:rPr>
        <w:t>für</w:t>
      </w:r>
      <w:r w:rsidRPr="00B30A12">
        <w:rPr>
          <w:b/>
          <w:color w:val="000000"/>
          <w:sz w:val="22"/>
          <w:szCs w:val="22"/>
        </w:rPr>
        <w:t xml:space="preserve"> A</w:t>
      </w:r>
      <w:r w:rsidR="002906C1" w:rsidRPr="00B30A12">
        <w:rPr>
          <w:b/>
          <w:color w:val="000000"/>
          <w:sz w:val="22"/>
          <w:szCs w:val="22"/>
        </w:rPr>
        <w:t>nwender</w:t>
      </w:r>
    </w:p>
    <w:p w14:paraId="354644A6" w14:textId="77777777" w:rsidR="00AB6D5E" w:rsidRPr="00B30A12" w:rsidRDefault="00AB6D5E" w:rsidP="000C47C6">
      <w:pPr>
        <w:widowControl w:val="0"/>
        <w:rPr>
          <w:color w:val="000000"/>
          <w:sz w:val="22"/>
          <w:szCs w:val="22"/>
        </w:rPr>
      </w:pPr>
    </w:p>
    <w:p w14:paraId="63C46FB8" w14:textId="3B11BA56" w:rsidR="00AB6D5E" w:rsidRDefault="00AB6D5E" w:rsidP="000C47C6">
      <w:pPr>
        <w:widowControl w:val="0"/>
        <w:jc w:val="center"/>
        <w:rPr>
          <w:b/>
          <w:color w:val="000000"/>
          <w:sz w:val="22"/>
          <w:szCs w:val="22"/>
        </w:rPr>
      </w:pPr>
      <w:r w:rsidRPr="00B30A12">
        <w:rPr>
          <w:b/>
          <w:color w:val="000000"/>
          <w:sz w:val="22"/>
          <w:szCs w:val="22"/>
        </w:rPr>
        <w:t>Glivec 100 mg Filmtabletten</w:t>
      </w:r>
    </w:p>
    <w:p w14:paraId="322651DB" w14:textId="29D42B5C" w:rsidR="00055A65" w:rsidRPr="00B30A12" w:rsidRDefault="00055A65" w:rsidP="000C47C6">
      <w:pPr>
        <w:widowControl w:val="0"/>
        <w:jc w:val="center"/>
        <w:rPr>
          <w:b/>
          <w:color w:val="000000"/>
          <w:sz w:val="22"/>
          <w:szCs w:val="22"/>
        </w:rPr>
      </w:pPr>
      <w:r w:rsidRPr="00B30A12">
        <w:rPr>
          <w:b/>
          <w:color w:val="000000"/>
          <w:sz w:val="22"/>
          <w:szCs w:val="22"/>
        </w:rPr>
        <w:t>Glivec 400 mg Filmtabletten</w:t>
      </w:r>
    </w:p>
    <w:p w14:paraId="01FEC768" w14:textId="77777777" w:rsidR="00AB6D5E" w:rsidRPr="00B30A12" w:rsidRDefault="00AB6D5E" w:rsidP="000C47C6">
      <w:pPr>
        <w:widowControl w:val="0"/>
        <w:jc w:val="center"/>
        <w:rPr>
          <w:color w:val="000000"/>
          <w:sz w:val="22"/>
          <w:szCs w:val="22"/>
        </w:rPr>
      </w:pPr>
      <w:r w:rsidRPr="00B30A12">
        <w:rPr>
          <w:color w:val="000000"/>
          <w:sz w:val="22"/>
          <w:szCs w:val="22"/>
        </w:rPr>
        <w:t>Imatinib</w:t>
      </w:r>
    </w:p>
    <w:p w14:paraId="263480ED" w14:textId="77777777" w:rsidR="00AB6D5E" w:rsidRPr="00B30A12" w:rsidRDefault="00AB6D5E" w:rsidP="000C47C6">
      <w:pPr>
        <w:widowControl w:val="0"/>
        <w:rPr>
          <w:color w:val="000000"/>
          <w:sz w:val="22"/>
          <w:szCs w:val="22"/>
        </w:rPr>
      </w:pPr>
    </w:p>
    <w:p w14:paraId="4742DB04" w14:textId="77777777" w:rsidR="00CB47E3" w:rsidRPr="00B30A12" w:rsidRDefault="00367B53" w:rsidP="000C47C6">
      <w:pPr>
        <w:widowControl w:val="0"/>
        <w:tabs>
          <w:tab w:val="left" w:pos="567"/>
        </w:tabs>
        <w:spacing w:line="260" w:lineRule="exact"/>
        <w:rPr>
          <w:snapToGrid w:val="0"/>
          <w:sz w:val="22"/>
          <w:szCs w:val="22"/>
        </w:rPr>
      </w:pPr>
      <w:r w:rsidRPr="00B30A12">
        <w:rPr>
          <w:noProof/>
          <w:sz w:val="22"/>
          <w:lang w:val="en-GB" w:eastAsia="en-GB"/>
        </w:rPr>
        <w:drawing>
          <wp:inline distT="0" distB="0" distL="0" distR="0" wp14:anchorId="02879D56" wp14:editId="27AB8B7D">
            <wp:extent cx="198755" cy="174625"/>
            <wp:effectExtent l="0" t="0" r="0" b="0"/>
            <wp:docPr id="9"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CB47E3" w:rsidRPr="00B30A12">
        <w:rPr>
          <w:noProof/>
          <w:snapToGrid w:val="0"/>
          <w:sz w:val="22"/>
          <w:szCs w:val="22"/>
        </w:rPr>
        <w:t>Dieses Arzneimittel unterliegt einer zusätzlichen Überwachung.</w:t>
      </w:r>
      <w:r w:rsidR="00CB47E3" w:rsidRPr="00B30A12">
        <w:rPr>
          <w:snapToGrid w:val="0"/>
          <w:sz w:val="22"/>
          <w:szCs w:val="22"/>
        </w:rPr>
        <w:t xml:space="preserve"> Dies ermöglicht eine schnelle Identifizierung neuer </w:t>
      </w:r>
      <w:r w:rsidR="00CB47E3" w:rsidRPr="00B30A12">
        <w:rPr>
          <w:snapToGrid w:val="0"/>
          <w:sz w:val="22"/>
        </w:rPr>
        <w:t>Erkenntnisse über die Sicherheit</w:t>
      </w:r>
      <w:r w:rsidR="00CB47E3" w:rsidRPr="00B30A12">
        <w:rPr>
          <w:snapToGrid w:val="0"/>
          <w:sz w:val="22"/>
          <w:szCs w:val="22"/>
        </w:rPr>
        <w:t>.</w:t>
      </w:r>
      <w:r w:rsidR="00CB47E3" w:rsidRPr="00B30A12">
        <w:rPr>
          <w:noProof/>
          <w:snapToGrid w:val="0"/>
          <w:sz w:val="22"/>
          <w:szCs w:val="22"/>
        </w:rPr>
        <w:t xml:space="preserve"> Sie können </w:t>
      </w:r>
      <w:r w:rsidR="00CB47E3" w:rsidRPr="00B30A12">
        <w:rPr>
          <w:snapToGrid w:val="0"/>
          <w:sz w:val="22"/>
          <w:szCs w:val="22"/>
        </w:rPr>
        <w:t xml:space="preserve">dabei </w:t>
      </w:r>
      <w:r w:rsidR="00CB47E3" w:rsidRPr="00B30A12">
        <w:rPr>
          <w:noProof/>
          <w:snapToGrid w:val="0"/>
          <w:sz w:val="22"/>
          <w:szCs w:val="22"/>
        </w:rPr>
        <w:t xml:space="preserve">helfen, indem Sie jede auftretende </w:t>
      </w:r>
      <w:r w:rsidR="00CB47E3" w:rsidRPr="00B30A12">
        <w:rPr>
          <w:snapToGrid w:val="0"/>
          <w:sz w:val="22"/>
          <w:szCs w:val="22"/>
        </w:rPr>
        <w:t>Nebenwirkung</w:t>
      </w:r>
      <w:r w:rsidR="00CB47E3" w:rsidRPr="00B30A12">
        <w:rPr>
          <w:noProof/>
          <w:snapToGrid w:val="0"/>
          <w:sz w:val="22"/>
          <w:szCs w:val="22"/>
        </w:rPr>
        <w:t xml:space="preserve"> melden.</w:t>
      </w:r>
      <w:r w:rsidR="00CB47E3" w:rsidRPr="00B30A12">
        <w:rPr>
          <w:snapToGrid w:val="0"/>
          <w:sz w:val="22"/>
          <w:szCs w:val="22"/>
        </w:rPr>
        <w:t xml:space="preserve"> Hinweise zur Meldung von Nebenwirkungen, s</w:t>
      </w:r>
      <w:r w:rsidR="00CB47E3" w:rsidRPr="00B30A12">
        <w:rPr>
          <w:noProof/>
          <w:snapToGrid w:val="0"/>
          <w:sz w:val="22"/>
          <w:szCs w:val="22"/>
        </w:rPr>
        <w:t>iehe Ende Abschnitt 4.</w:t>
      </w:r>
    </w:p>
    <w:p w14:paraId="6AD90DE7" w14:textId="77777777" w:rsidR="00AB6D5E" w:rsidRPr="00B30A12" w:rsidRDefault="00AB6D5E" w:rsidP="000C47C6">
      <w:pPr>
        <w:widowControl w:val="0"/>
        <w:rPr>
          <w:color w:val="000000"/>
          <w:sz w:val="22"/>
          <w:szCs w:val="22"/>
        </w:rPr>
      </w:pPr>
    </w:p>
    <w:p w14:paraId="23F754E0" w14:textId="77777777" w:rsidR="007217B7" w:rsidRPr="00B30A12" w:rsidRDefault="007217B7" w:rsidP="000C47C6">
      <w:pPr>
        <w:widowControl w:val="0"/>
        <w:rPr>
          <w:color w:val="000000"/>
          <w:sz w:val="22"/>
          <w:szCs w:val="22"/>
        </w:rPr>
      </w:pPr>
      <w:r w:rsidRPr="00B30A12">
        <w:rPr>
          <w:b/>
          <w:color w:val="000000"/>
          <w:sz w:val="22"/>
          <w:szCs w:val="22"/>
        </w:rPr>
        <w:t>Lesen Sie die gesamte Packungsbeilage sorgfältig durch, bevor Sie mit der Einnahme dieses Arzneimittels beginnen, denn sie enthält wichtige Informationen.</w:t>
      </w:r>
    </w:p>
    <w:p w14:paraId="627FD5E3"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Heben Sie die Packungsbeilage auf. Vielleicht möchten Sie diese später nochmals lesen.</w:t>
      </w:r>
    </w:p>
    <w:p w14:paraId="5D3D4E5D"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 xml:space="preserve">Wenn Sie weitere Fragen haben, wenden Sie sich an Ihren Arzt, Apotheker oder </w:t>
      </w:r>
      <w:r w:rsidR="0095506C" w:rsidRPr="00B30A12">
        <w:rPr>
          <w:color w:val="000000"/>
          <w:sz w:val="22"/>
          <w:szCs w:val="22"/>
        </w:rPr>
        <w:t>das medizinische Fachpersonal</w:t>
      </w:r>
      <w:r w:rsidRPr="00B30A12">
        <w:rPr>
          <w:color w:val="000000"/>
          <w:sz w:val="22"/>
          <w:szCs w:val="22"/>
        </w:rPr>
        <w:t>.</w:t>
      </w:r>
    </w:p>
    <w:p w14:paraId="13F42B04"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Dieses Arzneimittel wurde Ihnen persönlich verschrieben. Geben Sie es nicht an Dritte weiter. Es kann anderen Menschen schaden, auch wenn diese die gleichen Beschwerden haben wie Sie.</w:t>
      </w:r>
    </w:p>
    <w:p w14:paraId="1922FB24" w14:textId="77777777" w:rsidR="007217B7" w:rsidRPr="00B30A12" w:rsidRDefault="007217B7" w:rsidP="000C47C6">
      <w:pPr>
        <w:widowControl w:val="0"/>
        <w:numPr>
          <w:ilvl w:val="0"/>
          <w:numId w:val="2"/>
        </w:numPr>
        <w:tabs>
          <w:tab w:val="clear" w:pos="644"/>
        </w:tabs>
        <w:ind w:hanging="567"/>
        <w:rPr>
          <w:color w:val="000000"/>
          <w:sz w:val="22"/>
          <w:szCs w:val="22"/>
        </w:rPr>
      </w:pPr>
      <w:r w:rsidRPr="00B30A12">
        <w:rPr>
          <w:color w:val="000000"/>
          <w:sz w:val="22"/>
          <w:szCs w:val="22"/>
        </w:rPr>
        <w:t xml:space="preserve">Wenn Sie Nebenwirkungen bemerken, wenden Sie sich an Ihren Arzt, Apotheker oder </w:t>
      </w:r>
      <w:r w:rsidR="0095506C" w:rsidRPr="00B30A12">
        <w:rPr>
          <w:color w:val="000000"/>
          <w:sz w:val="22"/>
          <w:szCs w:val="22"/>
        </w:rPr>
        <w:t>das medizinische Fachpersonal</w:t>
      </w:r>
      <w:r w:rsidRPr="00B30A12">
        <w:rPr>
          <w:color w:val="000000"/>
          <w:sz w:val="22"/>
          <w:szCs w:val="22"/>
        </w:rPr>
        <w:t>. Dies gilt auch für Nebenwirkungen, die nicht in dieser Packungsbeilage angegeben sind.</w:t>
      </w:r>
      <w:r w:rsidR="0095506C" w:rsidRPr="00B30A12">
        <w:rPr>
          <w:color w:val="000000"/>
          <w:sz w:val="22"/>
          <w:szCs w:val="22"/>
        </w:rPr>
        <w:t xml:space="preserve"> Siehe Abschnitt 4.</w:t>
      </w:r>
    </w:p>
    <w:p w14:paraId="6E0960E1" w14:textId="77777777" w:rsidR="007217B7" w:rsidRPr="00B30A12" w:rsidRDefault="007217B7" w:rsidP="000C47C6">
      <w:pPr>
        <w:pStyle w:val="Header"/>
        <w:widowControl w:val="0"/>
        <w:tabs>
          <w:tab w:val="clear" w:pos="4320"/>
          <w:tab w:val="clear" w:pos="8640"/>
        </w:tabs>
        <w:rPr>
          <w:color w:val="000000"/>
          <w:szCs w:val="22"/>
        </w:rPr>
      </w:pPr>
    </w:p>
    <w:p w14:paraId="78D6788B" w14:textId="77777777" w:rsidR="007217B7" w:rsidRPr="00B30A12" w:rsidRDefault="007217B7" w:rsidP="000C47C6">
      <w:pPr>
        <w:pStyle w:val="Header"/>
        <w:widowControl w:val="0"/>
        <w:tabs>
          <w:tab w:val="clear" w:pos="4320"/>
          <w:tab w:val="clear" w:pos="8640"/>
        </w:tabs>
        <w:rPr>
          <w:color w:val="000000"/>
          <w:szCs w:val="22"/>
        </w:rPr>
      </w:pPr>
    </w:p>
    <w:p w14:paraId="56DB6069" w14:textId="77777777" w:rsidR="007217B7" w:rsidRPr="00B30A12" w:rsidRDefault="007217B7" w:rsidP="001F49E7">
      <w:pPr>
        <w:keepNext/>
        <w:widowControl w:val="0"/>
        <w:numPr>
          <w:ilvl w:val="12"/>
          <w:numId w:val="0"/>
        </w:numPr>
        <w:rPr>
          <w:color w:val="000000"/>
          <w:sz w:val="22"/>
          <w:szCs w:val="22"/>
        </w:rPr>
      </w:pPr>
      <w:r w:rsidRPr="00B30A12">
        <w:rPr>
          <w:b/>
          <w:color w:val="000000"/>
          <w:sz w:val="22"/>
          <w:szCs w:val="22"/>
        </w:rPr>
        <w:t>Was in dieser Packungsbeilage steht</w:t>
      </w:r>
    </w:p>
    <w:p w14:paraId="390E75FC"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1.</w:t>
      </w:r>
      <w:r w:rsidRPr="00B30A12">
        <w:rPr>
          <w:color w:val="000000"/>
          <w:sz w:val="22"/>
          <w:szCs w:val="22"/>
        </w:rPr>
        <w:tab/>
        <w:t>Was ist Glivec und wofür wird es angewendet?</w:t>
      </w:r>
    </w:p>
    <w:p w14:paraId="7AD11637"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2.</w:t>
      </w:r>
      <w:r w:rsidRPr="00B30A12">
        <w:rPr>
          <w:color w:val="000000"/>
          <w:sz w:val="22"/>
          <w:szCs w:val="22"/>
        </w:rPr>
        <w:tab/>
        <w:t>Was sollten Sie vor der Einnahme von Glivec beachten?</w:t>
      </w:r>
    </w:p>
    <w:p w14:paraId="424E3BBC"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3.</w:t>
      </w:r>
      <w:r w:rsidRPr="00B30A12">
        <w:rPr>
          <w:color w:val="000000"/>
          <w:sz w:val="22"/>
          <w:szCs w:val="22"/>
        </w:rPr>
        <w:tab/>
        <w:t>Wie ist Glivec einzunehmen?</w:t>
      </w:r>
    </w:p>
    <w:p w14:paraId="4E566999"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4.</w:t>
      </w:r>
      <w:r w:rsidRPr="00B30A12">
        <w:rPr>
          <w:color w:val="000000"/>
          <w:sz w:val="22"/>
          <w:szCs w:val="22"/>
        </w:rPr>
        <w:tab/>
        <w:t>Welche Nebenwirkungen sind möglich?</w:t>
      </w:r>
    </w:p>
    <w:p w14:paraId="641DE54D"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5.</w:t>
      </w:r>
      <w:r w:rsidRPr="00B30A12">
        <w:rPr>
          <w:color w:val="000000"/>
          <w:sz w:val="22"/>
          <w:szCs w:val="22"/>
        </w:rPr>
        <w:tab/>
        <w:t>Wie ist Glivec aufzubewahren?</w:t>
      </w:r>
    </w:p>
    <w:p w14:paraId="69F2A931" w14:textId="77777777" w:rsidR="007217B7" w:rsidRPr="00B30A12" w:rsidRDefault="007217B7" w:rsidP="000C47C6">
      <w:pPr>
        <w:widowControl w:val="0"/>
        <w:numPr>
          <w:ilvl w:val="12"/>
          <w:numId w:val="0"/>
        </w:numPr>
        <w:ind w:left="567" w:hanging="567"/>
        <w:rPr>
          <w:color w:val="000000"/>
          <w:sz w:val="22"/>
          <w:szCs w:val="22"/>
        </w:rPr>
      </w:pPr>
      <w:r w:rsidRPr="00B30A12">
        <w:rPr>
          <w:color w:val="000000"/>
          <w:sz w:val="22"/>
          <w:szCs w:val="22"/>
        </w:rPr>
        <w:t>6.</w:t>
      </w:r>
      <w:r w:rsidRPr="00B30A12">
        <w:rPr>
          <w:color w:val="000000"/>
          <w:sz w:val="22"/>
          <w:szCs w:val="22"/>
        </w:rPr>
        <w:tab/>
        <w:t>Inhalt der Packung und weitere Informationen</w:t>
      </w:r>
    </w:p>
    <w:p w14:paraId="1D519E0F" w14:textId="77777777" w:rsidR="007217B7" w:rsidRPr="00B30A12" w:rsidRDefault="007217B7" w:rsidP="000C47C6">
      <w:pPr>
        <w:widowControl w:val="0"/>
        <w:numPr>
          <w:ilvl w:val="12"/>
          <w:numId w:val="0"/>
        </w:numPr>
        <w:rPr>
          <w:color w:val="000000"/>
          <w:sz w:val="22"/>
          <w:szCs w:val="22"/>
        </w:rPr>
      </w:pPr>
    </w:p>
    <w:p w14:paraId="5F297672" w14:textId="77777777" w:rsidR="007217B7" w:rsidRPr="00B30A12" w:rsidRDefault="007217B7" w:rsidP="000C47C6">
      <w:pPr>
        <w:widowControl w:val="0"/>
        <w:numPr>
          <w:ilvl w:val="12"/>
          <w:numId w:val="0"/>
        </w:numPr>
        <w:rPr>
          <w:color w:val="000000"/>
          <w:sz w:val="22"/>
          <w:szCs w:val="22"/>
        </w:rPr>
      </w:pPr>
    </w:p>
    <w:p w14:paraId="54B1DAD0" w14:textId="77777777" w:rsidR="007217B7" w:rsidRPr="00B30A12" w:rsidRDefault="007217B7" w:rsidP="001F49E7">
      <w:pPr>
        <w:keepNext/>
        <w:widowControl w:val="0"/>
        <w:numPr>
          <w:ilvl w:val="12"/>
          <w:numId w:val="0"/>
        </w:numPr>
        <w:ind w:left="567" w:hanging="567"/>
        <w:rPr>
          <w:b/>
          <w:color w:val="000000"/>
          <w:sz w:val="22"/>
          <w:szCs w:val="22"/>
        </w:rPr>
      </w:pPr>
      <w:r w:rsidRPr="00B30A12">
        <w:rPr>
          <w:b/>
          <w:color w:val="000000"/>
          <w:sz w:val="22"/>
          <w:szCs w:val="22"/>
        </w:rPr>
        <w:t>1.</w:t>
      </w:r>
      <w:r w:rsidRPr="00B30A12">
        <w:rPr>
          <w:b/>
          <w:color w:val="000000"/>
          <w:sz w:val="22"/>
          <w:szCs w:val="22"/>
        </w:rPr>
        <w:tab/>
        <w:t>Was ist Glivec und wofür wird es angewendet?</w:t>
      </w:r>
    </w:p>
    <w:p w14:paraId="462450E1" w14:textId="77777777" w:rsidR="007217B7" w:rsidRPr="00B30A12" w:rsidRDefault="007217B7" w:rsidP="001F49E7">
      <w:pPr>
        <w:keepNext/>
        <w:widowControl w:val="0"/>
        <w:numPr>
          <w:ilvl w:val="12"/>
          <w:numId w:val="0"/>
        </w:numPr>
        <w:rPr>
          <w:color w:val="000000"/>
          <w:sz w:val="22"/>
          <w:szCs w:val="22"/>
        </w:rPr>
      </w:pPr>
    </w:p>
    <w:p w14:paraId="7A3F901E"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Glivec ist ein Arzneimittel, das den Wirkstoff Imatinib enthält. Dieses Arzneimittel wirkt bei den unten genannten Erkrankungen, indem es das Wachstum von anormalen Zellen hemmt. Einige dieser Erkrankungen sind Krebserkrankungen.</w:t>
      </w:r>
    </w:p>
    <w:p w14:paraId="7388BA91" w14:textId="77777777" w:rsidR="007217B7" w:rsidRPr="00B30A12" w:rsidRDefault="007217B7" w:rsidP="000C47C6">
      <w:pPr>
        <w:widowControl w:val="0"/>
        <w:numPr>
          <w:ilvl w:val="12"/>
          <w:numId w:val="0"/>
        </w:numPr>
        <w:rPr>
          <w:color w:val="000000"/>
          <w:sz w:val="22"/>
          <w:szCs w:val="22"/>
        </w:rPr>
      </w:pPr>
    </w:p>
    <w:p w14:paraId="5F6A4DA0" w14:textId="77777777" w:rsidR="007217B7" w:rsidRPr="00B30A12" w:rsidRDefault="007217B7" w:rsidP="001F49E7">
      <w:pPr>
        <w:keepNext/>
        <w:widowControl w:val="0"/>
        <w:numPr>
          <w:ilvl w:val="12"/>
          <w:numId w:val="0"/>
        </w:numPr>
        <w:rPr>
          <w:b/>
          <w:color w:val="000000"/>
          <w:sz w:val="22"/>
          <w:szCs w:val="22"/>
        </w:rPr>
      </w:pPr>
      <w:r w:rsidRPr="00B30A12">
        <w:rPr>
          <w:b/>
          <w:color w:val="000000"/>
          <w:sz w:val="22"/>
          <w:szCs w:val="22"/>
        </w:rPr>
        <w:t>Glivec wird bei Erwachsenen und Kindern angewendet:</w:t>
      </w:r>
    </w:p>
    <w:p w14:paraId="0C30E432" w14:textId="77777777" w:rsidR="007217B7" w:rsidRPr="00B30A12" w:rsidRDefault="007217B7" w:rsidP="001F49E7">
      <w:pPr>
        <w:keepNext/>
        <w:widowControl w:val="0"/>
        <w:numPr>
          <w:ilvl w:val="12"/>
          <w:numId w:val="0"/>
        </w:numPr>
        <w:rPr>
          <w:color w:val="000000"/>
          <w:sz w:val="22"/>
          <w:szCs w:val="22"/>
        </w:rPr>
      </w:pPr>
    </w:p>
    <w:p w14:paraId="4AAF0950" w14:textId="77777777" w:rsidR="00CC0FF7" w:rsidRPr="00B30A12" w:rsidRDefault="007217B7" w:rsidP="000C47C6">
      <w:pPr>
        <w:widowControl w:val="0"/>
        <w:numPr>
          <w:ilvl w:val="0"/>
          <w:numId w:val="1"/>
        </w:numPr>
        <w:tabs>
          <w:tab w:val="clear" w:pos="417"/>
        </w:tabs>
        <w:ind w:left="567" w:hanging="567"/>
        <w:rPr>
          <w:color w:val="000000"/>
          <w:sz w:val="22"/>
          <w:szCs w:val="22"/>
        </w:rPr>
      </w:pPr>
      <w:r w:rsidRPr="00B30A12">
        <w:rPr>
          <w:b/>
          <w:color w:val="000000"/>
          <w:sz w:val="22"/>
          <w:szCs w:val="22"/>
        </w:rPr>
        <w:t>Zur Behandlung der chronisch-myeloischen Leukämie (CML).</w:t>
      </w:r>
      <w:r w:rsidRPr="00B30A12">
        <w:rPr>
          <w:color w:val="000000"/>
          <w:sz w:val="22"/>
          <w:szCs w:val="22"/>
        </w:rPr>
        <w:t xml:space="preserve"> Leukämie ist eine Krebserkrankung weißer Blutzellen. Diese weißen Zellen unterstützen normalerweise den Körper bei der Abwehr von Infektionen. Die chronisch-myeloische Leukämie ist eine Form der Leukämie, bei der bestimmte anormale weiße Zellen (so genannte myeloische Zellen) unkontrolliert zu wachsen be</w:t>
      </w:r>
      <w:r w:rsidRPr="00B30A12">
        <w:rPr>
          <w:color w:val="000000"/>
          <w:sz w:val="22"/>
          <w:szCs w:val="22"/>
        </w:rPr>
        <w:softHyphen/>
        <w:t>ginnen.</w:t>
      </w:r>
    </w:p>
    <w:p w14:paraId="38050FEA" w14:textId="77777777" w:rsidR="007217B7" w:rsidRPr="00B30A12" w:rsidRDefault="00CC0FF7" w:rsidP="000C47C6">
      <w:pPr>
        <w:widowControl w:val="0"/>
        <w:numPr>
          <w:ilvl w:val="0"/>
          <w:numId w:val="1"/>
        </w:numPr>
        <w:tabs>
          <w:tab w:val="clear" w:pos="417"/>
        </w:tabs>
        <w:ind w:left="567" w:hanging="567"/>
        <w:rPr>
          <w:color w:val="000000"/>
          <w:sz w:val="22"/>
          <w:szCs w:val="22"/>
        </w:rPr>
      </w:pPr>
      <w:r w:rsidRPr="00B30A12">
        <w:rPr>
          <w:b/>
          <w:color w:val="000000"/>
          <w:sz w:val="22"/>
          <w:szCs w:val="22"/>
        </w:rPr>
        <w:t xml:space="preserve">Zur Behandlung von Philadelphia-Chromosom-positiver akuter lymphoblastischer Leukämie (Ph-positive </w:t>
      </w:r>
      <w:smartTag w:uri="urn:schemas-microsoft-com:office:smarttags" w:element="stockticker">
        <w:r w:rsidRPr="00B30A12">
          <w:rPr>
            <w:b/>
            <w:color w:val="000000"/>
            <w:sz w:val="22"/>
            <w:szCs w:val="22"/>
          </w:rPr>
          <w:t>ALL</w:t>
        </w:r>
      </w:smartTag>
      <w:r w:rsidRPr="00B30A12">
        <w:rPr>
          <w:b/>
          <w:color w:val="000000"/>
          <w:sz w:val="22"/>
          <w:szCs w:val="22"/>
        </w:rPr>
        <w:t>).</w:t>
      </w:r>
      <w:r w:rsidRPr="00B30A12">
        <w:rPr>
          <w:color w:val="000000"/>
          <w:sz w:val="22"/>
          <w:szCs w:val="22"/>
        </w:rPr>
        <w:t xml:space="preserve"> Leukämie ist eine Krebserkrankung weißer Blutzellen. Diese weißen Zellen unterstützen normalerweise den Körper bei der Abwehr von Infektionen. Die akute lymphoblastische Leukämie ist eine Form der Leukämie, bei der bestimmte krankhafte weiße Zellen (so genannte Lymphoblasten) unkontrolliert zu wachsen beginnen. Glivec hemmt das Wachstum dieser Zellen.</w:t>
      </w:r>
    </w:p>
    <w:p w14:paraId="35405348" w14:textId="77777777" w:rsidR="007217B7" w:rsidRPr="00B30A12" w:rsidRDefault="007217B7" w:rsidP="000C47C6">
      <w:pPr>
        <w:widowControl w:val="0"/>
        <w:numPr>
          <w:ilvl w:val="12"/>
          <w:numId w:val="0"/>
        </w:numPr>
        <w:rPr>
          <w:color w:val="000000"/>
          <w:sz w:val="22"/>
          <w:szCs w:val="22"/>
        </w:rPr>
      </w:pPr>
    </w:p>
    <w:p w14:paraId="7FC7D1BC" w14:textId="77777777" w:rsidR="007217B7" w:rsidRPr="00B30A12" w:rsidRDefault="007217B7" w:rsidP="001F49E7">
      <w:pPr>
        <w:keepNext/>
        <w:widowControl w:val="0"/>
        <w:numPr>
          <w:ilvl w:val="12"/>
          <w:numId w:val="0"/>
        </w:numPr>
        <w:rPr>
          <w:b/>
          <w:color w:val="000000"/>
          <w:sz w:val="22"/>
          <w:szCs w:val="22"/>
        </w:rPr>
      </w:pPr>
      <w:r w:rsidRPr="00B30A12">
        <w:rPr>
          <w:b/>
          <w:color w:val="000000"/>
          <w:sz w:val="22"/>
          <w:szCs w:val="22"/>
        </w:rPr>
        <w:t>Glivec wird auch bei Erwachsenen angewendet:</w:t>
      </w:r>
    </w:p>
    <w:p w14:paraId="2FC61EAC" w14:textId="77777777" w:rsidR="007217B7" w:rsidRPr="00B30A12" w:rsidRDefault="007217B7" w:rsidP="001F49E7">
      <w:pPr>
        <w:keepNext/>
        <w:widowControl w:val="0"/>
        <w:numPr>
          <w:ilvl w:val="12"/>
          <w:numId w:val="0"/>
        </w:numPr>
        <w:rPr>
          <w:color w:val="000000"/>
          <w:sz w:val="22"/>
          <w:szCs w:val="22"/>
        </w:rPr>
      </w:pPr>
    </w:p>
    <w:p w14:paraId="5E936C3F"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t>Zur Behandlung von Myelodysplastischen/myeloproliferativen Erkrankungen (</w:t>
      </w:r>
      <w:smartTag w:uri="urn:schemas-microsoft-com:office:smarttags" w:element="stockticker">
        <w:r w:rsidRPr="00B30A12">
          <w:rPr>
            <w:b/>
            <w:color w:val="000000"/>
            <w:sz w:val="22"/>
            <w:szCs w:val="22"/>
          </w:rPr>
          <w:t>MDS</w:t>
        </w:r>
      </w:smartTag>
      <w:r w:rsidRPr="00B30A12">
        <w:rPr>
          <w:b/>
          <w:color w:val="000000"/>
          <w:sz w:val="22"/>
          <w:szCs w:val="22"/>
        </w:rPr>
        <w:t>/MPD).</w:t>
      </w:r>
      <w:r w:rsidRPr="00B30A12">
        <w:rPr>
          <w:color w:val="000000"/>
          <w:sz w:val="22"/>
          <w:szCs w:val="22"/>
        </w:rPr>
        <w:t xml:space="preserve"> Diese gehören zu einer Gruppe von Bluterkrankungen, bei denen bestimmte Blutzellen unkontrolliert zu wachsen be</w:t>
      </w:r>
      <w:r w:rsidRPr="00B30A12">
        <w:rPr>
          <w:color w:val="000000"/>
          <w:sz w:val="22"/>
          <w:szCs w:val="22"/>
        </w:rPr>
        <w:softHyphen/>
        <w:t xml:space="preserve">ginnen. Glivec hemmt das Wachstum dieser Zellen bei </w:t>
      </w:r>
      <w:r w:rsidRPr="00B30A12">
        <w:rPr>
          <w:color w:val="000000"/>
          <w:sz w:val="22"/>
          <w:szCs w:val="22"/>
        </w:rPr>
        <w:lastRenderedPageBreak/>
        <w:t>einem bestimmten Typ dieser Erkrankungen.</w:t>
      </w:r>
    </w:p>
    <w:p w14:paraId="58AC9CD4"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t>Zur Behandlung des hypereosinophilen Syndroms (HES) und/oder der chronischen eosinophilen Leukämie (</w:t>
      </w:r>
      <w:smartTag w:uri="urn:schemas-microsoft-com:office:smarttags" w:element="stockticker">
        <w:r w:rsidRPr="00B30A12">
          <w:rPr>
            <w:b/>
            <w:color w:val="000000"/>
            <w:sz w:val="22"/>
            <w:szCs w:val="22"/>
          </w:rPr>
          <w:t>CEL</w:t>
        </w:r>
      </w:smartTag>
      <w:r w:rsidRPr="00B30A12">
        <w:rPr>
          <w:b/>
          <w:color w:val="000000"/>
          <w:sz w:val="22"/>
          <w:szCs w:val="22"/>
        </w:rPr>
        <w:t>).</w:t>
      </w:r>
      <w:r w:rsidRPr="00B30A12">
        <w:rPr>
          <w:color w:val="000000"/>
          <w:sz w:val="22"/>
          <w:szCs w:val="22"/>
        </w:rPr>
        <w:t xml:space="preserve"> Dies sind Bluterkrankungen, bei denen bestimmte Blutzellen (so genannte Eosinophile) unkontrolliert zu wachsen beginnen. Glivec hemmt das Wachstum dieser Zellen bei einem bestimmten Typ dieser Erkrankungen.</w:t>
      </w:r>
    </w:p>
    <w:p w14:paraId="71095917"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b/>
          <w:color w:val="000000"/>
          <w:sz w:val="22"/>
          <w:szCs w:val="22"/>
        </w:rPr>
        <w:t>Zur Behandlung von bösartigen Weichteiltumoren des Verdauungstrakts (GIST).</w:t>
      </w:r>
      <w:r w:rsidRPr="00B30A12">
        <w:rPr>
          <w:color w:val="000000"/>
          <w:sz w:val="22"/>
          <w:szCs w:val="22"/>
        </w:rPr>
        <w:t xml:space="preserve"> GIST ist eine Krebserkrankung des Magens und des Darms. Sie entsteht auf Grund des unkontrollierten Wachstums von Bindegewebszellen dieser Organe.</w:t>
      </w:r>
    </w:p>
    <w:p w14:paraId="0EABACA9" w14:textId="77777777" w:rsidR="007217B7" w:rsidRPr="00B30A12" w:rsidRDefault="007217B7" w:rsidP="001F49E7">
      <w:pPr>
        <w:keepNext/>
        <w:widowControl w:val="0"/>
        <w:numPr>
          <w:ilvl w:val="0"/>
          <w:numId w:val="15"/>
        </w:numPr>
        <w:tabs>
          <w:tab w:val="clear" w:pos="360"/>
        </w:tabs>
        <w:ind w:left="567" w:hanging="567"/>
        <w:rPr>
          <w:color w:val="000000"/>
          <w:sz w:val="22"/>
          <w:szCs w:val="22"/>
        </w:rPr>
      </w:pPr>
      <w:r w:rsidRPr="00B30A12">
        <w:rPr>
          <w:b/>
          <w:color w:val="000000"/>
          <w:sz w:val="22"/>
          <w:szCs w:val="22"/>
        </w:rPr>
        <w:t>Zur Behandlung von Dermatofibrosarcoma protuberans (DFSP).</w:t>
      </w:r>
      <w:r w:rsidRPr="00B30A12">
        <w:rPr>
          <w:color w:val="000000"/>
          <w:sz w:val="22"/>
          <w:szCs w:val="22"/>
        </w:rPr>
        <w:t xml:space="preserve"> DFSP ist eine Krebserkrankung des Gewebes unter der Haut, in dem bestimmte Zellen unkontrolliert zu wachsen be</w:t>
      </w:r>
      <w:r w:rsidRPr="00B30A12">
        <w:rPr>
          <w:color w:val="000000"/>
          <w:sz w:val="22"/>
          <w:szCs w:val="22"/>
        </w:rPr>
        <w:softHyphen/>
        <w:t>ginnen. Glivec hemmt das Wachstum dieser Zellen.</w:t>
      </w:r>
    </w:p>
    <w:p w14:paraId="6B0B990C"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Im folgenden Teil der Gebrauchsinformation werden die oben genannten Abkürzungen verwendet, wenn über diese Erkrankungen gesprochen wird.</w:t>
      </w:r>
    </w:p>
    <w:p w14:paraId="36FB5067" w14:textId="77777777" w:rsidR="007217B7" w:rsidRPr="00B30A12" w:rsidRDefault="007217B7" w:rsidP="000C47C6">
      <w:pPr>
        <w:widowControl w:val="0"/>
        <w:numPr>
          <w:ilvl w:val="12"/>
          <w:numId w:val="0"/>
        </w:numPr>
        <w:rPr>
          <w:color w:val="000000"/>
          <w:sz w:val="22"/>
          <w:szCs w:val="22"/>
        </w:rPr>
      </w:pPr>
    </w:p>
    <w:p w14:paraId="624860C0" w14:textId="77777777" w:rsidR="007217B7" w:rsidRPr="00B30A12" w:rsidRDefault="007217B7" w:rsidP="000C47C6">
      <w:pPr>
        <w:widowControl w:val="0"/>
        <w:numPr>
          <w:ilvl w:val="12"/>
          <w:numId w:val="0"/>
        </w:numPr>
        <w:rPr>
          <w:color w:val="000000"/>
          <w:sz w:val="22"/>
          <w:szCs w:val="22"/>
        </w:rPr>
      </w:pPr>
      <w:r w:rsidRPr="00B30A12">
        <w:rPr>
          <w:color w:val="000000"/>
          <w:sz w:val="22"/>
          <w:szCs w:val="22"/>
        </w:rPr>
        <w:t>Fragen Sie Ihren Arzt, wenn Sie wissen wollen, wie Glivec wirkt oder warum Ihnen dieses Arzneimittel verschrieben worden ist.</w:t>
      </w:r>
    </w:p>
    <w:p w14:paraId="0DB47DB8" w14:textId="77777777" w:rsidR="007217B7" w:rsidRPr="00B30A12" w:rsidRDefault="007217B7" w:rsidP="000C47C6">
      <w:pPr>
        <w:widowControl w:val="0"/>
        <w:numPr>
          <w:ilvl w:val="12"/>
          <w:numId w:val="0"/>
        </w:numPr>
        <w:rPr>
          <w:color w:val="000000"/>
          <w:sz w:val="22"/>
          <w:szCs w:val="22"/>
        </w:rPr>
      </w:pPr>
    </w:p>
    <w:p w14:paraId="6047B8C2" w14:textId="77777777" w:rsidR="007217B7" w:rsidRPr="00B30A12" w:rsidRDefault="007217B7" w:rsidP="000C47C6">
      <w:pPr>
        <w:widowControl w:val="0"/>
        <w:numPr>
          <w:ilvl w:val="12"/>
          <w:numId w:val="0"/>
        </w:numPr>
        <w:rPr>
          <w:color w:val="000000"/>
          <w:sz w:val="22"/>
          <w:szCs w:val="22"/>
        </w:rPr>
      </w:pPr>
    </w:p>
    <w:p w14:paraId="3A87DE2B" w14:textId="77777777" w:rsidR="007217B7" w:rsidRPr="00B30A12" w:rsidRDefault="007217B7" w:rsidP="001F49E7">
      <w:pPr>
        <w:keepNext/>
        <w:widowControl w:val="0"/>
        <w:numPr>
          <w:ilvl w:val="12"/>
          <w:numId w:val="0"/>
        </w:numPr>
        <w:ind w:left="567" w:hanging="567"/>
        <w:rPr>
          <w:color w:val="000000"/>
          <w:sz w:val="22"/>
          <w:szCs w:val="22"/>
        </w:rPr>
      </w:pPr>
      <w:r w:rsidRPr="00B30A12">
        <w:rPr>
          <w:b/>
          <w:color w:val="000000"/>
          <w:sz w:val="22"/>
          <w:szCs w:val="22"/>
        </w:rPr>
        <w:t>2.</w:t>
      </w:r>
      <w:r w:rsidRPr="00B30A12">
        <w:rPr>
          <w:b/>
          <w:color w:val="000000"/>
          <w:sz w:val="22"/>
          <w:szCs w:val="22"/>
        </w:rPr>
        <w:tab/>
        <w:t>Was sollten Sie vor der Einnahme von Glivec beachten?</w:t>
      </w:r>
    </w:p>
    <w:p w14:paraId="0962DC7C" w14:textId="77777777" w:rsidR="007217B7" w:rsidRPr="00B30A12" w:rsidRDefault="007217B7" w:rsidP="001F49E7">
      <w:pPr>
        <w:pStyle w:val="Header"/>
        <w:keepNext/>
        <w:widowControl w:val="0"/>
        <w:numPr>
          <w:ilvl w:val="12"/>
          <w:numId w:val="0"/>
        </w:numPr>
        <w:tabs>
          <w:tab w:val="clear" w:pos="4320"/>
          <w:tab w:val="clear" w:pos="8640"/>
        </w:tabs>
        <w:rPr>
          <w:color w:val="000000"/>
          <w:szCs w:val="22"/>
        </w:rPr>
      </w:pPr>
    </w:p>
    <w:p w14:paraId="30B131C0" w14:textId="77777777" w:rsidR="007217B7" w:rsidRPr="00B30A12" w:rsidRDefault="007217B7" w:rsidP="000C47C6">
      <w:pPr>
        <w:pStyle w:val="Header"/>
        <w:widowControl w:val="0"/>
        <w:numPr>
          <w:ilvl w:val="12"/>
          <w:numId w:val="0"/>
        </w:numPr>
        <w:tabs>
          <w:tab w:val="clear" w:pos="4320"/>
          <w:tab w:val="clear" w:pos="8640"/>
        </w:tabs>
        <w:rPr>
          <w:color w:val="000000"/>
          <w:szCs w:val="22"/>
        </w:rPr>
      </w:pPr>
      <w:r w:rsidRPr="00B30A12">
        <w:rPr>
          <w:color w:val="000000"/>
          <w:szCs w:val="22"/>
        </w:rPr>
        <w:t>Glivec wird Ihnen nur von einem Arzt verschrieben werden, der Erfahrung mit Arzneimitteln zur Behandlung von Blutkrebs oder soliden Tumoren hat.</w:t>
      </w:r>
    </w:p>
    <w:p w14:paraId="18CE6F24" w14:textId="77777777" w:rsidR="007217B7" w:rsidRPr="00B30A12" w:rsidRDefault="007217B7" w:rsidP="000C47C6">
      <w:pPr>
        <w:pStyle w:val="Header"/>
        <w:widowControl w:val="0"/>
        <w:numPr>
          <w:ilvl w:val="12"/>
          <w:numId w:val="0"/>
        </w:numPr>
        <w:tabs>
          <w:tab w:val="clear" w:pos="4320"/>
          <w:tab w:val="clear" w:pos="8640"/>
        </w:tabs>
        <w:rPr>
          <w:color w:val="000000"/>
          <w:szCs w:val="22"/>
        </w:rPr>
      </w:pPr>
    </w:p>
    <w:p w14:paraId="428A6A21" w14:textId="77777777" w:rsidR="007217B7" w:rsidRPr="00B30A12" w:rsidRDefault="007217B7" w:rsidP="000C47C6">
      <w:pPr>
        <w:pStyle w:val="Header"/>
        <w:widowControl w:val="0"/>
        <w:numPr>
          <w:ilvl w:val="12"/>
          <w:numId w:val="0"/>
        </w:numPr>
        <w:tabs>
          <w:tab w:val="clear" w:pos="4320"/>
          <w:tab w:val="clear" w:pos="8640"/>
        </w:tabs>
        <w:rPr>
          <w:color w:val="000000"/>
          <w:szCs w:val="22"/>
        </w:rPr>
      </w:pPr>
      <w:r w:rsidRPr="00B30A12">
        <w:rPr>
          <w:color w:val="000000"/>
          <w:szCs w:val="22"/>
        </w:rPr>
        <w:t>Folgen Sie bitte sorgfältig allen Anweisungen Ihres Arztes, auch wenn sie von den allgemeinen Informationen in dieser Packungsbeilage abweichen.</w:t>
      </w:r>
    </w:p>
    <w:p w14:paraId="53165AB7" w14:textId="77777777" w:rsidR="007217B7" w:rsidRPr="00B30A12" w:rsidRDefault="007217B7" w:rsidP="000C47C6">
      <w:pPr>
        <w:pStyle w:val="Header"/>
        <w:widowControl w:val="0"/>
        <w:numPr>
          <w:ilvl w:val="12"/>
          <w:numId w:val="0"/>
        </w:numPr>
        <w:tabs>
          <w:tab w:val="clear" w:pos="4320"/>
          <w:tab w:val="clear" w:pos="8640"/>
        </w:tabs>
        <w:rPr>
          <w:color w:val="000000"/>
          <w:szCs w:val="22"/>
        </w:rPr>
      </w:pPr>
    </w:p>
    <w:p w14:paraId="1BA2F972" w14:textId="77777777" w:rsidR="007217B7" w:rsidRPr="00B30A12" w:rsidRDefault="007217B7" w:rsidP="001F49E7">
      <w:pPr>
        <w:keepNext/>
        <w:widowControl w:val="0"/>
        <w:numPr>
          <w:ilvl w:val="12"/>
          <w:numId w:val="0"/>
        </w:numPr>
        <w:rPr>
          <w:color w:val="000000"/>
          <w:sz w:val="22"/>
          <w:szCs w:val="22"/>
        </w:rPr>
      </w:pPr>
      <w:r w:rsidRPr="00B30A12">
        <w:rPr>
          <w:b/>
          <w:color w:val="000000"/>
          <w:sz w:val="22"/>
          <w:szCs w:val="22"/>
        </w:rPr>
        <w:t>Glivec darf nicht eingenommen werden,</w:t>
      </w:r>
    </w:p>
    <w:p w14:paraId="56485185" w14:textId="77777777" w:rsidR="007217B7" w:rsidRPr="00B30A12" w:rsidRDefault="007217B7" w:rsidP="001F49E7">
      <w:pPr>
        <w:keepNext/>
        <w:widowControl w:val="0"/>
        <w:numPr>
          <w:ilvl w:val="0"/>
          <w:numId w:val="1"/>
        </w:numPr>
        <w:tabs>
          <w:tab w:val="clear" w:pos="417"/>
        </w:tabs>
        <w:ind w:left="567" w:hanging="567"/>
        <w:rPr>
          <w:color w:val="000000"/>
          <w:sz w:val="22"/>
          <w:szCs w:val="22"/>
        </w:rPr>
      </w:pPr>
      <w:r w:rsidRPr="00B30A12">
        <w:rPr>
          <w:color w:val="000000"/>
          <w:sz w:val="22"/>
          <w:szCs w:val="22"/>
        </w:rPr>
        <w:t>wenn Sie allergisch gegen Imatinib oder einen der in Abschnitt 6. genannten sonstigen Bestandteile dieses Arzneimittels sind.</w:t>
      </w:r>
    </w:p>
    <w:p w14:paraId="2F6C439E" w14:textId="77777777" w:rsidR="007217B7" w:rsidRPr="00B30A12" w:rsidRDefault="007217B7" w:rsidP="000C47C6">
      <w:pPr>
        <w:widowControl w:val="0"/>
        <w:rPr>
          <w:color w:val="000000"/>
          <w:sz w:val="22"/>
          <w:szCs w:val="22"/>
        </w:rPr>
      </w:pPr>
      <w:r w:rsidRPr="00B30A12">
        <w:rPr>
          <w:color w:val="000000"/>
          <w:sz w:val="22"/>
          <w:szCs w:val="22"/>
        </w:rPr>
        <w:t xml:space="preserve">Wenn dies auf Sie zutrifft, </w:t>
      </w:r>
      <w:r w:rsidRPr="00B30A12">
        <w:rPr>
          <w:b/>
          <w:color w:val="000000"/>
          <w:sz w:val="22"/>
          <w:szCs w:val="22"/>
        </w:rPr>
        <w:t>teilen Sie es Ihrem Arzt mit und nehmen Sie Glivec nicht ein.</w:t>
      </w:r>
    </w:p>
    <w:p w14:paraId="676AD83E" w14:textId="77777777" w:rsidR="007217B7" w:rsidRPr="00B30A12" w:rsidRDefault="007217B7" w:rsidP="000C47C6">
      <w:pPr>
        <w:widowControl w:val="0"/>
        <w:rPr>
          <w:color w:val="000000"/>
          <w:sz w:val="22"/>
          <w:szCs w:val="22"/>
        </w:rPr>
      </w:pPr>
    </w:p>
    <w:p w14:paraId="08F6A62F" w14:textId="77777777" w:rsidR="007217B7" w:rsidRPr="00B30A12" w:rsidRDefault="007217B7" w:rsidP="000C47C6">
      <w:pPr>
        <w:widowControl w:val="0"/>
        <w:rPr>
          <w:color w:val="000000"/>
          <w:sz w:val="22"/>
          <w:szCs w:val="22"/>
        </w:rPr>
      </w:pPr>
      <w:r w:rsidRPr="00B30A12">
        <w:rPr>
          <w:color w:val="000000"/>
          <w:sz w:val="22"/>
          <w:szCs w:val="22"/>
        </w:rPr>
        <w:t>Wenn Sie glauben, allergisch zu sein, sich aber nicht sicher sind, fragen Sie Ihren Arzt um Rat.</w:t>
      </w:r>
    </w:p>
    <w:p w14:paraId="7951FC83" w14:textId="77777777" w:rsidR="007217B7" w:rsidRPr="00B30A12" w:rsidRDefault="007217B7" w:rsidP="000C47C6">
      <w:pPr>
        <w:widowControl w:val="0"/>
        <w:numPr>
          <w:ilvl w:val="12"/>
          <w:numId w:val="0"/>
        </w:numPr>
        <w:rPr>
          <w:color w:val="000000"/>
          <w:sz w:val="22"/>
          <w:szCs w:val="22"/>
        </w:rPr>
      </w:pPr>
    </w:p>
    <w:p w14:paraId="59512A92" w14:textId="77777777" w:rsidR="007217B7" w:rsidRPr="00B30A12" w:rsidRDefault="007217B7" w:rsidP="001F49E7">
      <w:pPr>
        <w:keepNext/>
        <w:widowControl w:val="0"/>
        <w:numPr>
          <w:ilvl w:val="12"/>
          <w:numId w:val="0"/>
        </w:numPr>
        <w:rPr>
          <w:b/>
          <w:color w:val="000000"/>
          <w:sz w:val="22"/>
          <w:szCs w:val="22"/>
        </w:rPr>
      </w:pPr>
      <w:r w:rsidRPr="00B30A12">
        <w:rPr>
          <w:b/>
          <w:color w:val="000000"/>
          <w:sz w:val="22"/>
          <w:szCs w:val="22"/>
        </w:rPr>
        <w:t>Warnhinweise und Vorsichtsmaßnahmen</w:t>
      </w:r>
    </w:p>
    <w:p w14:paraId="19DAFBFB" w14:textId="77777777" w:rsidR="007217B7" w:rsidRPr="00B30A12" w:rsidRDefault="007217B7" w:rsidP="001F49E7">
      <w:pPr>
        <w:keepNext/>
        <w:widowControl w:val="0"/>
        <w:numPr>
          <w:ilvl w:val="12"/>
          <w:numId w:val="0"/>
        </w:numPr>
        <w:rPr>
          <w:color w:val="000000"/>
          <w:sz w:val="22"/>
          <w:szCs w:val="22"/>
        </w:rPr>
      </w:pPr>
      <w:r w:rsidRPr="00B30A12">
        <w:rPr>
          <w:color w:val="000000"/>
          <w:sz w:val="22"/>
          <w:szCs w:val="22"/>
        </w:rPr>
        <w:t>Bitte sprechen Sie mit Ihrem Arzt, bevor Sie Glivec einnehmen:</w:t>
      </w:r>
    </w:p>
    <w:p w14:paraId="010196F7" w14:textId="77777777" w:rsidR="007217B7" w:rsidRPr="00B30A12" w:rsidRDefault="007217B7" w:rsidP="001F49E7">
      <w:pPr>
        <w:keepNext/>
        <w:widowControl w:val="0"/>
        <w:numPr>
          <w:ilvl w:val="0"/>
          <w:numId w:val="1"/>
        </w:numPr>
        <w:tabs>
          <w:tab w:val="clear" w:pos="417"/>
        </w:tabs>
        <w:ind w:left="567" w:hanging="567"/>
        <w:rPr>
          <w:color w:val="000000"/>
          <w:sz w:val="22"/>
          <w:szCs w:val="22"/>
        </w:rPr>
      </w:pPr>
      <w:r w:rsidRPr="00B30A12">
        <w:rPr>
          <w:color w:val="000000"/>
          <w:sz w:val="22"/>
          <w:szCs w:val="22"/>
        </w:rPr>
        <w:t>wenn Sie eine Leber-, Nieren- oder Herzerkrankung haben oder jemals hatten.</w:t>
      </w:r>
    </w:p>
    <w:p w14:paraId="35093FD9" w14:textId="77777777" w:rsidR="007217B7" w:rsidRPr="00B30A12" w:rsidRDefault="007217B7" w:rsidP="001F49E7">
      <w:pPr>
        <w:keepNext/>
        <w:widowControl w:val="0"/>
        <w:numPr>
          <w:ilvl w:val="0"/>
          <w:numId w:val="1"/>
        </w:numPr>
        <w:tabs>
          <w:tab w:val="clear" w:pos="417"/>
        </w:tabs>
        <w:ind w:left="567" w:hanging="567"/>
        <w:rPr>
          <w:color w:val="000000"/>
          <w:sz w:val="22"/>
          <w:szCs w:val="22"/>
        </w:rPr>
      </w:pPr>
      <w:r w:rsidRPr="00B30A12">
        <w:rPr>
          <w:color w:val="000000"/>
          <w:sz w:val="22"/>
          <w:szCs w:val="22"/>
        </w:rPr>
        <w:t>wenn Sie das Arzneimittel Levothyroxin einnehmen, weil Ihre Schilddrüse entfernt wurde.</w:t>
      </w:r>
    </w:p>
    <w:p w14:paraId="3EE33190" w14:textId="77777777" w:rsidR="007F4F8D" w:rsidRDefault="00B37BFB" w:rsidP="007F4F8D">
      <w:pPr>
        <w:keepNext/>
        <w:widowControl w:val="0"/>
        <w:numPr>
          <w:ilvl w:val="0"/>
          <w:numId w:val="1"/>
        </w:numPr>
        <w:tabs>
          <w:tab w:val="clear" w:pos="417"/>
        </w:tabs>
        <w:ind w:left="567" w:hanging="567"/>
        <w:rPr>
          <w:color w:val="000000"/>
          <w:sz w:val="22"/>
          <w:szCs w:val="22"/>
        </w:rPr>
      </w:pPr>
      <w:r w:rsidRPr="00B30A12">
        <w:rPr>
          <w:color w:val="000000"/>
          <w:sz w:val="22"/>
          <w:szCs w:val="22"/>
        </w:rPr>
        <w:t>wenn Sie in der Vergangenheit eine Hepatitis-B-Infektion hatten oder möglicherweise derzeit haben. Dies ist notwendig, weil Glivec zu einer Reaktivierung der Hepatitis-B-Erkrankung führen könnte, welche in manchen Fällen tödlich verlaufen kann. Patienten werden von ihren Ärzten sorgfältig auf Anzeichen dieser Infektion hin untersucht, bevor die Behandlung begonnen wird.</w:t>
      </w:r>
    </w:p>
    <w:p w14:paraId="2CF13C77" w14:textId="77777777" w:rsidR="00B37BFB" w:rsidRPr="00B30A12" w:rsidRDefault="007F4F8D" w:rsidP="007F4F8D">
      <w:pPr>
        <w:keepNext/>
        <w:widowControl w:val="0"/>
        <w:numPr>
          <w:ilvl w:val="0"/>
          <w:numId w:val="1"/>
        </w:numPr>
        <w:tabs>
          <w:tab w:val="clear" w:pos="417"/>
        </w:tabs>
        <w:ind w:left="567" w:hanging="567"/>
        <w:rPr>
          <w:color w:val="000000"/>
          <w:sz w:val="22"/>
          <w:szCs w:val="22"/>
        </w:rPr>
      </w:pPr>
      <w:r>
        <w:rPr>
          <w:color w:val="000000"/>
          <w:sz w:val="22"/>
          <w:szCs w:val="22"/>
        </w:rPr>
        <w:t>w</w:t>
      </w:r>
      <w:r w:rsidRPr="006B3D38">
        <w:rPr>
          <w:color w:val="000000"/>
          <w:sz w:val="22"/>
          <w:szCs w:val="22"/>
        </w:rPr>
        <w:t xml:space="preserve">enn Sie </w:t>
      </w:r>
      <w:r>
        <w:rPr>
          <w:color w:val="000000"/>
          <w:sz w:val="22"/>
          <w:szCs w:val="22"/>
        </w:rPr>
        <w:t>während der Einnahme von Glivec blaue Flecken</w:t>
      </w:r>
      <w:r w:rsidRPr="006B3D38">
        <w:rPr>
          <w:color w:val="000000"/>
          <w:sz w:val="22"/>
          <w:szCs w:val="22"/>
        </w:rPr>
        <w:t xml:space="preserve">, Blutungen, </w:t>
      </w:r>
      <w:r>
        <w:rPr>
          <w:color w:val="000000"/>
          <w:sz w:val="22"/>
          <w:szCs w:val="22"/>
        </w:rPr>
        <w:t>Fieber, Müdigkeit und Verwirrtheit</w:t>
      </w:r>
      <w:r w:rsidRPr="006B3D38">
        <w:rPr>
          <w:color w:val="000000"/>
          <w:sz w:val="22"/>
          <w:szCs w:val="22"/>
        </w:rPr>
        <w:t xml:space="preserve"> </w:t>
      </w:r>
      <w:r>
        <w:rPr>
          <w:color w:val="000000"/>
          <w:sz w:val="22"/>
          <w:szCs w:val="22"/>
        </w:rPr>
        <w:t>bemerken</w:t>
      </w:r>
      <w:r w:rsidRPr="006B3D38">
        <w:rPr>
          <w:color w:val="000000"/>
          <w:sz w:val="22"/>
          <w:szCs w:val="22"/>
        </w:rPr>
        <w:t xml:space="preserve">, wenden Sie sich an Ihren Arzt. Dies </w:t>
      </w:r>
      <w:r>
        <w:rPr>
          <w:color w:val="000000"/>
          <w:sz w:val="22"/>
          <w:szCs w:val="22"/>
        </w:rPr>
        <w:t>kann ein</w:t>
      </w:r>
      <w:r w:rsidR="00A14A5C">
        <w:rPr>
          <w:color w:val="000000"/>
          <w:sz w:val="22"/>
          <w:szCs w:val="22"/>
        </w:rPr>
        <w:t xml:space="preserve"> Anz</w:t>
      </w:r>
      <w:r w:rsidRPr="006B3D38">
        <w:rPr>
          <w:color w:val="000000"/>
          <w:sz w:val="22"/>
          <w:szCs w:val="22"/>
        </w:rPr>
        <w:t xml:space="preserve">eichen für eine Schädigung der Blutgefäße sein, die als thrombotische Mikroangiopathie (TMA) </w:t>
      </w:r>
      <w:r>
        <w:rPr>
          <w:color w:val="000000"/>
          <w:sz w:val="22"/>
          <w:szCs w:val="22"/>
        </w:rPr>
        <w:t>bezeichnet wird</w:t>
      </w:r>
      <w:r w:rsidRPr="006B3D38">
        <w:rPr>
          <w:color w:val="000000"/>
          <w:sz w:val="22"/>
          <w:szCs w:val="22"/>
        </w:rPr>
        <w:t>.</w:t>
      </w:r>
    </w:p>
    <w:p w14:paraId="3DA9669D" w14:textId="77777777" w:rsidR="007217B7" w:rsidRPr="00B30A12" w:rsidRDefault="007217B7" w:rsidP="000C47C6">
      <w:pPr>
        <w:widowControl w:val="0"/>
        <w:rPr>
          <w:b/>
          <w:color w:val="000000"/>
          <w:sz w:val="22"/>
          <w:szCs w:val="22"/>
        </w:rPr>
      </w:pPr>
      <w:r w:rsidRPr="00B30A12">
        <w:rPr>
          <w:color w:val="000000"/>
          <w:sz w:val="22"/>
          <w:szCs w:val="22"/>
        </w:rPr>
        <w:t xml:space="preserve">Wenn einer dieser Punkte auf Sie zutrifft, </w:t>
      </w:r>
      <w:r w:rsidRPr="00B30A12">
        <w:rPr>
          <w:b/>
          <w:color w:val="000000"/>
          <w:sz w:val="22"/>
          <w:szCs w:val="22"/>
        </w:rPr>
        <w:t>informieren Sie Ihren Arzt, bevor Sie Glivec einnehmen.</w:t>
      </w:r>
    </w:p>
    <w:p w14:paraId="26D27685" w14:textId="77777777" w:rsidR="00547136" w:rsidRDefault="00547136" w:rsidP="00547136">
      <w:pPr>
        <w:widowControl w:val="0"/>
        <w:rPr>
          <w:color w:val="000000"/>
          <w:sz w:val="22"/>
          <w:szCs w:val="22"/>
        </w:rPr>
      </w:pPr>
    </w:p>
    <w:p w14:paraId="73198BDA" w14:textId="77777777" w:rsidR="00547136" w:rsidRPr="00402494" w:rsidRDefault="00547136" w:rsidP="00547136">
      <w:pPr>
        <w:widowControl w:val="0"/>
        <w:rPr>
          <w:color w:val="000000"/>
          <w:sz w:val="22"/>
          <w:szCs w:val="22"/>
        </w:rPr>
      </w:pPr>
      <w:r w:rsidRPr="00547136">
        <w:rPr>
          <w:color w:val="000000"/>
          <w:sz w:val="22"/>
          <w:szCs w:val="22"/>
        </w:rPr>
        <w:t>Sie können empfindlicher auf Sonnenlicht reagieren, während Sie Glivec einnehmen. Es ist wichtig, dass Sie Hautpartien bedecken, die der Sonne ausgesetzt sind, und ein Sonnenschutzmittel mit hohem Lichtschutzfaktor (LSF) verwenden. Diese Vorsichtsmaßnahmen gelten auch für Kinder.</w:t>
      </w:r>
    </w:p>
    <w:p w14:paraId="36172B99" w14:textId="77777777" w:rsidR="007217B7" w:rsidRPr="00B30A12" w:rsidRDefault="007217B7" w:rsidP="000C47C6">
      <w:pPr>
        <w:widowControl w:val="0"/>
        <w:rPr>
          <w:color w:val="000000"/>
          <w:sz w:val="22"/>
          <w:szCs w:val="22"/>
        </w:rPr>
      </w:pPr>
    </w:p>
    <w:p w14:paraId="31F05ABC" w14:textId="77777777" w:rsidR="007217B7" w:rsidRPr="00B30A12" w:rsidRDefault="007217B7" w:rsidP="001F49E7">
      <w:pPr>
        <w:keepNext/>
        <w:widowControl w:val="0"/>
        <w:rPr>
          <w:b/>
          <w:color w:val="000000"/>
          <w:sz w:val="22"/>
          <w:szCs w:val="22"/>
        </w:rPr>
      </w:pPr>
      <w:r w:rsidRPr="00B30A12">
        <w:rPr>
          <w:b/>
          <w:color w:val="000000"/>
          <w:sz w:val="22"/>
          <w:szCs w:val="22"/>
        </w:rPr>
        <w:t>Sprechen Sie bitte unverzüglich mit Ihrem Arzt,</w:t>
      </w:r>
      <w:r w:rsidRPr="00B30A12">
        <w:rPr>
          <w:color w:val="000000"/>
          <w:sz w:val="22"/>
          <w:szCs w:val="22"/>
        </w:rPr>
        <w:t xml:space="preserve"> wenn Sie bei sich </w:t>
      </w:r>
      <w:r w:rsidRPr="00B30A12">
        <w:rPr>
          <w:b/>
          <w:color w:val="000000"/>
          <w:sz w:val="22"/>
          <w:szCs w:val="22"/>
        </w:rPr>
        <w:t>während der Einnahme von Glivec</w:t>
      </w:r>
      <w:r w:rsidRPr="00B30A12">
        <w:rPr>
          <w:color w:val="000000"/>
          <w:sz w:val="22"/>
          <w:szCs w:val="22"/>
        </w:rPr>
        <w:t xml:space="preserve"> eine schnelle Gewichtszunahme feststellen. Glivec kann zu Wasseransammlungen im Körper führen (schwere Flüssigkeitsretention).</w:t>
      </w:r>
    </w:p>
    <w:p w14:paraId="6CD5A314" w14:textId="77777777" w:rsidR="007217B7" w:rsidRPr="00B30A12" w:rsidRDefault="007217B7" w:rsidP="000C47C6">
      <w:pPr>
        <w:widowControl w:val="0"/>
        <w:rPr>
          <w:color w:val="000000"/>
          <w:sz w:val="22"/>
          <w:szCs w:val="22"/>
        </w:rPr>
      </w:pPr>
    </w:p>
    <w:p w14:paraId="5ADE2CBA" w14:textId="77777777" w:rsidR="007217B7" w:rsidRPr="00B30A12" w:rsidRDefault="007217B7" w:rsidP="000C47C6">
      <w:pPr>
        <w:pStyle w:val="BodyText3"/>
        <w:widowControl w:val="0"/>
        <w:rPr>
          <w:color w:val="000000"/>
          <w:szCs w:val="22"/>
        </w:rPr>
      </w:pPr>
      <w:r w:rsidRPr="00B30A12">
        <w:rPr>
          <w:color w:val="000000"/>
          <w:szCs w:val="22"/>
        </w:rPr>
        <w:t xml:space="preserve">Während der Einnahme von Glivec wird Ihr Arzt regelmäßig überwachen, ob das Arzneimittel wirkt. </w:t>
      </w:r>
      <w:r w:rsidRPr="00B30A12">
        <w:rPr>
          <w:color w:val="000000"/>
          <w:szCs w:val="22"/>
        </w:rPr>
        <w:lastRenderedPageBreak/>
        <w:t>Ihr Blut und Ihr Körpergewicht werden ebenfalls regelmäßig überprüft.</w:t>
      </w:r>
    </w:p>
    <w:p w14:paraId="1866BC28" w14:textId="77777777" w:rsidR="007217B7" w:rsidRPr="00B30A12" w:rsidRDefault="007217B7" w:rsidP="000C47C6">
      <w:pPr>
        <w:widowControl w:val="0"/>
        <w:rPr>
          <w:color w:val="000000"/>
          <w:sz w:val="22"/>
          <w:szCs w:val="22"/>
        </w:rPr>
      </w:pPr>
    </w:p>
    <w:p w14:paraId="384D032E" w14:textId="77777777" w:rsidR="007217B7" w:rsidRPr="00B30A12" w:rsidRDefault="007217B7" w:rsidP="001F49E7">
      <w:pPr>
        <w:pStyle w:val="BodyTextIndent2"/>
        <w:keepNext/>
        <w:ind w:firstLine="6"/>
        <w:rPr>
          <w:b/>
          <w:noProof/>
          <w:color w:val="000000"/>
          <w:szCs w:val="22"/>
        </w:rPr>
      </w:pPr>
      <w:r w:rsidRPr="00B30A12">
        <w:rPr>
          <w:b/>
          <w:noProof/>
          <w:color w:val="000000"/>
          <w:szCs w:val="22"/>
        </w:rPr>
        <w:t>Kinder und Jugendliche</w:t>
      </w:r>
    </w:p>
    <w:p w14:paraId="7D7FBB79" w14:textId="77777777" w:rsidR="007217B7" w:rsidRPr="00B30A12" w:rsidRDefault="007217B7" w:rsidP="000C47C6">
      <w:pPr>
        <w:pStyle w:val="BodyTextIndent2"/>
        <w:rPr>
          <w:noProof/>
          <w:color w:val="000000"/>
          <w:szCs w:val="22"/>
        </w:rPr>
      </w:pPr>
      <w:r w:rsidRPr="00B30A12">
        <w:rPr>
          <w:noProof/>
          <w:color w:val="000000"/>
          <w:szCs w:val="22"/>
        </w:rPr>
        <w:t>Glivec dient auch der Behandlung von Kindern mit CML. Es gibt keine Erfahrungen bei Kindern unter 2 Jahren mit CML. Die Erfahrung bei Kindern mit Ph-positiver </w:t>
      </w:r>
      <w:smartTag w:uri="urn:schemas-microsoft-com:office:smarttags" w:element="stockticker">
        <w:r w:rsidRPr="00B30A12">
          <w:rPr>
            <w:noProof/>
            <w:color w:val="000000"/>
            <w:szCs w:val="22"/>
          </w:rPr>
          <w:t>ALL</w:t>
        </w:r>
      </w:smartTag>
      <w:r w:rsidRPr="00B30A12">
        <w:rPr>
          <w:noProof/>
          <w:color w:val="000000"/>
          <w:szCs w:val="22"/>
        </w:rPr>
        <w:t xml:space="preserve"> ist begrenzt</w:t>
      </w:r>
      <w:r w:rsidR="00F2223D" w:rsidRPr="00B30A12">
        <w:rPr>
          <w:noProof/>
          <w:color w:val="000000"/>
          <w:szCs w:val="22"/>
        </w:rPr>
        <w:t xml:space="preserve"> und bei Kindern mit MDS/MPD, DFSP, GIST und HES/CEL sehr begrenzt</w:t>
      </w:r>
      <w:r w:rsidR="00A12DC6" w:rsidRPr="00B30A12">
        <w:rPr>
          <w:noProof/>
          <w:color w:val="000000"/>
          <w:szCs w:val="22"/>
        </w:rPr>
        <w:t>.</w:t>
      </w:r>
    </w:p>
    <w:p w14:paraId="284800E7" w14:textId="77777777" w:rsidR="007217B7" w:rsidRPr="00B30A12" w:rsidRDefault="007217B7" w:rsidP="000C47C6">
      <w:pPr>
        <w:pStyle w:val="BodyTextIndent2"/>
        <w:rPr>
          <w:noProof/>
          <w:color w:val="000000"/>
          <w:szCs w:val="22"/>
        </w:rPr>
      </w:pPr>
    </w:p>
    <w:p w14:paraId="6D575FC7" w14:textId="77777777" w:rsidR="007217B7" w:rsidRPr="00B30A12" w:rsidRDefault="007217B7" w:rsidP="000C47C6">
      <w:pPr>
        <w:pStyle w:val="BodyTextIndent2"/>
        <w:rPr>
          <w:color w:val="000000"/>
          <w:szCs w:val="22"/>
        </w:rPr>
      </w:pPr>
      <w:r w:rsidRPr="00B30A12">
        <w:rPr>
          <w:noProof/>
          <w:color w:val="000000"/>
          <w:szCs w:val="22"/>
        </w:rPr>
        <w:t>Einige Kinder und Jugendliche wachsen unter Glivec langsamer als normal. Der Arzt wird das Wachstum regelmäßig überwachen.</w:t>
      </w:r>
    </w:p>
    <w:p w14:paraId="4C024888" w14:textId="77777777" w:rsidR="007217B7" w:rsidRPr="00B30A12" w:rsidRDefault="007217B7" w:rsidP="000C47C6">
      <w:pPr>
        <w:widowControl w:val="0"/>
        <w:rPr>
          <w:color w:val="000000"/>
          <w:sz w:val="22"/>
          <w:szCs w:val="22"/>
        </w:rPr>
      </w:pPr>
    </w:p>
    <w:p w14:paraId="0EA57156" w14:textId="77777777" w:rsidR="007217B7" w:rsidRPr="00B30A12" w:rsidRDefault="007217B7" w:rsidP="001F49E7">
      <w:pPr>
        <w:pStyle w:val="Heading2"/>
        <w:widowControl w:val="0"/>
        <w:numPr>
          <w:ilvl w:val="0"/>
          <w:numId w:val="0"/>
        </w:numPr>
        <w:tabs>
          <w:tab w:val="clear" w:pos="567"/>
        </w:tabs>
        <w:rPr>
          <w:color w:val="000000"/>
          <w:szCs w:val="22"/>
        </w:rPr>
      </w:pPr>
      <w:r w:rsidRPr="00B30A12">
        <w:rPr>
          <w:color w:val="000000"/>
          <w:szCs w:val="22"/>
        </w:rPr>
        <w:t>Einnahme von Glivec zusammen mit anderen Arzneimitteln</w:t>
      </w:r>
    </w:p>
    <w:p w14:paraId="7BF9A13E" w14:textId="77777777" w:rsidR="00061AEA" w:rsidRPr="00B30A12" w:rsidRDefault="007217B7" w:rsidP="000C47C6">
      <w:pPr>
        <w:pStyle w:val="BodyText3"/>
        <w:widowControl w:val="0"/>
        <w:rPr>
          <w:color w:val="000000"/>
          <w:szCs w:val="22"/>
        </w:rPr>
      </w:pPr>
      <w:r w:rsidRPr="00B30A12">
        <w:rPr>
          <w:color w:val="000000"/>
          <w:szCs w:val="22"/>
        </w:rPr>
        <w:t>Informieren Sie Ihren Arzt oder Apotheker, wenn Sie andere Arzneimittel einnehmen, kürzlich andere Arzneimittel eingenommen haben oder beabsichtigen andere A</w:t>
      </w:r>
      <w:r w:rsidR="00126253" w:rsidRPr="00B30A12">
        <w:rPr>
          <w:color w:val="000000"/>
          <w:szCs w:val="22"/>
        </w:rPr>
        <w:t>r</w:t>
      </w:r>
      <w:r w:rsidRPr="00B30A12">
        <w:rPr>
          <w:color w:val="000000"/>
          <w:szCs w:val="22"/>
        </w:rPr>
        <w:t>zneimittel einzunehmen, auch wenn es sich um nicht verschreibungspflichtige Arzneimittel handelt (wie z. B. Paracetamol), einschließlich pflanzlicher Arzneimittel (wie z. B. Johanniskraut). Einige Arzneimittel können die Wirkung von Glivec beeinflussen, wenn sie zusammen eingenommen werden. Sie können die Wirkung von Glivec verstärken oder vermindern, was entweder zu verstärkten Nebenwirkungen führen kann oder dazu, dass Glivec weniger wirkt. Glivec kann auf einige andere Arzneimittel den gleichen Einfluss haben.</w:t>
      </w:r>
    </w:p>
    <w:p w14:paraId="32ABBFC9" w14:textId="77777777" w:rsidR="00061AEA" w:rsidRPr="00B30A12" w:rsidRDefault="00061AEA" w:rsidP="000C47C6">
      <w:pPr>
        <w:pStyle w:val="BodyText3"/>
        <w:widowControl w:val="0"/>
        <w:rPr>
          <w:color w:val="000000"/>
          <w:szCs w:val="22"/>
        </w:rPr>
      </w:pPr>
    </w:p>
    <w:p w14:paraId="01E94A08" w14:textId="77777777" w:rsidR="007217B7" w:rsidRPr="00B30A12" w:rsidRDefault="00061AEA" w:rsidP="000C47C6">
      <w:pPr>
        <w:pStyle w:val="BodyText3"/>
        <w:widowControl w:val="0"/>
        <w:rPr>
          <w:color w:val="000000"/>
          <w:szCs w:val="22"/>
        </w:rPr>
      </w:pPr>
      <w:r w:rsidRPr="00B30A12">
        <w:rPr>
          <w:color w:val="000000"/>
          <w:szCs w:val="22"/>
        </w:rPr>
        <w:t>Informieren Sie Ihren Arzt, wenn Sie Arzneimittel einnehmen/anwenden, die die Entstehung von Blutgerinnseln verhindern.</w:t>
      </w:r>
    </w:p>
    <w:p w14:paraId="6DC9B75F" w14:textId="77777777" w:rsidR="007217B7" w:rsidRPr="00B30A12" w:rsidRDefault="007217B7" w:rsidP="000C47C6">
      <w:pPr>
        <w:pStyle w:val="Heading2"/>
        <w:keepNext w:val="0"/>
        <w:widowControl w:val="0"/>
        <w:numPr>
          <w:ilvl w:val="0"/>
          <w:numId w:val="0"/>
        </w:numPr>
        <w:tabs>
          <w:tab w:val="clear" w:pos="567"/>
        </w:tabs>
        <w:rPr>
          <w:b w:val="0"/>
          <w:color w:val="000000"/>
          <w:szCs w:val="22"/>
        </w:rPr>
      </w:pPr>
    </w:p>
    <w:p w14:paraId="6E8CA6A1" w14:textId="77777777" w:rsidR="007217B7" w:rsidRPr="00B30A12" w:rsidRDefault="007217B7" w:rsidP="001F49E7">
      <w:pPr>
        <w:pStyle w:val="EndnoteText"/>
        <w:keepNext/>
        <w:widowControl w:val="0"/>
        <w:rPr>
          <w:color w:val="000000"/>
          <w:sz w:val="22"/>
          <w:szCs w:val="22"/>
          <w:lang w:val="de-DE"/>
        </w:rPr>
      </w:pPr>
      <w:r w:rsidRPr="00B30A12">
        <w:rPr>
          <w:b/>
          <w:color w:val="000000"/>
          <w:sz w:val="22"/>
          <w:szCs w:val="22"/>
          <w:lang w:val="de-DE"/>
        </w:rPr>
        <w:t xml:space="preserve">Schwangerschaft, Stillzeit und </w:t>
      </w:r>
      <w:r w:rsidR="00BB2626" w:rsidRPr="00B30A12">
        <w:rPr>
          <w:b/>
          <w:color w:val="000000"/>
          <w:sz w:val="22"/>
          <w:szCs w:val="22"/>
          <w:lang w:val="de-DE"/>
        </w:rPr>
        <w:t>Fortpflanzungsfähigkeit</w:t>
      </w:r>
    </w:p>
    <w:p w14:paraId="24E16DA5"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schwanger sind oder stillen, oder wenn Sie vermuten, schwanger zu sein oder beabsichtigen, schwanger zu werden, fragen Sie vor der Einnahme dieses Arzneimittels Ihren Arzt um Rat.</w:t>
      </w:r>
    </w:p>
    <w:p w14:paraId="77380FDB" w14:textId="77777777"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Glivec sollte nicht während der Schwangerschaft verwendet werden, es sei denn, dies ist eindeutig erforderlich, weil es Ihrem Baby schaden kann. Ihr Arzt wird mit Ihnen die möglichen Risiken einer Einnahme von Glivec während der Schwangerschaft besprechen.</w:t>
      </w:r>
    </w:p>
    <w:p w14:paraId="3CC53840" w14:textId="4CD243A0" w:rsidR="007217B7" w:rsidRPr="00B30A12" w:rsidRDefault="007217B7" w:rsidP="000C47C6">
      <w:pPr>
        <w:widowControl w:val="0"/>
        <w:numPr>
          <w:ilvl w:val="0"/>
          <w:numId w:val="15"/>
        </w:numPr>
        <w:tabs>
          <w:tab w:val="clear" w:pos="360"/>
        </w:tabs>
        <w:ind w:left="567" w:hanging="567"/>
        <w:rPr>
          <w:color w:val="000000"/>
          <w:sz w:val="22"/>
          <w:szCs w:val="22"/>
        </w:rPr>
      </w:pPr>
      <w:r w:rsidRPr="00B30A12">
        <w:rPr>
          <w:color w:val="000000"/>
          <w:sz w:val="22"/>
          <w:szCs w:val="22"/>
        </w:rPr>
        <w:t xml:space="preserve">Frauen, die schwanger werden können, wird </w:t>
      </w:r>
      <w:r w:rsidR="003B3786">
        <w:rPr>
          <w:color w:val="000000"/>
          <w:sz w:val="22"/>
          <w:szCs w:val="22"/>
        </w:rPr>
        <w:t>dringend empfohlen,</w:t>
      </w:r>
      <w:r w:rsidRPr="00B30A12">
        <w:rPr>
          <w:color w:val="000000"/>
          <w:sz w:val="22"/>
          <w:szCs w:val="22"/>
        </w:rPr>
        <w:t xml:space="preserve"> während der Behandlung</w:t>
      </w:r>
      <w:r w:rsidR="003B3786" w:rsidRPr="003B3786">
        <w:rPr>
          <w:sz w:val="22"/>
          <w:szCs w:val="22"/>
        </w:rPr>
        <w:t xml:space="preserve"> </w:t>
      </w:r>
      <w:r w:rsidR="003B3786" w:rsidRPr="002A051A">
        <w:rPr>
          <w:sz w:val="22"/>
          <w:szCs w:val="22"/>
        </w:rPr>
        <w:t xml:space="preserve">und </w:t>
      </w:r>
      <w:r w:rsidR="003B3786">
        <w:rPr>
          <w:sz w:val="22"/>
          <w:szCs w:val="22"/>
        </w:rPr>
        <w:t>für 15 Tage</w:t>
      </w:r>
      <w:r w:rsidR="003B3786" w:rsidRPr="002A051A">
        <w:rPr>
          <w:sz w:val="22"/>
          <w:szCs w:val="22"/>
        </w:rPr>
        <w:t xml:space="preserve"> nach Beendigung der Behandlung</w:t>
      </w:r>
      <w:r w:rsidR="003B3786">
        <w:rPr>
          <w:sz w:val="22"/>
          <w:szCs w:val="22"/>
        </w:rPr>
        <w:t xml:space="preserve"> </w:t>
      </w:r>
      <w:r w:rsidR="003B3786">
        <w:rPr>
          <w:color w:val="000000"/>
          <w:sz w:val="22"/>
          <w:szCs w:val="22"/>
        </w:rPr>
        <w:t>wirksame Verhütungsmethoden anzuwenden</w:t>
      </w:r>
      <w:r w:rsidRPr="00B30A12">
        <w:rPr>
          <w:color w:val="000000"/>
          <w:sz w:val="22"/>
          <w:szCs w:val="22"/>
        </w:rPr>
        <w:t>.</w:t>
      </w:r>
    </w:p>
    <w:p w14:paraId="750BB41B" w14:textId="77777777" w:rsidR="007217B7" w:rsidRPr="00B30A12" w:rsidRDefault="007217B7" w:rsidP="000C47C6">
      <w:pPr>
        <w:widowControl w:val="0"/>
        <w:numPr>
          <w:ilvl w:val="0"/>
          <w:numId w:val="15"/>
        </w:numPr>
        <w:tabs>
          <w:tab w:val="clear" w:pos="360"/>
        </w:tabs>
        <w:ind w:left="567" w:hanging="567"/>
        <w:rPr>
          <w:color w:val="000000"/>
          <w:sz w:val="22"/>
          <w:szCs w:val="22"/>
          <w:lang w:val="de-CH"/>
        </w:rPr>
      </w:pPr>
      <w:r w:rsidRPr="00B30A12">
        <w:rPr>
          <w:color w:val="000000"/>
          <w:sz w:val="22"/>
          <w:szCs w:val="22"/>
        </w:rPr>
        <w:t xml:space="preserve">Während der Behandlung mit Glivec </w:t>
      </w:r>
      <w:r w:rsidR="001214A9" w:rsidRPr="002A051A">
        <w:rPr>
          <w:sz w:val="22"/>
          <w:szCs w:val="22"/>
        </w:rPr>
        <w:t xml:space="preserve">und </w:t>
      </w:r>
      <w:r w:rsidR="001214A9">
        <w:rPr>
          <w:sz w:val="22"/>
          <w:szCs w:val="22"/>
        </w:rPr>
        <w:t>für 15 Tage</w:t>
      </w:r>
      <w:r w:rsidR="001214A9" w:rsidRPr="002A051A">
        <w:rPr>
          <w:sz w:val="22"/>
          <w:szCs w:val="22"/>
        </w:rPr>
        <w:t xml:space="preserve"> nach Beendigung der Behandlung </w:t>
      </w:r>
      <w:r w:rsidRPr="00B30A12">
        <w:rPr>
          <w:color w:val="000000"/>
          <w:sz w:val="22"/>
          <w:szCs w:val="22"/>
          <w:lang w:val="de-CH"/>
        </w:rPr>
        <w:t>dürfen Sie nicht stillen</w:t>
      </w:r>
      <w:r w:rsidR="001214A9">
        <w:rPr>
          <w:color w:val="000000"/>
          <w:sz w:val="22"/>
          <w:szCs w:val="22"/>
          <w:lang w:val="de-CH"/>
        </w:rPr>
        <w:t>, da es Ihrem Baby schaden könnte</w:t>
      </w:r>
      <w:r w:rsidRPr="00B30A12">
        <w:rPr>
          <w:color w:val="000000"/>
          <w:sz w:val="22"/>
          <w:szCs w:val="22"/>
          <w:lang w:val="de-CH"/>
        </w:rPr>
        <w:t>.</w:t>
      </w:r>
    </w:p>
    <w:p w14:paraId="5D096D3D" w14:textId="77777777" w:rsidR="007217B7" w:rsidRPr="00B30A12" w:rsidRDefault="007217B7" w:rsidP="000C47C6">
      <w:pPr>
        <w:widowControl w:val="0"/>
        <w:numPr>
          <w:ilvl w:val="0"/>
          <w:numId w:val="15"/>
        </w:numPr>
        <w:tabs>
          <w:tab w:val="clear" w:pos="360"/>
        </w:tabs>
        <w:ind w:left="567" w:hanging="567"/>
        <w:rPr>
          <w:color w:val="000000"/>
          <w:sz w:val="22"/>
          <w:szCs w:val="22"/>
          <w:lang w:val="de-CH"/>
        </w:rPr>
      </w:pPr>
      <w:r w:rsidRPr="00B30A12">
        <w:rPr>
          <w:color w:val="000000"/>
          <w:sz w:val="22"/>
          <w:szCs w:val="22"/>
          <w:lang w:val="de-CH"/>
        </w:rPr>
        <w:t>Patienten, die sich während der Behandlung mit Glivec Sorgen um Ihre Fruchtbarkeit machen, wird empfohlen mit Ihrem Arzt darüber zu sprechen.</w:t>
      </w:r>
    </w:p>
    <w:p w14:paraId="4DB099B2" w14:textId="77777777" w:rsidR="007217B7" w:rsidRPr="00B30A12" w:rsidRDefault="007217B7" w:rsidP="000C47C6">
      <w:pPr>
        <w:widowControl w:val="0"/>
        <w:rPr>
          <w:color w:val="000000"/>
          <w:sz w:val="22"/>
          <w:szCs w:val="22"/>
        </w:rPr>
      </w:pPr>
    </w:p>
    <w:p w14:paraId="0B052805" w14:textId="77777777" w:rsidR="007217B7" w:rsidRPr="00B30A12" w:rsidRDefault="007217B7" w:rsidP="001F49E7">
      <w:pPr>
        <w:keepNext/>
        <w:widowControl w:val="0"/>
        <w:rPr>
          <w:color w:val="000000"/>
          <w:sz w:val="22"/>
          <w:szCs w:val="22"/>
        </w:rPr>
      </w:pPr>
      <w:r w:rsidRPr="00B30A12">
        <w:rPr>
          <w:b/>
          <w:color w:val="000000"/>
          <w:sz w:val="22"/>
          <w:szCs w:val="22"/>
        </w:rPr>
        <w:t>Verkehrstüchtigkeit und Fähigkeit zum Bedienen von Maschinen</w:t>
      </w:r>
    </w:p>
    <w:p w14:paraId="5FDCFFF0" w14:textId="77777777" w:rsidR="007217B7" w:rsidRPr="00B30A12" w:rsidRDefault="007217B7" w:rsidP="000C47C6">
      <w:pPr>
        <w:pStyle w:val="BodyText3"/>
        <w:widowControl w:val="0"/>
        <w:rPr>
          <w:color w:val="000000"/>
          <w:szCs w:val="22"/>
        </w:rPr>
      </w:pPr>
      <w:r w:rsidRPr="00B30A12">
        <w:rPr>
          <w:color w:val="000000"/>
          <w:szCs w:val="22"/>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3C5375E6" w14:textId="77777777" w:rsidR="00AB6D5E" w:rsidRPr="00B30A12" w:rsidRDefault="00AB6D5E" w:rsidP="000C47C6">
      <w:pPr>
        <w:widowControl w:val="0"/>
        <w:rPr>
          <w:color w:val="000000"/>
          <w:sz w:val="22"/>
          <w:szCs w:val="22"/>
        </w:rPr>
      </w:pPr>
    </w:p>
    <w:p w14:paraId="68DEDEFB" w14:textId="77777777" w:rsidR="00AB6D5E" w:rsidRPr="00B30A12" w:rsidRDefault="00AB6D5E" w:rsidP="000C47C6">
      <w:pPr>
        <w:widowControl w:val="0"/>
        <w:rPr>
          <w:color w:val="000000"/>
          <w:sz w:val="22"/>
          <w:szCs w:val="22"/>
        </w:rPr>
      </w:pPr>
    </w:p>
    <w:p w14:paraId="491D28A3" w14:textId="77777777" w:rsidR="00AB6D5E" w:rsidRPr="00B30A12" w:rsidRDefault="00AB6D5E" w:rsidP="001F49E7">
      <w:pPr>
        <w:keepNext/>
        <w:widowControl w:val="0"/>
        <w:ind w:left="567" w:hanging="567"/>
        <w:rPr>
          <w:b/>
          <w:color w:val="000000"/>
          <w:sz w:val="22"/>
          <w:szCs w:val="22"/>
        </w:rPr>
      </w:pPr>
      <w:r w:rsidRPr="00B30A12">
        <w:rPr>
          <w:b/>
          <w:color w:val="000000"/>
          <w:sz w:val="22"/>
          <w:szCs w:val="22"/>
        </w:rPr>
        <w:t>3.</w:t>
      </w:r>
      <w:r w:rsidRPr="00B30A12">
        <w:rPr>
          <w:b/>
          <w:color w:val="000000"/>
          <w:sz w:val="22"/>
          <w:szCs w:val="22"/>
        </w:rPr>
        <w:tab/>
        <w:t>W</w:t>
      </w:r>
      <w:r w:rsidR="002906C1" w:rsidRPr="00B30A12">
        <w:rPr>
          <w:b/>
          <w:color w:val="000000"/>
          <w:sz w:val="22"/>
          <w:szCs w:val="22"/>
        </w:rPr>
        <w:t>ie ist Glivec einzunehmen</w:t>
      </w:r>
      <w:r w:rsidRPr="00B30A12">
        <w:rPr>
          <w:b/>
          <w:color w:val="000000"/>
          <w:sz w:val="22"/>
          <w:szCs w:val="22"/>
        </w:rPr>
        <w:t>?</w:t>
      </w:r>
    </w:p>
    <w:p w14:paraId="7EACCCCD" w14:textId="77777777" w:rsidR="00AB6D5E" w:rsidRPr="00B30A12" w:rsidRDefault="00AB6D5E" w:rsidP="001F49E7">
      <w:pPr>
        <w:pStyle w:val="EndnoteText"/>
        <w:keepNext/>
        <w:widowControl w:val="0"/>
        <w:rPr>
          <w:color w:val="000000"/>
          <w:sz w:val="22"/>
          <w:szCs w:val="22"/>
          <w:lang w:val="de-DE"/>
        </w:rPr>
      </w:pPr>
    </w:p>
    <w:p w14:paraId="4639E1A3" w14:textId="77777777" w:rsidR="00AB6D5E" w:rsidRPr="00B30A12" w:rsidRDefault="00AB6D5E" w:rsidP="000C47C6">
      <w:pPr>
        <w:widowControl w:val="0"/>
        <w:rPr>
          <w:color w:val="000000"/>
          <w:sz w:val="22"/>
          <w:szCs w:val="22"/>
        </w:rPr>
      </w:pPr>
      <w:r w:rsidRPr="00B30A12">
        <w:rPr>
          <w:color w:val="000000"/>
          <w:sz w:val="22"/>
          <w:szCs w:val="22"/>
        </w:rPr>
        <w:t>Ihr Arzt hat Ihnen Glivec verschrieben, weil Sie an einer ernsten Erkrankung leiden. Glivec kann Ihnen helfen, diese Erkrankung zu bekämpfen.</w:t>
      </w:r>
    </w:p>
    <w:p w14:paraId="35920C26" w14:textId="77777777" w:rsidR="00AB6D5E" w:rsidRPr="00B30A12" w:rsidRDefault="00AB6D5E" w:rsidP="000C47C6">
      <w:pPr>
        <w:widowControl w:val="0"/>
        <w:rPr>
          <w:color w:val="000000"/>
          <w:sz w:val="22"/>
          <w:szCs w:val="22"/>
        </w:rPr>
      </w:pPr>
    </w:p>
    <w:p w14:paraId="3EE8D0CA" w14:textId="77777777" w:rsidR="00AB6D5E" w:rsidRPr="00B30A12" w:rsidRDefault="00AB6D5E" w:rsidP="000C47C6">
      <w:pPr>
        <w:widowControl w:val="0"/>
        <w:rPr>
          <w:color w:val="000000"/>
          <w:sz w:val="22"/>
          <w:szCs w:val="22"/>
        </w:rPr>
      </w:pPr>
      <w:r w:rsidRPr="00B30A12">
        <w:rPr>
          <w:color w:val="000000"/>
          <w:sz w:val="22"/>
          <w:szCs w:val="22"/>
        </w:rPr>
        <w:t xml:space="preserve">Nehmen Sie </w:t>
      </w:r>
      <w:r w:rsidR="002906C1" w:rsidRPr="00B30A12">
        <w:rPr>
          <w:color w:val="000000"/>
          <w:sz w:val="22"/>
          <w:szCs w:val="22"/>
        </w:rPr>
        <w:t>dieses Arzneimittel</w:t>
      </w:r>
      <w:r w:rsidRPr="00B30A12">
        <w:rPr>
          <w:color w:val="000000"/>
          <w:sz w:val="22"/>
          <w:szCs w:val="22"/>
        </w:rPr>
        <w:t xml:space="preserve"> immer genau nach A</w:t>
      </w:r>
      <w:r w:rsidR="002906C1" w:rsidRPr="00B30A12">
        <w:rPr>
          <w:color w:val="000000"/>
          <w:sz w:val="22"/>
          <w:szCs w:val="22"/>
        </w:rPr>
        <w:t>bsprache mit Ihrem</w:t>
      </w:r>
      <w:r w:rsidRPr="00B30A12">
        <w:rPr>
          <w:color w:val="000000"/>
          <w:sz w:val="22"/>
          <w:szCs w:val="22"/>
        </w:rPr>
        <w:t xml:space="preserve"> Arzt </w:t>
      </w:r>
      <w:r w:rsidR="002906C1" w:rsidRPr="00B30A12">
        <w:rPr>
          <w:color w:val="000000"/>
          <w:sz w:val="22"/>
          <w:szCs w:val="22"/>
        </w:rPr>
        <w:t xml:space="preserve">oder Apotheker </w:t>
      </w:r>
      <w:r w:rsidRPr="00B30A12">
        <w:rPr>
          <w:color w:val="000000"/>
          <w:sz w:val="22"/>
          <w:szCs w:val="22"/>
        </w:rPr>
        <w:t xml:space="preserve">ein. Es ist wichtig, dass Sie dies solange tun, wie es Ihnen Ihr Arzt </w:t>
      </w:r>
      <w:r w:rsidR="002906C1" w:rsidRPr="00B30A12">
        <w:rPr>
          <w:color w:val="000000"/>
          <w:sz w:val="22"/>
          <w:szCs w:val="22"/>
        </w:rPr>
        <w:t xml:space="preserve">oder Apotheker </w:t>
      </w:r>
      <w:r w:rsidRPr="00B30A12">
        <w:rPr>
          <w:color w:val="000000"/>
          <w:sz w:val="22"/>
          <w:szCs w:val="22"/>
        </w:rPr>
        <w:t xml:space="preserve">sagt. </w:t>
      </w:r>
      <w:r w:rsidR="002906C1" w:rsidRPr="00B30A12">
        <w:rPr>
          <w:color w:val="000000"/>
          <w:sz w:val="22"/>
          <w:szCs w:val="22"/>
        </w:rPr>
        <w:t>F</w:t>
      </w:r>
      <w:r w:rsidRPr="00B30A12">
        <w:rPr>
          <w:color w:val="000000"/>
          <w:sz w:val="22"/>
          <w:szCs w:val="22"/>
        </w:rPr>
        <w:t>ragen Sie bei Ihrem Arzt oder Apotheker nach, wenn Sie sich nicht sicher sind.</w:t>
      </w:r>
    </w:p>
    <w:p w14:paraId="049EBE10" w14:textId="77777777" w:rsidR="00AB6D5E" w:rsidRPr="00B30A12" w:rsidRDefault="00AB6D5E" w:rsidP="000C47C6">
      <w:pPr>
        <w:widowControl w:val="0"/>
        <w:rPr>
          <w:color w:val="000000"/>
          <w:sz w:val="22"/>
          <w:szCs w:val="22"/>
        </w:rPr>
      </w:pPr>
    </w:p>
    <w:p w14:paraId="58EE15C5" w14:textId="77777777" w:rsidR="00AB6D5E" w:rsidRPr="00B30A12" w:rsidRDefault="00AB6D5E" w:rsidP="000C47C6">
      <w:pPr>
        <w:widowControl w:val="0"/>
        <w:rPr>
          <w:color w:val="000000"/>
          <w:sz w:val="22"/>
          <w:szCs w:val="22"/>
        </w:rPr>
      </w:pPr>
      <w:r w:rsidRPr="00B30A12">
        <w:rPr>
          <w:color w:val="000000"/>
          <w:sz w:val="22"/>
          <w:szCs w:val="22"/>
        </w:rPr>
        <w:t>Hören Sie nicht auf Glivec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40C61BFB" w14:textId="77777777" w:rsidR="00AB6D5E" w:rsidRPr="00B30A12" w:rsidRDefault="00AB6D5E" w:rsidP="000C47C6">
      <w:pPr>
        <w:pStyle w:val="EndnoteText"/>
        <w:widowControl w:val="0"/>
        <w:rPr>
          <w:color w:val="000000"/>
          <w:sz w:val="22"/>
          <w:szCs w:val="22"/>
          <w:lang w:val="de-DE"/>
        </w:rPr>
      </w:pPr>
    </w:p>
    <w:p w14:paraId="0B2C37DD" w14:textId="77777777" w:rsidR="00AB6D5E" w:rsidRPr="00B30A12" w:rsidRDefault="00AB6D5E" w:rsidP="001F49E7">
      <w:pPr>
        <w:keepNext/>
        <w:widowControl w:val="0"/>
        <w:rPr>
          <w:b/>
          <w:color w:val="000000"/>
          <w:sz w:val="22"/>
          <w:szCs w:val="22"/>
        </w:rPr>
      </w:pPr>
      <w:r w:rsidRPr="00B30A12">
        <w:rPr>
          <w:b/>
          <w:color w:val="000000"/>
          <w:sz w:val="22"/>
          <w:szCs w:val="22"/>
        </w:rPr>
        <w:lastRenderedPageBreak/>
        <w:t xml:space="preserve">Wie viel </w:t>
      </w:r>
      <w:r w:rsidR="002906C1" w:rsidRPr="00B30A12">
        <w:rPr>
          <w:b/>
          <w:color w:val="000000"/>
          <w:sz w:val="22"/>
          <w:szCs w:val="22"/>
        </w:rPr>
        <w:t xml:space="preserve">Glivec </w:t>
      </w:r>
      <w:r w:rsidRPr="00B30A12">
        <w:rPr>
          <w:b/>
          <w:color w:val="000000"/>
          <w:sz w:val="22"/>
          <w:szCs w:val="22"/>
        </w:rPr>
        <w:t>sollten Sie einnehmen?</w:t>
      </w:r>
    </w:p>
    <w:p w14:paraId="3A67DE4B" w14:textId="77777777" w:rsidR="00AB6D5E" w:rsidRPr="00B30A12" w:rsidRDefault="00AB6D5E" w:rsidP="001F49E7">
      <w:pPr>
        <w:keepNext/>
        <w:widowControl w:val="0"/>
        <w:rPr>
          <w:color w:val="000000"/>
          <w:sz w:val="22"/>
          <w:szCs w:val="22"/>
        </w:rPr>
      </w:pPr>
    </w:p>
    <w:p w14:paraId="3DC7C840" w14:textId="77777777" w:rsidR="00AB6D5E" w:rsidRPr="00B30A12" w:rsidRDefault="00AB6D5E" w:rsidP="001F49E7">
      <w:pPr>
        <w:keepNext/>
        <w:widowControl w:val="0"/>
        <w:rPr>
          <w:b/>
          <w:color w:val="000000"/>
          <w:sz w:val="22"/>
          <w:szCs w:val="22"/>
        </w:rPr>
      </w:pPr>
      <w:r w:rsidRPr="00B30A12">
        <w:rPr>
          <w:b/>
          <w:color w:val="000000"/>
          <w:sz w:val="22"/>
          <w:szCs w:val="22"/>
        </w:rPr>
        <w:t>Anwendung bei Erwachsenen:</w:t>
      </w:r>
    </w:p>
    <w:p w14:paraId="345A1365" w14:textId="77777777" w:rsidR="00AB6D5E" w:rsidRPr="00B30A12" w:rsidRDefault="00AB6D5E" w:rsidP="000C47C6">
      <w:pPr>
        <w:widowControl w:val="0"/>
        <w:rPr>
          <w:color w:val="000000"/>
          <w:sz w:val="22"/>
          <w:szCs w:val="22"/>
        </w:rPr>
      </w:pPr>
      <w:r w:rsidRPr="00B30A12">
        <w:rPr>
          <w:color w:val="000000"/>
          <w:sz w:val="22"/>
          <w:szCs w:val="22"/>
        </w:rPr>
        <w:t>Ihr Arzt wird Sie genau informieren, wie viele Glivec Filmtabletten Sie einnehmen sollen.</w:t>
      </w:r>
    </w:p>
    <w:p w14:paraId="7EA6E2DA" w14:textId="77777777" w:rsidR="00AB6D5E" w:rsidRPr="00B30A12" w:rsidRDefault="00AB6D5E" w:rsidP="000C47C6">
      <w:pPr>
        <w:widowControl w:val="0"/>
        <w:rPr>
          <w:color w:val="000000"/>
          <w:sz w:val="22"/>
          <w:szCs w:val="22"/>
        </w:rPr>
      </w:pPr>
    </w:p>
    <w:p w14:paraId="6359CB3D" w14:textId="77777777" w:rsidR="00AB6D5E" w:rsidRPr="00B30A12" w:rsidRDefault="00AB6D5E" w:rsidP="001F49E7">
      <w:pPr>
        <w:keepNext/>
        <w:widowControl w:val="0"/>
        <w:numPr>
          <w:ilvl w:val="0"/>
          <w:numId w:val="15"/>
        </w:numPr>
        <w:tabs>
          <w:tab w:val="clear" w:pos="360"/>
        </w:tabs>
        <w:ind w:left="567" w:hanging="567"/>
        <w:rPr>
          <w:color w:val="000000"/>
          <w:sz w:val="22"/>
          <w:szCs w:val="22"/>
        </w:rPr>
      </w:pPr>
      <w:r w:rsidRPr="00B30A12">
        <w:rPr>
          <w:b/>
          <w:color w:val="000000"/>
          <w:sz w:val="22"/>
          <w:szCs w:val="22"/>
        </w:rPr>
        <w:t>Wenn Sie wegen CML behandelt werden:</w:t>
      </w:r>
    </w:p>
    <w:p w14:paraId="06D6E1B8" w14:textId="0D4ACBF7" w:rsidR="00AB6D5E" w:rsidRPr="00B30A12" w:rsidRDefault="00AB6D5E" w:rsidP="00491FC9">
      <w:pPr>
        <w:pStyle w:val="Text"/>
        <w:widowControl w:val="0"/>
        <w:spacing w:before="0"/>
        <w:ind w:left="567"/>
        <w:jc w:val="left"/>
        <w:rPr>
          <w:color w:val="000000"/>
          <w:sz w:val="22"/>
          <w:szCs w:val="22"/>
          <w:lang w:val="de-CH"/>
        </w:rPr>
      </w:pPr>
      <w:r w:rsidRPr="00B30A12">
        <w:rPr>
          <w:color w:val="000000"/>
          <w:sz w:val="22"/>
          <w:szCs w:val="22"/>
          <w:lang w:val="de-DE"/>
        </w:rPr>
        <w:t xml:space="preserve">In Abhängigkeit von Ihrem Zustand beträgt die übliche Anfangsdosis entweder </w:t>
      </w:r>
      <w:r w:rsidRPr="00491FC9">
        <w:rPr>
          <w:b/>
          <w:color w:val="000000"/>
          <w:sz w:val="22"/>
          <w:szCs w:val="22"/>
          <w:lang w:val="de-DE"/>
        </w:rPr>
        <w:t>400 mg</w:t>
      </w:r>
      <w:r w:rsidRPr="00B30A12">
        <w:rPr>
          <w:color w:val="000000"/>
          <w:sz w:val="22"/>
          <w:szCs w:val="22"/>
          <w:lang w:val="de-DE"/>
        </w:rPr>
        <w:t xml:space="preserve"> oder </w:t>
      </w:r>
      <w:r w:rsidRPr="00491FC9">
        <w:rPr>
          <w:b/>
          <w:color w:val="000000"/>
          <w:sz w:val="22"/>
          <w:szCs w:val="22"/>
          <w:lang w:val="de-DE"/>
        </w:rPr>
        <w:t>600 mg</w:t>
      </w:r>
      <w:r w:rsidR="00055A65">
        <w:rPr>
          <w:color w:val="000000"/>
          <w:sz w:val="22"/>
          <w:szCs w:val="22"/>
          <w:lang w:val="de-DE"/>
        </w:rPr>
        <w:t xml:space="preserve">, die </w:t>
      </w:r>
      <w:r w:rsidR="00055A65" w:rsidRPr="00491FC9">
        <w:rPr>
          <w:b/>
          <w:color w:val="000000"/>
          <w:sz w:val="22"/>
          <w:szCs w:val="22"/>
          <w:lang w:val="de-DE"/>
        </w:rPr>
        <w:t>einmal</w:t>
      </w:r>
      <w:r w:rsidR="00055A65">
        <w:rPr>
          <w:color w:val="000000"/>
          <w:sz w:val="22"/>
          <w:szCs w:val="22"/>
          <w:lang w:val="de-DE"/>
        </w:rPr>
        <w:t xml:space="preserve"> täglich eingenommen wird.</w:t>
      </w:r>
    </w:p>
    <w:p w14:paraId="53187008" w14:textId="77777777" w:rsidR="00AB6D5E" w:rsidRPr="00B30A12" w:rsidRDefault="00AB6D5E" w:rsidP="000C47C6">
      <w:pPr>
        <w:widowControl w:val="0"/>
        <w:rPr>
          <w:color w:val="000000"/>
          <w:sz w:val="22"/>
          <w:szCs w:val="22"/>
        </w:rPr>
      </w:pPr>
    </w:p>
    <w:p w14:paraId="6B8EB660"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GIST behandelt werden:</w:t>
      </w:r>
    </w:p>
    <w:p w14:paraId="5CF7680D" w14:textId="7F046BE7" w:rsidR="00AB6D5E" w:rsidRPr="00B30A12" w:rsidRDefault="00AB6D5E" w:rsidP="000C47C6">
      <w:pPr>
        <w:pStyle w:val="Text"/>
        <w:widowControl w:val="0"/>
        <w:spacing w:before="0"/>
        <w:ind w:left="567"/>
        <w:jc w:val="left"/>
        <w:rPr>
          <w:color w:val="000000"/>
          <w:sz w:val="22"/>
          <w:szCs w:val="22"/>
          <w:lang w:val="de-CH"/>
        </w:rPr>
      </w:pPr>
      <w:r w:rsidRPr="00B30A12">
        <w:rPr>
          <w:color w:val="000000"/>
          <w:sz w:val="22"/>
          <w:szCs w:val="22"/>
          <w:lang w:val="de-CH"/>
        </w:rPr>
        <w:t>Die Anfangsdosis beträgt 400 mg</w:t>
      </w:r>
      <w:r w:rsidR="00861AD6">
        <w:rPr>
          <w:color w:val="000000"/>
          <w:sz w:val="22"/>
          <w:szCs w:val="22"/>
          <w:lang w:val="de-CH"/>
        </w:rPr>
        <w:t xml:space="preserve">, </w:t>
      </w:r>
      <w:r w:rsidR="00861AD6">
        <w:rPr>
          <w:color w:val="000000"/>
          <w:sz w:val="22"/>
          <w:szCs w:val="22"/>
          <w:lang w:val="de-DE"/>
        </w:rPr>
        <w:t xml:space="preserve">die </w:t>
      </w:r>
      <w:r w:rsidR="00861AD6" w:rsidRPr="00794AD0">
        <w:rPr>
          <w:b/>
          <w:color w:val="000000"/>
          <w:sz w:val="22"/>
          <w:szCs w:val="22"/>
          <w:lang w:val="de-DE"/>
        </w:rPr>
        <w:t>einmal</w:t>
      </w:r>
      <w:r w:rsidR="00861AD6">
        <w:rPr>
          <w:color w:val="000000"/>
          <w:sz w:val="22"/>
          <w:szCs w:val="22"/>
          <w:lang w:val="de-DE"/>
        </w:rPr>
        <w:t xml:space="preserve"> täglich eingenommen wird.</w:t>
      </w:r>
    </w:p>
    <w:p w14:paraId="1A5F9936" w14:textId="77777777" w:rsidR="00AB6D5E" w:rsidRPr="00B30A12" w:rsidRDefault="00AB6D5E" w:rsidP="000C47C6">
      <w:pPr>
        <w:widowControl w:val="0"/>
        <w:rPr>
          <w:color w:val="000000"/>
          <w:sz w:val="22"/>
          <w:szCs w:val="22"/>
        </w:rPr>
      </w:pPr>
    </w:p>
    <w:p w14:paraId="608561F7" w14:textId="4EC60175" w:rsidR="00AB6D5E" w:rsidRPr="00B30A12" w:rsidRDefault="00AB6D5E" w:rsidP="000C47C6">
      <w:pPr>
        <w:widowControl w:val="0"/>
        <w:rPr>
          <w:color w:val="000000"/>
          <w:sz w:val="22"/>
          <w:szCs w:val="22"/>
        </w:rPr>
      </w:pPr>
      <w:r w:rsidRPr="00B30A12">
        <w:rPr>
          <w:color w:val="000000"/>
          <w:sz w:val="22"/>
          <w:szCs w:val="22"/>
        </w:rPr>
        <w:t>In Abhängigkeit von Ihrem Anspre</w:t>
      </w:r>
      <w:r w:rsidRPr="00B30A12">
        <w:rPr>
          <w:color w:val="000000"/>
          <w:sz w:val="22"/>
          <w:szCs w:val="22"/>
        </w:rPr>
        <w:softHyphen/>
        <w:t xml:space="preserve">chen auf die Behandlung kann Ihr Arzt für CML und GIST eine höhere oder niedrigere Dosis verschreiben. Wenn Ihre tägliche Dosis 800 mg beträgt, sollten Sie </w:t>
      </w:r>
      <w:r w:rsidR="00861AD6" w:rsidRPr="00B30A12">
        <w:rPr>
          <w:color w:val="000000"/>
          <w:sz w:val="22"/>
          <w:szCs w:val="22"/>
          <w:lang w:val="de-CH"/>
        </w:rPr>
        <w:t>400 mg</w:t>
      </w:r>
      <w:r w:rsidR="00861AD6" w:rsidRPr="00B30A12" w:rsidDel="00861AD6">
        <w:rPr>
          <w:color w:val="000000"/>
          <w:sz w:val="22"/>
          <w:szCs w:val="22"/>
        </w:rPr>
        <w:t xml:space="preserve"> </w:t>
      </w:r>
      <w:r w:rsidRPr="00B30A12">
        <w:rPr>
          <w:color w:val="000000"/>
          <w:sz w:val="22"/>
          <w:szCs w:val="22"/>
        </w:rPr>
        <w:t xml:space="preserve">morgens und </w:t>
      </w:r>
      <w:r w:rsidR="00861AD6" w:rsidRPr="00B30A12">
        <w:rPr>
          <w:color w:val="000000"/>
          <w:sz w:val="22"/>
          <w:szCs w:val="22"/>
          <w:lang w:val="de-CH"/>
        </w:rPr>
        <w:t>400 mg</w:t>
      </w:r>
      <w:r w:rsidR="00861AD6" w:rsidRPr="00B30A12" w:rsidDel="00861AD6">
        <w:rPr>
          <w:color w:val="000000"/>
          <w:sz w:val="22"/>
          <w:szCs w:val="22"/>
        </w:rPr>
        <w:t xml:space="preserve"> </w:t>
      </w:r>
      <w:r w:rsidRPr="00B30A12">
        <w:rPr>
          <w:color w:val="000000"/>
          <w:sz w:val="22"/>
          <w:szCs w:val="22"/>
        </w:rPr>
        <w:t>abends einnehmen.</w:t>
      </w:r>
    </w:p>
    <w:p w14:paraId="780C2728" w14:textId="77777777" w:rsidR="00AB6D5E" w:rsidRPr="00B30A12" w:rsidRDefault="00AB6D5E" w:rsidP="000C47C6">
      <w:pPr>
        <w:widowControl w:val="0"/>
        <w:rPr>
          <w:color w:val="000000"/>
          <w:sz w:val="22"/>
          <w:szCs w:val="22"/>
        </w:rPr>
      </w:pPr>
    </w:p>
    <w:p w14:paraId="05470EFD"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 xml:space="preserve">Wenn Sie wegen Ph-positiver </w:t>
      </w:r>
      <w:smartTag w:uri="urn:schemas-microsoft-com:office:smarttags" w:element="stockticker">
        <w:r w:rsidRPr="00B30A12">
          <w:rPr>
            <w:b/>
            <w:color w:val="000000"/>
            <w:sz w:val="22"/>
            <w:szCs w:val="22"/>
          </w:rPr>
          <w:t>ALL</w:t>
        </w:r>
      </w:smartTag>
      <w:r w:rsidRPr="00B30A12">
        <w:rPr>
          <w:b/>
          <w:color w:val="000000"/>
          <w:sz w:val="22"/>
          <w:szCs w:val="22"/>
        </w:rPr>
        <w:t xml:space="preserve"> behandelt werden:</w:t>
      </w:r>
    </w:p>
    <w:p w14:paraId="1216B14B" w14:textId="24A6F1D1" w:rsidR="00AB6D5E" w:rsidRPr="00B30A12" w:rsidRDefault="00AB6D5E" w:rsidP="000C47C6">
      <w:pPr>
        <w:pStyle w:val="Text"/>
        <w:widowControl w:val="0"/>
        <w:spacing w:before="0"/>
        <w:ind w:left="567"/>
        <w:jc w:val="left"/>
        <w:rPr>
          <w:color w:val="000000"/>
          <w:sz w:val="22"/>
          <w:szCs w:val="22"/>
          <w:lang w:val="de-CH"/>
        </w:rPr>
      </w:pPr>
      <w:r w:rsidRPr="00B30A12">
        <w:rPr>
          <w:color w:val="000000"/>
          <w:sz w:val="22"/>
          <w:szCs w:val="22"/>
          <w:lang w:val="de-CH"/>
        </w:rPr>
        <w:t>Die Anfangsdosis beträgt 600 mg</w:t>
      </w:r>
      <w:r w:rsidR="00BA253A">
        <w:rPr>
          <w:color w:val="000000"/>
          <w:sz w:val="22"/>
          <w:szCs w:val="22"/>
          <w:lang w:val="de-CH"/>
        </w:rPr>
        <w:t xml:space="preserve">, </w:t>
      </w:r>
      <w:r w:rsidR="00BA253A">
        <w:rPr>
          <w:color w:val="000000"/>
          <w:sz w:val="22"/>
          <w:szCs w:val="22"/>
          <w:lang w:val="de-DE"/>
        </w:rPr>
        <w:t xml:space="preserve">die </w:t>
      </w:r>
      <w:r w:rsidR="00BA253A" w:rsidRPr="00794AD0">
        <w:rPr>
          <w:b/>
          <w:color w:val="000000"/>
          <w:sz w:val="22"/>
          <w:szCs w:val="22"/>
          <w:lang w:val="de-DE"/>
        </w:rPr>
        <w:t>einmal</w:t>
      </w:r>
      <w:r w:rsidR="00BA253A">
        <w:rPr>
          <w:color w:val="000000"/>
          <w:sz w:val="22"/>
          <w:szCs w:val="22"/>
          <w:lang w:val="de-DE"/>
        </w:rPr>
        <w:t xml:space="preserve"> täglich eingenommen wird.</w:t>
      </w:r>
    </w:p>
    <w:p w14:paraId="0B9C3243" w14:textId="77777777" w:rsidR="00AB6D5E" w:rsidRPr="00B30A12" w:rsidRDefault="00AB6D5E" w:rsidP="000C47C6">
      <w:pPr>
        <w:widowControl w:val="0"/>
        <w:rPr>
          <w:color w:val="000000"/>
          <w:sz w:val="22"/>
          <w:szCs w:val="22"/>
        </w:rPr>
      </w:pPr>
    </w:p>
    <w:p w14:paraId="0240E7AB"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 xml:space="preserve">Wenn Sie wegen </w:t>
      </w:r>
      <w:smartTag w:uri="urn:schemas-microsoft-com:office:smarttags" w:element="stockticker">
        <w:r w:rsidRPr="00B30A12">
          <w:rPr>
            <w:b/>
            <w:color w:val="000000"/>
            <w:sz w:val="22"/>
            <w:szCs w:val="22"/>
          </w:rPr>
          <w:t>MDS</w:t>
        </w:r>
      </w:smartTag>
      <w:r w:rsidRPr="00B30A12">
        <w:rPr>
          <w:b/>
          <w:color w:val="000000"/>
          <w:sz w:val="22"/>
          <w:szCs w:val="22"/>
        </w:rPr>
        <w:t>/MPD behandelt werden:</w:t>
      </w:r>
    </w:p>
    <w:p w14:paraId="0F044EDC" w14:textId="686A61EE" w:rsidR="00AB6D5E" w:rsidRPr="00B30A12" w:rsidRDefault="00AB6D5E" w:rsidP="000C47C6">
      <w:pPr>
        <w:pStyle w:val="Text"/>
        <w:widowControl w:val="0"/>
        <w:spacing w:before="0"/>
        <w:ind w:left="567"/>
        <w:jc w:val="left"/>
        <w:rPr>
          <w:color w:val="000000"/>
          <w:sz w:val="22"/>
          <w:szCs w:val="22"/>
          <w:lang w:val="de-CH"/>
        </w:rPr>
      </w:pPr>
      <w:r w:rsidRPr="00B30A12">
        <w:rPr>
          <w:color w:val="000000"/>
          <w:sz w:val="22"/>
          <w:szCs w:val="22"/>
          <w:lang w:val="de-CH"/>
        </w:rPr>
        <w:t>Die Anfangsdosis beträgt 400 mg</w:t>
      </w:r>
      <w:r w:rsidR="00BA253A">
        <w:rPr>
          <w:color w:val="000000"/>
          <w:sz w:val="22"/>
          <w:szCs w:val="22"/>
          <w:lang w:val="de-CH"/>
        </w:rPr>
        <w:t xml:space="preserve">, </w:t>
      </w:r>
      <w:r w:rsidR="00BA253A">
        <w:rPr>
          <w:color w:val="000000"/>
          <w:sz w:val="22"/>
          <w:szCs w:val="22"/>
          <w:lang w:val="de-DE"/>
        </w:rPr>
        <w:t xml:space="preserve">die </w:t>
      </w:r>
      <w:r w:rsidR="00BA253A" w:rsidRPr="00794AD0">
        <w:rPr>
          <w:b/>
          <w:color w:val="000000"/>
          <w:sz w:val="22"/>
          <w:szCs w:val="22"/>
          <w:lang w:val="de-DE"/>
        </w:rPr>
        <w:t>einmal</w:t>
      </w:r>
      <w:r w:rsidR="00BA253A">
        <w:rPr>
          <w:color w:val="000000"/>
          <w:sz w:val="22"/>
          <w:szCs w:val="22"/>
          <w:lang w:val="de-DE"/>
        </w:rPr>
        <w:t xml:space="preserve"> täglich eingenommen wird.</w:t>
      </w:r>
    </w:p>
    <w:p w14:paraId="33520932" w14:textId="77777777" w:rsidR="00AB6D5E" w:rsidRPr="00B30A12" w:rsidRDefault="00AB6D5E" w:rsidP="000C47C6">
      <w:pPr>
        <w:widowControl w:val="0"/>
        <w:rPr>
          <w:color w:val="000000"/>
          <w:sz w:val="22"/>
          <w:szCs w:val="22"/>
        </w:rPr>
      </w:pPr>
    </w:p>
    <w:p w14:paraId="6D378147"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HES/</w:t>
      </w:r>
      <w:smartTag w:uri="urn:schemas-microsoft-com:office:smarttags" w:element="stockticker">
        <w:r w:rsidRPr="00B30A12">
          <w:rPr>
            <w:b/>
            <w:color w:val="000000"/>
            <w:sz w:val="22"/>
            <w:szCs w:val="22"/>
          </w:rPr>
          <w:t>CEL</w:t>
        </w:r>
      </w:smartTag>
      <w:r w:rsidRPr="00B30A12">
        <w:rPr>
          <w:b/>
          <w:color w:val="000000"/>
          <w:sz w:val="22"/>
          <w:szCs w:val="22"/>
        </w:rPr>
        <w:t xml:space="preserve"> behandelt werden:</w:t>
      </w:r>
    </w:p>
    <w:p w14:paraId="056770E4" w14:textId="2DDD7B23" w:rsidR="00AB6D5E" w:rsidRPr="00B30A12" w:rsidRDefault="00AB6D5E" w:rsidP="000C47C6">
      <w:pPr>
        <w:pStyle w:val="Text"/>
        <w:widowControl w:val="0"/>
        <w:spacing w:before="0"/>
        <w:ind w:left="567"/>
        <w:jc w:val="left"/>
        <w:rPr>
          <w:color w:val="000000"/>
          <w:sz w:val="22"/>
          <w:szCs w:val="22"/>
          <w:lang w:val="de-CH"/>
        </w:rPr>
      </w:pPr>
      <w:r w:rsidRPr="00B30A12">
        <w:rPr>
          <w:color w:val="000000"/>
          <w:sz w:val="22"/>
          <w:szCs w:val="22"/>
          <w:lang w:val="de-CH"/>
        </w:rPr>
        <w:t>Die Anfangsdosis beträgt 100 mg</w:t>
      </w:r>
      <w:r w:rsidR="00BA253A">
        <w:rPr>
          <w:color w:val="000000"/>
          <w:sz w:val="22"/>
          <w:szCs w:val="22"/>
          <w:lang w:val="de-CH"/>
        </w:rPr>
        <w:t xml:space="preserve">, </w:t>
      </w:r>
      <w:r w:rsidR="00BA253A">
        <w:rPr>
          <w:color w:val="000000"/>
          <w:sz w:val="22"/>
          <w:szCs w:val="22"/>
          <w:lang w:val="de-DE"/>
        </w:rPr>
        <w:t xml:space="preserve">die </w:t>
      </w:r>
      <w:r w:rsidR="00BA253A" w:rsidRPr="00794AD0">
        <w:rPr>
          <w:b/>
          <w:color w:val="000000"/>
          <w:sz w:val="22"/>
          <w:szCs w:val="22"/>
          <w:lang w:val="de-DE"/>
        </w:rPr>
        <w:t>einmal</w:t>
      </w:r>
      <w:r w:rsidR="00BA253A">
        <w:rPr>
          <w:color w:val="000000"/>
          <w:sz w:val="22"/>
          <w:szCs w:val="22"/>
          <w:lang w:val="de-DE"/>
        </w:rPr>
        <w:t xml:space="preserve"> täglich eingenommen wird.</w:t>
      </w:r>
      <w:r w:rsidRPr="00B30A12">
        <w:rPr>
          <w:color w:val="000000"/>
          <w:sz w:val="22"/>
          <w:szCs w:val="22"/>
          <w:lang w:val="de-CH"/>
        </w:rPr>
        <w:t xml:space="preserve"> </w:t>
      </w:r>
      <w:r w:rsidRPr="00B30A12">
        <w:rPr>
          <w:color w:val="000000"/>
          <w:sz w:val="22"/>
          <w:szCs w:val="22"/>
          <w:lang w:val="de-DE"/>
        </w:rPr>
        <w:t xml:space="preserve">Ihr Arzt wird darüber entscheiden, ob die Dosis auf 400 mg erhöht wird, die </w:t>
      </w:r>
      <w:r w:rsidRPr="00B30A12">
        <w:rPr>
          <w:b/>
          <w:bCs/>
          <w:color w:val="000000"/>
          <w:sz w:val="22"/>
          <w:szCs w:val="22"/>
          <w:lang w:val="de-DE"/>
        </w:rPr>
        <w:t>einmal</w:t>
      </w:r>
      <w:r w:rsidRPr="00B30A12">
        <w:rPr>
          <w:color w:val="000000"/>
          <w:sz w:val="22"/>
          <w:szCs w:val="22"/>
          <w:lang w:val="de-DE"/>
        </w:rPr>
        <w:t xml:space="preserve"> täglich eingenommen wird. </w:t>
      </w:r>
      <w:r w:rsidRPr="00B30A12">
        <w:rPr>
          <w:color w:val="000000"/>
          <w:sz w:val="22"/>
          <w:szCs w:val="22"/>
          <w:lang w:val="de-CH"/>
        </w:rPr>
        <w:t>Dies hängt davon ab, wie Sie auf die Behandlung ansprechen.</w:t>
      </w:r>
    </w:p>
    <w:p w14:paraId="6C62841C" w14:textId="77777777" w:rsidR="00AB6D5E" w:rsidRPr="00B30A12" w:rsidRDefault="00AB6D5E" w:rsidP="000C47C6">
      <w:pPr>
        <w:widowControl w:val="0"/>
        <w:rPr>
          <w:color w:val="000000"/>
          <w:sz w:val="22"/>
          <w:szCs w:val="22"/>
        </w:rPr>
      </w:pPr>
    </w:p>
    <w:p w14:paraId="1A732999"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Wenn Sie wegen DFSP behandelt werden:</w:t>
      </w:r>
    </w:p>
    <w:p w14:paraId="4F0F9D23" w14:textId="50228956" w:rsidR="00AB6D5E" w:rsidRPr="00B30A12" w:rsidRDefault="00AB6D5E" w:rsidP="000C47C6">
      <w:pPr>
        <w:pStyle w:val="Text"/>
        <w:widowControl w:val="0"/>
        <w:spacing w:before="0"/>
        <w:ind w:left="567"/>
        <w:jc w:val="left"/>
        <w:rPr>
          <w:color w:val="000000"/>
          <w:sz w:val="22"/>
          <w:szCs w:val="22"/>
          <w:lang w:val="de-DE"/>
        </w:rPr>
      </w:pPr>
      <w:r w:rsidRPr="00B30A12">
        <w:rPr>
          <w:color w:val="000000"/>
          <w:sz w:val="22"/>
          <w:szCs w:val="22"/>
          <w:lang w:val="de-DE"/>
        </w:rPr>
        <w:t xml:space="preserve">Die Dosis beträgt 800 mg pro Tag, </w:t>
      </w:r>
      <w:r w:rsidR="009D20BB">
        <w:rPr>
          <w:color w:val="000000"/>
          <w:sz w:val="22"/>
          <w:szCs w:val="22"/>
          <w:lang w:val="de-DE"/>
        </w:rPr>
        <w:t>wobei jeweils 400 mg</w:t>
      </w:r>
      <w:r w:rsidRPr="00B30A12">
        <w:rPr>
          <w:color w:val="000000"/>
          <w:sz w:val="22"/>
          <w:szCs w:val="22"/>
          <w:lang w:val="de-DE"/>
        </w:rPr>
        <w:t xml:space="preserve"> morgens und </w:t>
      </w:r>
      <w:r w:rsidR="009D20BB">
        <w:rPr>
          <w:color w:val="000000"/>
          <w:sz w:val="22"/>
          <w:szCs w:val="22"/>
          <w:lang w:val="de-DE"/>
        </w:rPr>
        <w:t xml:space="preserve">400 mg </w:t>
      </w:r>
      <w:r w:rsidRPr="00B30A12">
        <w:rPr>
          <w:color w:val="000000"/>
          <w:sz w:val="22"/>
          <w:szCs w:val="22"/>
          <w:lang w:val="de-DE"/>
        </w:rPr>
        <w:t xml:space="preserve">abends eingenommen </w:t>
      </w:r>
      <w:r w:rsidR="009D20BB">
        <w:rPr>
          <w:color w:val="000000"/>
          <w:sz w:val="22"/>
          <w:szCs w:val="22"/>
          <w:lang w:val="de-DE"/>
        </w:rPr>
        <w:t>werden</w:t>
      </w:r>
      <w:r w:rsidRPr="00B30A12">
        <w:rPr>
          <w:color w:val="000000"/>
          <w:sz w:val="22"/>
          <w:szCs w:val="22"/>
          <w:lang w:val="de-DE"/>
        </w:rPr>
        <w:t>.</w:t>
      </w:r>
    </w:p>
    <w:p w14:paraId="250C174A" w14:textId="5CD7C35E" w:rsidR="00AB6D5E" w:rsidRDefault="00AB6D5E" w:rsidP="000C47C6">
      <w:pPr>
        <w:widowControl w:val="0"/>
        <w:rPr>
          <w:color w:val="000000"/>
          <w:sz w:val="22"/>
          <w:szCs w:val="22"/>
        </w:rPr>
      </w:pPr>
    </w:p>
    <w:p w14:paraId="7AE0B65E" w14:textId="78FCD41C" w:rsidR="00BA253A" w:rsidRPr="00BA253A" w:rsidRDefault="00BA253A" w:rsidP="00BA253A">
      <w:pPr>
        <w:widowControl w:val="0"/>
        <w:rPr>
          <w:color w:val="000000"/>
          <w:sz w:val="22"/>
          <w:szCs w:val="22"/>
        </w:rPr>
      </w:pPr>
      <w:r w:rsidRPr="00BA253A">
        <w:rPr>
          <w:color w:val="000000"/>
          <w:sz w:val="22"/>
          <w:szCs w:val="22"/>
        </w:rPr>
        <w:t>Eine 4</w:t>
      </w:r>
      <w:r>
        <w:rPr>
          <w:color w:val="000000"/>
          <w:sz w:val="22"/>
          <w:szCs w:val="22"/>
        </w:rPr>
        <w:t>00-mg-Dosis kann entweder als 1 </w:t>
      </w:r>
      <w:r w:rsidR="00037321">
        <w:rPr>
          <w:color w:val="000000"/>
          <w:sz w:val="22"/>
          <w:szCs w:val="22"/>
        </w:rPr>
        <w:t>Tablette zu 400 </w:t>
      </w:r>
      <w:r>
        <w:rPr>
          <w:color w:val="000000"/>
          <w:sz w:val="22"/>
          <w:szCs w:val="22"/>
        </w:rPr>
        <w:t>mg oder als 4 </w:t>
      </w:r>
      <w:r w:rsidR="00037321">
        <w:rPr>
          <w:color w:val="000000"/>
          <w:sz w:val="22"/>
          <w:szCs w:val="22"/>
        </w:rPr>
        <w:t>Tabletten zu 100 </w:t>
      </w:r>
      <w:r w:rsidRPr="00BA253A">
        <w:rPr>
          <w:color w:val="000000"/>
          <w:sz w:val="22"/>
          <w:szCs w:val="22"/>
        </w:rPr>
        <w:t>mg eingenommen werden.</w:t>
      </w:r>
    </w:p>
    <w:p w14:paraId="5C6EE748" w14:textId="5D1A5CA1" w:rsidR="00BA253A" w:rsidRDefault="00037321" w:rsidP="00BA253A">
      <w:pPr>
        <w:widowControl w:val="0"/>
        <w:rPr>
          <w:color w:val="000000"/>
          <w:sz w:val="22"/>
          <w:szCs w:val="22"/>
        </w:rPr>
      </w:pPr>
      <w:r>
        <w:rPr>
          <w:color w:val="000000"/>
          <w:sz w:val="22"/>
          <w:szCs w:val="22"/>
        </w:rPr>
        <w:t>Eine 600-mg-Dosis ist als 1 Tablette zu 400 mg plus 2 Tabletten zu 100 </w:t>
      </w:r>
      <w:r w:rsidR="00BA253A" w:rsidRPr="00BA253A">
        <w:rPr>
          <w:color w:val="000000"/>
          <w:sz w:val="22"/>
          <w:szCs w:val="22"/>
        </w:rPr>
        <w:t>mg einzunehmen.</w:t>
      </w:r>
    </w:p>
    <w:p w14:paraId="4BD97083" w14:textId="77777777" w:rsidR="00BA253A" w:rsidRPr="00B30A12" w:rsidRDefault="00BA253A" w:rsidP="00BA253A">
      <w:pPr>
        <w:widowControl w:val="0"/>
        <w:rPr>
          <w:color w:val="000000"/>
          <w:sz w:val="22"/>
          <w:szCs w:val="22"/>
        </w:rPr>
      </w:pPr>
    </w:p>
    <w:p w14:paraId="5BE647F9" w14:textId="77777777" w:rsidR="00AB6D5E" w:rsidRPr="00B30A12" w:rsidRDefault="00AB6D5E" w:rsidP="001F49E7">
      <w:pPr>
        <w:keepNext/>
        <w:widowControl w:val="0"/>
        <w:rPr>
          <w:b/>
          <w:color w:val="000000"/>
          <w:sz w:val="22"/>
          <w:szCs w:val="22"/>
        </w:rPr>
      </w:pPr>
      <w:r w:rsidRPr="00B30A12">
        <w:rPr>
          <w:b/>
          <w:color w:val="000000"/>
          <w:sz w:val="22"/>
          <w:szCs w:val="22"/>
        </w:rPr>
        <w:t>Anwendung bei Kindern und Jugendlichen</w:t>
      </w:r>
    </w:p>
    <w:p w14:paraId="2C641059" w14:textId="77777777" w:rsidR="00AB6D5E" w:rsidRPr="00B30A12" w:rsidRDefault="00AB6D5E" w:rsidP="000C47C6">
      <w:pPr>
        <w:widowControl w:val="0"/>
        <w:rPr>
          <w:color w:val="000000"/>
          <w:sz w:val="22"/>
          <w:szCs w:val="22"/>
        </w:rPr>
      </w:pPr>
      <w:r w:rsidRPr="00B30A12">
        <w:rPr>
          <w:color w:val="000000"/>
          <w:sz w:val="22"/>
          <w:szCs w:val="22"/>
        </w:rPr>
        <w:t>Ihr Arzt wird Sie informieren, wie viele Glivec Tabletten Ihrem Kind gegeben werden sollen.</w:t>
      </w:r>
      <w:r w:rsidRPr="00B30A12" w:rsidDel="001A400F">
        <w:rPr>
          <w:color w:val="000000"/>
          <w:sz w:val="22"/>
          <w:szCs w:val="22"/>
        </w:rPr>
        <w:t xml:space="preserve"> </w:t>
      </w:r>
      <w:r w:rsidRPr="00B30A12">
        <w:rPr>
          <w:color w:val="000000"/>
          <w:sz w:val="22"/>
          <w:szCs w:val="22"/>
        </w:rPr>
        <w:t xml:space="preserve">Die notwendige Menge an Glivec hängt vom Zustand Ihres Kindes, von seinem Körpergewicht und seiner Größe ab. Die tägliche Gesamtdosis für ein Kind darf 800 mg </w:t>
      </w:r>
      <w:r w:rsidR="00F6006F" w:rsidRPr="00B30A12">
        <w:rPr>
          <w:color w:val="000000"/>
          <w:sz w:val="22"/>
          <w:szCs w:val="22"/>
        </w:rPr>
        <w:t xml:space="preserve">bei CML und 600 mg bei Ph-positiver ALL </w:t>
      </w:r>
      <w:r w:rsidRPr="00B30A12">
        <w:rPr>
          <w:color w:val="000000"/>
          <w:sz w:val="22"/>
          <w:szCs w:val="22"/>
        </w:rPr>
        <w:t>nicht überschreiten. Die tägliche Dosis kann Ihrem Kind als Einmalgabe verabreicht oder auf zwei Gaben (die Hälfte morgens und die Hälfte abends) aufgeteilt werden.</w:t>
      </w:r>
    </w:p>
    <w:p w14:paraId="15D3E799" w14:textId="77777777" w:rsidR="00AB6D5E" w:rsidRPr="00B30A12" w:rsidRDefault="00AB6D5E" w:rsidP="008E2868">
      <w:pPr>
        <w:widowControl w:val="0"/>
        <w:rPr>
          <w:color w:val="000000"/>
          <w:sz w:val="22"/>
          <w:szCs w:val="22"/>
        </w:rPr>
      </w:pPr>
    </w:p>
    <w:p w14:paraId="7D689412" w14:textId="77777777" w:rsidR="00AB6D5E" w:rsidRPr="00B30A12" w:rsidRDefault="00AB6D5E" w:rsidP="001F49E7">
      <w:pPr>
        <w:keepNext/>
        <w:widowControl w:val="0"/>
        <w:rPr>
          <w:b/>
          <w:color w:val="000000"/>
          <w:sz w:val="22"/>
          <w:szCs w:val="22"/>
        </w:rPr>
      </w:pPr>
      <w:r w:rsidRPr="00B30A12">
        <w:rPr>
          <w:b/>
          <w:color w:val="000000"/>
          <w:sz w:val="22"/>
          <w:szCs w:val="22"/>
        </w:rPr>
        <w:t>Wann und wie wird Glivec eingenommen?</w:t>
      </w:r>
    </w:p>
    <w:p w14:paraId="30057F49" w14:textId="77777777" w:rsidR="00AB6D5E" w:rsidRPr="00B30A12" w:rsidRDefault="00AB6D5E" w:rsidP="001F49E7">
      <w:pPr>
        <w:keepNext/>
        <w:widowControl w:val="0"/>
        <w:numPr>
          <w:ilvl w:val="0"/>
          <w:numId w:val="15"/>
        </w:numPr>
        <w:tabs>
          <w:tab w:val="clear" w:pos="360"/>
        </w:tabs>
        <w:ind w:left="567" w:hanging="567"/>
        <w:rPr>
          <w:b/>
          <w:color w:val="000000"/>
          <w:sz w:val="22"/>
          <w:szCs w:val="22"/>
        </w:rPr>
      </w:pPr>
      <w:r w:rsidRPr="00B30A12">
        <w:rPr>
          <w:b/>
          <w:color w:val="000000"/>
          <w:sz w:val="22"/>
          <w:szCs w:val="22"/>
        </w:rPr>
        <w:t xml:space="preserve">Nehmen Sie Glivec mit einer Mahlzeit ein. </w:t>
      </w:r>
      <w:r w:rsidRPr="00B30A12">
        <w:rPr>
          <w:color w:val="000000"/>
          <w:sz w:val="22"/>
          <w:szCs w:val="22"/>
        </w:rPr>
        <w:t>Dies kann helfen, Magenbeschwerden bei der Einnahme von Glivec vorzubeugen.</w:t>
      </w:r>
    </w:p>
    <w:p w14:paraId="5DF0DA07" w14:textId="77777777" w:rsidR="00AB6D5E" w:rsidRPr="00B30A12" w:rsidRDefault="00AB6D5E" w:rsidP="000C47C6">
      <w:pPr>
        <w:widowControl w:val="0"/>
        <w:numPr>
          <w:ilvl w:val="0"/>
          <w:numId w:val="15"/>
        </w:numPr>
        <w:tabs>
          <w:tab w:val="clear" w:pos="360"/>
        </w:tabs>
        <w:ind w:left="567" w:hanging="567"/>
        <w:rPr>
          <w:b/>
          <w:color w:val="000000"/>
          <w:sz w:val="22"/>
          <w:szCs w:val="22"/>
        </w:rPr>
      </w:pPr>
      <w:r w:rsidRPr="00B30A12">
        <w:rPr>
          <w:b/>
          <w:color w:val="000000"/>
          <w:sz w:val="22"/>
          <w:szCs w:val="22"/>
        </w:rPr>
        <w:t>Schlucken Sie die Tabletten im Ganzen und trinken Sie dazu ein großes Glas Wasser.</w:t>
      </w:r>
    </w:p>
    <w:p w14:paraId="7BE91575" w14:textId="77777777" w:rsidR="00AB6D5E" w:rsidRPr="00B30A12" w:rsidRDefault="00AB6D5E" w:rsidP="000C47C6">
      <w:pPr>
        <w:widowControl w:val="0"/>
        <w:rPr>
          <w:color w:val="000000"/>
          <w:sz w:val="22"/>
          <w:szCs w:val="22"/>
        </w:rPr>
      </w:pPr>
    </w:p>
    <w:p w14:paraId="37E91E51" w14:textId="77777777" w:rsidR="00AB6D5E" w:rsidRPr="00B30A12" w:rsidRDefault="00AB6D5E" w:rsidP="001E3D49">
      <w:pPr>
        <w:keepNext/>
        <w:keepLines/>
        <w:widowControl w:val="0"/>
        <w:rPr>
          <w:bCs/>
          <w:color w:val="000000"/>
          <w:sz w:val="22"/>
          <w:szCs w:val="22"/>
        </w:rPr>
      </w:pPr>
      <w:r w:rsidRPr="00B30A12">
        <w:rPr>
          <w:bCs/>
          <w:color w:val="000000"/>
          <w:sz w:val="22"/>
          <w:szCs w:val="22"/>
        </w:rPr>
        <w:t>Wenn Sie die Tabletten nicht schlucken können, können Sie sie in einem Glas Wasser ohne Kohlensäure oder Apfelsaft zerfallen lassen:</w:t>
      </w:r>
    </w:p>
    <w:p w14:paraId="053CEA2A" w14:textId="23D375B2" w:rsidR="00AB6D5E" w:rsidRPr="00B30A12" w:rsidRDefault="00AB6D5E" w:rsidP="000C47C6">
      <w:pPr>
        <w:widowControl w:val="0"/>
        <w:numPr>
          <w:ilvl w:val="0"/>
          <w:numId w:val="11"/>
        </w:numPr>
        <w:tabs>
          <w:tab w:val="clear" w:pos="360"/>
        </w:tabs>
        <w:ind w:left="567" w:hanging="567"/>
        <w:rPr>
          <w:bCs/>
          <w:color w:val="000000"/>
          <w:sz w:val="22"/>
          <w:szCs w:val="22"/>
        </w:rPr>
      </w:pPr>
      <w:r w:rsidRPr="00B30A12">
        <w:rPr>
          <w:bCs/>
          <w:color w:val="000000"/>
          <w:sz w:val="22"/>
          <w:szCs w:val="22"/>
        </w:rPr>
        <w:t>Verwenden Sie etwa 50 ml für jede 100 mg-Tablette</w:t>
      </w:r>
      <w:r w:rsidR="00EB7BA5">
        <w:rPr>
          <w:bCs/>
          <w:color w:val="000000"/>
          <w:sz w:val="22"/>
          <w:szCs w:val="22"/>
        </w:rPr>
        <w:t xml:space="preserve"> oder </w:t>
      </w:r>
      <w:r w:rsidR="00EB7BA5" w:rsidRPr="00B30A12">
        <w:rPr>
          <w:bCs/>
          <w:color w:val="000000"/>
          <w:sz w:val="22"/>
          <w:szCs w:val="22"/>
        </w:rPr>
        <w:t>200 ml für jede 400 mg-Tablette</w:t>
      </w:r>
      <w:r w:rsidRPr="00B30A12">
        <w:rPr>
          <w:bCs/>
          <w:color w:val="000000"/>
          <w:sz w:val="22"/>
          <w:szCs w:val="22"/>
        </w:rPr>
        <w:t>.</w:t>
      </w:r>
    </w:p>
    <w:p w14:paraId="0CEFED7B" w14:textId="77777777" w:rsidR="00AB6D5E" w:rsidRPr="00B30A12" w:rsidRDefault="00AB6D5E" w:rsidP="000C47C6">
      <w:pPr>
        <w:widowControl w:val="0"/>
        <w:numPr>
          <w:ilvl w:val="0"/>
          <w:numId w:val="11"/>
        </w:numPr>
        <w:tabs>
          <w:tab w:val="clear" w:pos="360"/>
        </w:tabs>
        <w:ind w:left="567" w:hanging="567"/>
        <w:rPr>
          <w:bCs/>
          <w:color w:val="000000"/>
          <w:sz w:val="22"/>
          <w:szCs w:val="22"/>
        </w:rPr>
      </w:pPr>
      <w:r w:rsidRPr="00B30A12">
        <w:rPr>
          <w:bCs/>
          <w:color w:val="000000"/>
          <w:sz w:val="22"/>
          <w:szCs w:val="22"/>
        </w:rPr>
        <w:t>Rühren Sie mit einem Löffel um, bis die Tabletten vollständig zerfallen sind.</w:t>
      </w:r>
    </w:p>
    <w:p w14:paraId="6B763F34" w14:textId="77777777" w:rsidR="00AB6D5E" w:rsidRPr="00B30A12" w:rsidRDefault="00AB6D5E" w:rsidP="000C47C6">
      <w:pPr>
        <w:widowControl w:val="0"/>
        <w:numPr>
          <w:ilvl w:val="0"/>
          <w:numId w:val="11"/>
        </w:numPr>
        <w:tabs>
          <w:tab w:val="clear" w:pos="360"/>
        </w:tabs>
        <w:ind w:left="567" w:hanging="567"/>
        <w:rPr>
          <w:bCs/>
          <w:color w:val="000000"/>
          <w:sz w:val="22"/>
          <w:szCs w:val="22"/>
        </w:rPr>
      </w:pPr>
      <w:r w:rsidRPr="00B30A12">
        <w:rPr>
          <w:bCs/>
          <w:color w:val="000000"/>
          <w:sz w:val="22"/>
          <w:szCs w:val="22"/>
        </w:rPr>
        <w:lastRenderedPageBreak/>
        <w:t>Sobald die Tabletten zerfallen sind, trinken Sie sofort den gesamten Inhalt des Glases. Spuren der zerfallenen Tabletten können im Glas zurückbleiben.</w:t>
      </w:r>
    </w:p>
    <w:p w14:paraId="32639E95" w14:textId="77777777" w:rsidR="00AB6D5E" w:rsidRPr="00B30A12" w:rsidRDefault="00AB6D5E" w:rsidP="000C47C6">
      <w:pPr>
        <w:widowControl w:val="0"/>
        <w:rPr>
          <w:color w:val="000000"/>
          <w:sz w:val="22"/>
          <w:szCs w:val="22"/>
        </w:rPr>
      </w:pPr>
    </w:p>
    <w:p w14:paraId="32C79B2A" w14:textId="77777777" w:rsidR="00AB6D5E" w:rsidRPr="00B30A12" w:rsidRDefault="00AB6D5E" w:rsidP="008E2868">
      <w:pPr>
        <w:pStyle w:val="Heading2"/>
        <w:widowControl w:val="0"/>
        <w:numPr>
          <w:ilvl w:val="0"/>
          <w:numId w:val="0"/>
        </w:numPr>
        <w:tabs>
          <w:tab w:val="clear" w:pos="567"/>
        </w:tabs>
        <w:rPr>
          <w:color w:val="000000"/>
          <w:szCs w:val="22"/>
        </w:rPr>
      </w:pPr>
      <w:r w:rsidRPr="00B30A12">
        <w:rPr>
          <w:color w:val="000000"/>
          <w:szCs w:val="22"/>
        </w:rPr>
        <w:t>Wie lange wird Glivec eingenommen?</w:t>
      </w:r>
    </w:p>
    <w:p w14:paraId="2E98565A" w14:textId="77777777" w:rsidR="00AB6D5E" w:rsidRPr="00B30A12" w:rsidRDefault="00AB6D5E" w:rsidP="000C47C6">
      <w:pPr>
        <w:widowControl w:val="0"/>
        <w:rPr>
          <w:color w:val="000000"/>
          <w:sz w:val="22"/>
          <w:szCs w:val="22"/>
        </w:rPr>
      </w:pPr>
      <w:r w:rsidRPr="00B30A12">
        <w:rPr>
          <w:color w:val="000000"/>
          <w:sz w:val="22"/>
          <w:szCs w:val="22"/>
        </w:rPr>
        <w:t>Nehmen Sie Glivec jeden Tag ein, solange Ihr Arzt Ihnen dies empfiehlt.</w:t>
      </w:r>
    </w:p>
    <w:p w14:paraId="25358819" w14:textId="77777777" w:rsidR="00AB6D5E" w:rsidRPr="00B30A12" w:rsidRDefault="00AB6D5E" w:rsidP="000C47C6">
      <w:pPr>
        <w:widowControl w:val="0"/>
        <w:rPr>
          <w:color w:val="000000"/>
          <w:sz w:val="22"/>
          <w:szCs w:val="22"/>
        </w:rPr>
      </w:pPr>
    </w:p>
    <w:p w14:paraId="11B2F2EA" w14:textId="77777777" w:rsidR="00AB6D5E" w:rsidRPr="00B30A12" w:rsidRDefault="00AB6D5E" w:rsidP="008E2868">
      <w:pPr>
        <w:keepNext/>
        <w:widowControl w:val="0"/>
        <w:rPr>
          <w:color w:val="000000"/>
          <w:sz w:val="22"/>
          <w:szCs w:val="22"/>
        </w:rPr>
      </w:pPr>
      <w:r w:rsidRPr="00B30A12">
        <w:rPr>
          <w:b/>
          <w:color w:val="000000"/>
          <w:sz w:val="22"/>
          <w:szCs w:val="22"/>
        </w:rPr>
        <w:t>Wenn Sie eine größere Menge von Glivec eingenommen haben, als Sie sollten</w:t>
      </w:r>
    </w:p>
    <w:p w14:paraId="191DA798" w14:textId="77777777" w:rsidR="00AB6D5E" w:rsidRPr="00B30A12" w:rsidRDefault="00AB6D5E" w:rsidP="000C47C6">
      <w:pPr>
        <w:widowControl w:val="0"/>
        <w:rPr>
          <w:color w:val="000000"/>
          <w:sz w:val="22"/>
          <w:szCs w:val="22"/>
        </w:rPr>
      </w:pPr>
      <w:r w:rsidRPr="00B30A12">
        <w:rPr>
          <w:color w:val="000000"/>
          <w:sz w:val="22"/>
          <w:szCs w:val="22"/>
        </w:rPr>
        <w:t xml:space="preserve">Sprechen Sie bitte </w:t>
      </w:r>
      <w:r w:rsidRPr="00B30A12">
        <w:rPr>
          <w:b/>
          <w:color w:val="000000"/>
          <w:sz w:val="22"/>
          <w:szCs w:val="22"/>
        </w:rPr>
        <w:t>unverzüglich</w:t>
      </w:r>
      <w:r w:rsidRPr="00B30A12">
        <w:rPr>
          <w:color w:val="000000"/>
          <w:sz w:val="22"/>
          <w:szCs w:val="22"/>
        </w:rPr>
        <w:t xml:space="preserve"> mit Ihrem Arzt, wenn Sie unbeabsichtigt zu viele Tabletten eingenom</w:t>
      </w:r>
      <w:r w:rsidRPr="00B30A12">
        <w:rPr>
          <w:color w:val="000000"/>
          <w:sz w:val="22"/>
          <w:szCs w:val="22"/>
        </w:rPr>
        <w:softHyphen/>
        <w:t>men haben. Es kann sein, dass Sie in diesem Fall eine medizinische Beobachtung benötigen. Bringen Sie die Medikamentenpackung mit.</w:t>
      </w:r>
    </w:p>
    <w:p w14:paraId="21B3289E" w14:textId="77777777" w:rsidR="00AB6D5E" w:rsidRPr="00B30A12" w:rsidRDefault="00AB6D5E" w:rsidP="000C47C6">
      <w:pPr>
        <w:widowControl w:val="0"/>
        <w:rPr>
          <w:color w:val="000000"/>
          <w:sz w:val="22"/>
          <w:szCs w:val="22"/>
        </w:rPr>
      </w:pPr>
    </w:p>
    <w:p w14:paraId="712A0A4A" w14:textId="77777777" w:rsidR="00AB6D5E" w:rsidRPr="00B30A12" w:rsidRDefault="00AB6D5E" w:rsidP="008E2868">
      <w:pPr>
        <w:keepNext/>
        <w:widowControl w:val="0"/>
        <w:rPr>
          <w:b/>
          <w:color w:val="000000"/>
          <w:sz w:val="22"/>
          <w:szCs w:val="22"/>
        </w:rPr>
      </w:pPr>
      <w:r w:rsidRPr="00B30A12">
        <w:rPr>
          <w:b/>
          <w:color w:val="000000"/>
          <w:sz w:val="22"/>
          <w:szCs w:val="22"/>
        </w:rPr>
        <w:t>Wenn Sie die Einnahme von Glivec vergessen haben</w:t>
      </w:r>
    </w:p>
    <w:p w14:paraId="74D9B15D"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Wenn Sie die Einnahme vergessen haben, nehmen Sie die fehlende Dosis sobald Sie sich daran erinnern. Falls die Einnahme der nächsten Dosis unmittelbar bevor steht, lassen Sie die vergessene Dosis aus.</w:t>
      </w:r>
    </w:p>
    <w:p w14:paraId="5E763FFC"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Dann fahren Sie mit Ihrem normalen Einnahmeschema fort.</w:t>
      </w:r>
    </w:p>
    <w:p w14:paraId="7981827B" w14:textId="77777777" w:rsidR="00AB6D5E" w:rsidRPr="00B30A12" w:rsidRDefault="00AB6D5E" w:rsidP="000C47C6">
      <w:pPr>
        <w:widowControl w:val="0"/>
        <w:numPr>
          <w:ilvl w:val="0"/>
          <w:numId w:val="15"/>
        </w:numPr>
        <w:tabs>
          <w:tab w:val="clear" w:pos="360"/>
        </w:tabs>
        <w:ind w:left="567" w:hanging="567"/>
        <w:rPr>
          <w:color w:val="000000"/>
          <w:sz w:val="22"/>
          <w:szCs w:val="22"/>
        </w:rPr>
      </w:pPr>
      <w:r w:rsidRPr="00B30A12">
        <w:rPr>
          <w:color w:val="000000"/>
          <w:sz w:val="22"/>
          <w:szCs w:val="22"/>
        </w:rPr>
        <w:t xml:space="preserve">Nehmen Sie nicht die doppelte </w:t>
      </w:r>
      <w:r w:rsidR="002906C1" w:rsidRPr="00B30A12">
        <w:rPr>
          <w:color w:val="000000"/>
          <w:sz w:val="22"/>
          <w:szCs w:val="22"/>
        </w:rPr>
        <w:t>Menge</w:t>
      </w:r>
      <w:r w:rsidRPr="00B30A12">
        <w:rPr>
          <w:color w:val="000000"/>
          <w:sz w:val="22"/>
          <w:szCs w:val="22"/>
        </w:rPr>
        <w:t xml:space="preserve"> ein, wenn Sie die vorherige Einnahme vergessen haben.</w:t>
      </w:r>
    </w:p>
    <w:p w14:paraId="7877A403" w14:textId="77777777" w:rsidR="00AB6D5E" w:rsidRPr="00B30A12" w:rsidRDefault="00AB6D5E" w:rsidP="000C47C6">
      <w:pPr>
        <w:widowControl w:val="0"/>
        <w:rPr>
          <w:color w:val="000000"/>
          <w:sz w:val="22"/>
          <w:szCs w:val="22"/>
        </w:rPr>
      </w:pPr>
    </w:p>
    <w:p w14:paraId="20DC06B2" w14:textId="77777777" w:rsidR="00AB6D5E" w:rsidRPr="00B30A12" w:rsidRDefault="00AB6D5E" w:rsidP="000C47C6">
      <w:pPr>
        <w:widowControl w:val="0"/>
        <w:rPr>
          <w:color w:val="000000"/>
          <w:sz w:val="22"/>
          <w:szCs w:val="22"/>
        </w:rPr>
      </w:pPr>
      <w:r w:rsidRPr="00B30A12">
        <w:rPr>
          <w:color w:val="000000"/>
          <w:sz w:val="22"/>
          <w:szCs w:val="22"/>
        </w:rPr>
        <w:t xml:space="preserve">Wenn Sie weitere Fragen zur </w:t>
      </w:r>
      <w:r w:rsidR="00BB2626" w:rsidRPr="00B30A12">
        <w:rPr>
          <w:color w:val="000000"/>
          <w:sz w:val="22"/>
          <w:szCs w:val="22"/>
        </w:rPr>
        <w:t xml:space="preserve">Einnahme </w:t>
      </w:r>
      <w:r w:rsidRPr="00B30A12">
        <w:rPr>
          <w:color w:val="000000"/>
          <w:sz w:val="22"/>
          <w:szCs w:val="22"/>
        </w:rPr>
        <w:t>d</w:t>
      </w:r>
      <w:r w:rsidR="002906C1" w:rsidRPr="00B30A12">
        <w:rPr>
          <w:color w:val="000000"/>
          <w:sz w:val="22"/>
          <w:szCs w:val="22"/>
        </w:rPr>
        <w:t>ies</w:t>
      </w:r>
      <w:r w:rsidRPr="00B30A12">
        <w:rPr>
          <w:color w:val="000000"/>
          <w:sz w:val="22"/>
          <w:szCs w:val="22"/>
        </w:rPr>
        <w:t xml:space="preserve">es Arzneimittels haben, </w:t>
      </w:r>
      <w:r w:rsidR="002906C1" w:rsidRPr="00B30A12">
        <w:rPr>
          <w:color w:val="000000"/>
          <w:sz w:val="22"/>
          <w:szCs w:val="22"/>
        </w:rPr>
        <w:t>wenden</w:t>
      </w:r>
      <w:r w:rsidRPr="00B30A12">
        <w:rPr>
          <w:color w:val="000000"/>
          <w:sz w:val="22"/>
          <w:szCs w:val="22"/>
        </w:rPr>
        <w:t xml:space="preserve"> Sie</w:t>
      </w:r>
      <w:r w:rsidR="002906C1" w:rsidRPr="00B30A12">
        <w:rPr>
          <w:color w:val="000000"/>
          <w:sz w:val="22"/>
          <w:szCs w:val="22"/>
        </w:rPr>
        <w:t xml:space="preserve"> sich an</w:t>
      </w:r>
      <w:r w:rsidRPr="00B30A12">
        <w:rPr>
          <w:color w:val="000000"/>
          <w:sz w:val="22"/>
          <w:szCs w:val="22"/>
        </w:rPr>
        <w:t xml:space="preserve"> Ihren Arzt</w:t>
      </w:r>
      <w:r w:rsidR="00057A02" w:rsidRPr="00B30A12">
        <w:rPr>
          <w:color w:val="000000"/>
          <w:sz w:val="22"/>
          <w:szCs w:val="22"/>
        </w:rPr>
        <w:t>,</w:t>
      </w:r>
      <w:r w:rsidRPr="00B30A12">
        <w:rPr>
          <w:color w:val="000000"/>
          <w:sz w:val="22"/>
          <w:szCs w:val="22"/>
        </w:rPr>
        <w:t xml:space="preserve"> Apotheker</w:t>
      </w:r>
      <w:r w:rsidR="002906C1" w:rsidRPr="00B30A12">
        <w:rPr>
          <w:color w:val="000000"/>
          <w:sz w:val="22"/>
          <w:szCs w:val="22"/>
        </w:rPr>
        <w:t xml:space="preserve"> oder </w:t>
      </w:r>
      <w:r w:rsidR="0095506C" w:rsidRPr="00B30A12">
        <w:rPr>
          <w:color w:val="000000"/>
          <w:sz w:val="22"/>
          <w:szCs w:val="22"/>
        </w:rPr>
        <w:t>das medizinische Fachpersonal</w:t>
      </w:r>
      <w:r w:rsidRPr="00B30A12">
        <w:rPr>
          <w:color w:val="000000"/>
          <w:sz w:val="22"/>
          <w:szCs w:val="22"/>
        </w:rPr>
        <w:t>.</w:t>
      </w:r>
    </w:p>
    <w:p w14:paraId="33F99B07" w14:textId="77777777" w:rsidR="00AB6D5E" w:rsidRPr="00B30A12" w:rsidRDefault="00AB6D5E" w:rsidP="000C47C6">
      <w:pPr>
        <w:pStyle w:val="Header"/>
        <w:widowControl w:val="0"/>
        <w:tabs>
          <w:tab w:val="clear" w:pos="4320"/>
          <w:tab w:val="clear" w:pos="8640"/>
        </w:tabs>
        <w:rPr>
          <w:color w:val="000000"/>
          <w:szCs w:val="22"/>
        </w:rPr>
      </w:pPr>
    </w:p>
    <w:p w14:paraId="09BD3682" w14:textId="77777777" w:rsidR="00AB6D5E" w:rsidRPr="00B30A12" w:rsidRDefault="00AB6D5E" w:rsidP="000C47C6">
      <w:pPr>
        <w:widowControl w:val="0"/>
        <w:rPr>
          <w:color w:val="000000"/>
          <w:sz w:val="22"/>
          <w:szCs w:val="22"/>
        </w:rPr>
      </w:pPr>
    </w:p>
    <w:p w14:paraId="3AE0E056" w14:textId="77777777" w:rsidR="003A33A6" w:rsidRPr="00B30A12" w:rsidRDefault="003A33A6" w:rsidP="008E2868">
      <w:pPr>
        <w:keepNext/>
        <w:widowControl w:val="0"/>
        <w:tabs>
          <w:tab w:val="left" w:pos="567"/>
        </w:tabs>
        <w:rPr>
          <w:color w:val="000000"/>
          <w:sz w:val="22"/>
          <w:szCs w:val="22"/>
        </w:rPr>
      </w:pPr>
      <w:r w:rsidRPr="00B30A12">
        <w:rPr>
          <w:b/>
          <w:color w:val="000000"/>
          <w:sz w:val="22"/>
          <w:szCs w:val="22"/>
        </w:rPr>
        <w:t>4.</w:t>
      </w:r>
      <w:r w:rsidRPr="00B30A12">
        <w:rPr>
          <w:b/>
          <w:color w:val="000000"/>
          <w:sz w:val="22"/>
          <w:szCs w:val="22"/>
        </w:rPr>
        <w:tab/>
        <w:t>Welche Nebenwirkungen sind möglich?</w:t>
      </w:r>
    </w:p>
    <w:p w14:paraId="600B052D" w14:textId="77777777" w:rsidR="003A33A6" w:rsidRPr="00B30A12" w:rsidRDefault="003A33A6" w:rsidP="008E2868">
      <w:pPr>
        <w:keepNext/>
        <w:widowControl w:val="0"/>
        <w:rPr>
          <w:color w:val="000000"/>
          <w:sz w:val="22"/>
          <w:szCs w:val="22"/>
        </w:rPr>
      </w:pPr>
    </w:p>
    <w:p w14:paraId="21D2898F" w14:textId="77777777" w:rsidR="003A33A6" w:rsidRPr="00B30A12" w:rsidRDefault="003A33A6" w:rsidP="000C47C6">
      <w:pPr>
        <w:widowControl w:val="0"/>
        <w:rPr>
          <w:color w:val="000000"/>
          <w:sz w:val="22"/>
          <w:szCs w:val="22"/>
        </w:rPr>
      </w:pPr>
      <w:r w:rsidRPr="00B30A12">
        <w:rPr>
          <w:color w:val="000000"/>
          <w:sz w:val="22"/>
          <w:szCs w:val="22"/>
        </w:rPr>
        <w:t>Wie alle Arzneimittel kann auch dieses Arzneimittel Nebenwirkungen haben, die aber nicht bei jedem auftreten müssen. Diese sind im Allgemeinen von geringem bis mäßigem Schweregrad.</w:t>
      </w:r>
    </w:p>
    <w:p w14:paraId="24F3F03E" w14:textId="77777777" w:rsidR="003A33A6" w:rsidRPr="00B30A12" w:rsidRDefault="003A33A6" w:rsidP="000C47C6">
      <w:pPr>
        <w:widowControl w:val="0"/>
        <w:rPr>
          <w:color w:val="000000"/>
          <w:sz w:val="22"/>
          <w:szCs w:val="22"/>
        </w:rPr>
      </w:pPr>
    </w:p>
    <w:p w14:paraId="3D544454" w14:textId="77777777" w:rsidR="003A33A6" w:rsidRPr="00B30A12" w:rsidRDefault="003A33A6" w:rsidP="001E3D49">
      <w:pPr>
        <w:keepNext/>
        <w:keepLines/>
        <w:widowControl w:val="0"/>
        <w:rPr>
          <w:b/>
          <w:color w:val="000000"/>
          <w:sz w:val="22"/>
          <w:szCs w:val="22"/>
        </w:rPr>
      </w:pPr>
      <w:r w:rsidRPr="00B30A12">
        <w:rPr>
          <w:b/>
          <w:color w:val="000000"/>
          <w:sz w:val="22"/>
          <w:szCs w:val="22"/>
        </w:rPr>
        <w:t>Einige Nebenwirkungen können schwerwiegend sein. Informieren Sie Ihren Arzt unverzüglich, wenn bei Ihnen eine der folgenden Nebenwirkungen auftritt:</w:t>
      </w:r>
    </w:p>
    <w:p w14:paraId="64CE2121" w14:textId="77777777" w:rsidR="003A33A6" w:rsidRPr="00B30A12" w:rsidRDefault="003A33A6" w:rsidP="008E2868">
      <w:pPr>
        <w:keepNext/>
        <w:widowControl w:val="0"/>
        <w:rPr>
          <w:color w:val="000000"/>
          <w:sz w:val="22"/>
          <w:szCs w:val="22"/>
        </w:rPr>
      </w:pPr>
    </w:p>
    <w:p w14:paraId="52D9EE4A" w14:textId="77777777" w:rsidR="003A33A6" w:rsidRPr="00B30A12" w:rsidRDefault="003A33A6" w:rsidP="001E3D49">
      <w:pPr>
        <w:keepNext/>
        <w:keepLines/>
        <w:widowControl w:val="0"/>
        <w:rPr>
          <w:color w:val="000000"/>
          <w:sz w:val="22"/>
          <w:szCs w:val="22"/>
        </w:rPr>
      </w:pPr>
      <w:r w:rsidRPr="00B30A12">
        <w:rPr>
          <w:b/>
          <w:color w:val="000000"/>
          <w:sz w:val="22"/>
          <w:szCs w:val="22"/>
        </w:rPr>
        <w:t xml:space="preserve">Sehr häufig </w:t>
      </w:r>
      <w:r w:rsidRPr="00B30A12">
        <w:rPr>
          <w:color w:val="000000"/>
          <w:sz w:val="22"/>
          <w:szCs w:val="22"/>
        </w:rPr>
        <w:t>(</w:t>
      </w:r>
      <w:r w:rsidR="00540AAA" w:rsidRPr="00B30A12">
        <w:rPr>
          <w:color w:val="000000"/>
          <w:sz w:val="22"/>
          <w:szCs w:val="22"/>
        </w:rPr>
        <w:t>kann mehr als 1 von 10 Behandelten betreffen</w:t>
      </w:r>
      <w:r w:rsidRPr="00B30A12">
        <w:rPr>
          <w:color w:val="000000"/>
          <w:sz w:val="22"/>
          <w:szCs w:val="22"/>
        </w:rPr>
        <w:t>)</w:t>
      </w:r>
      <w:r w:rsidRPr="00B30A12">
        <w:rPr>
          <w:b/>
          <w:color w:val="000000"/>
          <w:sz w:val="22"/>
          <w:szCs w:val="22"/>
        </w:rPr>
        <w:t xml:space="preserve"> oder häufig </w:t>
      </w:r>
      <w:r w:rsidRPr="00B30A12">
        <w:rPr>
          <w:color w:val="000000"/>
          <w:sz w:val="22"/>
          <w:szCs w:val="22"/>
        </w:rPr>
        <w:t>(</w:t>
      </w:r>
      <w:r w:rsidR="00540AAA" w:rsidRPr="00B30A12">
        <w:rPr>
          <w:color w:val="000000"/>
          <w:sz w:val="22"/>
          <w:szCs w:val="22"/>
        </w:rPr>
        <w:t>kann bis zu 1 von 10 Behandelten betreffen</w:t>
      </w:r>
      <w:r w:rsidRPr="00B30A12">
        <w:rPr>
          <w:color w:val="000000"/>
          <w:sz w:val="22"/>
          <w:szCs w:val="22"/>
        </w:rPr>
        <w:t>):</w:t>
      </w:r>
    </w:p>
    <w:p w14:paraId="0D977E07" w14:textId="77777777" w:rsidR="003A33A6" w:rsidRPr="00B30A12" w:rsidRDefault="003A33A6" w:rsidP="000C47C6">
      <w:pPr>
        <w:widowControl w:val="0"/>
        <w:numPr>
          <w:ilvl w:val="0"/>
          <w:numId w:val="4"/>
        </w:numPr>
        <w:tabs>
          <w:tab w:val="clear" w:pos="360"/>
        </w:tabs>
        <w:ind w:left="567" w:hanging="567"/>
        <w:rPr>
          <w:color w:val="000000"/>
          <w:sz w:val="22"/>
          <w:szCs w:val="22"/>
        </w:rPr>
      </w:pPr>
      <w:r w:rsidRPr="00B30A12">
        <w:rPr>
          <w:color w:val="000000"/>
          <w:sz w:val="22"/>
          <w:szCs w:val="22"/>
        </w:rPr>
        <w:t>Rasche Gewichtszunahme. Die Behandlung mit Glivec kann dazu führen, dass Ihr Körper beginnt, Wasser einzulagern (schwere Flüssigkeitsretention).</w:t>
      </w:r>
    </w:p>
    <w:p w14:paraId="07CA90AA"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Anzeichen einer Infektion wie Fieber, Schüttelfrost, Halsentzündung oder Mundgeschwüre. Glivec kann die Anzahl der weißen Blutkörperchen vermindern, sodass Sie leichter Infektionen bekommen können.</w:t>
      </w:r>
    </w:p>
    <w:p w14:paraId="011C6D21" w14:textId="77777777" w:rsidR="003A33A6" w:rsidRPr="00B30A12" w:rsidRDefault="003A33A6" w:rsidP="000C47C6">
      <w:pPr>
        <w:widowControl w:val="0"/>
        <w:numPr>
          <w:ilvl w:val="0"/>
          <w:numId w:val="3"/>
        </w:numPr>
        <w:tabs>
          <w:tab w:val="clear" w:pos="360"/>
        </w:tabs>
        <w:ind w:left="567" w:hanging="567"/>
        <w:rPr>
          <w:color w:val="000000"/>
          <w:sz w:val="22"/>
          <w:szCs w:val="22"/>
        </w:rPr>
      </w:pPr>
      <w:r w:rsidRPr="00B30A12">
        <w:rPr>
          <w:color w:val="000000"/>
          <w:sz w:val="22"/>
          <w:szCs w:val="22"/>
        </w:rPr>
        <w:t>Unerwartete Blutungen oder blaue Flecken (obwohl Sie sich nicht verletzt haben).</w:t>
      </w:r>
    </w:p>
    <w:p w14:paraId="3A933446" w14:textId="77777777" w:rsidR="003A33A6" w:rsidRPr="00B30A12" w:rsidRDefault="003A33A6" w:rsidP="000C47C6">
      <w:pPr>
        <w:widowControl w:val="0"/>
        <w:rPr>
          <w:color w:val="000000"/>
          <w:sz w:val="22"/>
          <w:szCs w:val="22"/>
        </w:rPr>
      </w:pPr>
    </w:p>
    <w:p w14:paraId="3C493E7E" w14:textId="77777777" w:rsidR="003A33A6" w:rsidRPr="00B30A12" w:rsidRDefault="003A33A6" w:rsidP="001E3D49">
      <w:pPr>
        <w:keepNext/>
        <w:keepLines/>
        <w:widowControl w:val="0"/>
        <w:rPr>
          <w:color w:val="000000"/>
          <w:sz w:val="22"/>
          <w:szCs w:val="22"/>
        </w:rPr>
      </w:pPr>
      <w:r w:rsidRPr="00B30A12">
        <w:rPr>
          <w:b/>
          <w:color w:val="000000"/>
          <w:sz w:val="22"/>
          <w:szCs w:val="22"/>
        </w:rPr>
        <w:t xml:space="preserve">Gelegentlich </w:t>
      </w:r>
      <w:r w:rsidRPr="00B30A12">
        <w:rPr>
          <w:color w:val="000000"/>
          <w:sz w:val="22"/>
          <w:szCs w:val="22"/>
        </w:rPr>
        <w:t>(</w:t>
      </w:r>
      <w:r w:rsidR="00540AAA" w:rsidRPr="00B30A12">
        <w:rPr>
          <w:color w:val="000000"/>
          <w:sz w:val="22"/>
          <w:szCs w:val="22"/>
        </w:rPr>
        <w:t>kann bis zu 1 von 100 Behandelten betreffen</w:t>
      </w:r>
      <w:r w:rsidRPr="00B30A12">
        <w:rPr>
          <w:color w:val="000000"/>
          <w:sz w:val="22"/>
          <w:szCs w:val="22"/>
        </w:rPr>
        <w:t>)</w:t>
      </w:r>
      <w:r w:rsidRPr="00B30A12">
        <w:rPr>
          <w:b/>
          <w:color w:val="000000"/>
          <w:sz w:val="22"/>
          <w:szCs w:val="22"/>
        </w:rPr>
        <w:t xml:space="preserve"> oder selten </w:t>
      </w:r>
      <w:r w:rsidRPr="00B30A12">
        <w:rPr>
          <w:color w:val="000000"/>
          <w:sz w:val="22"/>
          <w:szCs w:val="22"/>
        </w:rPr>
        <w:t>(</w:t>
      </w:r>
      <w:r w:rsidR="00540AAA" w:rsidRPr="00B30A12">
        <w:rPr>
          <w:color w:val="000000"/>
          <w:sz w:val="22"/>
          <w:szCs w:val="22"/>
        </w:rPr>
        <w:t>kann bis zu 1 von 1.000 Behandelten betreffen</w:t>
      </w:r>
      <w:r w:rsidRPr="00B30A12">
        <w:rPr>
          <w:color w:val="000000"/>
          <w:sz w:val="22"/>
          <w:szCs w:val="22"/>
        </w:rPr>
        <w:t>):</w:t>
      </w:r>
    </w:p>
    <w:p w14:paraId="60EF3DA4"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Brustschmerzen, unregelmäßiger Herzschlag (Anzeichen von Herzbeschwerden).</w:t>
      </w:r>
    </w:p>
    <w:p w14:paraId="551C9C8F"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Husten, schwieriges oder schmerzhaftes Atmen (Anzeichen von Lungenbeschwerden).</w:t>
      </w:r>
    </w:p>
    <w:p w14:paraId="45AF0DF0" w14:textId="77777777" w:rsidR="003A33A6" w:rsidRPr="00B30A12" w:rsidRDefault="003A33A6" w:rsidP="000C47C6">
      <w:pPr>
        <w:widowControl w:val="0"/>
        <w:numPr>
          <w:ilvl w:val="0"/>
          <w:numId w:val="5"/>
        </w:numPr>
        <w:tabs>
          <w:tab w:val="clear" w:pos="360"/>
        </w:tabs>
        <w:ind w:left="567" w:hanging="567"/>
        <w:rPr>
          <w:color w:val="000000"/>
          <w:sz w:val="22"/>
          <w:szCs w:val="22"/>
        </w:rPr>
      </w:pPr>
      <w:r w:rsidRPr="00B30A12">
        <w:rPr>
          <w:color w:val="000000"/>
          <w:sz w:val="22"/>
          <w:szCs w:val="22"/>
        </w:rPr>
        <w:t>Benommenheit, Schwindel oder Ohnmacht (Anzeichen von niedrigem Blutdruck).</w:t>
      </w:r>
    </w:p>
    <w:p w14:paraId="67B690EB" w14:textId="77777777" w:rsidR="003A33A6" w:rsidRPr="00B30A12" w:rsidRDefault="003A33A6" w:rsidP="000C47C6">
      <w:pPr>
        <w:widowControl w:val="0"/>
        <w:numPr>
          <w:ilvl w:val="0"/>
          <w:numId w:val="6"/>
        </w:numPr>
        <w:tabs>
          <w:tab w:val="clear" w:pos="360"/>
        </w:tabs>
        <w:ind w:left="567" w:hanging="567"/>
        <w:rPr>
          <w:color w:val="000000"/>
          <w:sz w:val="22"/>
          <w:szCs w:val="22"/>
        </w:rPr>
      </w:pPr>
      <w:r w:rsidRPr="00B30A12">
        <w:rPr>
          <w:color w:val="000000"/>
          <w:sz w:val="22"/>
          <w:szCs w:val="22"/>
        </w:rPr>
        <w:t>Übelkeit mit Appetitverlust, eine dunkle Färbung des Urins, Gelbfärbung der Haut oder Augen (Anzeichen von Leberproblemen).</w:t>
      </w:r>
    </w:p>
    <w:p w14:paraId="61E27451" w14:textId="77777777" w:rsidR="003A33A6" w:rsidRPr="00B30A12" w:rsidRDefault="003A33A6" w:rsidP="000C47C6">
      <w:pPr>
        <w:widowControl w:val="0"/>
        <w:numPr>
          <w:ilvl w:val="0"/>
          <w:numId w:val="7"/>
        </w:numPr>
        <w:tabs>
          <w:tab w:val="clear" w:pos="360"/>
        </w:tabs>
        <w:ind w:left="567" w:hanging="567"/>
        <w:rPr>
          <w:color w:val="000000"/>
          <w:sz w:val="22"/>
          <w:szCs w:val="22"/>
        </w:rPr>
      </w:pPr>
      <w:r w:rsidRPr="00B30A12">
        <w:rPr>
          <w:color w:val="000000"/>
          <w:sz w:val="22"/>
          <w:szCs w:val="22"/>
        </w:rPr>
        <w:t>Hautausschlag, Hautrötung mit Bläschen auf den Lippen, den Augen, der Haut oder im Mund, Abschälen der Haut, Fieber, rote oder purpurne Flecken auf der Haut, Juckreiz, brennendes Gefühl, Pustelbildung (Anzeichen von Hautproblemen).</w:t>
      </w:r>
    </w:p>
    <w:p w14:paraId="4795255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Starke Bauchschmerzen, Blut in Erbrochenem, im Stuhl oder im Urin, schwarzer Stuhl (Anzeichen von Magen-Darm-Erkrankungen).</w:t>
      </w:r>
    </w:p>
    <w:p w14:paraId="3FC53864"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Stark verminderte Urinmenge, Durst (Anzeichen von Nierenbeschwerden).</w:t>
      </w:r>
    </w:p>
    <w:p w14:paraId="0C11355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Übelkeit mit Durchfall und Erbrechen, Bauchschmerzen oder Fieber (Anzeichen von Darmbeschwerden).</w:t>
      </w:r>
    </w:p>
    <w:p w14:paraId="0B38ECE2"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 xml:space="preserve">Schwere Kopfschmerzen, Erschlaffen oder Lähmung der Gliedmaßen oder des Gesichts, Schwierigkeiten beim Sprechen, plötzlicher Bewusstseinsverlust (Anzeichen von Beschwerden </w:t>
      </w:r>
      <w:r w:rsidRPr="00B30A12">
        <w:rPr>
          <w:color w:val="000000"/>
          <w:sz w:val="22"/>
          <w:szCs w:val="22"/>
        </w:rPr>
        <w:lastRenderedPageBreak/>
        <w:t>des Nervensystems wie beispielsweise Blutungen oder Schwellungen in Kopf und Gehirn).</w:t>
      </w:r>
    </w:p>
    <w:p w14:paraId="21E44124"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Blasse Haut, Müdigkeit, Kurzatmigkeit und Dunkelfärbung des Urins (Anzeichen einer erniedrigten Anzahl roter Blutkörperchen).</w:t>
      </w:r>
    </w:p>
    <w:p w14:paraId="4CA3CDE8"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Augenschmerzen oder Verschlechterung des Sehvermögens, Blutungen in den Augen.</w:t>
      </w:r>
    </w:p>
    <w:p w14:paraId="431F103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Schmerzen in der Hüfte oder Schwierigkeiten beim Gehen.</w:t>
      </w:r>
    </w:p>
    <w:p w14:paraId="19BE5DD6"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Taube oder kalte Zehen und Finger (Anzeichen eines Raynaud-Syndroms).</w:t>
      </w:r>
    </w:p>
    <w:p w14:paraId="37228946"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Plötzliche Schwellung und Rötung der Haut (Anzeichen einer bakteriellen Zellgewebsentzündung).</w:t>
      </w:r>
    </w:p>
    <w:p w14:paraId="42F9148D"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Schwerhörigkeit.</w:t>
      </w:r>
    </w:p>
    <w:p w14:paraId="6896420F"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Erschlaffung der Muskulatur und Muskelkrämpfe mit einem anormalen Herzrhythmus (Anzeichen einer Änderung des Kaliumspiegels im Blut).</w:t>
      </w:r>
    </w:p>
    <w:p w14:paraId="6771154F"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Blaue Flecken.</w:t>
      </w:r>
    </w:p>
    <w:p w14:paraId="784B6C0F"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Magenschmerzen mit Übelkeit.</w:t>
      </w:r>
    </w:p>
    <w:p w14:paraId="007D7F07"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Muskelkrämpfe mit Fieber, rotbrauner Urin, Schmerzen oder Muskelschwäche (Anzeichen von Muskelbeschwerden).</w:t>
      </w:r>
    </w:p>
    <w:p w14:paraId="697EE185"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Schmerzen im Becken, manchmal zusammen mit Übelkeit und Erbrechen, mit unerwarteter Blutung aus der Scheide, Schwindel oder Ohnmacht wegen eines niedrigen Blutdruckes (Anzeichen für Eierstock- oder Unterleibsbeschwerden).</w:t>
      </w:r>
    </w:p>
    <w:p w14:paraId="439E8B13" w14:textId="77777777" w:rsidR="007F4F8D" w:rsidRDefault="003A33A6" w:rsidP="007F4F8D">
      <w:pPr>
        <w:widowControl w:val="0"/>
        <w:numPr>
          <w:ilvl w:val="0"/>
          <w:numId w:val="8"/>
        </w:numPr>
        <w:tabs>
          <w:tab w:val="clear" w:pos="360"/>
        </w:tabs>
        <w:ind w:left="567" w:hanging="567"/>
        <w:rPr>
          <w:color w:val="000000"/>
          <w:sz w:val="22"/>
          <w:szCs w:val="22"/>
        </w:rPr>
      </w:pPr>
      <w:r w:rsidRPr="00B30A12">
        <w:rPr>
          <w:color w:val="000000"/>
          <w:sz w:val="22"/>
          <w:szCs w:val="22"/>
        </w:rPr>
        <w:t xml:space="preserve">Übelkeit, Kurzatmigkeit, unregelmäßiger Herzschlag, trüber Urin, Müdigkeit und/oder Gelenkbeschwerden zusammen mit abnormalen Laborwerten (z. B. hohe Kalium-, Harnsäure- und </w:t>
      </w:r>
      <w:r w:rsidR="0046673B" w:rsidRPr="00B30A12">
        <w:rPr>
          <w:color w:val="000000"/>
          <w:sz w:val="22"/>
          <w:szCs w:val="22"/>
        </w:rPr>
        <w:t>Kalzium</w:t>
      </w:r>
      <w:r w:rsidRPr="00B30A12">
        <w:rPr>
          <w:color w:val="000000"/>
          <w:sz w:val="22"/>
          <w:szCs w:val="22"/>
        </w:rPr>
        <w:t xml:space="preserve">spiegel sowie niedrige </w:t>
      </w:r>
      <w:r w:rsidR="0046673B" w:rsidRPr="00B30A12">
        <w:rPr>
          <w:color w:val="000000"/>
          <w:sz w:val="22"/>
          <w:szCs w:val="22"/>
        </w:rPr>
        <w:t>Phosphat</w:t>
      </w:r>
      <w:r w:rsidRPr="00B30A12">
        <w:rPr>
          <w:color w:val="000000"/>
          <w:sz w:val="22"/>
          <w:szCs w:val="22"/>
        </w:rPr>
        <w:t>spiegel im Blut).</w:t>
      </w:r>
    </w:p>
    <w:p w14:paraId="344A4274" w14:textId="77777777" w:rsidR="003A33A6" w:rsidRPr="00B30A12" w:rsidRDefault="007F4F8D" w:rsidP="007F4F8D">
      <w:pPr>
        <w:widowControl w:val="0"/>
        <w:numPr>
          <w:ilvl w:val="0"/>
          <w:numId w:val="8"/>
        </w:numPr>
        <w:tabs>
          <w:tab w:val="clear" w:pos="360"/>
        </w:tabs>
        <w:ind w:left="567" w:hanging="567"/>
        <w:rPr>
          <w:color w:val="000000"/>
          <w:sz w:val="22"/>
          <w:szCs w:val="22"/>
        </w:rPr>
      </w:pPr>
      <w:r>
        <w:rPr>
          <w:color w:val="000000"/>
          <w:sz w:val="22"/>
          <w:szCs w:val="22"/>
        </w:rPr>
        <w:t>Blutgerinnsel in kleinen Blutgefäßen (thrombotische Mikroangiopathie).</w:t>
      </w:r>
    </w:p>
    <w:p w14:paraId="1FE41ADC" w14:textId="77777777" w:rsidR="00040717" w:rsidRPr="00B30A12" w:rsidRDefault="00040717" w:rsidP="000C47C6">
      <w:pPr>
        <w:widowControl w:val="0"/>
        <w:rPr>
          <w:color w:val="000000"/>
          <w:sz w:val="22"/>
          <w:szCs w:val="22"/>
        </w:rPr>
      </w:pPr>
    </w:p>
    <w:p w14:paraId="0CE71EAD" w14:textId="77777777" w:rsidR="00040717" w:rsidRPr="00B30A12" w:rsidRDefault="00040717" w:rsidP="008E2868">
      <w:pPr>
        <w:keepNext/>
        <w:widowControl w:val="0"/>
        <w:rPr>
          <w:color w:val="000000"/>
          <w:sz w:val="22"/>
          <w:szCs w:val="22"/>
        </w:rPr>
      </w:pPr>
      <w:r w:rsidRPr="00B30A12">
        <w:rPr>
          <w:b/>
          <w:color w:val="000000"/>
          <w:sz w:val="22"/>
          <w:szCs w:val="22"/>
        </w:rPr>
        <w:t>Nicht bekannt</w:t>
      </w:r>
      <w:r w:rsidR="0046673B" w:rsidRPr="00B30A12">
        <w:rPr>
          <w:b/>
          <w:color w:val="000000"/>
          <w:sz w:val="22"/>
          <w:szCs w:val="22"/>
        </w:rPr>
        <w:t xml:space="preserve"> </w:t>
      </w:r>
      <w:r w:rsidR="0046673B" w:rsidRPr="00B30A12">
        <w:rPr>
          <w:color w:val="000000"/>
          <w:sz w:val="22"/>
          <w:szCs w:val="22"/>
        </w:rPr>
        <w:t>(Häufigkeit auf Grundlage der verfügbaren Daten nicht abschätzbar)</w:t>
      </w:r>
      <w:r w:rsidRPr="00B30A12">
        <w:rPr>
          <w:color w:val="000000"/>
          <w:sz w:val="22"/>
          <w:szCs w:val="22"/>
        </w:rPr>
        <w:t>:</w:t>
      </w:r>
    </w:p>
    <w:p w14:paraId="19908188" w14:textId="77777777" w:rsidR="00B21B7B" w:rsidRPr="00B30A12" w:rsidRDefault="00B21B7B" w:rsidP="008E2868">
      <w:pPr>
        <w:keepNext/>
        <w:widowControl w:val="0"/>
        <w:numPr>
          <w:ilvl w:val="0"/>
          <w:numId w:val="4"/>
        </w:numPr>
        <w:tabs>
          <w:tab w:val="clear" w:pos="360"/>
        </w:tabs>
        <w:ind w:left="567" w:hanging="567"/>
        <w:rPr>
          <w:color w:val="000000"/>
          <w:sz w:val="22"/>
          <w:szCs w:val="22"/>
        </w:rPr>
      </w:pPr>
      <w:r w:rsidRPr="00B30A12">
        <w:rPr>
          <w:color w:val="000000"/>
          <w:sz w:val="22"/>
          <w:szCs w:val="22"/>
        </w:rPr>
        <w:t>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w:t>
      </w:r>
    </w:p>
    <w:p w14:paraId="57C5F81A" w14:textId="77777777" w:rsidR="00B21B7B" w:rsidRPr="00B30A12" w:rsidRDefault="00B21B7B" w:rsidP="008E2868">
      <w:pPr>
        <w:keepNext/>
        <w:widowControl w:val="0"/>
        <w:numPr>
          <w:ilvl w:val="0"/>
          <w:numId w:val="4"/>
        </w:numPr>
        <w:tabs>
          <w:tab w:val="clear" w:pos="360"/>
        </w:tabs>
        <w:ind w:left="567" w:hanging="567"/>
        <w:rPr>
          <w:color w:val="000000"/>
          <w:sz w:val="22"/>
          <w:szCs w:val="22"/>
        </w:rPr>
      </w:pPr>
      <w:r w:rsidRPr="00B30A12">
        <w:rPr>
          <w:color w:val="000000"/>
          <w:sz w:val="22"/>
          <w:szCs w:val="22"/>
        </w:rPr>
        <w:t>Chronisches Nierenversagen.</w:t>
      </w:r>
    </w:p>
    <w:p w14:paraId="60CBD20A" w14:textId="77777777" w:rsidR="00B21B7B" w:rsidRPr="00B30A12" w:rsidRDefault="00B21B7B" w:rsidP="008E2868">
      <w:pPr>
        <w:keepNext/>
        <w:widowControl w:val="0"/>
        <w:numPr>
          <w:ilvl w:val="0"/>
          <w:numId w:val="4"/>
        </w:numPr>
        <w:tabs>
          <w:tab w:val="clear" w:pos="360"/>
        </w:tabs>
        <w:ind w:left="567" w:hanging="567"/>
        <w:rPr>
          <w:color w:val="000000"/>
          <w:sz w:val="22"/>
          <w:szCs w:val="22"/>
        </w:rPr>
      </w:pPr>
      <w:r w:rsidRPr="00B30A12">
        <w:rPr>
          <w:color w:val="000000"/>
          <w:sz w:val="22"/>
          <w:szCs w:val="22"/>
        </w:rPr>
        <w:t>Erneutes Auftreten (Reaktivierung) einer Hepatitis-B-Infektion, wenn Sie in der Vergangenheit bereits Hepatitis B (eine Leberinfektion) hatten.</w:t>
      </w:r>
    </w:p>
    <w:p w14:paraId="0645A63F" w14:textId="77777777" w:rsidR="00040717" w:rsidRPr="00B30A12" w:rsidRDefault="00040717" w:rsidP="008E2868">
      <w:pPr>
        <w:keepNext/>
        <w:widowControl w:val="0"/>
        <w:rPr>
          <w:color w:val="000000"/>
          <w:sz w:val="22"/>
          <w:szCs w:val="22"/>
        </w:rPr>
      </w:pPr>
    </w:p>
    <w:p w14:paraId="390785D8" w14:textId="77777777" w:rsidR="003A33A6" w:rsidRPr="00B30A12" w:rsidRDefault="003A33A6" w:rsidP="000C47C6">
      <w:pPr>
        <w:widowControl w:val="0"/>
        <w:rPr>
          <w:color w:val="000000"/>
          <w:sz w:val="22"/>
          <w:szCs w:val="22"/>
        </w:rPr>
      </w:pPr>
      <w:r w:rsidRPr="00B30A12">
        <w:rPr>
          <w:color w:val="000000"/>
          <w:sz w:val="22"/>
          <w:szCs w:val="22"/>
        </w:rPr>
        <w:t xml:space="preserve">Falls bei Ihnen eine der genannten Nebenwirkungen auftritt, </w:t>
      </w:r>
      <w:r w:rsidRPr="00B30A12">
        <w:rPr>
          <w:b/>
          <w:color w:val="000000"/>
          <w:sz w:val="22"/>
          <w:szCs w:val="22"/>
        </w:rPr>
        <w:t>informieren Sie unverzüglich Ihren Arzt.</w:t>
      </w:r>
    </w:p>
    <w:p w14:paraId="70A689D4" w14:textId="77777777" w:rsidR="003A33A6" w:rsidRPr="00B30A12" w:rsidRDefault="003A33A6" w:rsidP="000C47C6">
      <w:pPr>
        <w:widowControl w:val="0"/>
        <w:rPr>
          <w:color w:val="000000"/>
          <w:sz w:val="22"/>
          <w:szCs w:val="22"/>
        </w:rPr>
      </w:pPr>
    </w:p>
    <w:p w14:paraId="40028C77" w14:textId="77777777" w:rsidR="003A33A6" w:rsidRPr="00B30A12" w:rsidRDefault="003A33A6" w:rsidP="008E2868">
      <w:pPr>
        <w:keepNext/>
        <w:widowControl w:val="0"/>
        <w:rPr>
          <w:b/>
          <w:color w:val="000000"/>
          <w:sz w:val="22"/>
          <w:szCs w:val="22"/>
        </w:rPr>
      </w:pPr>
      <w:r w:rsidRPr="00B30A12">
        <w:rPr>
          <w:b/>
          <w:color w:val="000000"/>
          <w:sz w:val="22"/>
          <w:szCs w:val="22"/>
        </w:rPr>
        <w:t>Andere Nebenwirkungen können umfassen:</w:t>
      </w:r>
    </w:p>
    <w:p w14:paraId="3CD39436" w14:textId="77777777" w:rsidR="003A33A6" w:rsidRPr="00B30A12" w:rsidRDefault="003A33A6" w:rsidP="008E2868">
      <w:pPr>
        <w:keepNext/>
        <w:widowControl w:val="0"/>
        <w:rPr>
          <w:color w:val="000000"/>
          <w:sz w:val="22"/>
          <w:szCs w:val="22"/>
        </w:rPr>
      </w:pPr>
    </w:p>
    <w:p w14:paraId="1BE9B370" w14:textId="77777777" w:rsidR="003A33A6" w:rsidRPr="00B30A12" w:rsidRDefault="003A33A6" w:rsidP="008E2868">
      <w:pPr>
        <w:keepNext/>
        <w:widowControl w:val="0"/>
        <w:rPr>
          <w:color w:val="000000"/>
          <w:sz w:val="22"/>
          <w:szCs w:val="22"/>
        </w:rPr>
      </w:pPr>
      <w:r w:rsidRPr="00B30A12">
        <w:rPr>
          <w:b/>
          <w:color w:val="000000"/>
          <w:sz w:val="22"/>
          <w:szCs w:val="22"/>
        </w:rPr>
        <w:t xml:space="preserve">Sehr häufig </w:t>
      </w:r>
      <w:r w:rsidRPr="00B30A12">
        <w:rPr>
          <w:color w:val="000000"/>
          <w:sz w:val="22"/>
          <w:szCs w:val="22"/>
        </w:rPr>
        <w:t>(</w:t>
      </w:r>
      <w:r w:rsidR="0003230A" w:rsidRPr="00B30A12">
        <w:rPr>
          <w:color w:val="000000"/>
          <w:sz w:val="22"/>
          <w:szCs w:val="22"/>
        </w:rPr>
        <w:t>kann mehr als 1 von 10 Behandelten betreffen</w:t>
      </w:r>
      <w:r w:rsidRPr="00B30A12">
        <w:rPr>
          <w:color w:val="000000"/>
          <w:sz w:val="22"/>
          <w:szCs w:val="22"/>
        </w:rPr>
        <w:t>):</w:t>
      </w:r>
    </w:p>
    <w:p w14:paraId="6F957EA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Kopfschmerzen oder Müdigkeit.</w:t>
      </w:r>
    </w:p>
    <w:p w14:paraId="55293BB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Übelkeit, Erbrechen, Durchfall oder Verdauungsstörungen.</w:t>
      </w:r>
    </w:p>
    <w:p w14:paraId="29E3B99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Hautausschlag.</w:t>
      </w:r>
    </w:p>
    <w:p w14:paraId="20528F00"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Muskelkrämpfe oder Gelenk-, Muskel- oder Knochenschmerzen</w:t>
      </w:r>
      <w:r w:rsidR="00613598" w:rsidRPr="00B30A12">
        <w:rPr>
          <w:color w:val="000000"/>
          <w:sz w:val="22"/>
          <w:szCs w:val="22"/>
        </w:rPr>
        <w:t>, während der Behandlung mit Glivec oder nachdem Sie die Einnahme von Glivec beendet haben</w:t>
      </w:r>
      <w:r w:rsidRPr="00B30A12">
        <w:rPr>
          <w:color w:val="000000"/>
          <w:sz w:val="22"/>
          <w:szCs w:val="22"/>
        </w:rPr>
        <w:t>.</w:t>
      </w:r>
    </w:p>
    <w:p w14:paraId="1A44A3A2"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Schwellungen wie Gelenkschwellungen oder geschwollene Augen.</w:t>
      </w:r>
    </w:p>
    <w:p w14:paraId="56462CE8" w14:textId="77777777" w:rsidR="003A33A6" w:rsidRPr="00B30A12" w:rsidRDefault="003A33A6" w:rsidP="001E3D49">
      <w:pPr>
        <w:keepLines/>
        <w:widowControl w:val="0"/>
        <w:numPr>
          <w:ilvl w:val="0"/>
          <w:numId w:val="8"/>
        </w:numPr>
        <w:tabs>
          <w:tab w:val="clear" w:pos="360"/>
        </w:tabs>
        <w:ind w:left="567" w:hanging="567"/>
        <w:rPr>
          <w:color w:val="000000"/>
          <w:sz w:val="22"/>
          <w:szCs w:val="22"/>
        </w:rPr>
      </w:pPr>
      <w:r w:rsidRPr="00B30A12">
        <w:rPr>
          <w:color w:val="000000"/>
          <w:sz w:val="22"/>
          <w:szCs w:val="22"/>
        </w:rPr>
        <w:t>Gewichtszunahme.</w:t>
      </w:r>
    </w:p>
    <w:p w14:paraId="5D359CD1" w14:textId="77777777" w:rsidR="003A33A6" w:rsidRPr="00B30A12" w:rsidRDefault="003A33A6" w:rsidP="000C47C6">
      <w:pPr>
        <w:widowControl w:val="0"/>
        <w:rPr>
          <w:b/>
          <w:color w:val="000000"/>
          <w:sz w:val="22"/>
          <w:szCs w:val="22"/>
        </w:rPr>
      </w:pPr>
      <w:r w:rsidRPr="00B30A12">
        <w:rPr>
          <w:color w:val="000000"/>
          <w:sz w:val="22"/>
          <w:szCs w:val="22"/>
        </w:rPr>
        <w:t xml:space="preserve">Wenn Sie einer dieser Effekte in starkem Maße betrifft, </w:t>
      </w:r>
      <w:r w:rsidRPr="00B30A12">
        <w:rPr>
          <w:b/>
          <w:color w:val="000000"/>
          <w:sz w:val="22"/>
          <w:szCs w:val="22"/>
        </w:rPr>
        <w:t>informieren Sie Ihren Arzt.</w:t>
      </w:r>
    </w:p>
    <w:p w14:paraId="6CCDE447" w14:textId="77777777" w:rsidR="003A33A6" w:rsidRPr="00B30A12" w:rsidRDefault="003A33A6" w:rsidP="000C47C6">
      <w:pPr>
        <w:widowControl w:val="0"/>
        <w:rPr>
          <w:color w:val="000000"/>
          <w:sz w:val="22"/>
          <w:szCs w:val="22"/>
        </w:rPr>
      </w:pPr>
    </w:p>
    <w:p w14:paraId="31BB5647" w14:textId="77777777" w:rsidR="003A33A6" w:rsidRPr="00B30A12" w:rsidRDefault="003A33A6" w:rsidP="008E2868">
      <w:pPr>
        <w:keepNext/>
        <w:widowControl w:val="0"/>
        <w:rPr>
          <w:i/>
          <w:color w:val="000000"/>
          <w:sz w:val="22"/>
          <w:szCs w:val="22"/>
        </w:rPr>
      </w:pPr>
      <w:r w:rsidRPr="00B30A12">
        <w:rPr>
          <w:b/>
          <w:color w:val="000000"/>
          <w:sz w:val="22"/>
          <w:szCs w:val="22"/>
        </w:rPr>
        <w:t xml:space="preserve">Häufig </w:t>
      </w:r>
      <w:r w:rsidRPr="00B30A12">
        <w:rPr>
          <w:color w:val="000000"/>
          <w:sz w:val="22"/>
          <w:szCs w:val="22"/>
        </w:rPr>
        <w:t>(</w:t>
      </w:r>
      <w:r w:rsidR="0003230A" w:rsidRPr="00B30A12">
        <w:rPr>
          <w:color w:val="000000"/>
          <w:sz w:val="22"/>
          <w:szCs w:val="22"/>
        </w:rPr>
        <w:t>kann bis zu 1 von 10 Behandelten betreffen</w:t>
      </w:r>
      <w:r w:rsidRPr="00B30A12">
        <w:rPr>
          <w:color w:val="000000"/>
          <w:sz w:val="22"/>
          <w:szCs w:val="22"/>
        </w:rPr>
        <w:t>):</w:t>
      </w:r>
    </w:p>
    <w:p w14:paraId="7AE9BD94"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Appetitverlust, Gewichtsverlust oder Geschmacks</w:t>
      </w:r>
      <w:r w:rsidRPr="00B30A12">
        <w:rPr>
          <w:color w:val="000000"/>
          <w:sz w:val="22"/>
          <w:szCs w:val="22"/>
        </w:rPr>
        <w:softHyphen/>
        <w:t>störungen.</w:t>
      </w:r>
    </w:p>
    <w:p w14:paraId="741AC428"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Schwindel oder Schwächegefühl.</w:t>
      </w:r>
    </w:p>
    <w:p w14:paraId="41E43A3A"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Schlaflosigkeit.</w:t>
      </w:r>
    </w:p>
    <w:p w14:paraId="6B9A9B1C"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Augenirritationen mit Juckreiz, Rötung und Schwellung (Bindehautentzündung), vermehrter Tränenfluss oder verschwommenes Sehen.</w:t>
      </w:r>
    </w:p>
    <w:p w14:paraId="253D6B6C"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Nasenbluten.</w:t>
      </w:r>
    </w:p>
    <w:p w14:paraId="404ED797"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Bauchschmerzen oder Bläh</w:t>
      </w:r>
      <w:r w:rsidRPr="00B30A12">
        <w:rPr>
          <w:color w:val="000000"/>
          <w:sz w:val="22"/>
          <w:szCs w:val="22"/>
        </w:rPr>
        <w:softHyphen/>
        <w:t>bauch, Blähungen, Sodbrennen oder Verstopfung.</w:t>
      </w:r>
    </w:p>
    <w:p w14:paraId="2BB18F07"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lastRenderedPageBreak/>
        <w:t>Jucken.</w:t>
      </w:r>
    </w:p>
    <w:p w14:paraId="55C8CAD8"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Ungewöhnlicher Haarverlust oder Ausdünnen der Haare.</w:t>
      </w:r>
    </w:p>
    <w:p w14:paraId="131AAF5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Taubheit an Händen und Füßen.</w:t>
      </w:r>
    </w:p>
    <w:p w14:paraId="01C65609"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Entzündungen im Mund.</w:t>
      </w:r>
    </w:p>
    <w:p w14:paraId="30DF432E"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Gelenkschwellungen und Gelenkschmerzen.</w:t>
      </w:r>
    </w:p>
    <w:p w14:paraId="00210021"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Mundtrockenheit, trockene Haut oder trockene Augen.</w:t>
      </w:r>
    </w:p>
    <w:p w14:paraId="0D0E8FE3" w14:textId="77777777" w:rsidR="003A33A6" w:rsidRPr="00B30A12" w:rsidRDefault="003A33A6" w:rsidP="000C47C6">
      <w:pPr>
        <w:widowControl w:val="0"/>
        <w:numPr>
          <w:ilvl w:val="0"/>
          <w:numId w:val="8"/>
        </w:numPr>
        <w:tabs>
          <w:tab w:val="clear" w:pos="360"/>
        </w:tabs>
        <w:ind w:left="567" w:hanging="567"/>
        <w:rPr>
          <w:color w:val="000000"/>
          <w:sz w:val="22"/>
          <w:szCs w:val="22"/>
        </w:rPr>
      </w:pPr>
      <w:r w:rsidRPr="00B30A12">
        <w:rPr>
          <w:color w:val="000000"/>
          <w:sz w:val="22"/>
          <w:szCs w:val="22"/>
        </w:rPr>
        <w:t>Verminderte oder erhöhte Hautempfindlichkeit.</w:t>
      </w:r>
    </w:p>
    <w:p w14:paraId="02B2BD27" w14:textId="77777777" w:rsidR="003A33A6" w:rsidRPr="00B30A12" w:rsidRDefault="003A33A6" w:rsidP="001E3D49">
      <w:pPr>
        <w:keepNext/>
        <w:widowControl w:val="0"/>
        <w:numPr>
          <w:ilvl w:val="0"/>
          <w:numId w:val="8"/>
        </w:numPr>
        <w:tabs>
          <w:tab w:val="clear" w:pos="360"/>
        </w:tabs>
        <w:ind w:left="567" w:hanging="567"/>
        <w:rPr>
          <w:color w:val="000000"/>
          <w:sz w:val="22"/>
          <w:szCs w:val="22"/>
        </w:rPr>
      </w:pPr>
      <w:r w:rsidRPr="00B30A12">
        <w:rPr>
          <w:color w:val="000000"/>
          <w:sz w:val="22"/>
          <w:szCs w:val="22"/>
        </w:rPr>
        <w:t>Hitzewallungen, Schüttelfrost oder Nachtschweiß.</w:t>
      </w:r>
    </w:p>
    <w:p w14:paraId="1E0F402D" w14:textId="77777777" w:rsidR="003A33A6" w:rsidRPr="00B30A12" w:rsidRDefault="003A33A6" w:rsidP="000C47C6">
      <w:pPr>
        <w:widowControl w:val="0"/>
        <w:rPr>
          <w:b/>
          <w:color w:val="000000"/>
          <w:sz w:val="22"/>
          <w:szCs w:val="22"/>
        </w:rPr>
      </w:pPr>
      <w:r w:rsidRPr="00B30A12">
        <w:rPr>
          <w:color w:val="000000"/>
          <w:sz w:val="22"/>
          <w:szCs w:val="22"/>
        </w:rPr>
        <w:t xml:space="preserve">Wenn Sie einer dieser Effekte in starkem Maße betrifft, </w:t>
      </w:r>
      <w:r w:rsidRPr="00B30A12">
        <w:rPr>
          <w:b/>
          <w:color w:val="000000"/>
          <w:sz w:val="22"/>
          <w:szCs w:val="22"/>
        </w:rPr>
        <w:t>informieren Sie Ihren Arzt.</w:t>
      </w:r>
    </w:p>
    <w:p w14:paraId="4A1DBFB7" w14:textId="77777777" w:rsidR="003A33A6" w:rsidRPr="00B30A12" w:rsidRDefault="003A33A6" w:rsidP="000C47C6">
      <w:pPr>
        <w:widowControl w:val="0"/>
        <w:rPr>
          <w:color w:val="000000"/>
          <w:sz w:val="22"/>
          <w:szCs w:val="22"/>
        </w:rPr>
      </w:pPr>
    </w:p>
    <w:p w14:paraId="7250B05C" w14:textId="77777777" w:rsidR="003A33A6" w:rsidRPr="00B30A12" w:rsidRDefault="003A33A6" w:rsidP="008E2868">
      <w:pPr>
        <w:keepNext/>
        <w:widowControl w:val="0"/>
        <w:rPr>
          <w:color w:val="000000"/>
          <w:sz w:val="22"/>
          <w:szCs w:val="22"/>
        </w:rPr>
      </w:pPr>
      <w:r w:rsidRPr="00B30A12">
        <w:rPr>
          <w:b/>
          <w:color w:val="000000"/>
          <w:sz w:val="22"/>
          <w:szCs w:val="22"/>
        </w:rPr>
        <w:t xml:space="preserve">Nicht bekannt </w:t>
      </w:r>
      <w:r w:rsidRPr="00B30A12">
        <w:rPr>
          <w:color w:val="000000"/>
          <w:sz w:val="22"/>
          <w:szCs w:val="22"/>
        </w:rPr>
        <w:t>(Häufigkeit auf Grundlage der verfügbaren Daten nicht abschätzbar):</w:t>
      </w:r>
    </w:p>
    <w:p w14:paraId="1C8AB44F" w14:textId="77777777" w:rsidR="003A33A6" w:rsidRDefault="003A33A6" w:rsidP="008E2868">
      <w:pPr>
        <w:keepNext/>
        <w:widowControl w:val="0"/>
        <w:numPr>
          <w:ilvl w:val="0"/>
          <w:numId w:val="8"/>
        </w:numPr>
        <w:tabs>
          <w:tab w:val="clear" w:pos="360"/>
        </w:tabs>
        <w:ind w:left="567" w:hanging="567"/>
        <w:rPr>
          <w:color w:val="000000"/>
          <w:sz w:val="22"/>
          <w:szCs w:val="22"/>
        </w:rPr>
      </w:pPr>
      <w:r w:rsidRPr="00B30A12">
        <w:rPr>
          <w:color w:val="000000"/>
          <w:sz w:val="22"/>
          <w:szCs w:val="22"/>
        </w:rPr>
        <w:t>Rötung und/oder Schwellung der Handflächen und Fußsohlen, das von Kribbeln und brennendem Schmerz begleitet sein kann.</w:t>
      </w:r>
    </w:p>
    <w:p w14:paraId="1033E9FB" w14:textId="77777777" w:rsidR="00935428" w:rsidRPr="000016FC" w:rsidRDefault="00935428" w:rsidP="00935428">
      <w:pPr>
        <w:keepNext/>
        <w:widowControl w:val="0"/>
        <w:numPr>
          <w:ilvl w:val="0"/>
          <w:numId w:val="8"/>
        </w:numPr>
        <w:tabs>
          <w:tab w:val="clear" w:pos="360"/>
        </w:tabs>
        <w:ind w:left="567" w:hanging="567"/>
        <w:rPr>
          <w:color w:val="000000"/>
          <w:sz w:val="22"/>
          <w:szCs w:val="22"/>
        </w:rPr>
      </w:pPr>
      <w:r w:rsidRPr="00935428">
        <w:rPr>
          <w:color w:val="000000"/>
          <w:sz w:val="22"/>
          <w:szCs w:val="22"/>
        </w:rPr>
        <w:t>Schmerzhafte und/oder blasenbildende</w:t>
      </w:r>
      <w:r w:rsidRPr="002C0CB2">
        <w:rPr>
          <w:color w:val="000000"/>
          <w:sz w:val="22"/>
          <w:szCs w:val="22"/>
        </w:rPr>
        <w:t xml:space="preserve"> Hautv</w:t>
      </w:r>
      <w:r w:rsidRPr="000016FC">
        <w:rPr>
          <w:color w:val="000000"/>
          <w:sz w:val="22"/>
          <w:szCs w:val="22"/>
        </w:rPr>
        <w:t>eränderungen.</w:t>
      </w:r>
    </w:p>
    <w:p w14:paraId="32A40D43" w14:textId="77777777" w:rsidR="003A33A6" w:rsidRPr="00B30A12" w:rsidRDefault="003A33A6" w:rsidP="008E2868">
      <w:pPr>
        <w:keepNext/>
        <w:widowControl w:val="0"/>
        <w:numPr>
          <w:ilvl w:val="0"/>
          <w:numId w:val="8"/>
        </w:numPr>
        <w:tabs>
          <w:tab w:val="clear" w:pos="360"/>
        </w:tabs>
        <w:ind w:left="567" w:hanging="567"/>
        <w:rPr>
          <w:color w:val="000000"/>
          <w:sz w:val="22"/>
          <w:szCs w:val="22"/>
        </w:rPr>
      </w:pPr>
      <w:r w:rsidRPr="00B30A12">
        <w:rPr>
          <w:color w:val="000000"/>
          <w:sz w:val="22"/>
          <w:szCs w:val="22"/>
        </w:rPr>
        <w:t>Verlangsamtes Wachstum bei Kindern und Jugendlichen.</w:t>
      </w:r>
    </w:p>
    <w:p w14:paraId="5A9D9D54" w14:textId="77777777" w:rsidR="003A33A6" w:rsidRPr="00B30A12" w:rsidRDefault="003A33A6" w:rsidP="000C47C6">
      <w:pPr>
        <w:widowControl w:val="0"/>
        <w:rPr>
          <w:b/>
          <w:color w:val="000000"/>
          <w:sz w:val="22"/>
          <w:szCs w:val="22"/>
        </w:rPr>
      </w:pPr>
      <w:r w:rsidRPr="00B30A12">
        <w:rPr>
          <w:color w:val="000000"/>
          <w:sz w:val="22"/>
          <w:szCs w:val="22"/>
        </w:rPr>
        <w:t xml:space="preserve">Wenn Sie eine dieser Nebenwirkungen in starkem Maße betrifft, </w:t>
      </w:r>
      <w:r w:rsidRPr="00B30A12">
        <w:rPr>
          <w:b/>
          <w:color w:val="000000"/>
          <w:sz w:val="22"/>
          <w:szCs w:val="22"/>
        </w:rPr>
        <w:t>informieren Sie Ihren Arzt.</w:t>
      </w:r>
    </w:p>
    <w:p w14:paraId="6BA97F1F" w14:textId="77777777" w:rsidR="003A33A6" w:rsidRPr="00B30A12" w:rsidRDefault="003A33A6" w:rsidP="000C47C6">
      <w:pPr>
        <w:widowControl w:val="0"/>
        <w:rPr>
          <w:color w:val="000000"/>
          <w:sz w:val="22"/>
          <w:szCs w:val="22"/>
        </w:rPr>
      </w:pPr>
    </w:p>
    <w:p w14:paraId="607EBFC5" w14:textId="77777777" w:rsidR="003A33A6" w:rsidRPr="00B30A12" w:rsidRDefault="003A33A6" w:rsidP="008E2868">
      <w:pPr>
        <w:pStyle w:val="Text"/>
        <w:keepNext/>
        <w:widowControl w:val="0"/>
        <w:spacing w:before="0"/>
        <w:jc w:val="left"/>
        <w:rPr>
          <w:b/>
          <w:color w:val="000000"/>
          <w:sz w:val="22"/>
          <w:szCs w:val="22"/>
          <w:lang w:val="de-DE"/>
        </w:rPr>
      </w:pPr>
      <w:r w:rsidRPr="00B30A12">
        <w:rPr>
          <w:b/>
          <w:color w:val="000000"/>
          <w:sz w:val="22"/>
          <w:szCs w:val="22"/>
          <w:lang w:val="de-DE"/>
        </w:rPr>
        <w:t>Meldung von Nebenwirkungen</w:t>
      </w:r>
    </w:p>
    <w:p w14:paraId="798FDDFA" w14:textId="77777777" w:rsidR="003A33A6" w:rsidRPr="00B30A12" w:rsidRDefault="003A33A6" w:rsidP="000C47C6">
      <w:pPr>
        <w:widowControl w:val="0"/>
        <w:rPr>
          <w:b/>
          <w:color w:val="000000"/>
          <w:sz w:val="22"/>
          <w:szCs w:val="22"/>
        </w:rPr>
      </w:pPr>
      <w:r w:rsidRPr="00B30A12">
        <w:rPr>
          <w:color w:val="000000"/>
          <w:sz w:val="22"/>
          <w:szCs w:val="22"/>
        </w:rPr>
        <w:t>Wenn Sie Nebenwirkungen bemerken, wenden Sie sich an Ihren Arzt, Apotheker oder das medizinische Fachpersonal. Dies gilt auch für Nebenwirkungen, die nicht in dieser Packungsbeilage angegeben sind.</w:t>
      </w:r>
      <w:r w:rsidRPr="00B30A12">
        <w:rPr>
          <w:noProof/>
          <w:sz w:val="22"/>
          <w:szCs w:val="22"/>
        </w:rPr>
        <w:t xml:space="preserve"> Sie können Nebenwirkungen auch direkt über </w:t>
      </w:r>
      <w:r w:rsidRPr="00B30A12">
        <w:rPr>
          <w:noProof/>
          <w:sz w:val="22"/>
          <w:szCs w:val="22"/>
          <w:shd w:val="pct15" w:color="auto" w:fill="auto"/>
        </w:rPr>
        <w:t xml:space="preserve">das in </w:t>
      </w:r>
      <w:hyperlink r:id="rId17" w:history="1">
        <w:r w:rsidRPr="00B30A12">
          <w:rPr>
            <w:rStyle w:val="Hyperlink"/>
            <w:noProof/>
            <w:sz w:val="22"/>
            <w:szCs w:val="22"/>
            <w:shd w:val="pct15" w:color="auto" w:fill="auto"/>
          </w:rPr>
          <w:t>Anhang V</w:t>
        </w:r>
      </w:hyperlink>
      <w:r w:rsidRPr="00B30A12">
        <w:rPr>
          <w:noProof/>
          <w:sz w:val="22"/>
          <w:szCs w:val="22"/>
          <w:shd w:val="pct15" w:color="auto" w:fill="auto"/>
        </w:rPr>
        <w:t xml:space="preserve"> aufgeführte nationale Meldesystem</w:t>
      </w:r>
      <w:r w:rsidRPr="00B30A12">
        <w:rPr>
          <w:noProof/>
          <w:sz w:val="22"/>
          <w:szCs w:val="22"/>
        </w:rPr>
        <w:t xml:space="preserve"> anzeigen.</w:t>
      </w:r>
      <w:r w:rsidRPr="00B30A12">
        <w:rPr>
          <w:sz w:val="22"/>
          <w:szCs w:val="22"/>
        </w:rPr>
        <w:t xml:space="preserve"> </w:t>
      </w:r>
      <w:r w:rsidRPr="00B30A12">
        <w:rPr>
          <w:noProof/>
          <w:sz w:val="22"/>
          <w:szCs w:val="22"/>
        </w:rPr>
        <w:t>Indem Sie Nebenwirkungen melden, können Sie dazu beitragen, dass mehr Informationen über die Sicherheit dieses Arzneimittels zur Verfügung gestellt werden.</w:t>
      </w:r>
    </w:p>
    <w:p w14:paraId="1F43B1DD" w14:textId="77777777" w:rsidR="003A33A6" w:rsidRPr="00B30A12" w:rsidRDefault="003A33A6" w:rsidP="000C47C6">
      <w:pPr>
        <w:pStyle w:val="Header"/>
        <w:widowControl w:val="0"/>
        <w:tabs>
          <w:tab w:val="clear" w:pos="4320"/>
          <w:tab w:val="clear" w:pos="8640"/>
        </w:tabs>
        <w:rPr>
          <w:color w:val="000000"/>
          <w:szCs w:val="22"/>
        </w:rPr>
      </w:pPr>
    </w:p>
    <w:p w14:paraId="030B3073" w14:textId="77777777" w:rsidR="003A33A6" w:rsidRPr="00B30A12" w:rsidRDefault="003A33A6" w:rsidP="000C47C6">
      <w:pPr>
        <w:widowControl w:val="0"/>
        <w:rPr>
          <w:color w:val="000000"/>
          <w:sz w:val="22"/>
          <w:szCs w:val="22"/>
        </w:rPr>
      </w:pPr>
    </w:p>
    <w:p w14:paraId="5F4E51FD" w14:textId="77777777" w:rsidR="007217B7" w:rsidRPr="00B30A12" w:rsidRDefault="007217B7" w:rsidP="008E2868">
      <w:pPr>
        <w:keepNext/>
        <w:widowControl w:val="0"/>
        <w:ind w:left="567" w:hanging="567"/>
        <w:rPr>
          <w:color w:val="000000"/>
          <w:sz w:val="22"/>
          <w:szCs w:val="22"/>
        </w:rPr>
      </w:pPr>
      <w:r w:rsidRPr="00B30A12">
        <w:rPr>
          <w:b/>
          <w:color w:val="000000"/>
          <w:sz w:val="22"/>
          <w:szCs w:val="22"/>
        </w:rPr>
        <w:t>5.</w:t>
      </w:r>
      <w:r w:rsidRPr="00B30A12">
        <w:rPr>
          <w:b/>
          <w:color w:val="000000"/>
          <w:sz w:val="22"/>
          <w:szCs w:val="22"/>
        </w:rPr>
        <w:tab/>
        <w:t>Wie ist Glivec aufzubewahren?</w:t>
      </w:r>
    </w:p>
    <w:p w14:paraId="5AAC492D" w14:textId="77777777" w:rsidR="007217B7" w:rsidRPr="00B30A12" w:rsidRDefault="007217B7" w:rsidP="008E2868">
      <w:pPr>
        <w:keepNext/>
        <w:widowControl w:val="0"/>
        <w:rPr>
          <w:color w:val="000000"/>
          <w:sz w:val="22"/>
          <w:szCs w:val="22"/>
        </w:rPr>
      </w:pPr>
    </w:p>
    <w:p w14:paraId="1E803444"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Bewahren Sie dieses Arzneimittel für Kinder unzugänglich auf.</w:t>
      </w:r>
    </w:p>
    <w:p w14:paraId="3761E447"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 xml:space="preserve">Sie dürfen dieses Arzneimittel nach dem auf dem Umkarton </w:t>
      </w:r>
      <w:r w:rsidR="00935428">
        <w:rPr>
          <w:color w:val="000000"/>
          <w:sz w:val="22"/>
          <w:szCs w:val="22"/>
        </w:rPr>
        <w:t>nach „</w:t>
      </w:r>
      <w:r w:rsidR="00935428" w:rsidRPr="00B30A12">
        <w:rPr>
          <w:color w:val="000000"/>
          <w:sz w:val="22"/>
          <w:szCs w:val="22"/>
        </w:rPr>
        <w:t>Verwendbar bis</w:t>
      </w:r>
      <w:r w:rsidR="00935428">
        <w:rPr>
          <w:color w:val="000000"/>
          <w:sz w:val="22"/>
          <w:szCs w:val="22"/>
        </w:rPr>
        <w:t xml:space="preserve">“ </w:t>
      </w:r>
      <w:r w:rsidRPr="00B30A12">
        <w:rPr>
          <w:color w:val="000000"/>
          <w:sz w:val="22"/>
          <w:szCs w:val="22"/>
        </w:rPr>
        <w:t>angegebenen Verfalldatum nicht mehr verwenden.</w:t>
      </w:r>
    </w:p>
    <w:p w14:paraId="417F4DE3"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Nicht über 30°C lagern.</w:t>
      </w:r>
    </w:p>
    <w:p w14:paraId="4BDBCBFD" w14:textId="77777777" w:rsidR="007217B7"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In der Originalverpackung aufbewahren, um den Inhalt vor Feuchtigkeit zu schützen.</w:t>
      </w:r>
    </w:p>
    <w:p w14:paraId="4A2D9089" w14:textId="77777777" w:rsidR="00B311A3" w:rsidRPr="00B30A12" w:rsidRDefault="007217B7" w:rsidP="000C47C6">
      <w:pPr>
        <w:widowControl w:val="0"/>
        <w:numPr>
          <w:ilvl w:val="0"/>
          <w:numId w:val="12"/>
        </w:numPr>
        <w:tabs>
          <w:tab w:val="clear" w:pos="360"/>
        </w:tabs>
        <w:ind w:left="567" w:hanging="567"/>
        <w:rPr>
          <w:color w:val="000000"/>
          <w:sz w:val="22"/>
          <w:szCs w:val="22"/>
        </w:rPr>
      </w:pPr>
      <w:r w:rsidRPr="00B30A12">
        <w:rPr>
          <w:color w:val="000000"/>
          <w:sz w:val="22"/>
          <w:szCs w:val="22"/>
        </w:rPr>
        <w:t>Verwenden Sie keine Packung, die beschädigt ist oder an der manipuliert wurde.</w:t>
      </w:r>
    </w:p>
    <w:p w14:paraId="510EB9A0" w14:textId="77777777" w:rsidR="007217B7" w:rsidRPr="00B30A12" w:rsidRDefault="00B311A3" w:rsidP="000C47C6">
      <w:pPr>
        <w:widowControl w:val="0"/>
        <w:numPr>
          <w:ilvl w:val="0"/>
          <w:numId w:val="12"/>
        </w:numPr>
        <w:tabs>
          <w:tab w:val="clear" w:pos="360"/>
        </w:tabs>
        <w:ind w:left="567" w:hanging="567"/>
        <w:rPr>
          <w:color w:val="000000"/>
          <w:sz w:val="22"/>
          <w:szCs w:val="22"/>
        </w:rPr>
      </w:pPr>
      <w:r w:rsidRPr="00B30A12">
        <w:rPr>
          <w:color w:val="000000"/>
          <w:sz w:val="22"/>
          <w:szCs w:val="22"/>
        </w:rPr>
        <w:t>Entsorgen Sie Arzneimittel nicht im Abwasser oder Haushaltsabfall. Fragen Sie Ihren Apotheker, wie das Arzneimittel zu entsorgen ist, wenn Sie es nicht mehr verwenden. Sie tragen damit zum Schutz der Umwelt bei.</w:t>
      </w:r>
    </w:p>
    <w:p w14:paraId="3CF41182" w14:textId="77777777" w:rsidR="00AB6D5E" w:rsidRPr="00B30A12" w:rsidRDefault="00AB6D5E" w:rsidP="000C47C6">
      <w:pPr>
        <w:pStyle w:val="Header"/>
        <w:widowControl w:val="0"/>
        <w:tabs>
          <w:tab w:val="clear" w:pos="4320"/>
          <w:tab w:val="clear" w:pos="8640"/>
        </w:tabs>
        <w:rPr>
          <w:color w:val="000000"/>
          <w:szCs w:val="22"/>
        </w:rPr>
      </w:pPr>
    </w:p>
    <w:p w14:paraId="7A506EA8" w14:textId="77777777" w:rsidR="00AB6D5E" w:rsidRPr="00B30A12" w:rsidRDefault="00AB6D5E" w:rsidP="000C47C6">
      <w:pPr>
        <w:widowControl w:val="0"/>
        <w:rPr>
          <w:color w:val="000000"/>
          <w:sz w:val="22"/>
          <w:szCs w:val="22"/>
        </w:rPr>
      </w:pPr>
    </w:p>
    <w:p w14:paraId="7AB21957" w14:textId="77777777" w:rsidR="00AB6D5E" w:rsidRPr="00B30A12" w:rsidRDefault="00AB6D5E" w:rsidP="008E2868">
      <w:pPr>
        <w:keepNext/>
        <w:widowControl w:val="0"/>
        <w:rPr>
          <w:b/>
          <w:color w:val="000000"/>
          <w:sz w:val="22"/>
          <w:szCs w:val="22"/>
        </w:rPr>
      </w:pPr>
      <w:r w:rsidRPr="00B30A12">
        <w:rPr>
          <w:b/>
          <w:color w:val="000000"/>
          <w:sz w:val="22"/>
          <w:szCs w:val="22"/>
        </w:rPr>
        <w:t>6.</w:t>
      </w:r>
      <w:r w:rsidRPr="00B30A12">
        <w:rPr>
          <w:b/>
          <w:color w:val="000000"/>
          <w:sz w:val="22"/>
          <w:szCs w:val="22"/>
        </w:rPr>
        <w:tab/>
      </w:r>
      <w:r w:rsidR="002906C1" w:rsidRPr="00B30A12">
        <w:rPr>
          <w:b/>
          <w:color w:val="000000"/>
          <w:sz w:val="22"/>
          <w:szCs w:val="22"/>
        </w:rPr>
        <w:t>Inhalt der Packung und weitere Informationen</w:t>
      </w:r>
    </w:p>
    <w:p w14:paraId="1D83179E" w14:textId="77777777" w:rsidR="00AB6D5E" w:rsidRPr="00B30A12" w:rsidRDefault="00AB6D5E" w:rsidP="008E2868">
      <w:pPr>
        <w:keepNext/>
        <w:widowControl w:val="0"/>
        <w:rPr>
          <w:color w:val="000000"/>
          <w:sz w:val="22"/>
          <w:szCs w:val="22"/>
        </w:rPr>
      </w:pPr>
    </w:p>
    <w:p w14:paraId="492DC95C" w14:textId="77777777" w:rsidR="00AB6D5E" w:rsidRPr="00B30A12" w:rsidRDefault="00AB6D5E" w:rsidP="008E2868">
      <w:pPr>
        <w:pStyle w:val="BodyText"/>
        <w:widowControl w:val="0"/>
        <w:spacing w:line="240" w:lineRule="auto"/>
        <w:jc w:val="left"/>
        <w:rPr>
          <w:b/>
          <w:color w:val="000000"/>
          <w:szCs w:val="22"/>
        </w:rPr>
      </w:pPr>
      <w:r w:rsidRPr="00B30A12">
        <w:rPr>
          <w:b/>
          <w:color w:val="000000"/>
          <w:szCs w:val="22"/>
        </w:rPr>
        <w:t>Was Glivec enthält</w:t>
      </w:r>
    </w:p>
    <w:p w14:paraId="774FF9F2" w14:textId="77777777" w:rsidR="00EB7BA5" w:rsidRDefault="00AB6D5E" w:rsidP="000C47C6">
      <w:pPr>
        <w:widowControl w:val="0"/>
        <w:numPr>
          <w:ilvl w:val="0"/>
          <w:numId w:val="1"/>
        </w:numPr>
        <w:tabs>
          <w:tab w:val="clear" w:pos="417"/>
        </w:tabs>
        <w:ind w:left="567" w:hanging="567"/>
        <w:rPr>
          <w:color w:val="000000"/>
          <w:sz w:val="22"/>
          <w:szCs w:val="22"/>
        </w:rPr>
      </w:pPr>
      <w:r w:rsidRPr="00B30A12">
        <w:rPr>
          <w:color w:val="000000"/>
          <w:sz w:val="22"/>
          <w:szCs w:val="22"/>
        </w:rPr>
        <w:t>Der Wirkstoff ist Imatinibmesilat.</w:t>
      </w:r>
    </w:p>
    <w:p w14:paraId="7C92BAC4" w14:textId="57FB94BD" w:rsidR="00AB6D5E" w:rsidRDefault="00AB6D5E" w:rsidP="00491FC9">
      <w:pPr>
        <w:widowControl w:val="0"/>
        <w:numPr>
          <w:ilvl w:val="0"/>
          <w:numId w:val="1"/>
        </w:numPr>
        <w:tabs>
          <w:tab w:val="clear" w:pos="417"/>
        </w:tabs>
        <w:ind w:left="1134" w:hanging="567"/>
        <w:rPr>
          <w:color w:val="000000"/>
          <w:sz w:val="22"/>
          <w:szCs w:val="22"/>
        </w:rPr>
      </w:pPr>
      <w:r w:rsidRPr="00B30A12">
        <w:rPr>
          <w:color w:val="000000"/>
          <w:sz w:val="22"/>
          <w:szCs w:val="22"/>
        </w:rPr>
        <w:t xml:space="preserve">Jede </w:t>
      </w:r>
      <w:r w:rsidR="008B319E" w:rsidRPr="00B30A12">
        <w:rPr>
          <w:color w:val="000000"/>
          <w:sz w:val="22"/>
          <w:szCs w:val="22"/>
        </w:rPr>
        <w:t>100 mg</w:t>
      </w:r>
      <w:r w:rsidR="008B319E" w:rsidRPr="00B30A12">
        <w:rPr>
          <w:bCs/>
          <w:color w:val="000000"/>
          <w:sz w:val="22"/>
          <w:szCs w:val="22"/>
        </w:rPr>
        <w:t>-</w:t>
      </w:r>
      <w:r w:rsidRPr="00B30A12">
        <w:rPr>
          <w:color w:val="000000"/>
          <w:sz w:val="22"/>
          <w:szCs w:val="22"/>
        </w:rPr>
        <w:t>Tablette Glivec enthält 100 mg Imatinib</w:t>
      </w:r>
      <w:r w:rsidR="00001DA2" w:rsidRPr="00B30A12">
        <w:rPr>
          <w:color w:val="000000"/>
          <w:sz w:val="22"/>
          <w:szCs w:val="22"/>
        </w:rPr>
        <w:t xml:space="preserve"> (als M</w:t>
      </w:r>
      <w:r w:rsidRPr="00B30A12">
        <w:rPr>
          <w:color w:val="000000"/>
          <w:sz w:val="22"/>
          <w:szCs w:val="22"/>
        </w:rPr>
        <w:t>esilat</w:t>
      </w:r>
      <w:r w:rsidR="00001DA2" w:rsidRPr="00B30A12">
        <w:rPr>
          <w:color w:val="000000"/>
          <w:sz w:val="22"/>
          <w:szCs w:val="22"/>
        </w:rPr>
        <w:t>)</w:t>
      </w:r>
      <w:r w:rsidRPr="00B30A12">
        <w:rPr>
          <w:color w:val="000000"/>
          <w:sz w:val="22"/>
          <w:szCs w:val="22"/>
        </w:rPr>
        <w:t>.</w:t>
      </w:r>
    </w:p>
    <w:p w14:paraId="39BA249D" w14:textId="04BE9FFB" w:rsidR="00EB7BA5" w:rsidRPr="00B30A12" w:rsidRDefault="00EB7BA5" w:rsidP="00491FC9">
      <w:pPr>
        <w:widowControl w:val="0"/>
        <w:numPr>
          <w:ilvl w:val="0"/>
          <w:numId w:val="1"/>
        </w:numPr>
        <w:tabs>
          <w:tab w:val="clear" w:pos="417"/>
        </w:tabs>
        <w:ind w:left="1134" w:hanging="567"/>
        <w:rPr>
          <w:color w:val="000000"/>
          <w:sz w:val="22"/>
          <w:szCs w:val="22"/>
        </w:rPr>
      </w:pPr>
      <w:r w:rsidRPr="00B30A12">
        <w:rPr>
          <w:color w:val="000000"/>
          <w:sz w:val="22"/>
          <w:szCs w:val="22"/>
        </w:rPr>
        <w:t xml:space="preserve">Jede </w:t>
      </w:r>
      <w:r w:rsidR="008B319E">
        <w:rPr>
          <w:color w:val="000000"/>
          <w:sz w:val="22"/>
          <w:szCs w:val="22"/>
        </w:rPr>
        <w:t>400 mg</w:t>
      </w:r>
      <w:r w:rsidR="008B319E" w:rsidRPr="00B30A12">
        <w:rPr>
          <w:bCs/>
          <w:color w:val="000000"/>
          <w:sz w:val="22"/>
          <w:szCs w:val="22"/>
        </w:rPr>
        <w:t>-</w:t>
      </w:r>
      <w:r w:rsidRPr="00B30A12">
        <w:rPr>
          <w:color w:val="000000"/>
          <w:sz w:val="22"/>
          <w:szCs w:val="22"/>
        </w:rPr>
        <w:t>Tablette Glivec enthält 400 mg Imatinib (als Mesilat).</w:t>
      </w:r>
    </w:p>
    <w:p w14:paraId="2413E412" w14:textId="77777777" w:rsidR="00AB6D5E" w:rsidRPr="00B30A12" w:rsidRDefault="00AB6D5E" w:rsidP="000C47C6">
      <w:pPr>
        <w:widowControl w:val="0"/>
        <w:numPr>
          <w:ilvl w:val="0"/>
          <w:numId w:val="1"/>
        </w:numPr>
        <w:tabs>
          <w:tab w:val="clear" w:pos="417"/>
        </w:tabs>
        <w:ind w:left="567" w:hanging="567"/>
        <w:rPr>
          <w:color w:val="000000"/>
          <w:sz w:val="22"/>
          <w:szCs w:val="22"/>
        </w:rPr>
      </w:pPr>
      <w:r w:rsidRPr="00B30A12">
        <w:rPr>
          <w:color w:val="000000"/>
          <w:sz w:val="22"/>
          <w:szCs w:val="22"/>
        </w:rPr>
        <w:t>Die sonstigen Bestandteile sind mikrokristalline Cellulose, Crospovidon,</w:t>
      </w:r>
      <w:r w:rsidR="003A2DFF" w:rsidRPr="00B30A12">
        <w:rPr>
          <w:color w:val="000000"/>
          <w:sz w:val="22"/>
          <w:szCs w:val="22"/>
        </w:rPr>
        <w:t xml:space="preserve"> </w:t>
      </w:r>
      <w:r w:rsidR="00850EAC" w:rsidRPr="00B30A12">
        <w:rPr>
          <w:color w:val="000000"/>
          <w:sz w:val="22"/>
          <w:szCs w:val="22"/>
        </w:rPr>
        <w:t>Hypromellose</w:t>
      </w:r>
      <w:r w:rsidR="003A2DFF" w:rsidRPr="00B30A12">
        <w:rPr>
          <w:color w:val="000000"/>
          <w:sz w:val="22"/>
          <w:szCs w:val="22"/>
        </w:rPr>
        <w:t>,</w:t>
      </w:r>
      <w:r w:rsidRPr="00B30A12">
        <w:rPr>
          <w:color w:val="000000"/>
          <w:sz w:val="22"/>
          <w:szCs w:val="22"/>
        </w:rPr>
        <w:t xml:space="preserve"> Magnesiumstearat </w:t>
      </w:r>
      <w:r w:rsidR="000F76A4" w:rsidRPr="00B30A12">
        <w:rPr>
          <w:color w:val="000000"/>
          <w:sz w:val="22"/>
          <w:szCs w:val="22"/>
        </w:rPr>
        <w:t xml:space="preserve">[pflanzlich] </w:t>
      </w:r>
      <w:r w:rsidRPr="00B30A12">
        <w:rPr>
          <w:color w:val="000000"/>
          <w:sz w:val="22"/>
          <w:szCs w:val="22"/>
        </w:rPr>
        <w:t>und hochdisperses Siliciumdioxid.</w:t>
      </w:r>
    </w:p>
    <w:p w14:paraId="2A214B8D" w14:textId="77777777" w:rsidR="00AB6D5E" w:rsidRPr="00B30A12" w:rsidRDefault="00AB6D5E" w:rsidP="000C47C6">
      <w:pPr>
        <w:widowControl w:val="0"/>
        <w:numPr>
          <w:ilvl w:val="0"/>
          <w:numId w:val="1"/>
        </w:numPr>
        <w:tabs>
          <w:tab w:val="clear" w:pos="417"/>
        </w:tabs>
        <w:ind w:left="567" w:hanging="567"/>
        <w:rPr>
          <w:color w:val="000000"/>
          <w:sz w:val="22"/>
          <w:szCs w:val="22"/>
        </w:rPr>
      </w:pPr>
      <w:r w:rsidRPr="00B30A12">
        <w:rPr>
          <w:color w:val="000000"/>
          <w:sz w:val="22"/>
          <w:szCs w:val="22"/>
        </w:rPr>
        <w:t>Der Filmüberzug der Tablette besteht aus Eisen(</w:t>
      </w:r>
      <w:smartTag w:uri="urn:schemas-microsoft-com:office:smarttags" w:element="stockticker">
        <w:r w:rsidRPr="00B30A12">
          <w:rPr>
            <w:color w:val="000000"/>
            <w:sz w:val="22"/>
            <w:szCs w:val="22"/>
          </w:rPr>
          <w:t>III</w:t>
        </w:r>
      </w:smartTag>
      <w:r w:rsidRPr="00B30A12">
        <w:rPr>
          <w:color w:val="000000"/>
          <w:sz w:val="22"/>
          <w:szCs w:val="22"/>
        </w:rPr>
        <w:t>)-oxid (E 172</w:t>
      </w:r>
      <w:r w:rsidR="001371BD" w:rsidRPr="00B30A12">
        <w:rPr>
          <w:color w:val="000000"/>
          <w:sz w:val="22"/>
          <w:szCs w:val="22"/>
        </w:rPr>
        <w:t>, rot</w:t>
      </w:r>
      <w:r w:rsidRPr="00B30A12">
        <w:rPr>
          <w:color w:val="000000"/>
          <w:sz w:val="22"/>
          <w:szCs w:val="22"/>
        </w:rPr>
        <w:t xml:space="preserve">), </w:t>
      </w:r>
      <w:r w:rsidR="001371BD" w:rsidRPr="00B30A12">
        <w:rPr>
          <w:sz w:val="22"/>
          <w:szCs w:val="22"/>
          <w:lang w:val="de-CH"/>
        </w:rPr>
        <w:t>Eisen(III)-hydroxid-oxid x H</w:t>
      </w:r>
      <w:r w:rsidR="001371BD" w:rsidRPr="00B30A12">
        <w:rPr>
          <w:sz w:val="22"/>
          <w:szCs w:val="22"/>
          <w:vertAlign w:val="subscript"/>
          <w:lang w:val="de-CH"/>
        </w:rPr>
        <w:t>2</w:t>
      </w:r>
      <w:r w:rsidR="001371BD" w:rsidRPr="00B30A12">
        <w:rPr>
          <w:sz w:val="22"/>
          <w:szCs w:val="22"/>
          <w:lang w:val="de-CH"/>
        </w:rPr>
        <w:t>O</w:t>
      </w:r>
      <w:r w:rsidR="001371BD" w:rsidRPr="00B30A12">
        <w:rPr>
          <w:color w:val="000000"/>
          <w:sz w:val="22"/>
          <w:szCs w:val="22"/>
        </w:rPr>
        <w:t xml:space="preserve"> </w:t>
      </w:r>
      <w:r w:rsidRPr="00B30A12">
        <w:rPr>
          <w:color w:val="000000"/>
          <w:sz w:val="22"/>
          <w:szCs w:val="22"/>
        </w:rPr>
        <w:t>(E 172</w:t>
      </w:r>
      <w:r w:rsidR="001371BD" w:rsidRPr="00B30A12">
        <w:rPr>
          <w:color w:val="000000"/>
          <w:sz w:val="22"/>
          <w:szCs w:val="22"/>
        </w:rPr>
        <w:t>, gelb</w:t>
      </w:r>
      <w:r w:rsidRPr="00B30A12">
        <w:rPr>
          <w:color w:val="000000"/>
          <w:sz w:val="22"/>
          <w:szCs w:val="22"/>
        </w:rPr>
        <w:t>), Macrogol, Talkum und Hypromellose.</w:t>
      </w:r>
    </w:p>
    <w:p w14:paraId="5A5C1EDD" w14:textId="77777777" w:rsidR="00AB6D5E" w:rsidRPr="00B30A12" w:rsidRDefault="00AB6D5E" w:rsidP="000C47C6">
      <w:pPr>
        <w:widowControl w:val="0"/>
        <w:rPr>
          <w:color w:val="000000"/>
          <w:sz w:val="22"/>
          <w:szCs w:val="22"/>
        </w:rPr>
      </w:pPr>
    </w:p>
    <w:p w14:paraId="1B18D86F" w14:textId="77777777" w:rsidR="00AB6D5E" w:rsidRPr="00B30A12" w:rsidRDefault="00AB6D5E" w:rsidP="00043875">
      <w:pPr>
        <w:keepNext/>
        <w:widowControl w:val="0"/>
        <w:rPr>
          <w:b/>
          <w:color w:val="000000"/>
          <w:sz w:val="22"/>
          <w:szCs w:val="22"/>
        </w:rPr>
      </w:pPr>
      <w:r w:rsidRPr="00B30A12">
        <w:rPr>
          <w:b/>
          <w:color w:val="000000"/>
          <w:sz w:val="22"/>
          <w:szCs w:val="22"/>
        </w:rPr>
        <w:t>Wie Glivec aussieht und Inhalt der Packung</w:t>
      </w:r>
    </w:p>
    <w:p w14:paraId="2333CD21" w14:textId="29FC2698" w:rsidR="00AB6D5E" w:rsidRDefault="00AB6D5E" w:rsidP="000C47C6">
      <w:pPr>
        <w:widowControl w:val="0"/>
        <w:rPr>
          <w:color w:val="000000"/>
          <w:sz w:val="22"/>
          <w:szCs w:val="22"/>
        </w:rPr>
      </w:pPr>
      <w:r w:rsidRPr="00B30A12">
        <w:rPr>
          <w:color w:val="000000"/>
          <w:sz w:val="22"/>
          <w:szCs w:val="22"/>
        </w:rPr>
        <w:t>Glivec 100 mg Filmtabletten sind stark dunkelgelbe bis bräunlich-orange runde Tabletten mit „</w:t>
      </w:r>
      <w:smartTag w:uri="urn:schemas-microsoft-com:office:smarttags" w:element="stockticker">
        <w:r w:rsidRPr="00B30A12">
          <w:rPr>
            <w:color w:val="000000"/>
            <w:sz w:val="22"/>
            <w:szCs w:val="22"/>
          </w:rPr>
          <w:t>NVR</w:t>
        </w:r>
      </w:smartTag>
      <w:r w:rsidRPr="00B30A12">
        <w:rPr>
          <w:color w:val="000000"/>
          <w:sz w:val="22"/>
          <w:szCs w:val="22"/>
        </w:rPr>
        <w:t>“ auf der einen Seite und „SA“ und einer Bruchrille auf der anderen Seite.</w:t>
      </w:r>
    </w:p>
    <w:p w14:paraId="49616B16" w14:textId="7DD29AF3" w:rsidR="00EB7BA5" w:rsidRPr="00B30A12" w:rsidRDefault="00EB7BA5" w:rsidP="000C47C6">
      <w:pPr>
        <w:widowControl w:val="0"/>
        <w:rPr>
          <w:color w:val="000000"/>
          <w:sz w:val="22"/>
          <w:szCs w:val="22"/>
        </w:rPr>
      </w:pPr>
      <w:r w:rsidRPr="00B30A12">
        <w:rPr>
          <w:color w:val="000000"/>
          <w:sz w:val="22"/>
          <w:szCs w:val="22"/>
        </w:rPr>
        <w:t>Glivec 400 mg Filmtabletten sind stark dunkelgelbe bis bräunlich-orange ovale Tabletten mit „glivec“ auf einer Seite.</w:t>
      </w:r>
    </w:p>
    <w:p w14:paraId="15512450" w14:textId="77777777" w:rsidR="00AB6D5E" w:rsidRPr="00B30A12" w:rsidRDefault="00AB6D5E" w:rsidP="000C47C6">
      <w:pPr>
        <w:widowControl w:val="0"/>
        <w:rPr>
          <w:color w:val="000000"/>
          <w:sz w:val="22"/>
          <w:szCs w:val="22"/>
        </w:rPr>
      </w:pPr>
    </w:p>
    <w:p w14:paraId="3E7C9B32" w14:textId="6985F119" w:rsidR="00AD1D80" w:rsidRDefault="00EB7BA5" w:rsidP="000C47C6">
      <w:pPr>
        <w:widowControl w:val="0"/>
        <w:rPr>
          <w:color w:val="000000"/>
          <w:sz w:val="22"/>
          <w:szCs w:val="22"/>
        </w:rPr>
      </w:pPr>
      <w:r w:rsidRPr="00B30A12">
        <w:rPr>
          <w:color w:val="000000"/>
          <w:sz w:val="22"/>
          <w:szCs w:val="22"/>
        </w:rPr>
        <w:t xml:space="preserve">Glivec 100 mg Filmtabletten </w:t>
      </w:r>
      <w:r w:rsidR="00AB6D5E" w:rsidRPr="00B30A12">
        <w:rPr>
          <w:color w:val="000000"/>
          <w:sz w:val="22"/>
          <w:szCs w:val="22"/>
        </w:rPr>
        <w:t xml:space="preserve">werden in Packungen mit 20, 60, 120 oder 180 Tabletten zur </w:t>
      </w:r>
      <w:r w:rsidR="00AB6D5E" w:rsidRPr="00B30A12">
        <w:rPr>
          <w:color w:val="000000"/>
          <w:sz w:val="22"/>
          <w:szCs w:val="22"/>
        </w:rPr>
        <w:lastRenderedPageBreak/>
        <w:t>Verfügung gestellt</w:t>
      </w:r>
      <w:r w:rsidR="00AD1D80">
        <w:rPr>
          <w:color w:val="000000"/>
          <w:sz w:val="22"/>
          <w:szCs w:val="22"/>
        </w:rPr>
        <w:t>.</w:t>
      </w:r>
    </w:p>
    <w:p w14:paraId="162C3C7B" w14:textId="77777777" w:rsidR="00AD1D80" w:rsidRDefault="00EB7BA5" w:rsidP="000C47C6">
      <w:pPr>
        <w:widowControl w:val="0"/>
        <w:rPr>
          <w:color w:val="000000"/>
          <w:sz w:val="22"/>
          <w:szCs w:val="22"/>
        </w:rPr>
      </w:pPr>
      <w:r w:rsidRPr="00B30A12">
        <w:rPr>
          <w:color w:val="000000"/>
          <w:sz w:val="22"/>
          <w:szCs w:val="22"/>
        </w:rPr>
        <w:t>Glivec 400 mg Filmtabletten</w:t>
      </w:r>
      <w:r>
        <w:rPr>
          <w:color w:val="000000"/>
          <w:sz w:val="22"/>
          <w:szCs w:val="22"/>
        </w:rPr>
        <w:t xml:space="preserve"> </w:t>
      </w:r>
      <w:r w:rsidRPr="00EB7BA5">
        <w:rPr>
          <w:color w:val="000000"/>
          <w:sz w:val="22"/>
          <w:szCs w:val="22"/>
        </w:rPr>
        <w:t>werden in Packungen mit 10, 30 oder 90 Tabletten zur Verfügung gestellt</w:t>
      </w:r>
      <w:r>
        <w:rPr>
          <w:color w:val="000000"/>
          <w:sz w:val="22"/>
          <w:szCs w:val="22"/>
        </w:rPr>
        <w:t>.</w:t>
      </w:r>
    </w:p>
    <w:p w14:paraId="64EAC2D0" w14:textId="5D916FB9" w:rsidR="00AB6D5E" w:rsidRPr="00B30A12" w:rsidRDefault="00AD1D80" w:rsidP="000C47C6">
      <w:pPr>
        <w:widowControl w:val="0"/>
        <w:rPr>
          <w:color w:val="000000"/>
          <w:sz w:val="22"/>
          <w:szCs w:val="22"/>
        </w:rPr>
      </w:pPr>
      <w:r>
        <w:rPr>
          <w:color w:val="000000"/>
          <w:sz w:val="22"/>
          <w:szCs w:val="22"/>
        </w:rPr>
        <w:t xml:space="preserve">Es sind möglicherweise </w:t>
      </w:r>
      <w:r w:rsidR="00AB6D5E" w:rsidRPr="00B30A12">
        <w:rPr>
          <w:color w:val="000000"/>
          <w:sz w:val="22"/>
          <w:szCs w:val="22"/>
        </w:rPr>
        <w:t>nicht alle Packungsgrößen in Ihrem Land verfügbar.</w:t>
      </w:r>
    </w:p>
    <w:p w14:paraId="1D4096C8" w14:textId="77777777" w:rsidR="00AB6D5E" w:rsidRPr="00B30A12" w:rsidRDefault="00AB6D5E" w:rsidP="000C47C6">
      <w:pPr>
        <w:widowControl w:val="0"/>
        <w:rPr>
          <w:color w:val="000000"/>
          <w:sz w:val="22"/>
          <w:szCs w:val="22"/>
        </w:rPr>
      </w:pPr>
    </w:p>
    <w:p w14:paraId="51E53BBD" w14:textId="77777777" w:rsidR="00AB6D5E" w:rsidRPr="002A051A" w:rsidRDefault="00AB6D5E" w:rsidP="00043875">
      <w:pPr>
        <w:keepNext/>
        <w:widowControl w:val="0"/>
        <w:rPr>
          <w:b/>
          <w:color w:val="000000"/>
          <w:sz w:val="22"/>
          <w:szCs w:val="22"/>
          <w:lang w:val="en-US"/>
        </w:rPr>
      </w:pPr>
      <w:r w:rsidRPr="002A051A">
        <w:rPr>
          <w:b/>
          <w:color w:val="000000"/>
          <w:sz w:val="22"/>
          <w:szCs w:val="22"/>
          <w:lang w:val="en-US"/>
        </w:rPr>
        <w:t>Pharmazeutischer Unternehmer</w:t>
      </w:r>
    </w:p>
    <w:p w14:paraId="6231ADA1" w14:textId="77777777" w:rsidR="00AB6D5E" w:rsidRPr="002A051A" w:rsidRDefault="00AB6D5E" w:rsidP="00043875">
      <w:pPr>
        <w:keepNext/>
        <w:widowControl w:val="0"/>
        <w:rPr>
          <w:color w:val="000000"/>
          <w:sz w:val="22"/>
          <w:szCs w:val="22"/>
          <w:lang w:val="en-US"/>
        </w:rPr>
      </w:pPr>
      <w:r w:rsidRPr="002A051A">
        <w:rPr>
          <w:color w:val="000000"/>
          <w:sz w:val="22"/>
          <w:szCs w:val="22"/>
          <w:lang w:val="en-US"/>
        </w:rPr>
        <w:t>Novartis Europharm Limited</w:t>
      </w:r>
    </w:p>
    <w:p w14:paraId="26DEEFE0"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Vista Building</w:t>
      </w:r>
    </w:p>
    <w:p w14:paraId="51A53DEA" w14:textId="77777777" w:rsidR="002C158B" w:rsidRPr="002C158B" w:rsidRDefault="002C158B" w:rsidP="002C158B">
      <w:pPr>
        <w:keepNext/>
        <w:widowControl w:val="0"/>
        <w:rPr>
          <w:color w:val="000000"/>
          <w:sz w:val="22"/>
          <w:szCs w:val="22"/>
          <w:lang w:val="en-US"/>
        </w:rPr>
      </w:pPr>
      <w:r w:rsidRPr="002C158B">
        <w:rPr>
          <w:color w:val="000000"/>
          <w:sz w:val="22"/>
          <w:szCs w:val="22"/>
          <w:lang w:val="en-US"/>
        </w:rPr>
        <w:t>Elm Park, Merrion Road</w:t>
      </w:r>
    </w:p>
    <w:p w14:paraId="4B45162B" w14:textId="77777777" w:rsidR="002C158B" w:rsidRPr="002A051A" w:rsidRDefault="002C158B" w:rsidP="002C158B">
      <w:pPr>
        <w:keepNext/>
        <w:widowControl w:val="0"/>
        <w:rPr>
          <w:color w:val="000000"/>
          <w:sz w:val="22"/>
          <w:szCs w:val="22"/>
          <w:lang w:val="en-US"/>
        </w:rPr>
      </w:pPr>
      <w:r w:rsidRPr="002A051A">
        <w:rPr>
          <w:color w:val="000000"/>
          <w:sz w:val="22"/>
          <w:szCs w:val="22"/>
          <w:lang w:val="en-US"/>
        </w:rPr>
        <w:t>Dublin 4</w:t>
      </w:r>
    </w:p>
    <w:p w14:paraId="3470597F" w14:textId="77777777" w:rsidR="00AB6D5E" w:rsidRPr="00B30A12" w:rsidRDefault="002C158B" w:rsidP="000C47C6">
      <w:pPr>
        <w:widowControl w:val="0"/>
        <w:rPr>
          <w:color w:val="000000"/>
          <w:sz w:val="22"/>
          <w:szCs w:val="22"/>
        </w:rPr>
      </w:pPr>
      <w:r w:rsidRPr="002C158B">
        <w:rPr>
          <w:color w:val="000000"/>
          <w:sz w:val="22"/>
          <w:szCs w:val="22"/>
        </w:rPr>
        <w:t>Irland</w:t>
      </w:r>
    </w:p>
    <w:p w14:paraId="552629DD" w14:textId="77777777" w:rsidR="00AB6D5E" w:rsidRPr="00B30A12" w:rsidRDefault="00AB6D5E" w:rsidP="000C47C6">
      <w:pPr>
        <w:widowControl w:val="0"/>
        <w:rPr>
          <w:color w:val="000000"/>
          <w:sz w:val="22"/>
          <w:szCs w:val="22"/>
        </w:rPr>
      </w:pPr>
    </w:p>
    <w:p w14:paraId="3420DD20" w14:textId="77777777" w:rsidR="00AB6D5E" w:rsidRPr="00B30A12" w:rsidRDefault="00AB6D5E" w:rsidP="00043875">
      <w:pPr>
        <w:keepNext/>
        <w:widowControl w:val="0"/>
        <w:rPr>
          <w:b/>
          <w:color w:val="000000"/>
          <w:sz w:val="22"/>
          <w:szCs w:val="22"/>
        </w:rPr>
      </w:pPr>
      <w:r w:rsidRPr="00B30A12">
        <w:rPr>
          <w:b/>
          <w:color w:val="000000"/>
          <w:sz w:val="22"/>
          <w:szCs w:val="22"/>
        </w:rPr>
        <w:t>Hersteller</w:t>
      </w:r>
    </w:p>
    <w:p w14:paraId="6BCFE64B" w14:textId="77777777" w:rsidR="00D7000F" w:rsidRPr="002A051A" w:rsidRDefault="00D7000F" w:rsidP="00D7000F">
      <w:pPr>
        <w:keepNext/>
        <w:widowControl w:val="0"/>
        <w:tabs>
          <w:tab w:val="left" w:pos="7513"/>
        </w:tabs>
        <w:rPr>
          <w:sz w:val="22"/>
          <w:szCs w:val="22"/>
        </w:rPr>
      </w:pPr>
      <w:r w:rsidRPr="002A051A">
        <w:rPr>
          <w:sz w:val="22"/>
          <w:szCs w:val="22"/>
        </w:rPr>
        <w:t>Lek d.d, PE PROIZVODNJA LENDAVA</w:t>
      </w:r>
    </w:p>
    <w:p w14:paraId="21C2CB00" w14:textId="77777777" w:rsidR="00D7000F" w:rsidRPr="00D7000F" w:rsidRDefault="00D7000F" w:rsidP="00D7000F">
      <w:pPr>
        <w:keepNext/>
        <w:widowControl w:val="0"/>
        <w:tabs>
          <w:tab w:val="left" w:pos="7513"/>
        </w:tabs>
        <w:rPr>
          <w:sz w:val="22"/>
          <w:szCs w:val="22"/>
          <w:lang w:val="fr-CH"/>
        </w:rPr>
      </w:pPr>
      <w:r w:rsidRPr="00D7000F">
        <w:rPr>
          <w:sz w:val="22"/>
          <w:szCs w:val="22"/>
          <w:lang w:val="fr-CH"/>
        </w:rPr>
        <w:t>Trimlini 2D</w:t>
      </w:r>
    </w:p>
    <w:p w14:paraId="48F28D4D" w14:textId="77777777" w:rsidR="00D7000F" w:rsidRPr="00D7000F" w:rsidRDefault="00D7000F" w:rsidP="00D7000F">
      <w:pPr>
        <w:keepNext/>
        <w:widowControl w:val="0"/>
        <w:tabs>
          <w:tab w:val="left" w:pos="7513"/>
        </w:tabs>
        <w:rPr>
          <w:sz w:val="22"/>
          <w:szCs w:val="22"/>
          <w:lang w:val="fr-CH"/>
        </w:rPr>
      </w:pPr>
      <w:r w:rsidRPr="00D7000F">
        <w:rPr>
          <w:sz w:val="22"/>
          <w:szCs w:val="22"/>
          <w:lang w:val="fr-CH"/>
        </w:rPr>
        <w:t>Lendava, 9220</w:t>
      </w:r>
    </w:p>
    <w:p w14:paraId="1C2395B2" w14:textId="77777777" w:rsidR="00D7000F" w:rsidRPr="002A051A" w:rsidRDefault="00D7000F" w:rsidP="00D7000F">
      <w:pPr>
        <w:widowControl w:val="0"/>
        <w:tabs>
          <w:tab w:val="left" w:pos="7513"/>
        </w:tabs>
        <w:rPr>
          <w:sz w:val="22"/>
          <w:szCs w:val="22"/>
        </w:rPr>
      </w:pPr>
      <w:r w:rsidRPr="002A051A">
        <w:rPr>
          <w:sz w:val="22"/>
          <w:szCs w:val="22"/>
        </w:rPr>
        <w:t>Slowenien</w:t>
      </w:r>
    </w:p>
    <w:p w14:paraId="1C329586" w14:textId="77777777" w:rsidR="00D7000F" w:rsidRPr="002A051A" w:rsidRDefault="00D7000F" w:rsidP="00D7000F">
      <w:pPr>
        <w:widowControl w:val="0"/>
        <w:tabs>
          <w:tab w:val="left" w:pos="7513"/>
        </w:tabs>
        <w:rPr>
          <w:sz w:val="22"/>
          <w:szCs w:val="22"/>
        </w:rPr>
      </w:pPr>
    </w:p>
    <w:p w14:paraId="5B9EF092" w14:textId="77777777" w:rsidR="00AB6D5E" w:rsidRPr="004003A7" w:rsidRDefault="00AB6D5E" w:rsidP="00043875">
      <w:pPr>
        <w:keepNext/>
        <w:widowControl w:val="0"/>
        <w:rPr>
          <w:color w:val="000000"/>
          <w:sz w:val="22"/>
          <w:szCs w:val="22"/>
          <w:shd w:val="pct15" w:color="auto" w:fill="auto"/>
        </w:rPr>
      </w:pPr>
      <w:r w:rsidRPr="004003A7">
        <w:rPr>
          <w:color w:val="000000"/>
          <w:sz w:val="22"/>
          <w:szCs w:val="22"/>
          <w:shd w:val="pct15" w:color="auto" w:fill="auto"/>
        </w:rPr>
        <w:t>Novartis Pharma GmbH</w:t>
      </w:r>
    </w:p>
    <w:p w14:paraId="7B800866" w14:textId="77777777" w:rsidR="00AB6D5E" w:rsidRPr="004003A7" w:rsidRDefault="00AB6D5E" w:rsidP="00043875">
      <w:pPr>
        <w:keepNext/>
        <w:widowControl w:val="0"/>
        <w:rPr>
          <w:color w:val="000000"/>
          <w:sz w:val="22"/>
          <w:szCs w:val="22"/>
          <w:shd w:val="pct15" w:color="auto" w:fill="auto"/>
        </w:rPr>
      </w:pPr>
      <w:r w:rsidRPr="004003A7">
        <w:rPr>
          <w:color w:val="000000"/>
          <w:sz w:val="22"/>
          <w:szCs w:val="22"/>
          <w:shd w:val="pct15" w:color="auto" w:fill="auto"/>
        </w:rPr>
        <w:t>Roonstraße 25</w:t>
      </w:r>
    </w:p>
    <w:p w14:paraId="79CF1874" w14:textId="77777777" w:rsidR="00AB6D5E" w:rsidRPr="004003A7" w:rsidRDefault="00AB6D5E" w:rsidP="00043875">
      <w:pPr>
        <w:keepNext/>
        <w:widowControl w:val="0"/>
        <w:rPr>
          <w:color w:val="000000"/>
          <w:sz w:val="22"/>
          <w:szCs w:val="22"/>
          <w:shd w:val="pct15" w:color="auto" w:fill="auto"/>
        </w:rPr>
      </w:pPr>
      <w:r w:rsidRPr="004003A7">
        <w:rPr>
          <w:color w:val="000000"/>
          <w:sz w:val="22"/>
          <w:szCs w:val="22"/>
          <w:shd w:val="pct15" w:color="auto" w:fill="auto"/>
        </w:rPr>
        <w:t>D-90429 Nürnberg</w:t>
      </w:r>
    </w:p>
    <w:p w14:paraId="18EA0D75" w14:textId="77777777" w:rsidR="00AB6D5E" w:rsidRPr="004003A7" w:rsidRDefault="00AB6D5E" w:rsidP="000C47C6">
      <w:pPr>
        <w:widowControl w:val="0"/>
        <w:rPr>
          <w:color w:val="000000"/>
          <w:sz w:val="22"/>
          <w:szCs w:val="22"/>
          <w:shd w:val="pct15" w:color="auto" w:fill="auto"/>
        </w:rPr>
      </w:pPr>
      <w:r w:rsidRPr="004003A7">
        <w:rPr>
          <w:color w:val="000000"/>
          <w:sz w:val="22"/>
          <w:szCs w:val="22"/>
          <w:shd w:val="pct15" w:color="auto" w:fill="auto"/>
        </w:rPr>
        <w:t>Deutschland</w:t>
      </w:r>
    </w:p>
    <w:p w14:paraId="661309F5" w14:textId="77777777" w:rsidR="00AB6D5E" w:rsidRPr="00B30A12" w:rsidRDefault="00AB6D5E" w:rsidP="000C47C6">
      <w:pPr>
        <w:widowControl w:val="0"/>
        <w:rPr>
          <w:color w:val="000000"/>
          <w:sz w:val="22"/>
          <w:szCs w:val="22"/>
        </w:rPr>
      </w:pPr>
    </w:p>
    <w:p w14:paraId="0371EEA6" w14:textId="77777777" w:rsidR="00AB6D5E" w:rsidRPr="00B30A12" w:rsidRDefault="00AB6D5E" w:rsidP="00043875">
      <w:pPr>
        <w:pStyle w:val="BodyText"/>
        <w:widowControl w:val="0"/>
        <w:spacing w:line="240" w:lineRule="auto"/>
        <w:jc w:val="left"/>
        <w:rPr>
          <w:color w:val="000000"/>
          <w:szCs w:val="22"/>
        </w:rPr>
      </w:pPr>
      <w:r w:rsidRPr="00B30A12">
        <w:rPr>
          <w:color w:val="000000"/>
          <w:szCs w:val="22"/>
        </w:rPr>
        <w:t xml:space="preserve">Falls </w:t>
      </w:r>
      <w:r w:rsidR="00001DA2" w:rsidRPr="00B30A12">
        <w:rPr>
          <w:color w:val="000000"/>
          <w:szCs w:val="22"/>
        </w:rPr>
        <w:t xml:space="preserve">Sie </w:t>
      </w:r>
      <w:r w:rsidRPr="00B30A12">
        <w:rPr>
          <w:color w:val="000000"/>
          <w:szCs w:val="22"/>
        </w:rPr>
        <w:t>weitere Informationen über das Arzneimittel wünsch</w:t>
      </w:r>
      <w:r w:rsidR="00001DA2" w:rsidRPr="00B30A12">
        <w:rPr>
          <w:color w:val="000000"/>
          <w:szCs w:val="22"/>
        </w:rPr>
        <w:t>en</w:t>
      </w:r>
      <w:r w:rsidRPr="00B30A12">
        <w:rPr>
          <w:color w:val="000000"/>
          <w:szCs w:val="22"/>
        </w:rPr>
        <w:t xml:space="preserve">, setzen Sie sich bitte mit dem örtlichen Vertreter des </w:t>
      </w:r>
      <w:r w:rsidR="0095506C" w:rsidRPr="00B30A12">
        <w:rPr>
          <w:color w:val="000000"/>
          <w:szCs w:val="22"/>
        </w:rPr>
        <w:t>p</w:t>
      </w:r>
      <w:r w:rsidRPr="00B30A12">
        <w:rPr>
          <w:color w:val="000000"/>
          <w:szCs w:val="22"/>
        </w:rPr>
        <w:t>harmazeutischen Unternehmers in Verbindung.</w:t>
      </w:r>
    </w:p>
    <w:p w14:paraId="44DD0655" w14:textId="77777777" w:rsidR="002D1A41" w:rsidRPr="00B30A12" w:rsidRDefault="002D1A41" w:rsidP="00043875">
      <w:pPr>
        <w:keepNext/>
        <w:widowControl w:val="0"/>
        <w:ind w:right="-449"/>
        <w:rPr>
          <w:color w:val="000000"/>
          <w:sz w:val="22"/>
          <w:szCs w:val="22"/>
        </w:rPr>
      </w:pPr>
    </w:p>
    <w:tbl>
      <w:tblPr>
        <w:tblW w:w="9300" w:type="dxa"/>
        <w:tblLayout w:type="fixed"/>
        <w:tblLook w:val="0000" w:firstRow="0" w:lastRow="0" w:firstColumn="0" w:lastColumn="0" w:noHBand="0" w:noVBand="0"/>
      </w:tblPr>
      <w:tblGrid>
        <w:gridCol w:w="4650"/>
        <w:gridCol w:w="4650"/>
      </w:tblGrid>
      <w:tr w:rsidR="002D1A41" w:rsidRPr="002A051A" w14:paraId="2E07C0EE" w14:textId="77777777" w:rsidTr="00CC644C">
        <w:trPr>
          <w:cantSplit/>
        </w:trPr>
        <w:tc>
          <w:tcPr>
            <w:tcW w:w="4650" w:type="dxa"/>
          </w:tcPr>
          <w:p w14:paraId="6E48D546" w14:textId="77777777" w:rsidR="002D1A41" w:rsidRPr="00B30A12" w:rsidRDefault="002D1A41" w:rsidP="000C47C6">
            <w:pPr>
              <w:widowControl w:val="0"/>
              <w:rPr>
                <w:b/>
                <w:color w:val="000000"/>
                <w:sz w:val="22"/>
                <w:szCs w:val="22"/>
                <w:lang w:val="fr-FR"/>
              </w:rPr>
            </w:pPr>
            <w:r w:rsidRPr="00B30A12">
              <w:rPr>
                <w:b/>
                <w:color w:val="000000"/>
                <w:sz w:val="22"/>
                <w:szCs w:val="22"/>
                <w:lang w:val="fr-FR"/>
              </w:rPr>
              <w:t>België/Belgique/Belgien</w:t>
            </w:r>
          </w:p>
          <w:p w14:paraId="7B2ADBEE" w14:textId="77777777" w:rsidR="002D1A41" w:rsidRPr="00B30A12" w:rsidRDefault="002D1A41" w:rsidP="000C47C6">
            <w:pPr>
              <w:widowControl w:val="0"/>
              <w:rPr>
                <w:color w:val="000000"/>
                <w:sz w:val="22"/>
                <w:szCs w:val="22"/>
                <w:lang w:val="fr-FR"/>
              </w:rPr>
            </w:pPr>
            <w:r w:rsidRPr="00B30A12">
              <w:rPr>
                <w:color w:val="000000"/>
                <w:sz w:val="22"/>
                <w:szCs w:val="22"/>
                <w:lang w:val="fr-FR"/>
              </w:rPr>
              <w:t>Novartis Pharma N.V.</w:t>
            </w:r>
          </w:p>
          <w:p w14:paraId="36444341" w14:textId="77777777" w:rsidR="002D1A41" w:rsidRPr="00B30A12" w:rsidRDefault="002D1A41" w:rsidP="000C47C6">
            <w:pPr>
              <w:widowControl w:val="0"/>
              <w:rPr>
                <w:color w:val="000000"/>
                <w:sz w:val="22"/>
                <w:szCs w:val="22"/>
              </w:rPr>
            </w:pPr>
            <w:r w:rsidRPr="00B30A12">
              <w:rPr>
                <w:color w:val="000000"/>
                <w:sz w:val="22"/>
                <w:szCs w:val="22"/>
              </w:rPr>
              <w:t>Tél/Tel: +32 2 246 16 11</w:t>
            </w:r>
          </w:p>
          <w:p w14:paraId="73D4EFF3" w14:textId="77777777" w:rsidR="002D1A41" w:rsidRPr="00B30A12" w:rsidRDefault="002D1A41" w:rsidP="000C47C6">
            <w:pPr>
              <w:widowControl w:val="0"/>
              <w:rPr>
                <w:b/>
                <w:color w:val="000000"/>
                <w:sz w:val="22"/>
                <w:szCs w:val="22"/>
              </w:rPr>
            </w:pPr>
          </w:p>
        </w:tc>
        <w:tc>
          <w:tcPr>
            <w:tcW w:w="4650" w:type="dxa"/>
          </w:tcPr>
          <w:p w14:paraId="4B06273A" w14:textId="77777777" w:rsidR="002D1A41" w:rsidRPr="00E37E76" w:rsidRDefault="002D1A41" w:rsidP="000C47C6">
            <w:pPr>
              <w:widowControl w:val="0"/>
              <w:rPr>
                <w:b/>
                <w:color w:val="000000"/>
                <w:sz w:val="22"/>
                <w:szCs w:val="22"/>
                <w:lang w:val="es-ES"/>
              </w:rPr>
            </w:pPr>
            <w:r w:rsidRPr="00E37E76">
              <w:rPr>
                <w:b/>
                <w:color w:val="000000"/>
                <w:sz w:val="22"/>
                <w:szCs w:val="22"/>
                <w:lang w:val="es-ES"/>
              </w:rPr>
              <w:t>Lietuva</w:t>
            </w:r>
          </w:p>
          <w:p w14:paraId="461BAFEA" w14:textId="252BB2C2" w:rsidR="002D1A41" w:rsidRPr="00E37E76" w:rsidRDefault="00E37E76" w:rsidP="000C47C6">
            <w:pPr>
              <w:widowControl w:val="0"/>
              <w:rPr>
                <w:color w:val="000000"/>
                <w:sz w:val="22"/>
                <w:szCs w:val="22"/>
                <w:lang w:val="es-ES"/>
              </w:rPr>
            </w:pPr>
            <w:r w:rsidRPr="00F16CCC">
              <w:rPr>
                <w:sz w:val="22"/>
                <w:szCs w:val="22"/>
                <w:lang w:val="es-ES"/>
              </w:rPr>
              <w:t>SIA Novartis Baltics Lietuvos filialas</w:t>
            </w:r>
          </w:p>
          <w:p w14:paraId="2F3887AA" w14:textId="77777777" w:rsidR="002D1A41" w:rsidRPr="00E37E76" w:rsidRDefault="002D1A41" w:rsidP="000C47C6">
            <w:pPr>
              <w:widowControl w:val="0"/>
              <w:rPr>
                <w:color w:val="000000"/>
                <w:sz w:val="22"/>
                <w:szCs w:val="22"/>
                <w:lang w:val="es-ES"/>
              </w:rPr>
            </w:pPr>
            <w:r w:rsidRPr="00E37E76">
              <w:rPr>
                <w:color w:val="000000"/>
                <w:sz w:val="22"/>
                <w:szCs w:val="22"/>
                <w:lang w:val="es-ES"/>
              </w:rPr>
              <w:t>Tel: +370 5 269 16 50</w:t>
            </w:r>
          </w:p>
          <w:p w14:paraId="26B94E90" w14:textId="77777777" w:rsidR="002D1A41" w:rsidRPr="00E37E76" w:rsidRDefault="002D1A41" w:rsidP="000C47C6">
            <w:pPr>
              <w:widowControl w:val="0"/>
              <w:rPr>
                <w:color w:val="000000"/>
                <w:sz w:val="22"/>
                <w:szCs w:val="22"/>
                <w:lang w:val="es-ES"/>
              </w:rPr>
            </w:pPr>
          </w:p>
        </w:tc>
      </w:tr>
      <w:tr w:rsidR="002D1A41" w:rsidRPr="00B30A12" w14:paraId="71D7BBC9" w14:textId="77777777" w:rsidTr="00CC644C">
        <w:trPr>
          <w:cantSplit/>
        </w:trPr>
        <w:tc>
          <w:tcPr>
            <w:tcW w:w="4650" w:type="dxa"/>
          </w:tcPr>
          <w:p w14:paraId="7A814366" w14:textId="77777777" w:rsidR="002D1A41" w:rsidRPr="00B30A12" w:rsidRDefault="002D1A41" w:rsidP="000C47C6">
            <w:pPr>
              <w:widowControl w:val="0"/>
              <w:rPr>
                <w:b/>
                <w:noProof/>
                <w:color w:val="000000"/>
                <w:sz w:val="22"/>
                <w:szCs w:val="22"/>
                <w:lang w:val="fr-FR"/>
              </w:rPr>
            </w:pPr>
            <w:r w:rsidRPr="00B30A12">
              <w:rPr>
                <w:b/>
                <w:noProof/>
                <w:color w:val="000000"/>
                <w:sz w:val="22"/>
                <w:szCs w:val="22"/>
              </w:rPr>
              <w:t>България</w:t>
            </w:r>
          </w:p>
          <w:p w14:paraId="4C039132" w14:textId="77777777" w:rsidR="002D1A41" w:rsidRPr="00B30A12" w:rsidRDefault="002C0CB2" w:rsidP="000C47C6">
            <w:pPr>
              <w:widowControl w:val="0"/>
              <w:rPr>
                <w:noProof/>
                <w:color w:val="000000"/>
                <w:sz w:val="22"/>
                <w:szCs w:val="22"/>
                <w:lang w:val="fr-FR"/>
              </w:rPr>
            </w:pPr>
            <w:r w:rsidRPr="002C0CB2">
              <w:rPr>
                <w:noProof/>
                <w:color w:val="000000"/>
                <w:sz w:val="22"/>
                <w:szCs w:val="22"/>
                <w:lang w:val="fr-FR"/>
              </w:rPr>
              <w:t>Novartis Bulgaria EOOD</w:t>
            </w:r>
          </w:p>
          <w:p w14:paraId="3FE60FCB" w14:textId="77777777" w:rsidR="002D1A41" w:rsidRPr="003633BD" w:rsidRDefault="002D1A41" w:rsidP="000C47C6">
            <w:pPr>
              <w:widowControl w:val="0"/>
              <w:rPr>
                <w:noProof/>
                <w:color w:val="000000"/>
                <w:sz w:val="22"/>
                <w:szCs w:val="22"/>
              </w:rPr>
            </w:pPr>
            <w:r w:rsidRPr="00B30A12">
              <w:rPr>
                <w:noProof/>
                <w:color w:val="000000"/>
                <w:sz w:val="22"/>
                <w:szCs w:val="22"/>
              </w:rPr>
              <w:t>Тел</w:t>
            </w:r>
            <w:r w:rsidRPr="003633BD">
              <w:rPr>
                <w:noProof/>
                <w:color w:val="000000"/>
                <w:sz w:val="22"/>
                <w:szCs w:val="22"/>
              </w:rPr>
              <w:t>.: +359 2 489 98 28</w:t>
            </w:r>
          </w:p>
          <w:p w14:paraId="77F8B669" w14:textId="77777777" w:rsidR="002D1A41" w:rsidRPr="00B30A12" w:rsidRDefault="002D1A41" w:rsidP="000C47C6">
            <w:pPr>
              <w:widowControl w:val="0"/>
              <w:rPr>
                <w:b/>
                <w:color w:val="000000"/>
                <w:sz w:val="22"/>
                <w:szCs w:val="22"/>
                <w:lang w:val="pt-BR"/>
              </w:rPr>
            </w:pPr>
          </w:p>
        </w:tc>
        <w:tc>
          <w:tcPr>
            <w:tcW w:w="4650" w:type="dxa"/>
          </w:tcPr>
          <w:p w14:paraId="1B7AC7EB" w14:textId="77777777" w:rsidR="002D1A41" w:rsidRPr="00B30A12" w:rsidRDefault="002D1A41" w:rsidP="000C47C6">
            <w:pPr>
              <w:widowControl w:val="0"/>
              <w:rPr>
                <w:b/>
                <w:color w:val="000000"/>
                <w:sz w:val="22"/>
                <w:szCs w:val="22"/>
                <w:lang w:val="de-CH"/>
              </w:rPr>
            </w:pPr>
            <w:r w:rsidRPr="00B30A12">
              <w:rPr>
                <w:b/>
                <w:color w:val="000000"/>
                <w:sz w:val="22"/>
                <w:szCs w:val="22"/>
                <w:lang w:val="de-CH"/>
              </w:rPr>
              <w:t>Luxembourg/Luxemburg</w:t>
            </w:r>
          </w:p>
          <w:p w14:paraId="505439E4" w14:textId="77777777" w:rsidR="002D1A41" w:rsidRPr="00B30A12" w:rsidRDefault="002D1A41" w:rsidP="000C47C6">
            <w:pPr>
              <w:widowControl w:val="0"/>
              <w:rPr>
                <w:color w:val="000000"/>
                <w:sz w:val="22"/>
                <w:szCs w:val="22"/>
                <w:lang w:val="de-CH"/>
              </w:rPr>
            </w:pPr>
            <w:r w:rsidRPr="00B30A12">
              <w:rPr>
                <w:color w:val="000000"/>
                <w:sz w:val="22"/>
                <w:szCs w:val="22"/>
                <w:lang w:val="de-CH"/>
              </w:rPr>
              <w:t>Novartis Pharma N.V.</w:t>
            </w:r>
          </w:p>
          <w:p w14:paraId="4A3DD085" w14:textId="77777777" w:rsidR="002D1A41" w:rsidRPr="00B30A12" w:rsidRDefault="002D1A41" w:rsidP="000C47C6">
            <w:pPr>
              <w:widowControl w:val="0"/>
              <w:rPr>
                <w:color w:val="000000"/>
                <w:sz w:val="22"/>
                <w:szCs w:val="22"/>
                <w:lang w:val="de-CH"/>
              </w:rPr>
            </w:pPr>
            <w:r w:rsidRPr="00B30A12">
              <w:rPr>
                <w:color w:val="000000"/>
                <w:sz w:val="22"/>
                <w:szCs w:val="22"/>
                <w:lang w:val="de-CH"/>
              </w:rPr>
              <w:t>Tél/Tel: +32 2 246 16 11</w:t>
            </w:r>
          </w:p>
          <w:p w14:paraId="40755F59" w14:textId="77777777" w:rsidR="002D1A41" w:rsidRPr="00B30A12" w:rsidRDefault="002D1A41" w:rsidP="000C47C6">
            <w:pPr>
              <w:widowControl w:val="0"/>
              <w:rPr>
                <w:color w:val="000000"/>
                <w:sz w:val="22"/>
                <w:szCs w:val="22"/>
                <w:lang w:val="de-CH"/>
              </w:rPr>
            </w:pPr>
          </w:p>
        </w:tc>
      </w:tr>
      <w:tr w:rsidR="002D1A41" w:rsidRPr="009D20BB" w14:paraId="5961D0E8" w14:textId="77777777" w:rsidTr="00CC644C">
        <w:trPr>
          <w:cantSplit/>
        </w:trPr>
        <w:tc>
          <w:tcPr>
            <w:tcW w:w="4650" w:type="dxa"/>
          </w:tcPr>
          <w:p w14:paraId="7C4C01C8"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Česká republika</w:t>
            </w:r>
          </w:p>
          <w:p w14:paraId="0AED47ED"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s.r.o.</w:t>
            </w:r>
          </w:p>
          <w:p w14:paraId="4BED02B9" w14:textId="77777777" w:rsidR="002D1A41" w:rsidRPr="00B30A12" w:rsidRDefault="002D1A41" w:rsidP="000C47C6">
            <w:pPr>
              <w:widowControl w:val="0"/>
              <w:rPr>
                <w:color w:val="000000"/>
                <w:sz w:val="22"/>
                <w:szCs w:val="22"/>
              </w:rPr>
            </w:pPr>
            <w:r w:rsidRPr="00B30A12">
              <w:rPr>
                <w:color w:val="000000"/>
                <w:sz w:val="22"/>
                <w:szCs w:val="22"/>
              </w:rPr>
              <w:t>Tel: +420 225 775 111</w:t>
            </w:r>
          </w:p>
          <w:p w14:paraId="5E8E52D0" w14:textId="77777777" w:rsidR="002D1A41" w:rsidRPr="00B30A12" w:rsidRDefault="002D1A41" w:rsidP="000C47C6">
            <w:pPr>
              <w:widowControl w:val="0"/>
              <w:rPr>
                <w:b/>
                <w:color w:val="000000"/>
                <w:sz w:val="22"/>
                <w:szCs w:val="22"/>
              </w:rPr>
            </w:pPr>
          </w:p>
        </w:tc>
        <w:tc>
          <w:tcPr>
            <w:tcW w:w="4650" w:type="dxa"/>
          </w:tcPr>
          <w:p w14:paraId="150BED13"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Magyarország</w:t>
            </w:r>
          </w:p>
          <w:p w14:paraId="0592C0E1"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Hungária Kft.</w:t>
            </w:r>
          </w:p>
          <w:p w14:paraId="69FE3C72" w14:textId="77777777" w:rsidR="002D1A41" w:rsidRPr="00B30A12" w:rsidRDefault="002D1A41" w:rsidP="000C47C6">
            <w:pPr>
              <w:widowControl w:val="0"/>
              <w:rPr>
                <w:color w:val="000000"/>
                <w:sz w:val="22"/>
                <w:szCs w:val="22"/>
                <w:lang w:val="pt-BR"/>
              </w:rPr>
            </w:pPr>
            <w:r w:rsidRPr="00B30A12">
              <w:rPr>
                <w:color w:val="000000"/>
                <w:sz w:val="22"/>
                <w:szCs w:val="22"/>
                <w:lang w:val="pt-BR"/>
              </w:rPr>
              <w:t>Tel.: +36 1 457 65 00</w:t>
            </w:r>
          </w:p>
        </w:tc>
      </w:tr>
      <w:tr w:rsidR="002D1A41" w:rsidRPr="00B30A12" w14:paraId="13F8CBE1" w14:textId="77777777" w:rsidTr="00CC644C">
        <w:trPr>
          <w:cantSplit/>
        </w:trPr>
        <w:tc>
          <w:tcPr>
            <w:tcW w:w="4650" w:type="dxa"/>
          </w:tcPr>
          <w:p w14:paraId="189838EA" w14:textId="77777777" w:rsidR="002D1A41" w:rsidRPr="00B30A12" w:rsidRDefault="002D1A41" w:rsidP="000C47C6">
            <w:pPr>
              <w:widowControl w:val="0"/>
              <w:rPr>
                <w:b/>
                <w:color w:val="000000"/>
                <w:sz w:val="22"/>
                <w:szCs w:val="22"/>
                <w:lang w:val="en-US"/>
              </w:rPr>
            </w:pPr>
            <w:r w:rsidRPr="00B30A12">
              <w:rPr>
                <w:b/>
                <w:color w:val="000000"/>
                <w:sz w:val="22"/>
                <w:szCs w:val="22"/>
                <w:lang w:val="en-US"/>
              </w:rPr>
              <w:t>Danmark</w:t>
            </w:r>
          </w:p>
          <w:p w14:paraId="22CC1A50" w14:textId="77777777" w:rsidR="002D1A41" w:rsidRPr="00B30A12" w:rsidRDefault="002D1A41" w:rsidP="000C47C6">
            <w:pPr>
              <w:widowControl w:val="0"/>
              <w:rPr>
                <w:color w:val="000000"/>
                <w:sz w:val="22"/>
                <w:szCs w:val="22"/>
                <w:lang w:val="en-US"/>
              </w:rPr>
            </w:pPr>
            <w:r w:rsidRPr="00B30A12">
              <w:rPr>
                <w:color w:val="000000"/>
                <w:sz w:val="22"/>
                <w:szCs w:val="22"/>
                <w:lang w:val="en-US"/>
              </w:rPr>
              <w:t>Novartis Healthcare A/S</w:t>
            </w:r>
          </w:p>
          <w:p w14:paraId="0B1A3679" w14:textId="77777777" w:rsidR="002D1A41" w:rsidRPr="00B30A12" w:rsidRDefault="002D1A41" w:rsidP="000C47C6">
            <w:pPr>
              <w:widowControl w:val="0"/>
              <w:rPr>
                <w:color w:val="000000"/>
                <w:sz w:val="22"/>
                <w:szCs w:val="22"/>
                <w:lang w:val="en-US"/>
              </w:rPr>
            </w:pPr>
            <w:r w:rsidRPr="00B30A12">
              <w:rPr>
                <w:color w:val="000000"/>
                <w:sz w:val="22"/>
                <w:szCs w:val="22"/>
                <w:lang w:val="en-US"/>
              </w:rPr>
              <w:t>Tlf: +45 39 16 84 00</w:t>
            </w:r>
          </w:p>
          <w:p w14:paraId="07A87768" w14:textId="77777777" w:rsidR="002D1A41" w:rsidRPr="00B30A12" w:rsidRDefault="002D1A41" w:rsidP="000C47C6">
            <w:pPr>
              <w:widowControl w:val="0"/>
              <w:rPr>
                <w:b/>
                <w:color w:val="000000"/>
                <w:sz w:val="22"/>
                <w:szCs w:val="22"/>
                <w:lang w:val="en-US"/>
              </w:rPr>
            </w:pPr>
          </w:p>
        </w:tc>
        <w:tc>
          <w:tcPr>
            <w:tcW w:w="4650" w:type="dxa"/>
          </w:tcPr>
          <w:p w14:paraId="64F99424"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Malta</w:t>
            </w:r>
          </w:p>
          <w:p w14:paraId="55B50E3B"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Pharma Services Inc.</w:t>
            </w:r>
          </w:p>
          <w:p w14:paraId="1DEFCF84" w14:textId="77777777" w:rsidR="002D1A41" w:rsidRPr="00B30A12" w:rsidRDefault="002D1A41" w:rsidP="000C47C6">
            <w:pPr>
              <w:widowControl w:val="0"/>
              <w:rPr>
                <w:color w:val="000000"/>
                <w:sz w:val="22"/>
                <w:szCs w:val="22"/>
              </w:rPr>
            </w:pPr>
            <w:r w:rsidRPr="00B30A12">
              <w:rPr>
                <w:color w:val="000000"/>
                <w:sz w:val="22"/>
                <w:szCs w:val="22"/>
              </w:rPr>
              <w:t>Tel: +356 2122 2872</w:t>
            </w:r>
          </w:p>
        </w:tc>
      </w:tr>
      <w:tr w:rsidR="002D1A41" w:rsidRPr="00B30A12" w14:paraId="1BBE780B" w14:textId="77777777" w:rsidTr="00CC644C">
        <w:trPr>
          <w:cantSplit/>
        </w:trPr>
        <w:tc>
          <w:tcPr>
            <w:tcW w:w="4650" w:type="dxa"/>
          </w:tcPr>
          <w:p w14:paraId="4AB230CF" w14:textId="77777777" w:rsidR="002D1A41" w:rsidRPr="00B30A12" w:rsidRDefault="002D1A41" w:rsidP="000C47C6">
            <w:pPr>
              <w:widowControl w:val="0"/>
              <w:rPr>
                <w:b/>
                <w:color w:val="000000"/>
                <w:sz w:val="22"/>
                <w:szCs w:val="22"/>
                <w:lang w:val="de-CH"/>
              </w:rPr>
            </w:pPr>
            <w:r w:rsidRPr="00B30A12">
              <w:rPr>
                <w:b/>
                <w:color w:val="000000"/>
                <w:sz w:val="22"/>
                <w:szCs w:val="22"/>
                <w:lang w:val="de-CH"/>
              </w:rPr>
              <w:t>Deutschland</w:t>
            </w:r>
          </w:p>
          <w:p w14:paraId="31074646" w14:textId="77777777" w:rsidR="002D1A41" w:rsidRPr="00B30A12" w:rsidRDefault="002D1A41" w:rsidP="000C47C6">
            <w:pPr>
              <w:widowControl w:val="0"/>
              <w:rPr>
                <w:color w:val="000000"/>
                <w:sz w:val="22"/>
                <w:szCs w:val="22"/>
                <w:lang w:val="de-CH"/>
              </w:rPr>
            </w:pPr>
            <w:r w:rsidRPr="00B30A12">
              <w:rPr>
                <w:color w:val="000000"/>
                <w:sz w:val="22"/>
                <w:szCs w:val="22"/>
                <w:lang w:val="de-CH"/>
              </w:rPr>
              <w:t>Novartis Pharma GmbH</w:t>
            </w:r>
          </w:p>
          <w:p w14:paraId="7F1FB36F" w14:textId="77777777" w:rsidR="002D1A41" w:rsidRPr="00B30A12" w:rsidRDefault="002D1A41" w:rsidP="000C47C6">
            <w:pPr>
              <w:widowControl w:val="0"/>
              <w:rPr>
                <w:color w:val="000000"/>
                <w:sz w:val="22"/>
                <w:szCs w:val="22"/>
                <w:lang w:val="de-CH"/>
              </w:rPr>
            </w:pPr>
            <w:r w:rsidRPr="00B30A12">
              <w:rPr>
                <w:color w:val="000000"/>
                <w:sz w:val="22"/>
                <w:szCs w:val="22"/>
                <w:lang w:val="de-CH"/>
              </w:rPr>
              <w:t>Tel: +49 911 273 0</w:t>
            </w:r>
          </w:p>
          <w:p w14:paraId="7E339884" w14:textId="77777777" w:rsidR="002D1A41" w:rsidRPr="00B30A12" w:rsidRDefault="002D1A41" w:rsidP="000C47C6">
            <w:pPr>
              <w:widowControl w:val="0"/>
              <w:rPr>
                <w:b/>
                <w:color w:val="000000"/>
                <w:sz w:val="22"/>
                <w:szCs w:val="22"/>
                <w:lang w:val="de-CH"/>
              </w:rPr>
            </w:pPr>
          </w:p>
        </w:tc>
        <w:tc>
          <w:tcPr>
            <w:tcW w:w="4650" w:type="dxa"/>
          </w:tcPr>
          <w:p w14:paraId="1C6EEF13" w14:textId="77777777" w:rsidR="002D1A41" w:rsidRPr="00B30A12" w:rsidRDefault="002D1A41" w:rsidP="000C47C6">
            <w:pPr>
              <w:widowControl w:val="0"/>
              <w:rPr>
                <w:b/>
                <w:color w:val="000000"/>
                <w:sz w:val="22"/>
                <w:szCs w:val="22"/>
                <w:lang w:val="de-CH"/>
              </w:rPr>
            </w:pPr>
            <w:r w:rsidRPr="00B30A12">
              <w:rPr>
                <w:b/>
                <w:color w:val="000000"/>
                <w:sz w:val="22"/>
                <w:szCs w:val="22"/>
                <w:lang w:val="de-CH"/>
              </w:rPr>
              <w:t>Nederland</w:t>
            </w:r>
          </w:p>
          <w:p w14:paraId="66D66DC3" w14:textId="77777777" w:rsidR="002D1A41" w:rsidRPr="00B30A12" w:rsidRDefault="002D1A41" w:rsidP="000C47C6">
            <w:pPr>
              <w:widowControl w:val="0"/>
              <w:rPr>
                <w:color w:val="000000"/>
                <w:sz w:val="22"/>
                <w:szCs w:val="22"/>
                <w:lang w:val="de-CH"/>
              </w:rPr>
            </w:pPr>
            <w:r w:rsidRPr="00B30A12">
              <w:rPr>
                <w:color w:val="000000"/>
                <w:sz w:val="22"/>
                <w:szCs w:val="22"/>
                <w:lang w:val="de-CH"/>
              </w:rPr>
              <w:t>Novartis Pharma B.V.</w:t>
            </w:r>
          </w:p>
          <w:p w14:paraId="4B3DC514" w14:textId="187585FC" w:rsidR="002D1A41" w:rsidRPr="00B30A12" w:rsidRDefault="002D1A41" w:rsidP="008B319E">
            <w:pPr>
              <w:widowControl w:val="0"/>
              <w:rPr>
                <w:color w:val="000000"/>
                <w:sz w:val="22"/>
                <w:szCs w:val="22"/>
              </w:rPr>
            </w:pPr>
            <w:r w:rsidRPr="00B30A12">
              <w:rPr>
                <w:color w:val="000000"/>
                <w:sz w:val="22"/>
                <w:szCs w:val="22"/>
              </w:rPr>
              <w:t xml:space="preserve">Tel: +31 </w:t>
            </w:r>
            <w:r w:rsidR="008B319E" w:rsidRPr="008B319E">
              <w:rPr>
                <w:color w:val="000000"/>
                <w:sz w:val="22"/>
                <w:szCs w:val="22"/>
              </w:rPr>
              <w:t>88 04 52</w:t>
            </w:r>
            <w:r w:rsidRPr="00B30A12">
              <w:rPr>
                <w:color w:val="000000"/>
                <w:sz w:val="22"/>
                <w:szCs w:val="22"/>
              </w:rPr>
              <w:t xml:space="preserve"> </w:t>
            </w:r>
            <w:r w:rsidR="0095506C" w:rsidRPr="00B30A12">
              <w:rPr>
                <w:color w:val="000000"/>
                <w:sz w:val="22"/>
                <w:szCs w:val="22"/>
              </w:rPr>
              <w:t>555</w:t>
            </w:r>
          </w:p>
        </w:tc>
      </w:tr>
      <w:tr w:rsidR="002D1A41" w:rsidRPr="009D20BB" w14:paraId="231EAEF5" w14:textId="77777777" w:rsidTr="00CC644C">
        <w:trPr>
          <w:cantSplit/>
        </w:trPr>
        <w:tc>
          <w:tcPr>
            <w:tcW w:w="4650" w:type="dxa"/>
          </w:tcPr>
          <w:p w14:paraId="7510076C" w14:textId="77777777" w:rsidR="002D1A41" w:rsidRPr="00497F34" w:rsidRDefault="002D1A41" w:rsidP="000C47C6">
            <w:pPr>
              <w:widowControl w:val="0"/>
              <w:rPr>
                <w:b/>
                <w:color w:val="000000"/>
                <w:sz w:val="22"/>
                <w:szCs w:val="22"/>
                <w:lang w:val="it-IT"/>
              </w:rPr>
            </w:pPr>
            <w:r w:rsidRPr="00497F34">
              <w:rPr>
                <w:b/>
                <w:color w:val="000000"/>
                <w:sz w:val="22"/>
                <w:szCs w:val="22"/>
                <w:lang w:val="it-IT"/>
              </w:rPr>
              <w:t>Eesti</w:t>
            </w:r>
          </w:p>
          <w:p w14:paraId="02F9BABE" w14:textId="77777777" w:rsidR="002D1A41" w:rsidRPr="00497F34" w:rsidRDefault="00E37E76" w:rsidP="000C47C6">
            <w:pPr>
              <w:widowControl w:val="0"/>
              <w:rPr>
                <w:color w:val="000000"/>
                <w:sz w:val="22"/>
                <w:szCs w:val="22"/>
                <w:lang w:val="it-IT"/>
              </w:rPr>
            </w:pPr>
            <w:r w:rsidRPr="00F16CCC">
              <w:rPr>
                <w:sz w:val="22"/>
                <w:szCs w:val="22"/>
                <w:lang w:val="it-IT"/>
              </w:rPr>
              <w:t>SIA Novartis Baltics Eesti filiaal</w:t>
            </w:r>
          </w:p>
          <w:p w14:paraId="417DABEB" w14:textId="77777777" w:rsidR="002D1A41" w:rsidRPr="00497F34" w:rsidRDefault="002D1A41" w:rsidP="000C47C6">
            <w:pPr>
              <w:widowControl w:val="0"/>
              <w:rPr>
                <w:color w:val="000000"/>
                <w:sz w:val="22"/>
                <w:szCs w:val="22"/>
                <w:lang w:val="it-IT"/>
              </w:rPr>
            </w:pPr>
            <w:r w:rsidRPr="00497F34">
              <w:rPr>
                <w:color w:val="000000"/>
                <w:sz w:val="22"/>
                <w:szCs w:val="22"/>
                <w:lang w:val="it-IT"/>
              </w:rPr>
              <w:t>Tel: +372 66 30 810</w:t>
            </w:r>
          </w:p>
          <w:p w14:paraId="0D392640" w14:textId="77777777" w:rsidR="002D1A41" w:rsidRPr="00497F34" w:rsidRDefault="002D1A41" w:rsidP="000C47C6">
            <w:pPr>
              <w:widowControl w:val="0"/>
              <w:rPr>
                <w:b/>
                <w:color w:val="000000"/>
                <w:sz w:val="22"/>
                <w:szCs w:val="22"/>
                <w:lang w:val="it-IT"/>
              </w:rPr>
            </w:pPr>
          </w:p>
        </w:tc>
        <w:tc>
          <w:tcPr>
            <w:tcW w:w="4650" w:type="dxa"/>
          </w:tcPr>
          <w:p w14:paraId="647D217E"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Norge</w:t>
            </w:r>
          </w:p>
          <w:p w14:paraId="2F7ABA1D"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Norge AS</w:t>
            </w:r>
          </w:p>
          <w:p w14:paraId="1242AE20" w14:textId="77777777" w:rsidR="002D1A41" w:rsidRPr="00B30A12" w:rsidRDefault="002D1A41" w:rsidP="000C47C6">
            <w:pPr>
              <w:widowControl w:val="0"/>
              <w:rPr>
                <w:color w:val="000000"/>
                <w:sz w:val="22"/>
                <w:szCs w:val="22"/>
                <w:lang w:val="pt-BR"/>
              </w:rPr>
            </w:pPr>
            <w:r w:rsidRPr="00B30A12">
              <w:rPr>
                <w:color w:val="000000"/>
                <w:sz w:val="22"/>
                <w:szCs w:val="22"/>
                <w:lang w:val="pt-BR"/>
              </w:rPr>
              <w:t>Tlf: +47 23 05 20 00</w:t>
            </w:r>
          </w:p>
        </w:tc>
      </w:tr>
      <w:tr w:rsidR="002D1A41" w:rsidRPr="00B30A12" w14:paraId="0A6FE1BF" w14:textId="77777777" w:rsidTr="00CC644C">
        <w:trPr>
          <w:cantSplit/>
        </w:trPr>
        <w:tc>
          <w:tcPr>
            <w:tcW w:w="4650" w:type="dxa"/>
          </w:tcPr>
          <w:p w14:paraId="6B2AC2B8" w14:textId="77777777" w:rsidR="002D1A41" w:rsidRPr="00B30A12" w:rsidRDefault="002D1A41" w:rsidP="000C47C6">
            <w:pPr>
              <w:widowControl w:val="0"/>
              <w:rPr>
                <w:b/>
                <w:color w:val="000000"/>
                <w:sz w:val="22"/>
                <w:szCs w:val="22"/>
                <w:lang w:val="pt-BR"/>
              </w:rPr>
            </w:pPr>
            <w:r w:rsidRPr="00B30A12">
              <w:rPr>
                <w:b/>
                <w:color w:val="000000"/>
                <w:sz w:val="22"/>
                <w:szCs w:val="22"/>
              </w:rPr>
              <w:t>Ελλάδα</w:t>
            </w:r>
          </w:p>
          <w:p w14:paraId="627D0540"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(Hellas) A.E.B.E.</w:t>
            </w:r>
          </w:p>
          <w:p w14:paraId="713F648E" w14:textId="77777777" w:rsidR="002D1A41" w:rsidRPr="00B30A12" w:rsidRDefault="002D1A41" w:rsidP="000C47C6">
            <w:pPr>
              <w:widowControl w:val="0"/>
              <w:rPr>
                <w:color w:val="000000"/>
                <w:sz w:val="22"/>
                <w:szCs w:val="22"/>
                <w:lang w:val="pt-BR"/>
              </w:rPr>
            </w:pPr>
            <w:r w:rsidRPr="00B30A12">
              <w:rPr>
                <w:color w:val="000000"/>
                <w:sz w:val="22"/>
                <w:szCs w:val="22"/>
              </w:rPr>
              <w:t>Τηλ</w:t>
            </w:r>
            <w:r w:rsidRPr="00B30A12">
              <w:rPr>
                <w:color w:val="000000"/>
                <w:sz w:val="22"/>
                <w:szCs w:val="22"/>
                <w:lang w:val="pt-BR"/>
              </w:rPr>
              <w:t>: +30 210 281 17 12</w:t>
            </w:r>
          </w:p>
          <w:p w14:paraId="2801828A" w14:textId="77777777" w:rsidR="002D1A41" w:rsidRPr="00B30A12" w:rsidRDefault="002D1A41" w:rsidP="000C47C6">
            <w:pPr>
              <w:widowControl w:val="0"/>
              <w:rPr>
                <w:b/>
                <w:color w:val="000000"/>
                <w:sz w:val="22"/>
                <w:szCs w:val="22"/>
                <w:lang w:val="pt-BR"/>
              </w:rPr>
            </w:pPr>
          </w:p>
        </w:tc>
        <w:tc>
          <w:tcPr>
            <w:tcW w:w="4650" w:type="dxa"/>
          </w:tcPr>
          <w:p w14:paraId="5CF9B1C9" w14:textId="77777777" w:rsidR="002D1A41" w:rsidRPr="00B30A12" w:rsidRDefault="002D1A41" w:rsidP="000C47C6">
            <w:pPr>
              <w:widowControl w:val="0"/>
              <w:rPr>
                <w:b/>
                <w:color w:val="000000"/>
                <w:sz w:val="22"/>
                <w:szCs w:val="22"/>
                <w:lang w:val="de-CH"/>
              </w:rPr>
            </w:pPr>
            <w:r w:rsidRPr="00B30A12">
              <w:rPr>
                <w:b/>
                <w:color w:val="000000"/>
                <w:sz w:val="22"/>
                <w:szCs w:val="22"/>
                <w:lang w:val="de-CH"/>
              </w:rPr>
              <w:t>Österreich</w:t>
            </w:r>
          </w:p>
          <w:p w14:paraId="72265B0F" w14:textId="77777777" w:rsidR="002D1A41" w:rsidRPr="00B30A12" w:rsidRDefault="002D1A41" w:rsidP="000C47C6">
            <w:pPr>
              <w:widowControl w:val="0"/>
              <w:rPr>
                <w:color w:val="000000"/>
                <w:sz w:val="22"/>
                <w:szCs w:val="22"/>
                <w:lang w:val="de-CH"/>
              </w:rPr>
            </w:pPr>
            <w:r w:rsidRPr="00B30A12">
              <w:rPr>
                <w:color w:val="000000"/>
                <w:sz w:val="22"/>
                <w:szCs w:val="22"/>
                <w:lang w:val="de-CH"/>
              </w:rPr>
              <w:t>Novartis Pharma GmbH</w:t>
            </w:r>
          </w:p>
          <w:p w14:paraId="448055FF" w14:textId="77777777" w:rsidR="002D1A41" w:rsidRPr="00B30A12" w:rsidRDefault="002D1A41" w:rsidP="000C47C6">
            <w:pPr>
              <w:widowControl w:val="0"/>
              <w:rPr>
                <w:color w:val="000000"/>
                <w:sz w:val="22"/>
                <w:szCs w:val="22"/>
                <w:lang w:val="de-CH"/>
              </w:rPr>
            </w:pPr>
            <w:r w:rsidRPr="00B30A12">
              <w:rPr>
                <w:color w:val="000000"/>
                <w:sz w:val="22"/>
                <w:szCs w:val="22"/>
                <w:lang w:val="de-CH"/>
              </w:rPr>
              <w:t>Tel: +43 1 86 6570</w:t>
            </w:r>
          </w:p>
        </w:tc>
      </w:tr>
      <w:tr w:rsidR="002D1A41" w:rsidRPr="00B30A12" w14:paraId="2586C811" w14:textId="77777777" w:rsidTr="00CC644C">
        <w:trPr>
          <w:cantSplit/>
        </w:trPr>
        <w:tc>
          <w:tcPr>
            <w:tcW w:w="4650" w:type="dxa"/>
          </w:tcPr>
          <w:p w14:paraId="01340228" w14:textId="77777777" w:rsidR="002D1A41" w:rsidRPr="00B30A12" w:rsidRDefault="002D1A41" w:rsidP="000C47C6">
            <w:pPr>
              <w:widowControl w:val="0"/>
              <w:rPr>
                <w:b/>
                <w:color w:val="000000"/>
                <w:sz w:val="22"/>
                <w:szCs w:val="22"/>
                <w:lang w:val="pt-BR"/>
              </w:rPr>
            </w:pPr>
            <w:r w:rsidRPr="00B30A12">
              <w:rPr>
                <w:b/>
                <w:color w:val="000000"/>
                <w:sz w:val="22"/>
                <w:szCs w:val="22"/>
                <w:lang w:val="pt-BR"/>
              </w:rPr>
              <w:lastRenderedPageBreak/>
              <w:t>España</w:t>
            </w:r>
          </w:p>
          <w:p w14:paraId="43435AA0"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Farmacéutica, S.A.</w:t>
            </w:r>
          </w:p>
          <w:p w14:paraId="09F87868" w14:textId="77777777" w:rsidR="002D1A41" w:rsidRPr="00B30A12" w:rsidRDefault="002D1A41" w:rsidP="000C47C6">
            <w:pPr>
              <w:widowControl w:val="0"/>
              <w:rPr>
                <w:color w:val="000000"/>
                <w:sz w:val="22"/>
                <w:szCs w:val="22"/>
              </w:rPr>
            </w:pPr>
            <w:r w:rsidRPr="00B30A12">
              <w:rPr>
                <w:color w:val="000000"/>
                <w:sz w:val="22"/>
                <w:szCs w:val="22"/>
              </w:rPr>
              <w:t>Tel: +34 93 306 42 00</w:t>
            </w:r>
          </w:p>
          <w:p w14:paraId="1C2FE947" w14:textId="77777777" w:rsidR="002D1A41" w:rsidRPr="00B30A12" w:rsidRDefault="002D1A41" w:rsidP="000C47C6">
            <w:pPr>
              <w:widowControl w:val="0"/>
              <w:rPr>
                <w:b/>
                <w:color w:val="000000"/>
                <w:sz w:val="22"/>
                <w:szCs w:val="22"/>
              </w:rPr>
            </w:pPr>
          </w:p>
        </w:tc>
        <w:tc>
          <w:tcPr>
            <w:tcW w:w="4650" w:type="dxa"/>
          </w:tcPr>
          <w:p w14:paraId="751504CF"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Polska</w:t>
            </w:r>
          </w:p>
          <w:p w14:paraId="426665FF"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Poland Sp. z o.o.</w:t>
            </w:r>
          </w:p>
          <w:p w14:paraId="6D63B795" w14:textId="77777777" w:rsidR="002D1A41" w:rsidRPr="00B30A12" w:rsidRDefault="002D1A41" w:rsidP="000C47C6">
            <w:pPr>
              <w:widowControl w:val="0"/>
              <w:rPr>
                <w:color w:val="000000"/>
                <w:sz w:val="22"/>
                <w:szCs w:val="22"/>
                <w:lang w:val="pt-BR"/>
              </w:rPr>
            </w:pPr>
            <w:r w:rsidRPr="00B30A12">
              <w:rPr>
                <w:color w:val="000000"/>
                <w:sz w:val="22"/>
                <w:szCs w:val="22"/>
                <w:lang w:val="pt-BR"/>
              </w:rPr>
              <w:t xml:space="preserve">Tel.: +48 22 </w:t>
            </w:r>
            <w:r w:rsidRPr="00B30A12">
              <w:rPr>
                <w:sz w:val="22"/>
                <w:szCs w:val="22"/>
              </w:rPr>
              <w:t>375 4888</w:t>
            </w:r>
          </w:p>
        </w:tc>
      </w:tr>
      <w:tr w:rsidR="002D1A41" w:rsidRPr="00B30A12" w14:paraId="013C2858" w14:textId="77777777" w:rsidTr="00CC644C">
        <w:trPr>
          <w:cantSplit/>
        </w:trPr>
        <w:tc>
          <w:tcPr>
            <w:tcW w:w="4650" w:type="dxa"/>
          </w:tcPr>
          <w:p w14:paraId="3EB5EE3F" w14:textId="77777777" w:rsidR="002D1A41" w:rsidRPr="00B30A12" w:rsidRDefault="002D1A41" w:rsidP="000C47C6">
            <w:pPr>
              <w:widowControl w:val="0"/>
              <w:rPr>
                <w:b/>
                <w:color w:val="000000"/>
                <w:sz w:val="22"/>
                <w:szCs w:val="22"/>
                <w:lang w:val="fr-FR"/>
              </w:rPr>
            </w:pPr>
            <w:r w:rsidRPr="00B30A12">
              <w:rPr>
                <w:b/>
                <w:color w:val="000000"/>
                <w:sz w:val="22"/>
                <w:szCs w:val="22"/>
                <w:lang w:val="fr-FR"/>
              </w:rPr>
              <w:t>France</w:t>
            </w:r>
          </w:p>
          <w:p w14:paraId="6481B7F5" w14:textId="77777777" w:rsidR="002D1A41" w:rsidRPr="00B30A12" w:rsidRDefault="002D1A41" w:rsidP="000C47C6">
            <w:pPr>
              <w:widowControl w:val="0"/>
              <w:rPr>
                <w:color w:val="000000"/>
                <w:sz w:val="22"/>
                <w:szCs w:val="22"/>
                <w:lang w:val="fr-FR"/>
              </w:rPr>
            </w:pPr>
            <w:r w:rsidRPr="00B30A12">
              <w:rPr>
                <w:color w:val="000000"/>
                <w:sz w:val="22"/>
                <w:szCs w:val="22"/>
                <w:lang w:val="fr-FR"/>
              </w:rPr>
              <w:t>Novartis Pharma S.A.S.</w:t>
            </w:r>
          </w:p>
          <w:p w14:paraId="5F7B205F" w14:textId="77777777" w:rsidR="002D1A41" w:rsidRPr="00B30A12" w:rsidRDefault="002D1A41" w:rsidP="000C47C6">
            <w:pPr>
              <w:widowControl w:val="0"/>
              <w:rPr>
                <w:color w:val="000000"/>
                <w:sz w:val="22"/>
                <w:szCs w:val="22"/>
                <w:lang w:val="fr-FR"/>
              </w:rPr>
            </w:pPr>
            <w:r w:rsidRPr="00B30A12">
              <w:rPr>
                <w:color w:val="000000"/>
                <w:sz w:val="22"/>
                <w:szCs w:val="22"/>
                <w:lang w:val="fr-FR"/>
              </w:rPr>
              <w:t>Tél: +33 1 55 47 66 00</w:t>
            </w:r>
          </w:p>
          <w:p w14:paraId="1195CBB5" w14:textId="77777777" w:rsidR="002D1A41" w:rsidRPr="00B30A12" w:rsidRDefault="002D1A41" w:rsidP="000C47C6">
            <w:pPr>
              <w:widowControl w:val="0"/>
              <w:rPr>
                <w:b/>
                <w:color w:val="000000"/>
                <w:sz w:val="22"/>
                <w:szCs w:val="22"/>
                <w:lang w:val="fr-FR"/>
              </w:rPr>
            </w:pPr>
          </w:p>
        </w:tc>
        <w:tc>
          <w:tcPr>
            <w:tcW w:w="4650" w:type="dxa"/>
          </w:tcPr>
          <w:p w14:paraId="3AB4A783"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Portugal</w:t>
            </w:r>
          </w:p>
          <w:p w14:paraId="3F8B0E61"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Farma - Produtos Farmacêuticos, S.A.</w:t>
            </w:r>
          </w:p>
          <w:p w14:paraId="54B36525" w14:textId="77777777" w:rsidR="002D1A41" w:rsidRPr="00B30A12" w:rsidRDefault="002D1A41" w:rsidP="000C47C6">
            <w:pPr>
              <w:widowControl w:val="0"/>
              <w:rPr>
                <w:color w:val="000000"/>
                <w:sz w:val="22"/>
                <w:szCs w:val="22"/>
              </w:rPr>
            </w:pPr>
            <w:r w:rsidRPr="00B30A12">
              <w:rPr>
                <w:color w:val="000000"/>
                <w:sz w:val="22"/>
                <w:szCs w:val="22"/>
              </w:rPr>
              <w:t>Tel: +351 21 000 8600</w:t>
            </w:r>
          </w:p>
        </w:tc>
      </w:tr>
      <w:tr w:rsidR="002D1A41" w:rsidRPr="00B30A12" w14:paraId="50264AF9" w14:textId="77777777" w:rsidTr="00CC644C">
        <w:trPr>
          <w:cantSplit/>
        </w:trPr>
        <w:tc>
          <w:tcPr>
            <w:tcW w:w="4650" w:type="dxa"/>
          </w:tcPr>
          <w:p w14:paraId="7BE45AA8" w14:textId="77777777" w:rsidR="002D1A41" w:rsidRPr="00B30A12" w:rsidRDefault="002D1A41" w:rsidP="000C47C6">
            <w:pPr>
              <w:widowControl w:val="0"/>
              <w:rPr>
                <w:rFonts w:eastAsia="PMingLiU"/>
                <w:b/>
                <w:sz w:val="22"/>
                <w:szCs w:val="22"/>
              </w:rPr>
            </w:pPr>
            <w:r w:rsidRPr="00B30A12">
              <w:rPr>
                <w:rFonts w:eastAsia="PMingLiU"/>
                <w:b/>
                <w:sz w:val="22"/>
                <w:szCs w:val="22"/>
              </w:rPr>
              <w:t>Hrvatska</w:t>
            </w:r>
          </w:p>
          <w:p w14:paraId="0276E30F" w14:textId="77777777" w:rsidR="002D1A41" w:rsidRPr="00B30A12" w:rsidRDefault="002D1A41" w:rsidP="000C47C6">
            <w:pPr>
              <w:widowControl w:val="0"/>
              <w:rPr>
                <w:sz w:val="22"/>
                <w:szCs w:val="22"/>
              </w:rPr>
            </w:pPr>
            <w:r w:rsidRPr="00B30A12">
              <w:rPr>
                <w:sz w:val="22"/>
                <w:szCs w:val="22"/>
              </w:rPr>
              <w:t>Novartis Hrvatska d.o.o.</w:t>
            </w:r>
          </w:p>
          <w:p w14:paraId="25F1776A" w14:textId="77777777" w:rsidR="002D1A41" w:rsidRPr="00B30A12" w:rsidRDefault="002D1A41" w:rsidP="000C47C6">
            <w:pPr>
              <w:widowControl w:val="0"/>
              <w:rPr>
                <w:sz w:val="22"/>
                <w:szCs w:val="22"/>
              </w:rPr>
            </w:pPr>
            <w:r w:rsidRPr="00B30A12">
              <w:rPr>
                <w:sz w:val="22"/>
                <w:szCs w:val="22"/>
              </w:rPr>
              <w:t>Tel. +385 1 6274 220</w:t>
            </w:r>
          </w:p>
          <w:p w14:paraId="3B7EE37E" w14:textId="77777777" w:rsidR="002D1A41" w:rsidRPr="00B30A12" w:rsidRDefault="002D1A41" w:rsidP="000C47C6">
            <w:pPr>
              <w:widowControl w:val="0"/>
              <w:rPr>
                <w:b/>
                <w:color w:val="000000"/>
                <w:sz w:val="22"/>
                <w:szCs w:val="22"/>
                <w:lang w:val="fr-FR"/>
              </w:rPr>
            </w:pPr>
          </w:p>
        </w:tc>
        <w:tc>
          <w:tcPr>
            <w:tcW w:w="4650" w:type="dxa"/>
          </w:tcPr>
          <w:p w14:paraId="0DEA3C48" w14:textId="77777777" w:rsidR="002D1A41" w:rsidRPr="00B30A12" w:rsidRDefault="002D1A41" w:rsidP="000C47C6">
            <w:pPr>
              <w:widowControl w:val="0"/>
              <w:rPr>
                <w:b/>
                <w:noProof/>
                <w:color w:val="000000"/>
                <w:sz w:val="22"/>
                <w:szCs w:val="22"/>
                <w:lang w:val="it-IT"/>
              </w:rPr>
            </w:pPr>
            <w:r w:rsidRPr="00B30A12">
              <w:rPr>
                <w:b/>
                <w:noProof/>
                <w:color w:val="000000"/>
                <w:sz w:val="22"/>
                <w:szCs w:val="22"/>
                <w:lang w:val="it-IT"/>
              </w:rPr>
              <w:t>România</w:t>
            </w:r>
          </w:p>
          <w:p w14:paraId="6E175205" w14:textId="77777777" w:rsidR="002D1A41" w:rsidRPr="00B30A12" w:rsidRDefault="002D1A41" w:rsidP="000C47C6">
            <w:pPr>
              <w:widowControl w:val="0"/>
              <w:rPr>
                <w:noProof/>
                <w:color w:val="000000"/>
                <w:sz w:val="22"/>
                <w:szCs w:val="22"/>
                <w:lang w:val="it-IT"/>
              </w:rPr>
            </w:pPr>
            <w:r w:rsidRPr="00B30A12">
              <w:rPr>
                <w:noProof/>
                <w:color w:val="000000"/>
                <w:sz w:val="22"/>
                <w:szCs w:val="22"/>
                <w:lang w:val="it-IT"/>
              </w:rPr>
              <w:t xml:space="preserve">Novartis Pharma Services </w:t>
            </w:r>
            <w:r w:rsidRPr="002A051A">
              <w:rPr>
                <w:color w:val="2F2F2F"/>
                <w:sz w:val="22"/>
                <w:szCs w:val="22"/>
                <w:lang w:val="en-US"/>
              </w:rPr>
              <w:t>Romania SRL</w:t>
            </w:r>
          </w:p>
          <w:p w14:paraId="0FB28F0B" w14:textId="77777777" w:rsidR="002D1A41" w:rsidRPr="00B30A12" w:rsidRDefault="002D1A41" w:rsidP="000C47C6">
            <w:pPr>
              <w:widowControl w:val="0"/>
              <w:rPr>
                <w:color w:val="000000"/>
                <w:sz w:val="22"/>
                <w:szCs w:val="22"/>
              </w:rPr>
            </w:pPr>
            <w:r w:rsidRPr="00B30A12">
              <w:rPr>
                <w:noProof/>
                <w:color w:val="000000"/>
                <w:sz w:val="22"/>
                <w:szCs w:val="22"/>
                <w:lang w:val="it-IT"/>
              </w:rPr>
              <w:t>Tel: +40 21 31299 01</w:t>
            </w:r>
          </w:p>
        </w:tc>
      </w:tr>
      <w:tr w:rsidR="002D1A41" w:rsidRPr="00B30A12" w14:paraId="7C760090" w14:textId="77777777" w:rsidTr="00CC644C">
        <w:trPr>
          <w:cantSplit/>
        </w:trPr>
        <w:tc>
          <w:tcPr>
            <w:tcW w:w="4650" w:type="dxa"/>
          </w:tcPr>
          <w:p w14:paraId="68171237" w14:textId="77777777" w:rsidR="002D1A41" w:rsidRPr="00B30A12" w:rsidRDefault="002D1A41" w:rsidP="000C47C6">
            <w:pPr>
              <w:widowControl w:val="0"/>
              <w:rPr>
                <w:b/>
                <w:color w:val="000000"/>
                <w:sz w:val="22"/>
                <w:szCs w:val="22"/>
                <w:lang w:val="en-US"/>
              </w:rPr>
            </w:pPr>
            <w:r w:rsidRPr="00B30A12">
              <w:rPr>
                <w:b/>
                <w:color w:val="000000"/>
                <w:sz w:val="22"/>
                <w:szCs w:val="22"/>
                <w:lang w:val="en-US"/>
              </w:rPr>
              <w:t>Ireland</w:t>
            </w:r>
          </w:p>
          <w:p w14:paraId="5822A710" w14:textId="77777777" w:rsidR="002D1A41" w:rsidRPr="00B30A12" w:rsidRDefault="002D1A41" w:rsidP="000C47C6">
            <w:pPr>
              <w:widowControl w:val="0"/>
              <w:rPr>
                <w:color w:val="000000"/>
                <w:sz w:val="22"/>
                <w:szCs w:val="22"/>
                <w:lang w:val="en-US"/>
              </w:rPr>
            </w:pPr>
            <w:r w:rsidRPr="00B30A12">
              <w:rPr>
                <w:color w:val="000000"/>
                <w:sz w:val="22"/>
                <w:szCs w:val="22"/>
                <w:lang w:val="en-US"/>
              </w:rPr>
              <w:t>Novartis Ireland Limited</w:t>
            </w:r>
          </w:p>
          <w:p w14:paraId="446FFDE8" w14:textId="77777777" w:rsidR="002D1A41" w:rsidRPr="00B30A12" w:rsidRDefault="002D1A41" w:rsidP="000C47C6">
            <w:pPr>
              <w:widowControl w:val="0"/>
              <w:rPr>
                <w:color w:val="000000"/>
                <w:sz w:val="22"/>
                <w:szCs w:val="22"/>
                <w:lang w:val="en-US"/>
              </w:rPr>
            </w:pPr>
            <w:r w:rsidRPr="00B30A12">
              <w:rPr>
                <w:color w:val="000000"/>
                <w:sz w:val="22"/>
                <w:szCs w:val="22"/>
                <w:lang w:val="en-US"/>
              </w:rPr>
              <w:t>Tel: +353 1 260 12 55</w:t>
            </w:r>
          </w:p>
          <w:p w14:paraId="176C991B" w14:textId="77777777" w:rsidR="002D1A41" w:rsidRPr="00B30A12" w:rsidRDefault="002D1A41" w:rsidP="000C47C6">
            <w:pPr>
              <w:widowControl w:val="0"/>
              <w:rPr>
                <w:b/>
                <w:color w:val="000000"/>
                <w:sz w:val="22"/>
                <w:szCs w:val="22"/>
                <w:lang w:val="en-US"/>
              </w:rPr>
            </w:pPr>
          </w:p>
        </w:tc>
        <w:tc>
          <w:tcPr>
            <w:tcW w:w="4650" w:type="dxa"/>
          </w:tcPr>
          <w:p w14:paraId="3C3A62E5" w14:textId="77777777" w:rsidR="002D1A41" w:rsidRPr="00B30A12" w:rsidRDefault="002D1A41" w:rsidP="000C47C6">
            <w:pPr>
              <w:widowControl w:val="0"/>
              <w:rPr>
                <w:b/>
                <w:color w:val="000000"/>
                <w:sz w:val="22"/>
                <w:szCs w:val="22"/>
                <w:lang w:val="fr-FR"/>
              </w:rPr>
            </w:pPr>
            <w:r w:rsidRPr="00B30A12">
              <w:rPr>
                <w:b/>
                <w:color w:val="000000"/>
                <w:sz w:val="22"/>
                <w:szCs w:val="22"/>
                <w:lang w:val="fr-FR"/>
              </w:rPr>
              <w:t>Slovenija</w:t>
            </w:r>
          </w:p>
          <w:p w14:paraId="26F0CCFA" w14:textId="77777777" w:rsidR="002D1A41" w:rsidRPr="00B30A12" w:rsidRDefault="002D1A41" w:rsidP="000C47C6">
            <w:pPr>
              <w:widowControl w:val="0"/>
              <w:rPr>
                <w:color w:val="000000"/>
                <w:sz w:val="22"/>
                <w:szCs w:val="22"/>
                <w:lang w:val="fr-FR"/>
              </w:rPr>
            </w:pPr>
            <w:r w:rsidRPr="00B30A12">
              <w:rPr>
                <w:color w:val="000000"/>
                <w:sz w:val="22"/>
                <w:szCs w:val="22"/>
                <w:lang w:val="fr-FR"/>
              </w:rPr>
              <w:t>Novartis Pharma Services Inc.</w:t>
            </w:r>
          </w:p>
          <w:p w14:paraId="7EF447DE" w14:textId="77777777" w:rsidR="002D1A41" w:rsidRPr="00B30A12" w:rsidRDefault="002D1A41" w:rsidP="000C47C6">
            <w:pPr>
              <w:widowControl w:val="0"/>
              <w:rPr>
                <w:color w:val="000000"/>
                <w:sz w:val="22"/>
                <w:szCs w:val="22"/>
                <w:lang w:val="fr-FR"/>
              </w:rPr>
            </w:pPr>
            <w:r w:rsidRPr="00B30A12">
              <w:rPr>
                <w:color w:val="000000"/>
                <w:sz w:val="22"/>
                <w:szCs w:val="22"/>
                <w:lang w:val="fr-FR"/>
              </w:rPr>
              <w:t>Tel: +386 1 300 75 50</w:t>
            </w:r>
          </w:p>
        </w:tc>
      </w:tr>
      <w:tr w:rsidR="002D1A41" w:rsidRPr="00B30A12" w14:paraId="0A1DA9AD" w14:textId="77777777" w:rsidTr="00CC644C">
        <w:trPr>
          <w:cantSplit/>
        </w:trPr>
        <w:tc>
          <w:tcPr>
            <w:tcW w:w="4650" w:type="dxa"/>
          </w:tcPr>
          <w:p w14:paraId="56008A53" w14:textId="77777777" w:rsidR="002D1A41" w:rsidRPr="00B30A12" w:rsidRDefault="002D1A41" w:rsidP="000C47C6">
            <w:pPr>
              <w:widowControl w:val="0"/>
              <w:rPr>
                <w:b/>
                <w:color w:val="000000"/>
                <w:sz w:val="22"/>
                <w:szCs w:val="22"/>
              </w:rPr>
            </w:pPr>
            <w:r w:rsidRPr="00B30A12">
              <w:rPr>
                <w:b/>
                <w:color w:val="000000"/>
                <w:sz w:val="22"/>
                <w:szCs w:val="22"/>
              </w:rPr>
              <w:t>Ísland</w:t>
            </w:r>
          </w:p>
          <w:p w14:paraId="6DC76F49" w14:textId="77777777" w:rsidR="002D1A41" w:rsidRPr="00B30A12" w:rsidRDefault="002D1A41" w:rsidP="000C47C6">
            <w:pPr>
              <w:widowControl w:val="0"/>
              <w:rPr>
                <w:color w:val="000000"/>
                <w:sz w:val="22"/>
                <w:szCs w:val="22"/>
              </w:rPr>
            </w:pPr>
            <w:r w:rsidRPr="00B30A12">
              <w:rPr>
                <w:color w:val="000000"/>
                <w:sz w:val="22"/>
                <w:szCs w:val="22"/>
              </w:rPr>
              <w:t>Vistor hf.</w:t>
            </w:r>
          </w:p>
          <w:p w14:paraId="17053B42" w14:textId="77777777" w:rsidR="002D1A41" w:rsidRPr="00B30A12" w:rsidRDefault="002D1A41" w:rsidP="000C47C6">
            <w:pPr>
              <w:widowControl w:val="0"/>
              <w:rPr>
                <w:color w:val="000000"/>
                <w:sz w:val="22"/>
                <w:szCs w:val="22"/>
              </w:rPr>
            </w:pPr>
            <w:r w:rsidRPr="00B30A12">
              <w:rPr>
                <w:noProof/>
                <w:color w:val="000000"/>
                <w:sz w:val="22"/>
                <w:szCs w:val="22"/>
                <w:lang w:val="it-IT"/>
              </w:rPr>
              <w:t>S</w:t>
            </w:r>
            <w:r w:rsidRPr="00B30A12">
              <w:rPr>
                <w:noProof/>
                <w:color w:val="000000"/>
                <w:sz w:val="22"/>
                <w:szCs w:val="22"/>
                <w:lang w:val="cs-CZ"/>
              </w:rPr>
              <w:t>í</w:t>
            </w:r>
            <w:r w:rsidRPr="00B30A12">
              <w:rPr>
                <w:noProof/>
                <w:color w:val="000000"/>
                <w:sz w:val="22"/>
                <w:szCs w:val="22"/>
                <w:lang w:val="it-IT"/>
              </w:rPr>
              <w:t>mi</w:t>
            </w:r>
            <w:r w:rsidRPr="00B30A12">
              <w:rPr>
                <w:color w:val="000000"/>
                <w:sz w:val="22"/>
                <w:szCs w:val="22"/>
              </w:rPr>
              <w:t>: +354 535 7000</w:t>
            </w:r>
          </w:p>
          <w:p w14:paraId="3EBF10A5" w14:textId="77777777" w:rsidR="002D1A41" w:rsidRPr="00B30A12" w:rsidRDefault="002D1A41" w:rsidP="000C47C6">
            <w:pPr>
              <w:widowControl w:val="0"/>
              <w:rPr>
                <w:b/>
                <w:color w:val="000000"/>
                <w:sz w:val="22"/>
                <w:szCs w:val="22"/>
              </w:rPr>
            </w:pPr>
          </w:p>
        </w:tc>
        <w:tc>
          <w:tcPr>
            <w:tcW w:w="4650" w:type="dxa"/>
          </w:tcPr>
          <w:p w14:paraId="42EE5039"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Slovenská republika</w:t>
            </w:r>
          </w:p>
          <w:p w14:paraId="4B888315"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Slovakia s.r.o.</w:t>
            </w:r>
          </w:p>
          <w:p w14:paraId="4F199771" w14:textId="77777777" w:rsidR="002D1A41" w:rsidRPr="00B30A12" w:rsidRDefault="002D1A41" w:rsidP="000C47C6">
            <w:pPr>
              <w:widowControl w:val="0"/>
              <w:rPr>
                <w:color w:val="000000"/>
                <w:sz w:val="22"/>
                <w:szCs w:val="22"/>
              </w:rPr>
            </w:pPr>
            <w:r w:rsidRPr="00B30A12">
              <w:rPr>
                <w:color w:val="000000"/>
                <w:sz w:val="22"/>
                <w:szCs w:val="22"/>
              </w:rPr>
              <w:t>Tel: +421 2 5542 5439</w:t>
            </w:r>
          </w:p>
          <w:p w14:paraId="23D3A996" w14:textId="77777777" w:rsidR="002D1A41" w:rsidRPr="00B30A12" w:rsidRDefault="002D1A41" w:rsidP="000C47C6">
            <w:pPr>
              <w:widowControl w:val="0"/>
              <w:rPr>
                <w:color w:val="000000"/>
                <w:sz w:val="22"/>
                <w:szCs w:val="22"/>
              </w:rPr>
            </w:pPr>
          </w:p>
        </w:tc>
      </w:tr>
      <w:tr w:rsidR="002D1A41" w:rsidRPr="00B30A12" w14:paraId="34D17D86" w14:textId="77777777" w:rsidTr="00CC644C">
        <w:trPr>
          <w:cantSplit/>
        </w:trPr>
        <w:tc>
          <w:tcPr>
            <w:tcW w:w="4650" w:type="dxa"/>
          </w:tcPr>
          <w:p w14:paraId="2F02FE95" w14:textId="77777777" w:rsidR="002D1A41" w:rsidRPr="00B30A12" w:rsidRDefault="002D1A41" w:rsidP="000C47C6">
            <w:pPr>
              <w:widowControl w:val="0"/>
              <w:rPr>
                <w:b/>
                <w:color w:val="000000"/>
                <w:sz w:val="22"/>
                <w:szCs w:val="22"/>
                <w:lang w:val="pt-BR"/>
              </w:rPr>
            </w:pPr>
            <w:r w:rsidRPr="00B30A12">
              <w:rPr>
                <w:b/>
                <w:color w:val="000000"/>
                <w:sz w:val="22"/>
                <w:szCs w:val="22"/>
                <w:lang w:val="pt-BR"/>
              </w:rPr>
              <w:t>Italia</w:t>
            </w:r>
          </w:p>
          <w:p w14:paraId="20ED5E77" w14:textId="77777777" w:rsidR="002D1A41" w:rsidRPr="00B30A12" w:rsidRDefault="002D1A41" w:rsidP="000C47C6">
            <w:pPr>
              <w:widowControl w:val="0"/>
              <w:rPr>
                <w:color w:val="000000"/>
                <w:sz w:val="22"/>
                <w:szCs w:val="22"/>
                <w:lang w:val="pt-BR"/>
              </w:rPr>
            </w:pPr>
            <w:r w:rsidRPr="00B30A12">
              <w:rPr>
                <w:color w:val="000000"/>
                <w:sz w:val="22"/>
                <w:szCs w:val="22"/>
                <w:lang w:val="pt-BR"/>
              </w:rPr>
              <w:t>Novartis Farma S.p.A.</w:t>
            </w:r>
          </w:p>
          <w:p w14:paraId="4D4DC7E2" w14:textId="77777777" w:rsidR="002D1A41" w:rsidRPr="00B30A12" w:rsidRDefault="002D1A41" w:rsidP="000C47C6">
            <w:pPr>
              <w:widowControl w:val="0"/>
              <w:rPr>
                <w:b/>
                <w:color w:val="000000"/>
                <w:sz w:val="22"/>
                <w:szCs w:val="22"/>
              </w:rPr>
            </w:pPr>
            <w:r w:rsidRPr="00B30A12">
              <w:rPr>
                <w:color w:val="000000"/>
                <w:sz w:val="22"/>
                <w:szCs w:val="22"/>
              </w:rPr>
              <w:t>Tel: +39 02 96 54 1</w:t>
            </w:r>
          </w:p>
        </w:tc>
        <w:tc>
          <w:tcPr>
            <w:tcW w:w="4650" w:type="dxa"/>
          </w:tcPr>
          <w:p w14:paraId="3BF9FBF9" w14:textId="77777777" w:rsidR="002D1A41" w:rsidRPr="00B30A12" w:rsidRDefault="002D1A41" w:rsidP="000C47C6">
            <w:pPr>
              <w:widowControl w:val="0"/>
              <w:rPr>
                <w:b/>
                <w:color w:val="000000"/>
                <w:sz w:val="22"/>
                <w:szCs w:val="22"/>
                <w:lang w:val="fr-FR"/>
              </w:rPr>
            </w:pPr>
            <w:r w:rsidRPr="00B30A12">
              <w:rPr>
                <w:b/>
                <w:color w:val="000000"/>
                <w:sz w:val="22"/>
                <w:szCs w:val="22"/>
                <w:lang w:val="fr-FR"/>
              </w:rPr>
              <w:t>Suomi/Finland</w:t>
            </w:r>
          </w:p>
          <w:p w14:paraId="00445541" w14:textId="77777777" w:rsidR="002D1A41" w:rsidRPr="00B30A12" w:rsidRDefault="002D1A41" w:rsidP="000C47C6">
            <w:pPr>
              <w:widowControl w:val="0"/>
              <w:rPr>
                <w:color w:val="000000"/>
                <w:sz w:val="22"/>
                <w:szCs w:val="22"/>
                <w:lang w:val="fr-FR"/>
              </w:rPr>
            </w:pPr>
            <w:r w:rsidRPr="00B30A12">
              <w:rPr>
                <w:color w:val="000000"/>
                <w:sz w:val="22"/>
                <w:szCs w:val="22"/>
                <w:lang w:val="fr-FR"/>
              </w:rPr>
              <w:t>Novartis Finland Oy</w:t>
            </w:r>
          </w:p>
          <w:p w14:paraId="58875143" w14:textId="77777777" w:rsidR="002D1A41" w:rsidRPr="00B30A12" w:rsidRDefault="002D1A41" w:rsidP="000C47C6">
            <w:pPr>
              <w:widowControl w:val="0"/>
              <w:rPr>
                <w:color w:val="000000"/>
                <w:sz w:val="22"/>
                <w:szCs w:val="22"/>
                <w:lang w:val="fr-FR"/>
              </w:rPr>
            </w:pPr>
            <w:r w:rsidRPr="00B30A12">
              <w:rPr>
                <w:color w:val="000000"/>
                <w:sz w:val="22"/>
                <w:szCs w:val="22"/>
                <w:lang w:val="fr-FR"/>
              </w:rPr>
              <w:t xml:space="preserve">Puh/Tel: </w:t>
            </w:r>
            <w:r w:rsidRPr="00B30A12">
              <w:rPr>
                <w:color w:val="000000"/>
                <w:sz w:val="22"/>
                <w:szCs w:val="22"/>
                <w:lang w:val="de-CH" w:bidi="he-IL"/>
              </w:rPr>
              <w:t>+358 (0)10 6133 200</w:t>
            </w:r>
          </w:p>
          <w:p w14:paraId="5A456F73" w14:textId="77777777" w:rsidR="002D1A41" w:rsidRPr="00B30A12" w:rsidRDefault="002D1A41" w:rsidP="000C47C6">
            <w:pPr>
              <w:widowControl w:val="0"/>
              <w:rPr>
                <w:color w:val="000000"/>
                <w:sz w:val="22"/>
                <w:szCs w:val="22"/>
                <w:lang w:val="fr-FR"/>
              </w:rPr>
            </w:pPr>
          </w:p>
        </w:tc>
      </w:tr>
      <w:tr w:rsidR="002D1A41" w:rsidRPr="00B30A12" w14:paraId="099E62AC" w14:textId="77777777" w:rsidTr="00CC644C">
        <w:trPr>
          <w:cantSplit/>
        </w:trPr>
        <w:tc>
          <w:tcPr>
            <w:tcW w:w="4650" w:type="dxa"/>
          </w:tcPr>
          <w:p w14:paraId="63C942FD" w14:textId="77777777" w:rsidR="002D1A41" w:rsidRPr="00B30A12" w:rsidRDefault="002D1A41" w:rsidP="000C47C6">
            <w:pPr>
              <w:widowControl w:val="0"/>
              <w:rPr>
                <w:b/>
                <w:color w:val="000000"/>
                <w:sz w:val="22"/>
                <w:szCs w:val="22"/>
                <w:lang w:val="fr-FR"/>
              </w:rPr>
            </w:pPr>
            <w:r w:rsidRPr="00B30A12">
              <w:rPr>
                <w:b/>
                <w:color w:val="000000"/>
                <w:sz w:val="22"/>
                <w:szCs w:val="22"/>
              </w:rPr>
              <w:t>Κύπρος</w:t>
            </w:r>
          </w:p>
          <w:p w14:paraId="3B1BBE6D" w14:textId="77777777" w:rsidR="002D1A41" w:rsidRPr="00B30A12" w:rsidRDefault="002D1A41" w:rsidP="000C47C6">
            <w:pPr>
              <w:widowControl w:val="0"/>
              <w:rPr>
                <w:color w:val="000000"/>
                <w:sz w:val="22"/>
                <w:szCs w:val="22"/>
                <w:lang w:val="fr-FR"/>
              </w:rPr>
            </w:pPr>
            <w:r w:rsidRPr="00B30A12">
              <w:rPr>
                <w:color w:val="000000"/>
                <w:sz w:val="22"/>
                <w:szCs w:val="22"/>
                <w:lang w:val="fr-FR" w:bidi="he-IL"/>
              </w:rPr>
              <w:t>Novartis Pharma Services Inc.</w:t>
            </w:r>
          </w:p>
          <w:p w14:paraId="32651F42" w14:textId="77777777" w:rsidR="002D1A41" w:rsidRPr="00B30A12" w:rsidRDefault="002D1A41" w:rsidP="000C47C6">
            <w:pPr>
              <w:widowControl w:val="0"/>
              <w:rPr>
                <w:color w:val="000000"/>
                <w:sz w:val="22"/>
                <w:szCs w:val="22"/>
                <w:lang w:val="fr-FR"/>
              </w:rPr>
            </w:pPr>
            <w:r w:rsidRPr="00B30A12">
              <w:rPr>
                <w:color w:val="000000"/>
                <w:sz w:val="22"/>
                <w:szCs w:val="22"/>
              </w:rPr>
              <w:t>Τηλ</w:t>
            </w:r>
            <w:r w:rsidRPr="00B30A12">
              <w:rPr>
                <w:color w:val="000000"/>
                <w:sz w:val="22"/>
                <w:szCs w:val="22"/>
                <w:lang w:val="fr-FR"/>
              </w:rPr>
              <w:t>: +357 22 690 690</w:t>
            </w:r>
          </w:p>
          <w:p w14:paraId="6C6D01A3" w14:textId="77777777" w:rsidR="002D1A41" w:rsidRPr="00B30A12" w:rsidRDefault="002D1A41" w:rsidP="000C47C6">
            <w:pPr>
              <w:widowControl w:val="0"/>
              <w:rPr>
                <w:b/>
                <w:color w:val="000000"/>
                <w:sz w:val="22"/>
                <w:szCs w:val="22"/>
                <w:lang w:val="fr-FR"/>
              </w:rPr>
            </w:pPr>
          </w:p>
        </w:tc>
        <w:tc>
          <w:tcPr>
            <w:tcW w:w="4650" w:type="dxa"/>
          </w:tcPr>
          <w:p w14:paraId="2CE4C22D" w14:textId="77777777" w:rsidR="002D1A41" w:rsidRPr="00B30A12" w:rsidRDefault="002D1A41" w:rsidP="000C47C6">
            <w:pPr>
              <w:widowControl w:val="0"/>
              <w:rPr>
                <w:b/>
                <w:color w:val="000000"/>
                <w:sz w:val="22"/>
                <w:szCs w:val="22"/>
                <w:lang w:val="de-CH"/>
              </w:rPr>
            </w:pPr>
            <w:r w:rsidRPr="00B30A12">
              <w:rPr>
                <w:b/>
                <w:color w:val="000000"/>
                <w:sz w:val="22"/>
                <w:szCs w:val="22"/>
                <w:lang w:val="de-CH"/>
              </w:rPr>
              <w:t>Sverige</w:t>
            </w:r>
          </w:p>
          <w:p w14:paraId="5EFA0AD8" w14:textId="77777777" w:rsidR="002D1A41" w:rsidRPr="00B30A12" w:rsidRDefault="002D1A41" w:rsidP="000C47C6">
            <w:pPr>
              <w:widowControl w:val="0"/>
              <w:rPr>
                <w:color w:val="000000"/>
                <w:sz w:val="22"/>
                <w:szCs w:val="22"/>
                <w:lang w:val="de-CH"/>
              </w:rPr>
            </w:pPr>
            <w:r w:rsidRPr="00B30A12">
              <w:rPr>
                <w:color w:val="000000"/>
                <w:sz w:val="22"/>
                <w:szCs w:val="22"/>
                <w:lang w:val="de-CH"/>
              </w:rPr>
              <w:t>Novartis Sverige AB</w:t>
            </w:r>
          </w:p>
          <w:p w14:paraId="397ED9C9" w14:textId="77777777" w:rsidR="002D1A41" w:rsidRPr="00B30A12" w:rsidRDefault="002D1A41" w:rsidP="000C47C6">
            <w:pPr>
              <w:widowControl w:val="0"/>
              <w:rPr>
                <w:color w:val="000000"/>
                <w:sz w:val="22"/>
                <w:szCs w:val="22"/>
                <w:lang w:val="de-CH"/>
              </w:rPr>
            </w:pPr>
            <w:r w:rsidRPr="00B30A12">
              <w:rPr>
                <w:color w:val="000000"/>
                <w:sz w:val="22"/>
                <w:szCs w:val="22"/>
                <w:lang w:val="de-CH"/>
              </w:rPr>
              <w:t>Tel: +46 8 732 32 00</w:t>
            </w:r>
          </w:p>
          <w:p w14:paraId="5275BB47" w14:textId="77777777" w:rsidR="002D1A41" w:rsidRPr="00B30A12" w:rsidRDefault="002D1A41" w:rsidP="000C47C6">
            <w:pPr>
              <w:widowControl w:val="0"/>
              <w:rPr>
                <w:color w:val="000000"/>
                <w:sz w:val="22"/>
                <w:szCs w:val="22"/>
                <w:lang w:val="de-CH"/>
              </w:rPr>
            </w:pPr>
          </w:p>
        </w:tc>
      </w:tr>
      <w:tr w:rsidR="002D1A41" w:rsidRPr="00B30A12" w14:paraId="0641346C" w14:textId="77777777" w:rsidTr="00CC644C">
        <w:trPr>
          <w:cantSplit/>
        </w:trPr>
        <w:tc>
          <w:tcPr>
            <w:tcW w:w="4650" w:type="dxa"/>
          </w:tcPr>
          <w:p w14:paraId="1C3C05BA" w14:textId="77777777" w:rsidR="002D1A41" w:rsidRPr="00B30A12" w:rsidRDefault="002D1A41" w:rsidP="000C47C6">
            <w:pPr>
              <w:widowControl w:val="0"/>
              <w:rPr>
                <w:b/>
                <w:color w:val="000000"/>
                <w:sz w:val="22"/>
                <w:szCs w:val="22"/>
                <w:lang w:val="fr-FR"/>
              </w:rPr>
            </w:pPr>
            <w:r w:rsidRPr="00B30A12">
              <w:rPr>
                <w:b/>
                <w:color w:val="000000"/>
                <w:sz w:val="22"/>
                <w:szCs w:val="22"/>
                <w:lang w:val="fr-FR"/>
              </w:rPr>
              <w:t>Latvija</w:t>
            </w:r>
          </w:p>
          <w:p w14:paraId="45B46E9C" w14:textId="2D9A334F" w:rsidR="002D1A41" w:rsidRPr="00B30A12" w:rsidRDefault="002C0CB2" w:rsidP="000C47C6">
            <w:pPr>
              <w:widowControl w:val="0"/>
              <w:rPr>
                <w:color w:val="000000"/>
                <w:sz w:val="22"/>
                <w:szCs w:val="22"/>
                <w:lang w:val="fr-FR"/>
              </w:rPr>
            </w:pPr>
            <w:r w:rsidRPr="002C0CB2">
              <w:rPr>
                <w:color w:val="000000"/>
                <w:sz w:val="22"/>
                <w:szCs w:val="22"/>
                <w:lang w:val="fr-FR"/>
              </w:rPr>
              <w:t>SIA Novartis Baltics</w:t>
            </w:r>
          </w:p>
          <w:p w14:paraId="36043FCC" w14:textId="77777777" w:rsidR="002D1A41" w:rsidRPr="002A051A" w:rsidRDefault="002D1A41" w:rsidP="000C47C6">
            <w:pPr>
              <w:widowControl w:val="0"/>
              <w:rPr>
                <w:color w:val="000000"/>
                <w:sz w:val="22"/>
                <w:szCs w:val="22"/>
                <w:lang w:val="en-US"/>
              </w:rPr>
            </w:pPr>
            <w:r w:rsidRPr="002A051A">
              <w:rPr>
                <w:color w:val="000000"/>
                <w:sz w:val="22"/>
                <w:szCs w:val="22"/>
                <w:lang w:val="en-US"/>
              </w:rPr>
              <w:t>Tel: +371 67 887 070</w:t>
            </w:r>
          </w:p>
          <w:p w14:paraId="5C1048E1" w14:textId="77777777" w:rsidR="002D1A41" w:rsidRPr="002A051A" w:rsidRDefault="002D1A41" w:rsidP="000C47C6">
            <w:pPr>
              <w:widowControl w:val="0"/>
              <w:rPr>
                <w:b/>
                <w:color w:val="000000"/>
                <w:sz w:val="22"/>
                <w:szCs w:val="22"/>
                <w:lang w:val="en-US"/>
              </w:rPr>
            </w:pPr>
          </w:p>
        </w:tc>
        <w:tc>
          <w:tcPr>
            <w:tcW w:w="4650" w:type="dxa"/>
          </w:tcPr>
          <w:p w14:paraId="77C8BC6C" w14:textId="77777777" w:rsidR="002D1A41" w:rsidRPr="00B30A12" w:rsidRDefault="002D1A41" w:rsidP="000C47C6">
            <w:pPr>
              <w:widowControl w:val="0"/>
              <w:rPr>
                <w:b/>
                <w:color w:val="000000"/>
                <w:sz w:val="22"/>
                <w:szCs w:val="22"/>
                <w:lang w:val="en-US"/>
              </w:rPr>
            </w:pPr>
            <w:r w:rsidRPr="00B30A12">
              <w:rPr>
                <w:b/>
                <w:color w:val="000000"/>
                <w:sz w:val="22"/>
                <w:szCs w:val="22"/>
                <w:lang w:val="en-US"/>
              </w:rPr>
              <w:t>United Kingdom</w:t>
            </w:r>
          </w:p>
          <w:p w14:paraId="6AF16F85" w14:textId="77777777" w:rsidR="002D1A41" w:rsidRPr="00B30A12" w:rsidRDefault="002D1A41" w:rsidP="000C47C6">
            <w:pPr>
              <w:widowControl w:val="0"/>
              <w:rPr>
                <w:color w:val="000000"/>
                <w:sz w:val="22"/>
                <w:szCs w:val="22"/>
                <w:lang w:val="en-US"/>
              </w:rPr>
            </w:pPr>
            <w:r w:rsidRPr="00B30A12">
              <w:rPr>
                <w:color w:val="000000"/>
                <w:sz w:val="22"/>
                <w:szCs w:val="22"/>
                <w:lang w:val="en-US"/>
              </w:rPr>
              <w:t>Novartis Pharmaceuticals UK Ltd.</w:t>
            </w:r>
          </w:p>
          <w:p w14:paraId="4B503DEC" w14:textId="77777777" w:rsidR="002D1A41" w:rsidRPr="00B30A12" w:rsidRDefault="002D1A41" w:rsidP="000C47C6">
            <w:pPr>
              <w:widowControl w:val="0"/>
              <w:rPr>
                <w:color w:val="000000"/>
                <w:sz w:val="22"/>
                <w:szCs w:val="22"/>
              </w:rPr>
            </w:pPr>
            <w:r w:rsidRPr="00B30A12">
              <w:rPr>
                <w:color w:val="000000"/>
                <w:sz w:val="22"/>
                <w:szCs w:val="22"/>
              </w:rPr>
              <w:t>Tel: +44 1276 698370</w:t>
            </w:r>
          </w:p>
          <w:p w14:paraId="60646345" w14:textId="77777777" w:rsidR="002D1A41" w:rsidRPr="00B30A12" w:rsidRDefault="002D1A41" w:rsidP="000C47C6">
            <w:pPr>
              <w:widowControl w:val="0"/>
              <w:rPr>
                <w:color w:val="000000"/>
                <w:sz w:val="22"/>
                <w:szCs w:val="22"/>
              </w:rPr>
            </w:pPr>
          </w:p>
        </w:tc>
      </w:tr>
    </w:tbl>
    <w:p w14:paraId="0E84CB5C" w14:textId="77777777" w:rsidR="002D1A41" w:rsidRPr="00B30A12" w:rsidRDefault="002D1A41" w:rsidP="000C47C6">
      <w:pPr>
        <w:widowControl w:val="0"/>
        <w:ind w:right="-449"/>
        <w:rPr>
          <w:color w:val="000000"/>
          <w:sz w:val="22"/>
          <w:szCs w:val="22"/>
        </w:rPr>
      </w:pPr>
    </w:p>
    <w:p w14:paraId="177A3DC6" w14:textId="77777777" w:rsidR="00AB6D5E" w:rsidRPr="00B30A12" w:rsidRDefault="00AB6D5E" w:rsidP="000C47C6">
      <w:pPr>
        <w:widowControl w:val="0"/>
        <w:numPr>
          <w:ilvl w:val="12"/>
          <w:numId w:val="0"/>
        </w:numPr>
        <w:rPr>
          <w:b/>
          <w:color w:val="000000"/>
          <w:sz w:val="22"/>
          <w:szCs w:val="22"/>
        </w:rPr>
      </w:pPr>
      <w:r w:rsidRPr="00B30A12">
        <w:rPr>
          <w:b/>
          <w:color w:val="000000"/>
          <w:sz w:val="22"/>
          <w:szCs w:val="22"/>
        </w:rPr>
        <w:t xml:space="preserve">Diese </w:t>
      </w:r>
      <w:r w:rsidR="00001DA2" w:rsidRPr="00B30A12">
        <w:rPr>
          <w:b/>
          <w:color w:val="000000"/>
          <w:sz w:val="22"/>
          <w:szCs w:val="22"/>
        </w:rPr>
        <w:t>Packungsbeilage</w:t>
      </w:r>
      <w:r w:rsidRPr="00B30A12">
        <w:rPr>
          <w:b/>
          <w:color w:val="000000"/>
          <w:sz w:val="22"/>
          <w:szCs w:val="22"/>
        </w:rPr>
        <w:t xml:space="preserve"> wurde zuletzt </w:t>
      </w:r>
      <w:r w:rsidR="00001DA2" w:rsidRPr="00B30A12">
        <w:rPr>
          <w:b/>
          <w:color w:val="000000"/>
          <w:sz w:val="22"/>
          <w:szCs w:val="22"/>
        </w:rPr>
        <w:t>überarbeitet</w:t>
      </w:r>
      <w:r w:rsidRPr="00B30A12">
        <w:rPr>
          <w:b/>
          <w:color w:val="000000"/>
          <w:sz w:val="22"/>
          <w:szCs w:val="22"/>
        </w:rPr>
        <w:t xml:space="preserve"> im</w:t>
      </w:r>
    </w:p>
    <w:p w14:paraId="47A094FE" w14:textId="77777777" w:rsidR="00AB6D5E" w:rsidRPr="00B30A12" w:rsidRDefault="00AB6D5E" w:rsidP="000C47C6">
      <w:pPr>
        <w:widowControl w:val="0"/>
        <w:numPr>
          <w:ilvl w:val="12"/>
          <w:numId w:val="0"/>
        </w:numPr>
        <w:rPr>
          <w:color w:val="000000"/>
          <w:sz w:val="22"/>
          <w:szCs w:val="22"/>
        </w:rPr>
      </w:pPr>
    </w:p>
    <w:p w14:paraId="7680B9B9" w14:textId="77777777" w:rsidR="00001DA2" w:rsidRPr="00B30A12" w:rsidRDefault="00001DA2" w:rsidP="00043875">
      <w:pPr>
        <w:keepNext/>
        <w:widowControl w:val="0"/>
        <w:numPr>
          <w:ilvl w:val="12"/>
          <w:numId w:val="0"/>
        </w:numPr>
        <w:rPr>
          <w:color w:val="000000"/>
          <w:sz w:val="22"/>
          <w:szCs w:val="22"/>
        </w:rPr>
      </w:pPr>
      <w:r w:rsidRPr="00B30A12">
        <w:rPr>
          <w:b/>
          <w:sz w:val="22"/>
          <w:szCs w:val="22"/>
        </w:rPr>
        <w:t>Weitere Informationsquellen</w:t>
      </w:r>
    </w:p>
    <w:p w14:paraId="4361EC29" w14:textId="77777777" w:rsidR="00AB6D5E" w:rsidRPr="00B30A12" w:rsidRDefault="00AB6D5E" w:rsidP="000C47C6">
      <w:pPr>
        <w:widowControl w:val="0"/>
        <w:numPr>
          <w:ilvl w:val="12"/>
          <w:numId w:val="0"/>
        </w:numPr>
        <w:rPr>
          <w:color w:val="000000"/>
          <w:sz w:val="22"/>
          <w:szCs w:val="22"/>
        </w:rPr>
      </w:pPr>
      <w:r w:rsidRPr="00B30A12">
        <w:rPr>
          <w:color w:val="000000"/>
          <w:sz w:val="22"/>
          <w:szCs w:val="22"/>
        </w:rPr>
        <w:t>Ausführliche Informationen zu diesem Arzneimittel sind auf de</w:t>
      </w:r>
      <w:r w:rsidR="00001DA2" w:rsidRPr="00B30A12">
        <w:rPr>
          <w:color w:val="000000"/>
          <w:sz w:val="22"/>
          <w:szCs w:val="22"/>
        </w:rPr>
        <w:t>n Internetseiten</w:t>
      </w:r>
      <w:r w:rsidRPr="00B30A12">
        <w:rPr>
          <w:color w:val="000000"/>
          <w:sz w:val="22"/>
          <w:szCs w:val="22"/>
        </w:rPr>
        <w:t xml:space="preserve"> der Europäischen Arzneimittel-Agentur http://www.ema.europa.eu</w:t>
      </w:r>
      <w:r w:rsidR="00001DA2" w:rsidRPr="00B30A12">
        <w:rPr>
          <w:color w:val="000000"/>
          <w:sz w:val="22"/>
          <w:szCs w:val="22"/>
        </w:rPr>
        <w:t>/</w:t>
      </w:r>
      <w:r w:rsidRPr="00B30A12">
        <w:rPr>
          <w:color w:val="000000"/>
          <w:sz w:val="22"/>
          <w:szCs w:val="22"/>
        </w:rPr>
        <w:t xml:space="preserve"> verfügbar.</w:t>
      </w:r>
    </w:p>
    <w:p w14:paraId="1EADC7C6" w14:textId="77777777" w:rsidR="00AB6D5E" w:rsidRPr="00D7000F" w:rsidRDefault="00AB6D5E" w:rsidP="000C47C6">
      <w:pPr>
        <w:widowControl w:val="0"/>
        <w:numPr>
          <w:ilvl w:val="12"/>
          <w:numId w:val="0"/>
        </w:numPr>
        <w:rPr>
          <w:color w:val="000000"/>
          <w:sz w:val="22"/>
          <w:szCs w:val="22"/>
        </w:rPr>
      </w:pPr>
    </w:p>
    <w:p w14:paraId="6E3CE8F5" w14:textId="3AD3053B" w:rsidR="006615F9" w:rsidRPr="00964770" w:rsidRDefault="006615F9" w:rsidP="008B319E">
      <w:pPr>
        <w:widowControl w:val="0"/>
        <w:jc w:val="center"/>
        <w:rPr>
          <w:sz w:val="22"/>
          <w:szCs w:val="22"/>
        </w:rPr>
      </w:pPr>
    </w:p>
    <w:sectPr w:rsidR="006615F9" w:rsidRPr="00964770" w:rsidSect="00903853">
      <w:headerReference w:type="even" r:id="rId18"/>
      <w:headerReference w:type="default" r:id="rId19"/>
      <w:footerReference w:type="even" r:id="rId20"/>
      <w:footerReference w:type="default" r:id="rId21"/>
      <w:headerReference w:type="first" r:id="rId22"/>
      <w:footerReference w:type="first" r:id="rId23"/>
      <w:pgSz w:w="11901" w:h="16840" w:code="9"/>
      <w:pgMar w:top="1134" w:right="1418" w:bottom="1134" w:left="1418" w:header="737" w:footer="73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8F699" w14:textId="77777777" w:rsidR="00055A65" w:rsidRDefault="00055A65">
      <w:r>
        <w:separator/>
      </w:r>
    </w:p>
  </w:endnote>
  <w:endnote w:type="continuationSeparator" w:id="0">
    <w:p w14:paraId="3817A19D" w14:textId="77777777" w:rsidR="00055A65" w:rsidRDefault="0005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CAECA" w14:textId="77777777" w:rsidR="00861AD6" w:rsidRDefault="00861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D041" w14:textId="08059133" w:rsidR="00055A65" w:rsidRPr="00903853" w:rsidRDefault="00055A65">
    <w:pPr>
      <w:pStyle w:val="Footer"/>
      <w:jc w:val="center"/>
      <w:rPr>
        <w:rFonts w:ascii="Arial" w:hAnsi="Arial" w:cs="Arial"/>
      </w:rPr>
    </w:pPr>
    <w:r>
      <w:fldChar w:fldCharType="begin"/>
    </w:r>
    <w:r>
      <w:instrText xml:space="preserve"> EQ </w:instrText>
    </w:r>
    <w:r>
      <w:fldChar w:fldCharType="end"/>
    </w:r>
    <w:r w:rsidRPr="00903853">
      <w:rPr>
        <w:rStyle w:val="PageNumber"/>
        <w:rFonts w:ascii="Arial" w:hAnsi="Arial" w:cs="Arial"/>
      </w:rPr>
      <w:fldChar w:fldCharType="begin"/>
    </w:r>
    <w:r w:rsidRPr="00903853">
      <w:rPr>
        <w:rStyle w:val="PageNumber"/>
        <w:rFonts w:ascii="Arial" w:hAnsi="Arial" w:cs="Arial"/>
      </w:rPr>
      <w:instrText xml:space="preserve">PAGE  </w:instrText>
    </w:r>
    <w:r w:rsidRPr="00903853">
      <w:rPr>
        <w:rStyle w:val="PageNumber"/>
        <w:rFonts w:ascii="Arial" w:hAnsi="Arial" w:cs="Arial"/>
      </w:rPr>
      <w:fldChar w:fldCharType="separate"/>
    </w:r>
    <w:r w:rsidR="00203AA5">
      <w:rPr>
        <w:rStyle w:val="PageNumber"/>
        <w:rFonts w:ascii="Arial" w:hAnsi="Arial" w:cs="Arial"/>
      </w:rPr>
      <w:t>110</w:t>
    </w:r>
    <w:r w:rsidRPr="00903853">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9804" w14:textId="77777777" w:rsidR="00055A65" w:rsidRDefault="00055A65" w:rsidP="009038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1B6E8" w14:textId="77777777" w:rsidR="00055A65" w:rsidRPr="00903853" w:rsidRDefault="00055A65" w:rsidP="00903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F0950" w14:textId="77777777" w:rsidR="00055A65" w:rsidRDefault="00055A65">
      <w:r>
        <w:separator/>
      </w:r>
    </w:p>
  </w:footnote>
  <w:footnote w:type="continuationSeparator" w:id="0">
    <w:p w14:paraId="60493DC3" w14:textId="77777777" w:rsidR="00055A65" w:rsidRDefault="0005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48126" w14:textId="77777777" w:rsidR="00861AD6" w:rsidRDefault="00861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280D" w14:textId="77777777" w:rsidR="00861AD6" w:rsidRDefault="00861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B68A" w14:textId="77777777" w:rsidR="00861AD6" w:rsidRDefault="00861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27"/>
      </v:shape>
    </w:pict>
  </w:numPicBullet>
  <w:numPicBullet w:numPicBulletId="1">
    <w:pict>
      <v:shape id="Picture 1" o:spid="_x0000_i1027" type="#_x0000_t75" style="width:15pt;height:13.5pt;visibility:visible" o:bullet="t">
        <v:imagedata r:id="rId2"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26033"/>
    <w:multiLevelType w:val="singleLevel"/>
    <w:tmpl w:val="2D9291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4172CF"/>
    <w:multiLevelType w:val="hybridMultilevel"/>
    <w:tmpl w:val="89F28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F64523"/>
    <w:multiLevelType w:val="hybridMultilevel"/>
    <w:tmpl w:val="02EA0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A910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C84971"/>
    <w:multiLevelType w:val="hybridMultilevel"/>
    <w:tmpl w:val="4A5040E8"/>
    <w:lvl w:ilvl="0" w:tplc="1D8029EE">
      <w:start w:val="16"/>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FDF2A37"/>
    <w:multiLevelType w:val="hybridMultilevel"/>
    <w:tmpl w:val="7BCCB664"/>
    <w:lvl w:ilvl="0" w:tplc="516897F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F151C9"/>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0" w15:restartNumberingAfterBreak="0">
    <w:nsid w:val="41FC1B50"/>
    <w:multiLevelType w:val="singleLevel"/>
    <w:tmpl w:val="2D9291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6A26FD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DBD5776"/>
    <w:multiLevelType w:val="singleLevel"/>
    <w:tmpl w:val="1C58E154"/>
    <w:lvl w:ilvl="0">
      <w:start w:val="1"/>
      <w:numFmt w:val="bullet"/>
      <w:lvlText w:val="-"/>
      <w:lvlJc w:val="left"/>
      <w:pPr>
        <w:tabs>
          <w:tab w:val="num" w:pos="644"/>
        </w:tabs>
        <w:ind w:left="567" w:hanging="283"/>
      </w:pPr>
    </w:lvl>
  </w:abstractNum>
  <w:abstractNum w:abstractNumId="13" w15:restartNumberingAfterBreak="0">
    <w:nsid w:val="642700E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1E1817"/>
    <w:multiLevelType w:val="hybridMultilevel"/>
    <w:tmpl w:val="A0265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CD5852"/>
    <w:multiLevelType w:val="hybridMultilevel"/>
    <w:tmpl w:val="32A687E0"/>
    <w:lvl w:ilvl="0" w:tplc="1D8029EE">
      <w:start w:val="16"/>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F0650F"/>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21"/>
        <w:numFmt w:val="bullet"/>
        <w:lvlText w:val="-"/>
        <w:lvlJc w:val="left"/>
        <w:pPr>
          <w:tabs>
            <w:tab w:val="num" w:pos="417"/>
          </w:tabs>
          <w:ind w:left="417" w:hanging="360"/>
        </w:pPr>
        <w:rPr>
          <w:rFonts w:hint="default"/>
        </w:rPr>
      </w:lvl>
    </w:lvlOverride>
  </w:num>
  <w:num w:numId="2">
    <w:abstractNumId w:val="12"/>
  </w:num>
  <w:num w:numId="3">
    <w:abstractNumId w:val="17"/>
  </w:num>
  <w:num w:numId="4">
    <w:abstractNumId w:val="13"/>
  </w:num>
  <w:num w:numId="5">
    <w:abstractNumId w:val="11"/>
  </w:num>
  <w:num w:numId="6">
    <w:abstractNumId w:val="6"/>
  </w:num>
  <w:num w:numId="7">
    <w:abstractNumId w:val="1"/>
  </w:num>
  <w:num w:numId="8">
    <w:abstractNumId w:val="10"/>
  </w:num>
  <w:num w:numId="9">
    <w:abstractNumId w:val="2"/>
  </w:num>
  <w:num w:numId="10">
    <w:abstractNumId w:val="0"/>
    <w:lvlOverride w:ilvl="0">
      <w:lvl w:ilvl="0">
        <w:start w:val="1"/>
        <w:numFmt w:val="bullet"/>
        <w:lvlText w:val=""/>
        <w:lvlJc w:val="left"/>
        <w:pPr>
          <w:ind w:left="360" w:hanging="360"/>
        </w:pPr>
        <w:rPr>
          <w:rFonts w:ascii="Symbol" w:hAnsi="Symbol" w:hint="default"/>
        </w:rPr>
      </w:lvl>
    </w:lvlOverride>
  </w:num>
  <w:num w:numId="11">
    <w:abstractNumId w:val="5"/>
  </w:num>
  <w:num w:numId="12">
    <w:abstractNumId w:val="14"/>
  </w:num>
  <w:num w:numId="13">
    <w:abstractNumId w:val="8"/>
  </w:num>
  <w:num w:numId="14">
    <w:abstractNumId w:val="7"/>
  </w:num>
  <w:num w:numId="15">
    <w:abstractNumId w:val="16"/>
  </w:num>
  <w:num w:numId="16">
    <w:abstractNumId w:val="3"/>
  </w:num>
  <w:num w:numId="17">
    <w:abstractNumId w:val="9"/>
  </w:num>
  <w:num w:numId="18">
    <w:abstractNumId w:val="15"/>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da-DK" w:vendorID="64" w:dllVersion="6" w:nlCheck="1" w:checkStyle="0"/>
  <w:activeWritingStyle w:appName="MSWord" w:lang="en-US" w:vendorID="64" w:dllVersion="6" w:nlCheck="1" w:checkStyle="1"/>
  <w:activeWritingStyle w:appName="MSWord" w:lang="de-DE" w:vendorID="64" w:dllVersion="6" w:nlCheck="1" w:checkStyle="0"/>
  <w:activeWritingStyle w:appName="MSWord" w:lang="de-CH" w:vendorID="64" w:dllVersion="6" w:nlCheck="1" w:checkStyle="0"/>
  <w:activeWritingStyle w:appName="MSWord" w:lang="pt-BR" w:vendorID="64" w:dllVersion="6" w:nlCheck="1" w:checkStyle="0"/>
  <w:activeWritingStyle w:appName="MSWord" w:lang="es-ES_tradnl" w:vendorID="64" w:dllVersion="6" w:nlCheck="1" w:checkStyle="0"/>
  <w:activeWritingStyle w:appName="MSWord" w:lang="de-AT" w:vendorID="64" w:dllVersion="6" w:nlCheck="1" w:checkStyle="0"/>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es-ES" w:vendorID="64" w:dllVersion="6" w:nlCheck="1" w:checkStyle="0"/>
  <w:activeWritingStyle w:appName="MSWord" w:lang="pt-PT" w:vendorID="64" w:dllVersion="6" w:nlCheck="1" w:checkStyle="0"/>
  <w:activeWritingStyle w:appName="MSWord" w:lang="fr-CH" w:vendorID="64" w:dllVersion="6" w:nlCheck="1" w:checkStyle="0"/>
  <w:activeWritingStyle w:appName="MSWord" w:lang="de-DE" w:vendorID="9" w:dllVersion="512" w:checkStyle="1"/>
  <w:activeWritingStyle w:appName="MSWord" w:lang="nl-NL" w:vendorID="9" w:dllVersion="512" w:checkStyle="1"/>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it-IT" w:vendorID="3" w:dllVersion="512" w:checkStyle="1"/>
  <w:activeWritingStyle w:appName="MSWord" w:lang="de-DE" w:vendorID="3" w:dllVersion="517" w:checkStyle="1"/>
  <w:activeWritingStyle w:appName="MSWord" w:lang="da-DK" w:vendorID="666" w:dllVersion="513" w:checkStyle="1"/>
  <w:activeWritingStyle w:appName="MSWord" w:lang="sv-SE" w:vendorID="0" w:dllVersion="512" w:checkStyle="1"/>
  <w:activeWritingStyle w:appName="MSWord" w:lang="da-DK" w:vendorID="22" w:dllVersion="513" w:checkStyle="1"/>
  <w:activeWritingStyle w:appName="MSWord" w:lang="sv-SE" w:vendorID="22" w:dllVersion="513" w:checkStyle="1"/>
  <w:activeWritingStyle w:appName="MSWord" w:lang="nb-NO" w:vendorID="22" w:dllVersion="513" w:checkStyle="1"/>
  <w:activeWritingStyle w:appName="MSWord" w:lang="it-IT" w:vendorID="3" w:dllVersion="517" w:checkStyle="1"/>
  <w:activeWritingStyle w:appName="MSWord" w:lang="pt-BR" w:vendorID="13" w:dllVersion="513" w:checkStyle="1"/>
  <w:activeWritingStyle w:appName="MSWord" w:lang="pt-BR" w:vendorID="1" w:dllVersion="513" w:checkStyle="1"/>
  <w:activeWritingStyle w:appName="MSWord" w:lang="pt-PT" w:vendorID="13"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D31BB"/>
    <w:rsid w:val="00000A46"/>
    <w:rsid w:val="00000C30"/>
    <w:rsid w:val="000016FC"/>
    <w:rsid w:val="00001DA2"/>
    <w:rsid w:val="00002E39"/>
    <w:rsid w:val="0000319B"/>
    <w:rsid w:val="000039C8"/>
    <w:rsid w:val="00003BD4"/>
    <w:rsid w:val="00003D6B"/>
    <w:rsid w:val="00004597"/>
    <w:rsid w:val="0000498E"/>
    <w:rsid w:val="00005775"/>
    <w:rsid w:val="00010397"/>
    <w:rsid w:val="00010671"/>
    <w:rsid w:val="000118D4"/>
    <w:rsid w:val="0001596E"/>
    <w:rsid w:val="00016D3E"/>
    <w:rsid w:val="0001711A"/>
    <w:rsid w:val="00020323"/>
    <w:rsid w:val="00020C2A"/>
    <w:rsid w:val="00021300"/>
    <w:rsid w:val="00021304"/>
    <w:rsid w:val="00022036"/>
    <w:rsid w:val="00022BF5"/>
    <w:rsid w:val="000235CB"/>
    <w:rsid w:val="00024D47"/>
    <w:rsid w:val="00025F64"/>
    <w:rsid w:val="00026841"/>
    <w:rsid w:val="00027795"/>
    <w:rsid w:val="00027DCD"/>
    <w:rsid w:val="000309A7"/>
    <w:rsid w:val="0003152A"/>
    <w:rsid w:val="000319D7"/>
    <w:rsid w:val="0003230A"/>
    <w:rsid w:val="000343C8"/>
    <w:rsid w:val="000349B9"/>
    <w:rsid w:val="00036353"/>
    <w:rsid w:val="00036DB5"/>
    <w:rsid w:val="00037321"/>
    <w:rsid w:val="0003777D"/>
    <w:rsid w:val="000400CE"/>
    <w:rsid w:val="00040615"/>
    <w:rsid w:val="00040717"/>
    <w:rsid w:val="00041BB3"/>
    <w:rsid w:val="00041DBC"/>
    <w:rsid w:val="000422AF"/>
    <w:rsid w:val="00042F14"/>
    <w:rsid w:val="00043819"/>
    <w:rsid w:val="00043875"/>
    <w:rsid w:val="00044609"/>
    <w:rsid w:val="000461BC"/>
    <w:rsid w:val="00046D23"/>
    <w:rsid w:val="00051F7E"/>
    <w:rsid w:val="00052596"/>
    <w:rsid w:val="000537C6"/>
    <w:rsid w:val="00053C4C"/>
    <w:rsid w:val="00053DE4"/>
    <w:rsid w:val="00054198"/>
    <w:rsid w:val="0005491D"/>
    <w:rsid w:val="00054A24"/>
    <w:rsid w:val="00055A65"/>
    <w:rsid w:val="000566B3"/>
    <w:rsid w:val="00057A02"/>
    <w:rsid w:val="00057D58"/>
    <w:rsid w:val="00061AEA"/>
    <w:rsid w:val="00063C3B"/>
    <w:rsid w:val="000644D7"/>
    <w:rsid w:val="0006487A"/>
    <w:rsid w:val="00065716"/>
    <w:rsid w:val="000671F7"/>
    <w:rsid w:val="00070F54"/>
    <w:rsid w:val="00071A0A"/>
    <w:rsid w:val="000742FC"/>
    <w:rsid w:val="000761A6"/>
    <w:rsid w:val="000761DF"/>
    <w:rsid w:val="0007744E"/>
    <w:rsid w:val="00080496"/>
    <w:rsid w:val="00080DDF"/>
    <w:rsid w:val="000822B7"/>
    <w:rsid w:val="000839B7"/>
    <w:rsid w:val="00083CE6"/>
    <w:rsid w:val="00084271"/>
    <w:rsid w:val="00084CF2"/>
    <w:rsid w:val="0008596D"/>
    <w:rsid w:val="0009196E"/>
    <w:rsid w:val="00092112"/>
    <w:rsid w:val="00093C1C"/>
    <w:rsid w:val="00094914"/>
    <w:rsid w:val="00094B8D"/>
    <w:rsid w:val="000951F8"/>
    <w:rsid w:val="00096596"/>
    <w:rsid w:val="000A0FDB"/>
    <w:rsid w:val="000A2427"/>
    <w:rsid w:val="000A3721"/>
    <w:rsid w:val="000A3B73"/>
    <w:rsid w:val="000A50C7"/>
    <w:rsid w:val="000A7707"/>
    <w:rsid w:val="000B0D93"/>
    <w:rsid w:val="000B356F"/>
    <w:rsid w:val="000B3712"/>
    <w:rsid w:val="000B4A2F"/>
    <w:rsid w:val="000B4C32"/>
    <w:rsid w:val="000B4F4D"/>
    <w:rsid w:val="000B5E3D"/>
    <w:rsid w:val="000B60CB"/>
    <w:rsid w:val="000B63B6"/>
    <w:rsid w:val="000B67E0"/>
    <w:rsid w:val="000B7C6E"/>
    <w:rsid w:val="000C0F7F"/>
    <w:rsid w:val="000C2951"/>
    <w:rsid w:val="000C3FBB"/>
    <w:rsid w:val="000C47C6"/>
    <w:rsid w:val="000C557C"/>
    <w:rsid w:val="000D103C"/>
    <w:rsid w:val="000D13AA"/>
    <w:rsid w:val="000D1CE8"/>
    <w:rsid w:val="000D1DD3"/>
    <w:rsid w:val="000D264B"/>
    <w:rsid w:val="000D31BB"/>
    <w:rsid w:val="000D7ADA"/>
    <w:rsid w:val="000E22AA"/>
    <w:rsid w:val="000F05FE"/>
    <w:rsid w:val="000F2E7F"/>
    <w:rsid w:val="000F3C20"/>
    <w:rsid w:val="000F4D20"/>
    <w:rsid w:val="000F6168"/>
    <w:rsid w:val="000F6D5C"/>
    <w:rsid w:val="000F7253"/>
    <w:rsid w:val="000F76A4"/>
    <w:rsid w:val="000F7EB5"/>
    <w:rsid w:val="001004D9"/>
    <w:rsid w:val="00100B42"/>
    <w:rsid w:val="00102027"/>
    <w:rsid w:val="0010341D"/>
    <w:rsid w:val="00103EC0"/>
    <w:rsid w:val="00106479"/>
    <w:rsid w:val="0010691E"/>
    <w:rsid w:val="0010708C"/>
    <w:rsid w:val="00107DF6"/>
    <w:rsid w:val="0011110C"/>
    <w:rsid w:val="00112357"/>
    <w:rsid w:val="001132CF"/>
    <w:rsid w:val="00113639"/>
    <w:rsid w:val="00117023"/>
    <w:rsid w:val="001214A9"/>
    <w:rsid w:val="001215C0"/>
    <w:rsid w:val="0012541A"/>
    <w:rsid w:val="001255AB"/>
    <w:rsid w:val="00125C79"/>
    <w:rsid w:val="00126253"/>
    <w:rsid w:val="00126A14"/>
    <w:rsid w:val="00127677"/>
    <w:rsid w:val="00127ABE"/>
    <w:rsid w:val="00127C07"/>
    <w:rsid w:val="00127D1A"/>
    <w:rsid w:val="00131F7A"/>
    <w:rsid w:val="00132859"/>
    <w:rsid w:val="0013311D"/>
    <w:rsid w:val="0013458D"/>
    <w:rsid w:val="00135270"/>
    <w:rsid w:val="00135858"/>
    <w:rsid w:val="00136404"/>
    <w:rsid w:val="00136A49"/>
    <w:rsid w:val="00136B01"/>
    <w:rsid w:val="001371BD"/>
    <w:rsid w:val="00137681"/>
    <w:rsid w:val="0013769D"/>
    <w:rsid w:val="00140578"/>
    <w:rsid w:val="00140731"/>
    <w:rsid w:val="0014149A"/>
    <w:rsid w:val="00143C3C"/>
    <w:rsid w:val="0014534A"/>
    <w:rsid w:val="001467EF"/>
    <w:rsid w:val="0015065E"/>
    <w:rsid w:val="0015206D"/>
    <w:rsid w:val="001555D8"/>
    <w:rsid w:val="001563B0"/>
    <w:rsid w:val="001576EA"/>
    <w:rsid w:val="0015787A"/>
    <w:rsid w:val="00160382"/>
    <w:rsid w:val="0016131D"/>
    <w:rsid w:val="00161B39"/>
    <w:rsid w:val="0016334E"/>
    <w:rsid w:val="00163ACA"/>
    <w:rsid w:val="001657DF"/>
    <w:rsid w:val="001729FD"/>
    <w:rsid w:val="001732A2"/>
    <w:rsid w:val="00174573"/>
    <w:rsid w:val="00174C24"/>
    <w:rsid w:val="00174F79"/>
    <w:rsid w:val="00175A62"/>
    <w:rsid w:val="00177CEA"/>
    <w:rsid w:val="001808B4"/>
    <w:rsid w:val="00180BE7"/>
    <w:rsid w:val="0018421A"/>
    <w:rsid w:val="001853C4"/>
    <w:rsid w:val="00185FCB"/>
    <w:rsid w:val="001866AD"/>
    <w:rsid w:val="0019079C"/>
    <w:rsid w:val="001922B0"/>
    <w:rsid w:val="0019233D"/>
    <w:rsid w:val="00193467"/>
    <w:rsid w:val="00193514"/>
    <w:rsid w:val="00193D70"/>
    <w:rsid w:val="00193FE7"/>
    <w:rsid w:val="0019450A"/>
    <w:rsid w:val="001946DA"/>
    <w:rsid w:val="00194BB0"/>
    <w:rsid w:val="00194C64"/>
    <w:rsid w:val="001A0F9F"/>
    <w:rsid w:val="001A127E"/>
    <w:rsid w:val="001A17FE"/>
    <w:rsid w:val="001A208B"/>
    <w:rsid w:val="001A2186"/>
    <w:rsid w:val="001A2408"/>
    <w:rsid w:val="001A257C"/>
    <w:rsid w:val="001A33A8"/>
    <w:rsid w:val="001A400F"/>
    <w:rsid w:val="001A625D"/>
    <w:rsid w:val="001A6773"/>
    <w:rsid w:val="001B1658"/>
    <w:rsid w:val="001B28C4"/>
    <w:rsid w:val="001B2CAC"/>
    <w:rsid w:val="001B49FC"/>
    <w:rsid w:val="001B548E"/>
    <w:rsid w:val="001B6353"/>
    <w:rsid w:val="001B75C4"/>
    <w:rsid w:val="001B77B6"/>
    <w:rsid w:val="001B79EA"/>
    <w:rsid w:val="001C0DB5"/>
    <w:rsid w:val="001C26EF"/>
    <w:rsid w:val="001C4579"/>
    <w:rsid w:val="001C5EAA"/>
    <w:rsid w:val="001C767C"/>
    <w:rsid w:val="001D0B49"/>
    <w:rsid w:val="001D31EC"/>
    <w:rsid w:val="001D390D"/>
    <w:rsid w:val="001D3DA3"/>
    <w:rsid w:val="001D531A"/>
    <w:rsid w:val="001D6A33"/>
    <w:rsid w:val="001D7908"/>
    <w:rsid w:val="001D7EC3"/>
    <w:rsid w:val="001D7F01"/>
    <w:rsid w:val="001E10A7"/>
    <w:rsid w:val="001E1BE8"/>
    <w:rsid w:val="001E3393"/>
    <w:rsid w:val="001E3D49"/>
    <w:rsid w:val="001E5880"/>
    <w:rsid w:val="001E5888"/>
    <w:rsid w:val="001E7457"/>
    <w:rsid w:val="001E78B7"/>
    <w:rsid w:val="001E7A2F"/>
    <w:rsid w:val="001E7F80"/>
    <w:rsid w:val="001F0A27"/>
    <w:rsid w:val="001F0D5A"/>
    <w:rsid w:val="001F0E7D"/>
    <w:rsid w:val="001F12D7"/>
    <w:rsid w:val="001F3D42"/>
    <w:rsid w:val="001F49E7"/>
    <w:rsid w:val="001F6967"/>
    <w:rsid w:val="001F6B08"/>
    <w:rsid w:val="001F6BBC"/>
    <w:rsid w:val="001F78CE"/>
    <w:rsid w:val="001F7B1D"/>
    <w:rsid w:val="00200154"/>
    <w:rsid w:val="00200A1B"/>
    <w:rsid w:val="00201432"/>
    <w:rsid w:val="002017DA"/>
    <w:rsid w:val="0020398A"/>
    <w:rsid w:val="00203AA5"/>
    <w:rsid w:val="00204C6B"/>
    <w:rsid w:val="00206164"/>
    <w:rsid w:val="002101D9"/>
    <w:rsid w:val="0021148E"/>
    <w:rsid w:val="00211F0A"/>
    <w:rsid w:val="002138BA"/>
    <w:rsid w:val="0021532B"/>
    <w:rsid w:val="002222A6"/>
    <w:rsid w:val="0022535B"/>
    <w:rsid w:val="0022558E"/>
    <w:rsid w:val="00227128"/>
    <w:rsid w:val="00230D81"/>
    <w:rsid w:val="00232347"/>
    <w:rsid w:val="0023312F"/>
    <w:rsid w:val="002333C7"/>
    <w:rsid w:val="00233B1A"/>
    <w:rsid w:val="0023449C"/>
    <w:rsid w:val="00234D3E"/>
    <w:rsid w:val="00234DEC"/>
    <w:rsid w:val="002369F0"/>
    <w:rsid w:val="0023743F"/>
    <w:rsid w:val="00237507"/>
    <w:rsid w:val="00237800"/>
    <w:rsid w:val="00237C79"/>
    <w:rsid w:val="00240E47"/>
    <w:rsid w:val="002428F0"/>
    <w:rsid w:val="00242BD7"/>
    <w:rsid w:val="00242CC6"/>
    <w:rsid w:val="002430BD"/>
    <w:rsid w:val="00243A24"/>
    <w:rsid w:val="00243D95"/>
    <w:rsid w:val="00244DD2"/>
    <w:rsid w:val="002466D1"/>
    <w:rsid w:val="00247137"/>
    <w:rsid w:val="00247AFA"/>
    <w:rsid w:val="00250949"/>
    <w:rsid w:val="00252912"/>
    <w:rsid w:val="0025297E"/>
    <w:rsid w:val="0025312F"/>
    <w:rsid w:val="002551FB"/>
    <w:rsid w:val="00256485"/>
    <w:rsid w:val="00257796"/>
    <w:rsid w:val="002613AB"/>
    <w:rsid w:val="002613B4"/>
    <w:rsid w:val="00261402"/>
    <w:rsid w:val="00261448"/>
    <w:rsid w:val="002614AC"/>
    <w:rsid w:val="00261899"/>
    <w:rsid w:val="0026386B"/>
    <w:rsid w:val="002643A1"/>
    <w:rsid w:val="00264F36"/>
    <w:rsid w:val="002650DA"/>
    <w:rsid w:val="0026682B"/>
    <w:rsid w:val="00267AB6"/>
    <w:rsid w:val="00270D50"/>
    <w:rsid w:val="00271D37"/>
    <w:rsid w:val="00271F5D"/>
    <w:rsid w:val="002732D1"/>
    <w:rsid w:val="00273DE2"/>
    <w:rsid w:val="002757F8"/>
    <w:rsid w:val="00280A21"/>
    <w:rsid w:val="00281801"/>
    <w:rsid w:val="002826A1"/>
    <w:rsid w:val="00282CA3"/>
    <w:rsid w:val="00282D87"/>
    <w:rsid w:val="00282FEB"/>
    <w:rsid w:val="00283276"/>
    <w:rsid w:val="00285103"/>
    <w:rsid w:val="00286958"/>
    <w:rsid w:val="00286C9A"/>
    <w:rsid w:val="00287147"/>
    <w:rsid w:val="002906C1"/>
    <w:rsid w:val="00291111"/>
    <w:rsid w:val="00292B6E"/>
    <w:rsid w:val="0029416C"/>
    <w:rsid w:val="002943FD"/>
    <w:rsid w:val="0029498D"/>
    <w:rsid w:val="00295294"/>
    <w:rsid w:val="00295F12"/>
    <w:rsid w:val="002960A0"/>
    <w:rsid w:val="00296941"/>
    <w:rsid w:val="002A051A"/>
    <w:rsid w:val="002A1AF4"/>
    <w:rsid w:val="002A2632"/>
    <w:rsid w:val="002A4FCD"/>
    <w:rsid w:val="002A539F"/>
    <w:rsid w:val="002A53D0"/>
    <w:rsid w:val="002A63F2"/>
    <w:rsid w:val="002A6E20"/>
    <w:rsid w:val="002A6F3C"/>
    <w:rsid w:val="002B0908"/>
    <w:rsid w:val="002B0946"/>
    <w:rsid w:val="002B17E1"/>
    <w:rsid w:val="002B313C"/>
    <w:rsid w:val="002B49F8"/>
    <w:rsid w:val="002B4FC0"/>
    <w:rsid w:val="002B7A69"/>
    <w:rsid w:val="002C033A"/>
    <w:rsid w:val="002C04D8"/>
    <w:rsid w:val="002C0958"/>
    <w:rsid w:val="002C0CB2"/>
    <w:rsid w:val="002C158B"/>
    <w:rsid w:val="002C21F8"/>
    <w:rsid w:val="002C2AA6"/>
    <w:rsid w:val="002C37A4"/>
    <w:rsid w:val="002C3E1A"/>
    <w:rsid w:val="002C4BCD"/>
    <w:rsid w:val="002C4FAA"/>
    <w:rsid w:val="002C5FB4"/>
    <w:rsid w:val="002C7E33"/>
    <w:rsid w:val="002D0BAC"/>
    <w:rsid w:val="002D117D"/>
    <w:rsid w:val="002D1A41"/>
    <w:rsid w:val="002D1CFC"/>
    <w:rsid w:val="002D2EEE"/>
    <w:rsid w:val="002D2F97"/>
    <w:rsid w:val="002D31D9"/>
    <w:rsid w:val="002D324A"/>
    <w:rsid w:val="002D35AD"/>
    <w:rsid w:val="002D3E85"/>
    <w:rsid w:val="002D7E9F"/>
    <w:rsid w:val="002E0612"/>
    <w:rsid w:val="002E161C"/>
    <w:rsid w:val="002E1756"/>
    <w:rsid w:val="002E2903"/>
    <w:rsid w:val="002E518F"/>
    <w:rsid w:val="002E5A14"/>
    <w:rsid w:val="002E7E53"/>
    <w:rsid w:val="002F009E"/>
    <w:rsid w:val="002F0D3C"/>
    <w:rsid w:val="002F1586"/>
    <w:rsid w:val="002F23BE"/>
    <w:rsid w:val="002F23C3"/>
    <w:rsid w:val="002F3477"/>
    <w:rsid w:val="002F3900"/>
    <w:rsid w:val="002F4D78"/>
    <w:rsid w:val="002F52D6"/>
    <w:rsid w:val="002F5D50"/>
    <w:rsid w:val="002F7111"/>
    <w:rsid w:val="002F7A7F"/>
    <w:rsid w:val="002F7B1A"/>
    <w:rsid w:val="003002D8"/>
    <w:rsid w:val="003029BF"/>
    <w:rsid w:val="00304832"/>
    <w:rsid w:val="003048B7"/>
    <w:rsid w:val="00304B5F"/>
    <w:rsid w:val="003055A9"/>
    <w:rsid w:val="00306E78"/>
    <w:rsid w:val="00306F0E"/>
    <w:rsid w:val="00310A0E"/>
    <w:rsid w:val="00310C2B"/>
    <w:rsid w:val="003120A6"/>
    <w:rsid w:val="00312981"/>
    <w:rsid w:val="0031533C"/>
    <w:rsid w:val="0031633A"/>
    <w:rsid w:val="00321206"/>
    <w:rsid w:val="003213A0"/>
    <w:rsid w:val="00321D56"/>
    <w:rsid w:val="00322AD9"/>
    <w:rsid w:val="003264C9"/>
    <w:rsid w:val="003267BD"/>
    <w:rsid w:val="00330083"/>
    <w:rsid w:val="00330D46"/>
    <w:rsid w:val="003310C1"/>
    <w:rsid w:val="003324FB"/>
    <w:rsid w:val="00334262"/>
    <w:rsid w:val="00334F03"/>
    <w:rsid w:val="00335E94"/>
    <w:rsid w:val="00336A78"/>
    <w:rsid w:val="00340DBD"/>
    <w:rsid w:val="00341CFD"/>
    <w:rsid w:val="003428E2"/>
    <w:rsid w:val="00346338"/>
    <w:rsid w:val="00346D42"/>
    <w:rsid w:val="00347BCE"/>
    <w:rsid w:val="00350C01"/>
    <w:rsid w:val="00351C57"/>
    <w:rsid w:val="00351FC0"/>
    <w:rsid w:val="00352BD7"/>
    <w:rsid w:val="003531B5"/>
    <w:rsid w:val="003543CA"/>
    <w:rsid w:val="00354740"/>
    <w:rsid w:val="0035638E"/>
    <w:rsid w:val="003603A9"/>
    <w:rsid w:val="0036082F"/>
    <w:rsid w:val="003633BD"/>
    <w:rsid w:val="00363D92"/>
    <w:rsid w:val="0036477D"/>
    <w:rsid w:val="00364E6C"/>
    <w:rsid w:val="003657E8"/>
    <w:rsid w:val="00366D8A"/>
    <w:rsid w:val="00367B53"/>
    <w:rsid w:val="00367F75"/>
    <w:rsid w:val="00370878"/>
    <w:rsid w:val="003719C2"/>
    <w:rsid w:val="00372A8A"/>
    <w:rsid w:val="00372E28"/>
    <w:rsid w:val="00374D98"/>
    <w:rsid w:val="00376BBB"/>
    <w:rsid w:val="0037741F"/>
    <w:rsid w:val="00380552"/>
    <w:rsid w:val="003809D6"/>
    <w:rsid w:val="00380BB7"/>
    <w:rsid w:val="003816BA"/>
    <w:rsid w:val="003820B7"/>
    <w:rsid w:val="00382705"/>
    <w:rsid w:val="00382A19"/>
    <w:rsid w:val="003830AB"/>
    <w:rsid w:val="00383F16"/>
    <w:rsid w:val="00384568"/>
    <w:rsid w:val="003856B5"/>
    <w:rsid w:val="00386344"/>
    <w:rsid w:val="00386DC8"/>
    <w:rsid w:val="00387261"/>
    <w:rsid w:val="00387D09"/>
    <w:rsid w:val="003912D1"/>
    <w:rsid w:val="003924BD"/>
    <w:rsid w:val="003929CB"/>
    <w:rsid w:val="00392E98"/>
    <w:rsid w:val="003957F7"/>
    <w:rsid w:val="00396397"/>
    <w:rsid w:val="003967AD"/>
    <w:rsid w:val="00396BF8"/>
    <w:rsid w:val="003A2DFF"/>
    <w:rsid w:val="003A2E0F"/>
    <w:rsid w:val="003A33A6"/>
    <w:rsid w:val="003A443D"/>
    <w:rsid w:val="003A448C"/>
    <w:rsid w:val="003A478D"/>
    <w:rsid w:val="003A52E7"/>
    <w:rsid w:val="003A5854"/>
    <w:rsid w:val="003A5A2F"/>
    <w:rsid w:val="003B0394"/>
    <w:rsid w:val="003B0760"/>
    <w:rsid w:val="003B1540"/>
    <w:rsid w:val="003B1A07"/>
    <w:rsid w:val="003B3786"/>
    <w:rsid w:val="003B442F"/>
    <w:rsid w:val="003B6284"/>
    <w:rsid w:val="003C0611"/>
    <w:rsid w:val="003C0612"/>
    <w:rsid w:val="003C0A1D"/>
    <w:rsid w:val="003C0D6C"/>
    <w:rsid w:val="003C3864"/>
    <w:rsid w:val="003C3C0C"/>
    <w:rsid w:val="003C4637"/>
    <w:rsid w:val="003C4DC9"/>
    <w:rsid w:val="003C6155"/>
    <w:rsid w:val="003C61B7"/>
    <w:rsid w:val="003C684F"/>
    <w:rsid w:val="003C7B28"/>
    <w:rsid w:val="003D06B3"/>
    <w:rsid w:val="003D0FC9"/>
    <w:rsid w:val="003D1CC8"/>
    <w:rsid w:val="003D2800"/>
    <w:rsid w:val="003D30FF"/>
    <w:rsid w:val="003D32C4"/>
    <w:rsid w:val="003D4E1D"/>
    <w:rsid w:val="003D5CBD"/>
    <w:rsid w:val="003D678B"/>
    <w:rsid w:val="003D7460"/>
    <w:rsid w:val="003E3F6C"/>
    <w:rsid w:val="003E54DF"/>
    <w:rsid w:val="003E6EC8"/>
    <w:rsid w:val="003F14A4"/>
    <w:rsid w:val="003F1988"/>
    <w:rsid w:val="003F3011"/>
    <w:rsid w:val="003F4B7C"/>
    <w:rsid w:val="003F66A7"/>
    <w:rsid w:val="003F742A"/>
    <w:rsid w:val="003F7ABD"/>
    <w:rsid w:val="004003A7"/>
    <w:rsid w:val="00400713"/>
    <w:rsid w:val="00400F27"/>
    <w:rsid w:val="00402494"/>
    <w:rsid w:val="00404243"/>
    <w:rsid w:val="00405FD2"/>
    <w:rsid w:val="004072DE"/>
    <w:rsid w:val="00410A32"/>
    <w:rsid w:val="00410B94"/>
    <w:rsid w:val="00411FE3"/>
    <w:rsid w:val="004126ED"/>
    <w:rsid w:val="00413F72"/>
    <w:rsid w:val="00414FC0"/>
    <w:rsid w:val="004150EA"/>
    <w:rsid w:val="004151C6"/>
    <w:rsid w:val="00416119"/>
    <w:rsid w:val="004173B1"/>
    <w:rsid w:val="00421511"/>
    <w:rsid w:val="004225AE"/>
    <w:rsid w:val="00422DB6"/>
    <w:rsid w:val="0042468A"/>
    <w:rsid w:val="004262D6"/>
    <w:rsid w:val="004309D4"/>
    <w:rsid w:val="0043139A"/>
    <w:rsid w:val="00432963"/>
    <w:rsid w:val="00436BDA"/>
    <w:rsid w:val="00437A19"/>
    <w:rsid w:val="004410F4"/>
    <w:rsid w:val="004419FA"/>
    <w:rsid w:val="00442653"/>
    <w:rsid w:val="00445695"/>
    <w:rsid w:val="00450EBA"/>
    <w:rsid w:val="00451A82"/>
    <w:rsid w:val="00453075"/>
    <w:rsid w:val="00454C31"/>
    <w:rsid w:val="004558AD"/>
    <w:rsid w:val="00455A03"/>
    <w:rsid w:val="0045629C"/>
    <w:rsid w:val="00456D6F"/>
    <w:rsid w:val="004577BC"/>
    <w:rsid w:val="0045784C"/>
    <w:rsid w:val="00460221"/>
    <w:rsid w:val="00461750"/>
    <w:rsid w:val="00461BB3"/>
    <w:rsid w:val="00462C96"/>
    <w:rsid w:val="0046344C"/>
    <w:rsid w:val="00463601"/>
    <w:rsid w:val="00463D41"/>
    <w:rsid w:val="004650AD"/>
    <w:rsid w:val="004651EE"/>
    <w:rsid w:val="0046580E"/>
    <w:rsid w:val="0046673B"/>
    <w:rsid w:val="00466984"/>
    <w:rsid w:val="00466E74"/>
    <w:rsid w:val="00470D8E"/>
    <w:rsid w:val="0047153E"/>
    <w:rsid w:val="00472959"/>
    <w:rsid w:val="00472AFE"/>
    <w:rsid w:val="0047544B"/>
    <w:rsid w:val="004757B9"/>
    <w:rsid w:val="00476207"/>
    <w:rsid w:val="004774BE"/>
    <w:rsid w:val="00481135"/>
    <w:rsid w:val="004832BF"/>
    <w:rsid w:val="00485026"/>
    <w:rsid w:val="00486FEB"/>
    <w:rsid w:val="004912DC"/>
    <w:rsid w:val="00491846"/>
    <w:rsid w:val="00491DF1"/>
    <w:rsid w:val="00491FC9"/>
    <w:rsid w:val="00492400"/>
    <w:rsid w:val="00492935"/>
    <w:rsid w:val="0049323E"/>
    <w:rsid w:val="00494750"/>
    <w:rsid w:val="00496218"/>
    <w:rsid w:val="00497F34"/>
    <w:rsid w:val="004A03C2"/>
    <w:rsid w:val="004A141B"/>
    <w:rsid w:val="004A29F3"/>
    <w:rsid w:val="004A463C"/>
    <w:rsid w:val="004A47E2"/>
    <w:rsid w:val="004A4E9F"/>
    <w:rsid w:val="004A5850"/>
    <w:rsid w:val="004A662F"/>
    <w:rsid w:val="004A69DA"/>
    <w:rsid w:val="004B26E8"/>
    <w:rsid w:val="004B282D"/>
    <w:rsid w:val="004B2F2C"/>
    <w:rsid w:val="004B3897"/>
    <w:rsid w:val="004B46EF"/>
    <w:rsid w:val="004B46F1"/>
    <w:rsid w:val="004B5AA4"/>
    <w:rsid w:val="004B6C26"/>
    <w:rsid w:val="004B7AE7"/>
    <w:rsid w:val="004B7E0F"/>
    <w:rsid w:val="004B7E69"/>
    <w:rsid w:val="004C1FC2"/>
    <w:rsid w:val="004C4C12"/>
    <w:rsid w:val="004C547D"/>
    <w:rsid w:val="004C6503"/>
    <w:rsid w:val="004C7171"/>
    <w:rsid w:val="004C7425"/>
    <w:rsid w:val="004D1016"/>
    <w:rsid w:val="004D2A30"/>
    <w:rsid w:val="004D345F"/>
    <w:rsid w:val="004D466B"/>
    <w:rsid w:val="004D4B2D"/>
    <w:rsid w:val="004D51EE"/>
    <w:rsid w:val="004D7196"/>
    <w:rsid w:val="004E0971"/>
    <w:rsid w:val="004E0A10"/>
    <w:rsid w:val="004E1FAC"/>
    <w:rsid w:val="004E2E97"/>
    <w:rsid w:val="004E31C0"/>
    <w:rsid w:val="004E3412"/>
    <w:rsid w:val="004E34F6"/>
    <w:rsid w:val="004E3E69"/>
    <w:rsid w:val="004E532F"/>
    <w:rsid w:val="004E5853"/>
    <w:rsid w:val="004E66C0"/>
    <w:rsid w:val="004E6738"/>
    <w:rsid w:val="004E7298"/>
    <w:rsid w:val="004E764B"/>
    <w:rsid w:val="004E7892"/>
    <w:rsid w:val="004E7D4C"/>
    <w:rsid w:val="004F1E92"/>
    <w:rsid w:val="004F220E"/>
    <w:rsid w:val="004F22FA"/>
    <w:rsid w:val="004F33E7"/>
    <w:rsid w:val="004F39EB"/>
    <w:rsid w:val="004F3B6A"/>
    <w:rsid w:val="004F481D"/>
    <w:rsid w:val="004F5D28"/>
    <w:rsid w:val="004F649F"/>
    <w:rsid w:val="004F7736"/>
    <w:rsid w:val="005012B2"/>
    <w:rsid w:val="005024B7"/>
    <w:rsid w:val="0050469F"/>
    <w:rsid w:val="00504AC4"/>
    <w:rsid w:val="005057AB"/>
    <w:rsid w:val="0050723A"/>
    <w:rsid w:val="00510E36"/>
    <w:rsid w:val="0051185A"/>
    <w:rsid w:val="00512273"/>
    <w:rsid w:val="0051320A"/>
    <w:rsid w:val="00514426"/>
    <w:rsid w:val="00514DA3"/>
    <w:rsid w:val="00514F09"/>
    <w:rsid w:val="005164A6"/>
    <w:rsid w:val="00520B3A"/>
    <w:rsid w:val="00520C96"/>
    <w:rsid w:val="0052196F"/>
    <w:rsid w:val="005224CB"/>
    <w:rsid w:val="005244DA"/>
    <w:rsid w:val="00524A5C"/>
    <w:rsid w:val="005251F4"/>
    <w:rsid w:val="005268DC"/>
    <w:rsid w:val="0053081E"/>
    <w:rsid w:val="00531D66"/>
    <w:rsid w:val="00534E06"/>
    <w:rsid w:val="00535141"/>
    <w:rsid w:val="0053546C"/>
    <w:rsid w:val="00536309"/>
    <w:rsid w:val="00537391"/>
    <w:rsid w:val="005375A7"/>
    <w:rsid w:val="00537E23"/>
    <w:rsid w:val="00540AAA"/>
    <w:rsid w:val="0054140C"/>
    <w:rsid w:val="00541E91"/>
    <w:rsid w:val="00542689"/>
    <w:rsid w:val="00542E95"/>
    <w:rsid w:val="005463E2"/>
    <w:rsid w:val="005463E6"/>
    <w:rsid w:val="0054657F"/>
    <w:rsid w:val="00547136"/>
    <w:rsid w:val="005472ED"/>
    <w:rsid w:val="0054789C"/>
    <w:rsid w:val="00552EFC"/>
    <w:rsid w:val="00552F86"/>
    <w:rsid w:val="005539D7"/>
    <w:rsid w:val="0055538D"/>
    <w:rsid w:val="00555BDF"/>
    <w:rsid w:val="005561BD"/>
    <w:rsid w:val="00556223"/>
    <w:rsid w:val="00561A8E"/>
    <w:rsid w:val="00561FE3"/>
    <w:rsid w:val="0056236F"/>
    <w:rsid w:val="00563BF5"/>
    <w:rsid w:val="005673BC"/>
    <w:rsid w:val="00571349"/>
    <w:rsid w:val="0057182E"/>
    <w:rsid w:val="00574E07"/>
    <w:rsid w:val="00576C8E"/>
    <w:rsid w:val="00576EF2"/>
    <w:rsid w:val="00580675"/>
    <w:rsid w:val="005811E2"/>
    <w:rsid w:val="00581F1D"/>
    <w:rsid w:val="00582BFF"/>
    <w:rsid w:val="005831D8"/>
    <w:rsid w:val="0058370B"/>
    <w:rsid w:val="00590D8C"/>
    <w:rsid w:val="00591048"/>
    <w:rsid w:val="00591459"/>
    <w:rsid w:val="005917CC"/>
    <w:rsid w:val="00591C71"/>
    <w:rsid w:val="005922CF"/>
    <w:rsid w:val="00593254"/>
    <w:rsid w:val="005944C5"/>
    <w:rsid w:val="00594ADB"/>
    <w:rsid w:val="0059637F"/>
    <w:rsid w:val="005A14CD"/>
    <w:rsid w:val="005A1DA5"/>
    <w:rsid w:val="005A3FD1"/>
    <w:rsid w:val="005A5259"/>
    <w:rsid w:val="005A53ED"/>
    <w:rsid w:val="005A5ABF"/>
    <w:rsid w:val="005A787F"/>
    <w:rsid w:val="005B0492"/>
    <w:rsid w:val="005B05A0"/>
    <w:rsid w:val="005B05DE"/>
    <w:rsid w:val="005B0D60"/>
    <w:rsid w:val="005B1CC3"/>
    <w:rsid w:val="005B2213"/>
    <w:rsid w:val="005B2D50"/>
    <w:rsid w:val="005B72F9"/>
    <w:rsid w:val="005B78E6"/>
    <w:rsid w:val="005C038C"/>
    <w:rsid w:val="005C0D83"/>
    <w:rsid w:val="005C0F19"/>
    <w:rsid w:val="005C1D70"/>
    <w:rsid w:val="005C1F94"/>
    <w:rsid w:val="005C453C"/>
    <w:rsid w:val="005C676A"/>
    <w:rsid w:val="005C748B"/>
    <w:rsid w:val="005C7A18"/>
    <w:rsid w:val="005C7E95"/>
    <w:rsid w:val="005D0355"/>
    <w:rsid w:val="005D44B3"/>
    <w:rsid w:val="005D6A26"/>
    <w:rsid w:val="005E2EA4"/>
    <w:rsid w:val="005E6077"/>
    <w:rsid w:val="005E6CEF"/>
    <w:rsid w:val="005E7AAC"/>
    <w:rsid w:val="005F0353"/>
    <w:rsid w:val="005F2E94"/>
    <w:rsid w:val="005F4911"/>
    <w:rsid w:val="005F637E"/>
    <w:rsid w:val="005F66D4"/>
    <w:rsid w:val="005F6F30"/>
    <w:rsid w:val="0060284B"/>
    <w:rsid w:val="006037B7"/>
    <w:rsid w:val="00603F29"/>
    <w:rsid w:val="00604CF6"/>
    <w:rsid w:val="006051F8"/>
    <w:rsid w:val="00605AF8"/>
    <w:rsid w:val="006109FF"/>
    <w:rsid w:val="00611796"/>
    <w:rsid w:val="00611D2E"/>
    <w:rsid w:val="00612A93"/>
    <w:rsid w:val="00613598"/>
    <w:rsid w:val="00615B49"/>
    <w:rsid w:val="00621238"/>
    <w:rsid w:val="00622138"/>
    <w:rsid w:val="006226F9"/>
    <w:rsid w:val="006231DD"/>
    <w:rsid w:val="00623D14"/>
    <w:rsid w:val="00623D46"/>
    <w:rsid w:val="006249E0"/>
    <w:rsid w:val="00624ABD"/>
    <w:rsid w:val="00627AE5"/>
    <w:rsid w:val="00630B70"/>
    <w:rsid w:val="006317DA"/>
    <w:rsid w:val="0063184B"/>
    <w:rsid w:val="00631E37"/>
    <w:rsid w:val="00632602"/>
    <w:rsid w:val="006341E4"/>
    <w:rsid w:val="0063643A"/>
    <w:rsid w:val="00636A05"/>
    <w:rsid w:val="00636C56"/>
    <w:rsid w:val="00636FAE"/>
    <w:rsid w:val="0063714D"/>
    <w:rsid w:val="00641BCB"/>
    <w:rsid w:val="00641E53"/>
    <w:rsid w:val="0064397D"/>
    <w:rsid w:val="00644A8F"/>
    <w:rsid w:val="00644D21"/>
    <w:rsid w:val="00646EB3"/>
    <w:rsid w:val="0065275E"/>
    <w:rsid w:val="00652A94"/>
    <w:rsid w:val="00652B8F"/>
    <w:rsid w:val="00653958"/>
    <w:rsid w:val="006552F7"/>
    <w:rsid w:val="00655BEB"/>
    <w:rsid w:val="00656C3E"/>
    <w:rsid w:val="006604D5"/>
    <w:rsid w:val="006615F9"/>
    <w:rsid w:val="006624ED"/>
    <w:rsid w:val="0066276E"/>
    <w:rsid w:val="00662CAB"/>
    <w:rsid w:val="0066318B"/>
    <w:rsid w:val="00665853"/>
    <w:rsid w:val="006669B2"/>
    <w:rsid w:val="00667062"/>
    <w:rsid w:val="006676DE"/>
    <w:rsid w:val="006703D7"/>
    <w:rsid w:val="00670417"/>
    <w:rsid w:val="00671A9C"/>
    <w:rsid w:val="00671E6C"/>
    <w:rsid w:val="006725DB"/>
    <w:rsid w:val="006766AC"/>
    <w:rsid w:val="00677510"/>
    <w:rsid w:val="00680171"/>
    <w:rsid w:val="0068071D"/>
    <w:rsid w:val="006814A1"/>
    <w:rsid w:val="00681FE5"/>
    <w:rsid w:val="006830C5"/>
    <w:rsid w:val="00683604"/>
    <w:rsid w:val="00684319"/>
    <w:rsid w:val="00685044"/>
    <w:rsid w:val="006854CC"/>
    <w:rsid w:val="006879EA"/>
    <w:rsid w:val="00687CCF"/>
    <w:rsid w:val="006906C2"/>
    <w:rsid w:val="006930D4"/>
    <w:rsid w:val="00693999"/>
    <w:rsid w:val="00693FDC"/>
    <w:rsid w:val="006976C3"/>
    <w:rsid w:val="006A0489"/>
    <w:rsid w:val="006A4488"/>
    <w:rsid w:val="006A7B68"/>
    <w:rsid w:val="006B055D"/>
    <w:rsid w:val="006B156A"/>
    <w:rsid w:val="006B3D38"/>
    <w:rsid w:val="006B4013"/>
    <w:rsid w:val="006B4495"/>
    <w:rsid w:val="006B6649"/>
    <w:rsid w:val="006C0BC8"/>
    <w:rsid w:val="006C1799"/>
    <w:rsid w:val="006C187C"/>
    <w:rsid w:val="006C26D8"/>
    <w:rsid w:val="006C75BB"/>
    <w:rsid w:val="006D03B8"/>
    <w:rsid w:val="006D07E5"/>
    <w:rsid w:val="006D23B7"/>
    <w:rsid w:val="006D3542"/>
    <w:rsid w:val="006D3C0C"/>
    <w:rsid w:val="006D3C61"/>
    <w:rsid w:val="006D3F94"/>
    <w:rsid w:val="006D579D"/>
    <w:rsid w:val="006D57E4"/>
    <w:rsid w:val="006D5838"/>
    <w:rsid w:val="006D71DB"/>
    <w:rsid w:val="006D7716"/>
    <w:rsid w:val="006D77ED"/>
    <w:rsid w:val="006E01E8"/>
    <w:rsid w:val="006E059B"/>
    <w:rsid w:val="006E2602"/>
    <w:rsid w:val="006E614F"/>
    <w:rsid w:val="006E656A"/>
    <w:rsid w:val="006F021A"/>
    <w:rsid w:val="006F1578"/>
    <w:rsid w:val="006F3089"/>
    <w:rsid w:val="006F4465"/>
    <w:rsid w:val="006F4FA2"/>
    <w:rsid w:val="006F748B"/>
    <w:rsid w:val="006F75F7"/>
    <w:rsid w:val="006F7CAA"/>
    <w:rsid w:val="007008A3"/>
    <w:rsid w:val="00700A4C"/>
    <w:rsid w:val="0070127A"/>
    <w:rsid w:val="007034DE"/>
    <w:rsid w:val="00704B0E"/>
    <w:rsid w:val="0070587C"/>
    <w:rsid w:val="007061AB"/>
    <w:rsid w:val="0070627F"/>
    <w:rsid w:val="00707B86"/>
    <w:rsid w:val="00707E28"/>
    <w:rsid w:val="00710618"/>
    <w:rsid w:val="00711031"/>
    <w:rsid w:val="00711258"/>
    <w:rsid w:val="00712DEA"/>
    <w:rsid w:val="007161B4"/>
    <w:rsid w:val="00717846"/>
    <w:rsid w:val="0072072D"/>
    <w:rsid w:val="007209A7"/>
    <w:rsid w:val="007217B7"/>
    <w:rsid w:val="00721FA0"/>
    <w:rsid w:val="0072201B"/>
    <w:rsid w:val="00723A2F"/>
    <w:rsid w:val="007242C4"/>
    <w:rsid w:val="00727E1F"/>
    <w:rsid w:val="00730ED3"/>
    <w:rsid w:val="00731124"/>
    <w:rsid w:val="00731AB8"/>
    <w:rsid w:val="00732BFB"/>
    <w:rsid w:val="007337A5"/>
    <w:rsid w:val="00733941"/>
    <w:rsid w:val="00734342"/>
    <w:rsid w:val="00735334"/>
    <w:rsid w:val="007356AA"/>
    <w:rsid w:val="007361F4"/>
    <w:rsid w:val="00736ACF"/>
    <w:rsid w:val="00736CFC"/>
    <w:rsid w:val="00736D3E"/>
    <w:rsid w:val="00737796"/>
    <w:rsid w:val="0074013D"/>
    <w:rsid w:val="00740D29"/>
    <w:rsid w:val="007422AA"/>
    <w:rsid w:val="007422D1"/>
    <w:rsid w:val="00745451"/>
    <w:rsid w:val="0074590C"/>
    <w:rsid w:val="0075238E"/>
    <w:rsid w:val="007526A1"/>
    <w:rsid w:val="00754C40"/>
    <w:rsid w:val="00760D23"/>
    <w:rsid w:val="00761675"/>
    <w:rsid w:val="0076318D"/>
    <w:rsid w:val="00763AD4"/>
    <w:rsid w:val="0076402F"/>
    <w:rsid w:val="00764B6C"/>
    <w:rsid w:val="00767752"/>
    <w:rsid w:val="00770B2B"/>
    <w:rsid w:val="007713F4"/>
    <w:rsid w:val="007722F3"/>
    <w:rsid w:val="00772E57"/>
    <w:rsid w:val="00773C01"/>
    <w:rsid w:val="00773CF8"/>
    <w:rsid w:val="00774430"/>
    <w:rsid w:val="007759BD"/>
    <w:rsid w:val="007760F7"/>
    <w:rsid w:val="00776D9E"/>
    <w:rsid w:val="0077720A"/>
    <w:rsid w:val="00777B24"/>
    <w:rsid w:val="00782653"/>
    <w:rsid w:val="0078388C"/>
    <w:rsid w:val="0078418C"/>
    <w:rsid w:val="0078519F"/>
    <w:rsid w:val="007854BF"/>
    <w:rsid w:val="00786896"/>
    <w:rsid w:val="007876D9"/>
    <w:rsid w:val="00787D9F"/>
    <w:rsid w:val="00790308"/>
    <w:rsid w:val="00790597"/>
    <w:rsid w:val="00790A3E"/>
    <w:rsid w:val="007931AC"/>
    <w:rsid w:val="0079386C"/>
    <w:rsid w:val="00793C82"/>
    <w:rsid w:val="0079509B"/>
    <w:rsid w:val="00795D02"/>
    <w:rsid w:val="00796F0F"/>
    <w:rsid w:val="00797565"/>
    <w:rsid w:val="007A0377"/>
    <w:rsid w:val="007A1459"/>
    <w:rsid w:val="007A247D"/>
    <w:rsid w:val="007A26D7"/>
    <w:rsid w:val="007A2B84"/>
    <w:rsid w:val="007A3446"/>
    <w:rsid w:val="007A39FB"/>
    <w:rsid w:val="007A433A"/>
    <w:rsid w:val="007A521B"/>
    <w:rsid w:val="007B001E"/>
    <w:rsid w:val="007B0208"/>
    <w:rsid w:val="007B0B80"/>
    <w:rsid w:val="007B1226"/>
    <w:rsid w:val="007B216C"/>
    <w:rsid w:val="007B2499"/>
    <w:rsid w:val="007B2D34"/>
    <w:rsid w:val="007B3E4A"/>
    <w:rsid w:val="007B69D4"/>
    <w:rsid w:val="007B6A82"/>
    <w:rsid w:val="007C06A7"/>
    <w:rsid w:val="007C0C6D"/>
    <w:rsid w:val="007C32C4"/>
    <w:rsid w:val="007C3BD1"/>
    <w:rsid w:val="007C6A6A"/>
    <w:rsid w:val="007C6C2B"/>
    <w:rsid w:val="007C72FD"/>
    <w:rsid w:val="007C7EC5"/>
    <w:rsid w:val="007D0B9A"/>
    <w:rsid w:val="007D16E4"/>
    <w:rsid w:val="007D18F7"/>
    <w:rsid w:val="007D25C6"/>
    <w:rsid w:val="007D3121"/>
    <w:rsid w:val="007D3C54"/>
    <w:rsid w:val="007D43AC"/>
    <w:rsid w:val="007E0152"/>
    <w:rsid w:val="007E3DFF"/>
    <w:rsid w:val="007E59DC"/>
    <w:rsid w:val="007E5A0D"/>
    <w:rsid w:val="007E6225"/>
    <w:rsid w:val="007E7629"/>
    <w:rsid w:val="007E781F"/>
    <w:rsid w:val="007F1B01"/>
    <w:rsid w:val="007F392E"/>
    <w:rsid w:val="007F409F"/>
    <w:rsid w:val="007F463D"/>
    <w:rsid w:val="007F485A"/>
    <w:rsid w:val="007F4DDE"/>
    <w:rsid w:val="007F4F8D"/>
    <w:rsid w:val="007F53D1"/>
    <w:rsid w:val="007F5C4C"/>
    <w:rsid w:val="007F62DB"/>
    <w:rsid w:val="007F7856"/>
    <w:rsid w:val="00800E2D"/>
    <w:rsid w:val="00801F28"/>
    <w:rsid w:val="00802268"/>
    <w:rsid w:val="00802517"/>
    <w:rsid w:val="00804616"/>
    <w:rsid w:val="008047C5"/>
    <w:rsid w:val="00804DD8"/>
    <w:rsid w:val="008067E5"/>
    <w:rsid w:val="008071E5"/>
    <w:rsid w:val="00812331"/>
    <w:rsid w:val="00812997"/>
    <w:rsid w:val="00813B51"/>
    <w:rsid w:val="00814358"/>
    <w:rsid w:val="00816CCA"/>
    <w:rsid w:val="00817377"/>
    <w:rsid w:val="00820053"/>
    <w:rsid w:val="00820FDC"/>
    <w:rsid w:val="00826212"/>
    <w:rsid w:val="0082715A"/>
    <w:rsid w:val="00831FC0"/>
    <w:rsid w:val="00832C59"/>
    <w:rsid w:val="00832E04"/>
    <w:rsid w:val="008338D9"/>
    <w:rsid w:val="008340F3"/>
    <w:rsid w:val="008344FF"/>
    <w:rsid w:val="0083534B"/>
    <w:rsid w:val="008353DB"/>
    <w:rsid w:val="00836523"/>
    <w:rsid w:val="008428E5"/>
    <w:rsid w:val="0084586C"/>
    <w:rsid w:val="00846DCC"/>
    <w:rsid w:val="0084717F"/>
    <w:rsid w:val="008473AD"/>
    <w:rsid w:val="00850EAC"/>
    <w:rsid w:val="00851FF5"/>
    <w:rsid w:val="0085217B"/>
    <w:rsid w:val="00852455"/>
    <w:rsid w:val="008535CC"/>
    <w:rsid w:val="00854278"/>
    <w:rsid w:val="00854301"/>
    <w:rsid w:val="008558E7"/>
    <w:rsid w:val="00855E85"/>
    <w:rsid w:val="00855EEB"/>
    <w:rsid w:val="008609C1"/>
    <w:rsid w:val="00860CEB"/>
    <w:rsid w:val="00861AD6"/>
    <w:rsid w:val="00863A55"/>
    <w:rsid w:val="00863FCB"/>
    <w:rsid w:val="0086414C"/>
    <w:rsid w:val="00864938"/>
    <w:rsid w:val="0086594D"/>
    <w:rsid w:val="008705B1"/>
    <w:rsid w:val="00872D91"/>
    <w:rsid w:val="00875322"/>
    <w:rsid w:val="00875ECF"/>
    <w:rsid w:val="00877442"/>
    <w:rsid w:val="00877499"/>
    <w:rsid w:val="00877C19"/>
    <w:rsid w:val="00880E8B"/>
    <w:rsid w:val="0088308C"/>
    <w:rsid w:val="0088409A"/>
    <w:rsid w:val="00885ACA"/>
    <w:rsid w:val="00885C96"/>
    <w:rsid w:val="00885D78"/>
    <w:rsid w:val="00890951"/>
    <w:rsid w:val="00890B06"/>
    <w:rsid w:val="008924A8"/>
    <w:rsid w:val="0089263E"/>
    <w:rsid w:val="0089502E"/>
    <w:rsid w:val="00895086"/>
    <w:rsid w:val="00895450"/>
    <w:rsid w:val="0089571A"/>
    <w:rsid w:val="00895E9A"/>
    <w:rsid w:val="00897223"/>
    <w:rsid w:val="008A0134"/>
    <w:rsid w:val="008A27FD"/>
    <w:rsid w:val="008A3868"/>
    <w:rsid w:val="008A5067"/>
    <w:rsid w:val="008A53C7"/>
    <w:rsid w:val="008A7E9D"/>
    <w:rsid w:val="008B091F"/>
    <w:rsid w:val="008B0DF4"/>
    <w:rsid w:val="008B106B"/>
    <w:rsid w:val="008B127A"/>
    <w:rsid w:val="008B1A47"/>
    <w:rsid w:val="008B2B4E"/>
    <w:rsid w:val="008B319E"/>
    <w:rsid w:val="008B3240"/>
    <w:rsid w:val="008B4F36"/>
    <w:rsid w:val="008B67A1"/>
    <w:rsid w:val="008B714E"/>
    <w:rsid w:val="008B7276"/>
    <w:rsid w:val="008B78B7"/>
    <w:rsid w:val="008C0069"/>
    <w:rsid w:val="008C0539"/>
    <w:rsid w:val="008C05E1"/>
    <w:rsid w:val="008C2442"/>
    <w:rsid w:val="008C3159"/>
    <w:rsid w:val="008C4130"/>
    <w:rsid w:val="008C536D"/>
    <w:rsid w:val="008C5A51"/>
    <w:rsid w:val="008C7959"/>
    <w:rsid w:val="008D159D"/>
    <w:rsid w:val="008D1AEB"/>
    <w:rsid w:val="008D6D65"/>
    <w:rsid w:val="008E0216"/>
    <w:rsid w:val="008E064E"/>
    <w:rsid w:val="008E2868"/>
    <w:rsid w:val="008F01C4"/>
    <w:rsid w:val="008F19B7"/>
    <w:rsid w:val="008F24D2"/>
    <w:rsid w:val="008F34CB"/>
    <w:rsid w:val="008F4874"/>
    <w:rsid w:val="008F564E"/>
    <w:rsid w:val="008F5DF9"/>
    <w:rsid w:val="008F6C56"/>
    <w:rsid w:val="008F7114"/>
    <w:rsid w:val="008F71F0"/>
    <w:rsid w:val="00901EC8"/>
    <w:rsid w:val="00902CDD"/>
    <w:rsid w:val="00903853"/>
    <w:rsid w:val="00905A55"/>
    <w:rsid w:val="00906B6C"/>
    <w:rsid w:val="0090784C"/>
    <w:rsid w:val="009105EE"/>
    <w:rsid w:val="00910C02"/>
    <w:rsid w:val="00910D9D"/>
    <w:rsid w:val="00912AC8"/>
    <w:rsid w:val="009150FF"/>
    <w:rsid w:val="00915167"/>
    <w:rsid w:val="00916036"/>
    <w:rsid w:val="00916E25"/>
    <w:rsid w:val="00917073"/>
    <w:rsid w:val="00922EAD"/>
    <w:rsid w:val="00923010"/>
    <w:rsid w:val="00923353"/>
    <w:rsid w:val="00924353"/>
    <w:rsid w:val="0092578F"/>
    <w:rsid w:val="009257BD"/>
    <w:rsid w:val="00925EAA"/>
    <w:rsid w:val="00926CC0"/>
    <w:rsid w:val="00927A25"/>
    <w:rsid w:val="00927B95"/>
    <w:rsid w:val="0093000B"/>
    <w:rsid w:val="00930133"/>
    <w:rsid w:val="009315EA"/>
    <w:rsid w:val="00931B98"/>
    <w:rsid w:val="00935428"/>
    <w:rsid w:val="00936B75"/>
    <w:rsid w:val="00936CC5"/>
    <w:rsid w:val="00936D94"/>
    <w:rsid w:val="00936DAB"/>
    <w:rsid w:val="009370BB"/>
    <w:rsid w:val="00937193"/>
    <w:rsid w:val="00937FB2"/>
    <w:rsid w:val="00940063"/>
    <w:rsid w:val="0094126D"/>
    <w:rsid w:val="00941C23"/>
    <w:rsid w:val="00942EEE"/>
    <w:rsid w:val="00943670"/>
    <w:rsid w:val="0094399D"/>
    <w:rsid w:val="0094523F"/>
    <w:rsid w:val="00945588"/>
    <w:rsid w:val="009477D1"/>
    <w:rsid w:val="009477F2"/>
    <w:rsid w:val="00951527"/>
    <w:rsid w:val="009522CA"/>
    <w:rsid w:val="00954D04"/>
    <w:rsid w:val="0095506C"/>
    <w:rsid w:val="009601B4"/>
    <w:rsid w:val="00960C8D"/>
    <w:rsid w:val="00963062"/>
    <w:rsid w:val="0096337D"/>
    <w:rsid w:val="00963A2F"/>
    <w:rsid w:val="009641E4"/>
    <w:rsid w:val="00964770"/>
    <w:rsid w:val="009652AE"/>
    <w:rsid w:val="009663AE"/>
    <w:rsid w:val="009669BB"/>
    <w:rsid w:val="00970FEE"/>
    <w:rsid w:val="00974842"/>
    <w:rsid w:val="00975215"/>
    <w:rsid w:val="00975CBE"/>
    <w:rsid w:val="009805BA"/>
    <w:rsid w:val="00980A98"/>
    <w:rsid w:val="00980B78"/>
    <w:rsid w:val="009822C3"/>
    <w:rsid w:val="009840E8"/>
    <w:rsid w:val="009841D7"/>
    <w:rsid w:val="009845F6"/>
    <w:rsid w:val="009845FF"/>
    <w:rsid w:val="0098481A"/>
    <w:rsid w:val="00987BA8"/>
    <w:rsid w:val="00987D6A"/>
    <w:rsid w:val="009909CD"/>
    <w:rsid w:val="00991177"/>
    <w:rsid w:val="00992C11"/>
    <w:rsid w:val="00994130"/>
    <w:rsid w:val="009945D7"/>
    <w:rsid w:val="00995438"/>
    <w:rsid w:val="00995BE1"/>
    <w:rsid w:val="009A2793"/>
    <w:rsid w:val="009A3BB1"/>
    <w:rsid w:val="009A43B4"/>
    <w:rsid w:val="009A50E9"/>
    <w:rsid w:val="009A5A35"/>
    <w:rsid w:val="009A6695"/>
    <w:rsid w:val="009B17BE"/>
    <w:rsid w:val="009B21F1"/>
    <w:rsid w:val="009B3309"/>
    <w:rsid w:val="009B3837"/>
    <w:rsid w:val="009B5307"/>
    <w:rsid w:val="009C0548"/>
    <w:rsid w:val="009C05FF"/>
    <w:rsid w:val="009C0FAE"/>
    <w:rsid w:val="009C129F"/>
    <w:rsid w:val="009C1603"/>
    <w:rsid w:val="009C1C43"/>
    <w:rsid w:val="009C1C5E"/>
    <w:rsid w:val="009C4240"/>
    <w:rsid w:val="009C5671"/>
    <w:rsid w:val="009C5ABC"/>
    <w:rsid w:val="009C633E"/>
    <w:rsid w:val="009C6632"/>
    <w:rsid w:val="009D1E80"/>
    <w:rsid w:val="009D20BB"/>
    <w:rsid w:val="009D2819"/>
    <w:rsid w:val="009D28F7"/>
    <w:rsid w:val="009D4270"/>
    <w:rsid w:val="009D506D"/>
    <w:rsid w:val="009D6E18"/>
    <w:rsid w:val="009D73E3"/>
    <w:rsid w:val="009D774E"/>
    <w:rsid w:val="009D78AA"/>
    <w:rsid w:val="009E1202"/>
    <w:rsid w:val="009E18F7"/>
    <w:rsid w:val="009E1DAD"/>
    <w:rsid w:val="009E3514"/>
    <w:rsid w:val="009E3D48"/>
    <w:rsid w:val="009E4015"/>
    <w:rsid w:val="009E4409"/>
    <w:rsid w:val="009E4BEF"/>
    <w:rsid w:val="009E4FD0"/>
    <w:rsid w:val="009E5EEC"/>
    <w:rsid w:val="009E63AA"/>
    <w:rsid w:val="009E6856"/>
    <w:rsid w:val="009E6B0D"/>
    <w:rsid w:val="009E778F"/>
    <w:rsid w:val="009F0F26"/>
    <w:rsid w:val="009F17EC"/>
    <w:rsid w:val="009F2D90"/>
    <w:rsid w:val="009F3052"/>
    <w:rsid w:val="009F38D3"/>
    <w:rsid w:val="009F44AC"/>
    <w:rsid w:val="009F5E83"/>
    <w:rsid w:val="009F7CD9"/>
    <w:rsid w:val="00A00014"/>
    <w:rsid w:val="00A001EC"/>
    <w:rsid w:val="00A0069C"/>
    <w:rsid w:val="00A00934"/>
    <w:rsid w:val="00A02B92"/>
    <w:rsid w:val="00A04AA2"/>
    <w:rsid w:val="00A05884"/>
    <w:rsid w:val="00A05C98"/>
    <w:rsid w:val="00A06EC7"/>
    <w:rsid w:val="00A07610"/>
    <w:rsid w:val="00A1052E"/>
    <w:rsid w:val="00A11D3B"/>
    <w:rsid w:val="00A12DC6"/>
    <w:rsid w:val="00A130D4"/>
    <w:rsid w:val="00A14659"/>
    <w:rsid w:val="00A14A5C"/>
    <w:rsid w:val="00A14B62"/>
    <w:rsid w:val="00A157A0"/>
    <w:rsid w:val="00A159C8"/>
    <w:rsid w:val="00A2003C"/>
    <w:rsid w:val="00A2092B"/>
    <w:rsid w:val="00A26893"/>
    <w:rsid w:val="00A30091"/>
    <w:rsid w:val="00A302E6"/>
    <w:rsid w:val="00A309CF"/>
    <w:rsid w:val="00A30E84"/>
    <w:rsid w:val="00A32BBD"/>
    <w:rsid w:val="00A32EDD"/>
    <w:rsid w:val="00A33AB3"/>
    <w:rsid w:val="00A3411C"/>
    <w:rsid w:val="00A34640"/>
    <w:rsid w:val="00A35F65"/>
    <w:rsid w:val="00A431A5"/>
    <w:rsid w:val="00A4443C"/>
    <w:rsid w:val="00A47F58"/>
    <w:rsid w:val="00A50014"/>
    <w:rsid w:val="00A50089"/>
    <w:rsid w:val="00A511F1"/>
    <w:rsid w:val="00A51787"/>
    <w:rsid w:val="00A52EA6"/>
    <w:rsid w:val="00A534C3"/>
    <w:rsid w:val="00A53ACA"/>
    <w:rsid w:val="00A53EA5"/>
    <w:rsid w:val="00A53F85"/>
    <w:rsid w:val="00A543B3"/>
    <w:rsid w:val="00A54BA6"/>
    <w:rsid w:val="00A56384"/>
    <w:rsid w:val="00A57B9A"/>
    <w:rsid w:val="00A57E37"/>
    <w:rsid w:val="00A609D8"/>
    <w:rsid w:val="00A60F7C"/>
    <w:rsid w:val="00A6161C"/>
    <w:rsid w:val="00A6182B"/>
    <w:rsid w:val="00A61B54"/>
    <w:rsid w:val="00A621F4"/>
    <w:rsid w:val="00A63535"/>
    <w:rsid w:val="00A641F3"/>
    <w:rsid w:val="00A656A6"/>
    <w:rsid w:val="00A65F3E"/>
    <w:rsid w:val="00A65FC7"/>
    <w:rsid w:val="00A67FAC"/>
    <w:rsid w:val="00A702DA"/>
    <w:rsid w:val="00A702F2"/>
    <w:rsid w:val="00A7296A"/>
    <w:rsid w:val="00A73075"/>
    <w:rsid w:val="00A739DA"/>
    <w:rsid w:val="00A74B3C"/>
    <w:rsid w:val="00A76515"/>
    <w:rsid w:val="00A77591"/>
    <w:rsid w:val="00A8208E"/>
    <w:rsid w:val="00A849C5"/>
    <w:rsid w:val="00A852EA"/>
    <w:rsid w:val="00A85E89"/>
    <w:rsid w:val="00A860B1"/>
    <w:rsid w:val="00A876AE"/>
    <w:rsid w:val="00A90FA4"/>
    <w:rsid w:val="00A915E3"/>
    <w:rsid w:val="00A91D69"/>
    <w:rsid w:val="00A92F40"/>
    <w:rsid w:val="00A9354D"/>
    <w:rsid w:val="00A94470"/>
    <w:rsid w:val="00AA033F"/>
    <w:rsid w:val="00AA19E8"/>
    <w:rsid w:val="00AA332B"/>
    <w:rsid w:val="00AA3BDE"/>
    <w:rsid w:val="00AA3F05"/>
    <w:rsid w:val="00AA3F36"/>
    <w:rsid w:val="00AA44BE"/>
    <w:rsid w:val="00AA7E4C"/>
    <w:rsid w:val="00AB1448"/>
    <w:rsid w:val="00AB281D"/>
    <w:rsid w:val="00AB2C84"/>
    <w:rsid w:val="00AB2DF8"/>
    <w:rsid w:val="00AB53A1"/>
    <w:rsid w:val="00AB5882"/>
    <w:rsid w:val="00AB62E4"/>
    <w:rsid w:val="00AB6D5E"/>
    <w:rsid w:val="00AC0D35"/>
    <w:rsid w:val="00AC0F01"/>
    <w:rsid w:val="00AC3BA7"/>
    <w:rsid w:val="00AC3BFA"/>
    <w:rsid w:val="00AC5FDA"/>
    <w:rsid w:val="00AC7100"/>
    <w:rsid w:val="00AC718D"/>
    <w:rsid w:val="00AC71EA"/>
    <w:rsid w:val="00AC7E05"/>
    <w:rsid w:val="00AC7F67"/>
    <w:rsid w:val="00AD0FC8"/>
    <w:rsid w:val="00AD1D80"/>
    <w:rsid w:val="00AD39CC"/>
    <w:rsid w:val="00AD4ED7"/>
    <w:rsid w:val="00AD54DF"/>
    <w:rsid w:val="00AD599A"/>
    <w:rsid w:val="00AD7BCE"/>
    <w:rsid w:val="00AE1A32"/>
    <w:rsid w:val="00AE1C01"/>
    <w:rsid w:val="00AE319C"/>
    <w:rsid w:val="00AE3C3A"/>
    <w:rsid w:val="00AE439C"/>
    <w:rsid w:val="00AE6003"/>
    <w:rsid w:val="00AE617C"/>
    <w:rsid w:val="00AF1DDC"/>
    <w:rsid w:val="00AF3A1C"/>
    <w:rsid w:val="00AF720C"/>
    <w:rsid w:val="00AF738E"/>
    <w:rsid w:val="00AF7B12"/>
    <w:rsid w:val="00AF7BC2"/>
    <w:rsid w:val="00AF7BDD"/>
    <w:rsid w:val="00B0050A"/>
    <w:rsid w:val="00B007E1"/>
    <w:rsid w:val="00B01A75"/>
    <w:rsid w:val="00B02044"/>
    <w:rsid w:val="00B027AD"/>
    <w:rsid w:val="00B03F06"/>
    <w:rsid w:val="00B0401D"/>
    <w:rsid w:val="00B04477"/>
    <w:rsid w:val="00B07197"/>
    <w:rsid w:val="00B1157C"/>
    <w:rsid w:val="00B14758"/>
    <w:rsid w:val="00B15065"/>
    <w:rsid w:val="00B15611"/>
    <w:rsid w:val="00B1677F"/>
    <w:rsid w:val="00B1697B"/>
    <w:rsid w:val="00B2124A"/>
    <w:rsid w:val="00B21B7B"/>
    <w:rsid w:val="00B269A3"/>
    <w:rsid w:val="00B30866"/>
    <w:rsid w:val="00B30A12"/>
    <w:rsid w:val="00B30B08"/>
    <w:rsid w:val="00B311A3"/>
    <w:rsid w:val="00B333B1"/>
    <w:rsid w:val="00B33AAC"/>
    <w:rsid w:val="00B34BBE"/>
    <w:rsid w:val="00B354E2"/>
    <w:rsid w:val="00B367D3"/>
    <w:rsid w:val="00B36A8E"/>
    <w:rsid w:val="00B37BFB"/>
    <w:rsid w:val="00B41527"/>
    <w:rsid w:val="00B43485"/>
    <w:rsid w:val="00B44A30"/>
    <w:rsid w:val="00B44F52"/>
    <w:rsid w:val="00B45CA0"/>
    <w:rsid w:val="00B45DA4"/>
    <w:rsid w:val="00B476B8"/>
    <w:rsid w:val="00B50A0B"/>
    <w:rsid w:val="00B51CA2"/>
    <w:rsid w:val="00B51E6B"/>
    <w:rsid w:val="00B51FA8"/>
    <w:rsid w:val="00B53510"/>
    <w:rsid w:val="00B536A2"/>
    <w:rsid w:val="00B545FC"/>
    <w:rsid w:val="00B55270"/>
    <w:rsid w:val="00B555BE"/>
    <w:rsid w:val="00B55BFF"/>
    <w:rsid w:val="00B5635D"/>
    <w:rsid w:val="00B56B9F"/>
    <w:rsid w:val="00B57350"/>
    <w:rsid w:val="00B60540"/>
    <w:rsid w:val="00B644B1"/>
    <w:rsid w:val="00B64D0E"/>
    <w:rsid w:val="00B6506E"/>
    <w:rsid w:val="00B65ABF"/>
    <w:rsid w:val="00B67FB5"/>
    <w:rsid w:val="00B7018B"/>
    <w:rsid w:val="00B71022"/>
    <w:rsid w:val="00B71CAF"/>
    <w:rsid w:val="00B752C1"/>
    <w:rsid w:val="00B765B7"/>
    <w:rsid w:val="00B77887"/>
    <w:rsid w:val="00B800E5"/>
    <w:rsid w:val="00B80FD0"/>
    <w:rsid w:val="00B81BB7"/>
    <w:rsid w:val="00B81F96"/>
    <w:rsid w:val="00B82027"/>
    <w:rsid w:val="00B8266F"/>
    <w:rsid w:val="00B8337E"/>
    <w:rsid w:val="00B836EA"/>
    <w:rsid w:val="00B84857"/>
    <w:rsid w:val="00B85923"/>
    <w:rsid w:val="00B87DDF"/>
    <w:rsid w:val="00B915E6"/>
    <w:rsid w:val="00B92874"/>
    <w:rsid w:val="00B932E0"/>
    <w:rsid w:val="00B93790"/>
    <w:rsid w:val="00B94BC9"/>
    <w:rsid w:val="00B9532A"/>
    <w:rsid w:val="00B957F7"/>
    <w:rsid w:val="00B95D32"/>
    <w:rsid w:val="00B96606"/>
    <w:rsid w:val="00B969AF"/>
    <w:rsid w:val="00B96FF3"/>
    <w:rsid w:val="00BA0E38"/>
    <w:rsid w:val="00BA1725"/>
    <w:rsid w:val="00BA1957"/>
    <w:rsid w:val="00BA2509"/>
    <w:rsid w:val="00BA253A"/>
    <w:rsid w:val="00BA26E5"/>
    <w:rsid w:val="00BA2DEF"/>
    <w:rsid w:val="00BA3DF3"/>
    <w:rsid w:val="00BA680D"/>
    <w:rsid w:val="00BA7158"/>
    <w:rsid w:val="00BA71DC"/>
    <w:rsid w:val="00BB07A2"/>
    <w:rsid w:val="00BB0A58"/>
    <w:rsid w:val="00BB0C48"/>
    <w:rsid w:val="00BB10C8"/>
    <w:rsid w:val="00BB20C9"/>
    <w:rsid w:val="00BB24ED"/>
    <w:rsid w:val="00BB2626"/>
    <w:rsid w:val="00BB2667"/>
    <w:rsid w:val="00BB4295"/>
    <w:rsid w:val="00BB44CC"/>
    <w:rsid w:val="00BC0BEB"/>
    <w:rsid w:val="00BC11F4"/>
    <w:rsid w:val="00BC14D1"/>
    <w:rsid w:val="00BC16EB"/>
    <w:rsid w:val="00BC29B0"/>
    <w:rsid w:val="00BC47EF"/>
    <w:rsid w:val="00BC4BDF"/>
    <w:rsid w:val="00BC6DF6"/>
    <w:rsid w:val="00BD3882"/>
    <w:rsid w:val="00BD38BE"/>
    <w:rsid w:val="00BD42F7"/>
    <w:rsid w:val="00BD473A"/>
    <w:rsid w:val="00BD63F0"/>
    <w:rsid w:val="00BD7A66"/>
    <w:rsid w:val="00BE0DBC"/>
    <w:rsid w:val="00BE382A"/>
    <w:rsid w:val="00BE4C94"/>
    <w:rsid w:val="00BE568A"/>
    <w:rsid w:val="00BE5742"/>
    <w:rsid w:val="00BE6DCA"/>
    <w:rsid w:val="00BE6E5B"/>
    <w:rsid w:val="00BF10B5"/>
    <w:rsid w:val="00BF168B"/>
    <w:rsid w:val="00BF4796"/>
    <w:rsid w:val="00BF56B2"/>
    <w:rsid w:val="00BF673D"/>
    <w:rsid w:val="00BF6AD6"/>
    <w:rsid w:val="00BF76EB"/>
    <w:rsid w:val="00C01D23"/>
    <w:rsid w:val="00C03895"/>
    <w:rsid w:val="00C03A48"/>
    <w:rsid w:val="00C058E7"/>
    <w:rsid w:val="00C105A0"/>
    <w:rsid w:val="00C11754"/>
    <w:rsid w:val="00C12634"/>
    <w:rsid w:val="00C13049"/>
    <w:rsid w:val="00C1463C"/>
    <w:rsid w:val="00C14FC8"/>
    <w:rsid w:val="00C1591C"/>
    <w:rsid w:val="00C15D16"/>
    <w:rsid w:val="00C16DA6"/>
    <w:rsid w:val="00C1754D"/>
    <w:rsid w:val="00C20237"/>
    <w:rsid w:val="00C20A52"/>
    <w:rsid w:val="00C21295"/>
    <w:rsid w:val="00C22671"/>
    <w:rsid w:val="00C23C35"/>
    <w:rsid w:val="00C25710"/>
    <w:rsid w:val="00C25883"/>
    <w:rsid w:val="00C27FBA"/>
    <w:rsid w:val="00C305B8"/>
    <w:rsid w:val="00C31BF3"/>
    <w:rsid w:val="00C3314D"/>
    <w:rsid w:val="00C34D57"/>
    <w:rsid w:val="00C35470"/>
    <w:rsid w:val="00C357AD"/>
    <w:rsid w:val="00C35B0F"/>
    <w:rsid w:val="00C35B16"/>
    <w:rsid w:val="00C36708"/>
    <w:rsid w:val="00C37D9D"/>
    <w:rsid w:val="00C37F59"/>
    <w:rsid w:val="00C40661"/>
    <w:rsid w:val="00C4264A"/>
    <w:rsid w:val="00C428E6"/>
    <w:rsid w:val="00C42B63"/>
    <w:rsid w:val="00C43913"/>
    <w:rsid w:val="00C443B6"/>
    <w:rsid w:val="00C46988"/>
    <w:rsid w:val="00C50836"/>
    <w:rsid w:val="00C5148D"/>
    <w:rsid w:val="00C51DDA"/>
    <w:rsid w:val="00C520F4"/>
    <w:rsid w:val="00C52C6F"/>
    <w:rsid w:val="00C56DBD"/>
    <w:rsid w:val="00C57B0F"/>
    <w:rsid w:val="00C6077F"/>
    <w:rsid w:val="00C608C4"/>
    <w:rsid w:val="00C624EF"/>
    <w:rsid w:val="00C62EBD"/>
    <w:rsid w:val="00C63903"/>
    <w:rsid w:val="00C63B1F"/>
    <w:rsid w:val="00C63FA0"/>
    <w:rsid w:val="00C66927"/>
    <w:rsid w:val="00C66DC6"/>
    <w:rsid w:val="00C676F9"/>
    <w:rsid w:val="00C677A9"/>
    <w:rsid w:val="00C67E4C"/>
    <w:rsid w:val="00C708A1"/>
    <w:rsid w:val="00C71DD5"/>
    <w:rsid w:val="00C71EBE"/>
    <w:rsid w:val="00C72EE5"/>
    <w:rsid w:val="00C735B0"/>
    <w:rsid w:val="00C752AE"/>
    <w:rsid w:val="00C75754"/>
    <w:rsid w:val="00C75C50"/>
    <w:rsid w:val="00C75F16"/>
    <w:rsid w:val="00C7602F"/>
    <w:rsid w:val="00C77096"/>
    <w:rsid w:val="00C773BB"/>
    <w:rsid w:val="00C77D0D"/>
    <w:rsid w:val="00C77DA8"/>
    <w:rsid w:val="00C80819"/>
    <w:rsid w:val="00C80C71"/>
    <w:rsid w:val="00C81463"/>
    <w:rsid w:val="00C8359A"/>
    <w:rsid w:val="00C8391E"/>
    <w:rsid w:val="00C8492B"/>
    <w:rsid w:val="00C857E4"/>
    <w:rsid w:val="00C86471"/>
    <w:rsid w:val="00C8688E"/>
    <w:rsid w:val="00C87D6F"/>
    <w:rsid w:val="00C87ED3"/>
    <w:rsid w:val="00C90F27"/>
    <w:rsid w:val="00C9202D"/>
    <w:rsid w:val="00C92052"/>
    <w:rsid w:val="00C923B1"/>
    <w:rsid w:val="00C945CB"/>
    <w:rsid w:val="00C95C53"/>
    <w:rsid w:val="00C967CC"/>
    <w:rsid w:val="00C96C83"/>
    <w:rsid w:val="00C97905"/>
    <w:rsid w:val="00C97AA7"/>
    <w:rsid w:val="00CA0F95"/>
    <w:rsid w:val="00CA210D"/>
    <w:rsid w:val="00CA6BDD"/>
    <w:rsid w:val="00CB0173"/>
    <w:rsid w:val="00CB05A2"/>
    <w:rsid w:val="00CB28E6"/>
    <w:rsid w:val="00CB2E8A"/>
    <w:rsid w:val="00CB3A64"/>
    <w:rsid w:val="00CB3F64"/>
    <w:rsid w:val="00CB47E3"/>
    <w:rsid w:val="00CB5A66"/>
    <w:rsid w:val="00CB6C74"/>
    <w:rsid w:val="00CB6CF3"/>
    <w:rsid w:val="00CB7495"/>
    <w:rsid w:val="00CB75B3"/>
    <w:rsid w:val="00CC0023"/>
    <w:rsid w:val="00CC0FF7"/>
    <w:rsid w:val="00CC3A71"/>
    <w:rsid w:val="00CC4943"/>
    <w:rsid w:val="00CC57FA"/>
    <w:rsid w:val="00CC5BD8"/>
    <w:rsid w:val="00CC644C"/>
    <w:rsid w:val="00CC7DC6"/>
    <w:rsid w:val="00CC7F33"/>
    <w:rsid w:val="00CD2264"/>
    <w:rsid w:val="00CD27FB"/>
    <w:rsid w:val="00CD2FA1"/>
    <w:rsid w:val="00CD4105"/>
    <w:rsid w:val="00CD6B50"/>
    <w:rsid w:val="00CD7F73"/>
    <w:rsid w:val="00CE02AD"/>
    <w:rsid w:val="00CE24E4"/>
    <w:rsid w:val="00CE255B"/>
    <w:rsid w:val="00CE3094"/>
    <w:rsid w:val="00CE3791"/>
    <w:rsid w:val="00CE3C09"/>
    <w:rsid w:val="00CE4864"/>
    <w:rsid w:val="00CE49FA"/>
    <w:rsid w:val="00CE58F7"/>
    <w:rsid w:val="00CE5A9C"/>
    <w:rsid w:val="00CE6727"/>
    <w:rsid w:val="00CF035D"/>
    <w:rsid w:val="00CF0CB7"/>
    <w:rsid w:val="00CF26C2"/>
    <w:rsid w:val="00CF2810"/>
    <w:rsid w:val="00CF3812"/>
    <w:rsid w:val="00CF7577"/>
    <w:rsid w:val="00D00F9E"/>
    <w:rsid w:val="00D03818"/>
    <w:rsid w:val="00D04008"/>
    <w:rsid w:val="00D04029"/>
    <w:rsid w:val="00D04ED4"/>
    <w:rsid w:val="00D04F08"/>
    <w:rsid w:val="00D065FB"/>
    <w:rsid w:val="00D06CCD"/>
    <w:rsid w:val="00D06DBF"/>
    <w:rsid w:val="00D10DBD"/>
    <w:rsid w:val="00D11149"/>
    <w:rsid w:val="00D113F5"/>
    <w:rsid w:val="00D120C6"/>
    <w:rsid w:val="00D121B0"/>
    <w:rsid w:val="00D12238"/>
    <w:rsid w:val="00D1241B"/>
    <w:rsid w:val="00D13844"/>
    <w:rsid w:val="00D13C4C"/>
    <w:rsid w:val="00D149C2"/>
    <w:rsid w:val="00D14E39"/>
    <w:rsid w:val="00D16131"/>
    <w:rsid w:val="00D1736F"/>
    <w:rsid w:val="00D17881"/>
    <w:rsid w:val="00D2036A"/>
    <w:rsid w:val="00D205E1"/>
    <w:rsid w:val="00D215B4"/>
    <w:rsid w:val="00D216C9"/>
    <w:rsid w:val="00D221D9"/>
    <w:rsid w:val="00D2274B"/>
    <w:rsid w:val="00D2304D"/>
    <w:rsid w:val="00D231C2"/>
    <w:rsid w:val="00D2420B"/>
    <w:rsid w:val="00D24E26"/>
    <w:rsid w:val="00D2531C"/>
    <w:rsid w:val="00D26A3E"/>
    <w:rsid w:val="00D27BBA"/>
    <w:rsid w:val="00D3182E"/>
    <w:rsid w:val="00D326B6"/>
    <w:rsid w:val="00D340DA"/>
    <w:rsid w:val="00D351E2"/>
    <w:rsid w:val="00D360A9"/>
    <w:rsid w:val="00D37153"/>
    <w:rsid w:val="00D37371"/>
    <w:rsid w:val="00D37B40"/>
    <w:rsid w:val="00D4190C"/>
    <w:rsid w:val="00D420DB"/>
    <w:rsid w:val="00D427E2"/>
    <w:rsid w:val="00D44FAB"/>
    <w:rsid w:val="00D468AC"/>
    <w:rsid w:val="00D47E16"/>
    <w:rsid w:val="00D53115"/>
    <w:rsid w:val="00D53262"/>
    <w:rsid w:val="00D54337"/>
    <w:rsid w:val="00D54944"/>
    <w:rsid w:val="00D5540A"/>
    <w:rsid w:val="00D57C60"/>
    <w:rsid w:val="00D60617"/>
    <w:rsid w:val="00D61441"/>
    <w:rsid w:val="00D6296A"/>
    <w:rsid w:val="00D62EAC"/>
    <w:rsid w:val="00D639B3"/>
    <w:rsid w:val="00D640DD"/>
    <w:rsid w:val="00D64833"/>
    <w:rsid w:val="00D653E5"/>
    <w:rsid w:val="00D6741E"/>
    <w:rsid w:val="00D674E9"/>
    <w:rsid w:val="00D7000F"/>
    <w:rsid w:val="00D70900"/>
    <w:rsid w:val="00D70E07"/>
    <w:rsid w:val="00D71FF1"/>
    <w:rsid w:val="00D72F2D"/>
    <w:rsid w:val="00D73A0E"/>
    <w:rsid w:val="00D73D9C"/>
    <w:rsid w:val="00D740AC"/>
    <w:rsid w:val="00D74736"/>
    <w:rsid w:val="00D75DA2"/>
    <w:rsid w:val="00D774C0"/>
    <w:rsid w:val="00D77581"/>
    <w:rsid w:val="00D77D33"/>
    <w:rsid w:val="00D80438"/>
    <w:rsid w:val="00D813D3"/>
    <w:rsid w:val="00D8182A"/>
    <w:rsid w:val="00D8213F"/>
    <w:rsid w:val="00D825E1"/>
    <w:rsid w:val="00D83B72"/>
    <w:rsid w:val="00D857AD"/>
    <w:rsid w:val="00D85E2C"/>
    <w:rsid w:val="00D94220"/>
    <w:rsid w:val="00DA0642"/>
    <w:rsid w:val="00DA13AE"/>
    <w:rsid w:val="00DA2AF8"/>
    <w:rsid w:val="00DA2C9F"/>
    <w:rsid w:val="00DA2EDC"/>
    <w:rsid w:val="00DA3101"/>
    <w:rsid w:val="00DA3359"/>
    <w:rsid w:val="00DA5BDA"/>
    <w:rsid w:val="00DA6B7F"/>
    <w:rsid w:val="00DA7343"/>
    <w:rsid w:val="00DA7922"/>
    <w:rsid w:val="00DA7B0B"/>
    <w:rsid w:val="00DA7D3F"/>
    <w:rsid w:val="00DB0A28"/>
    <w:rsid w:val="00DB132E"/>
    <w:rsid w:val="00DB1565"/>
    <w:rsid w:val="00DB1573"/>
    <w:rsid w:val="00DB2690"/>
    <w:rsid w:val="00DB379A"/>
    <w:rsid w:val="00DB563D"/>
    <w:rsid w:val="00DB67DA"/>
    <w:rsid w:val="00DC16E3"/>
    <w:rsid w:val="00DC1ACE"/>
    <w:rsid w:val="00DC28B0"/>
    <w:rsid w:val="00DC6201"/>
    <w:rsid w:val="00DC6854"/>
    <w:rsid w:val="00DC76E6"/>
    <w:rsid w:val="00DC7916"/>
    <w:rsid w:val="00DC7D2C"/>
    <w:rsid w:val="00DD04B6"/>
    <w:rsid w:val="00DD06FA"/>
    <w:rsid w:val="00DD0A66"/>
    <w:rsid w:val="00DD0ABE"/>
    <w:rsid w:val="00DD2EAD"/>
    <w:rsid w:val="00DD4B20"/>
    <w:rsid w:val="00DD4EDD"/>
    <w:rsid w:val="00DD50AE"/>
    <w:rsid w:val="00DD60D2"/>
    <w:rsid w:val="00DD7C24"/>
    <w:rsid w:val="00DE0034"/>
    <w:rsid w:val="00DE12A5"/>
    <w:rsid w:val="00DE130E"/>
    <w:rsid w:val="00DE1F11"/>
    <w:rsid w:val="00DE540B"/>
    <w:rsid w:val="00DE55DC"/>
    <w:rsid w:val="00DE69C7"/>
    <w:rsid w:val="00DE6EB6"/>
    <w:rsid w:val="00DE7289"/>
    <w:rsid w:val="00DF079B"/>
    <w:rsid w:val="00DF1EAF"/>
    <w:rsid w:val="00DF24C8"/>
    <w:rsid w:val="00DF2A2E"/>
    <w:rsid w:val="00DF2C91"/>
    <w:rsid w:val="00DF304F"/>
    <w:rsid w:val="00DF5521"/>
    <w:rsid w:val="00DF59A1"/>
    <w:rsid w:val="00DF655C"/>
    <w:rsid w:val="00DF6703"/>
    <w:rsid w:val="00DF697A"/>
    <w:rsid w:val="00DF7154"/>
    <w:rsid w:val="00DF79AC"/>
    <w:rsid w:val="00E01891"/>
    <w:rsid w:val="00E01F69"/>
    <w:rsid w:val="00E02510"/>
    <w:rsid w:val="00E02E9E"/>
    <w:rsid w:val="00E04312"/>
    <w:rsid w:val="00E05209"/>
    <w:rsid w:val="00E05CE4"/>
    <w:rsid w:val="00E060A0"/>
    <w:rsid w:val="00E0610A"/>
    <w:rsid w:val="00E074E5"/>
    <w:rsid w:val="00E12E83"/>
    <w:rsid w:val="00E1328A"/>
    <w:rsid w:val="00E15F92"/>
    <w:rsid w:val="00E1618B"/>
    <w:rsid w:val="00E16221"/>
    <w:rsid w:val="00E20104"/>
    <w:rsid w:val="00E202EF"/>
    <w:rsid w:val="00E22AAB"/>
    <w:rsid w:val="00E24139"/>
    <w:rsid w:val="00E2468A"/>
    <w:rsid w:val="00E25904"/>
    <w:rsid w:val="00E26D14"/>
    <w:rsid w:val="00E27C61"/>
    <w:rsid w:val="00E310AF"/>
    <w:rsid w:val="00E3183D"/>
    <w:rsid w:val="00E339C0"/>
    <w:rsid w:val="00E3615A"/>
    <w:rsid w:val="00E36F98"/>
    <w:rsid w:val="00E37E76"/>
    <w:rsid w:val="00E41C65"/>
    <w:rsid w:val="00E41E32"/>
    <w:rsid w:val="00E41E93"/>
    <w:rsid w:val="00E42949"/>
    <w:rsid w:val="00E42ABF"/>
    <w:rsid w:val="00E45F54"/>
    <w:rsid w:val="00E5019A"/>
    <w:rsid w:val="00E50EEE"/>
    <w:rsid w:val="00E55563"/>
    <w:rsid w:val="00E555FA"/>
    <w:rsid w:val="00E556F1"/>
    <w:rsid w:val="00E60976"/>
    <w:rsid w:val="00E60A37"/>
    <w:rsid w:val="00E652AF"/>
    <w:rsid w:val="00E672BC"/>
    <w:rsid w:val="00E7107A"/>
    <w:rsid w:val="00E714AA"/>
    <w:rsid w:val="00E714D9"/>
    <w:rsid w:val="00E72443"/>
    <w:rsid w:val="00E727A4"/>
    <w:rsid w:val="00E745E2"/>
    <w:rsid w:val="00E749AC"/>
    <w:rsid w:val="00E751B4"/>
    <w:rsid w:val="00E75585"/>
    <w:rsid w:val="00E75C33"/>
    <w:rsid w:val="00E76033"/>
    <w:rsid w:val="00E81ACE"/>
    <w:rsid w:val="00E84EF0"/>
    <w:rsid w:val="00E85C14"/>
    <w:rsid w:val="00E85EFD"/>
    <w:rsid w:val="00E866F1"/>
    <w:rsid w:val="00E87C6A"/>
    <w:rsid w:val="00E90030"/>
    <w:rsid w:val="00E92437"/>
    <w:rsid w:val="00E92BD0"/>
    <w:rsid w:val="00E92F88"/>
    <w:rsid w:val="00E93730"/>
    <w:rsid w:val="00E94B25"/>
    <w:rsid w:val="00E94B49"/>
    <w:rsid w:val="00E96DEB"/>
    <w:rsid w:val="00E96E54"/>
    <w:rsid w:val="00EA0721"/>
    <w:rsid w:val="00EA0A48"/>
    <w:rsid w:val="00EA3FB1"/>
    <w:rsid w:val="00EA4E51"/>
    <w:rsid w:val="00EA6530"/>
    <w:rsid w:val="00EA75AC"/>
    <w:rsid w:val="00EA7B20"/>
    <w:rsid w:val="00EB0A93"/>
    <w:rsid w:val="00EB0DBB"/>
    <w:rsid w:val="00EB214F"/>
    <w:rsid w:val="00EB3FD1"/>
    <w:rsid w:val="00EB4406"/>
    <w:rsid w:val="00EB5050"/>
    <w:rsid w:val="00EB60E4"/>
    <w:rsid w:val="00EB732A"/>
    <w:rsid w:val="00EB7BA5"/>
    <w:rsid w:val="00EC04CB"/>
    <w:rsid w:val="00EC09FB"/>
    <w:rsid w:val="00EC1C19"/>
    <w:rsid w:val="00EC2B5D"/>
    <w:rsid w:val="00EC480C"/>
    <w:rsid w:val="00EC7403"/>
    <w:rsid w:val="00ED27D7"/>
    <w:rsid w:val="00ED3068"/>
    <w:rsid w:val="00ED451E"/>
    <w:rsid w:val="00ED5BD2"/>
    <w:rsid w:val="00ED7339"/>
    <w:rsid w:val="00ED7798"/>
    <w:rsid w:val="00EE0397"/>
    <w:rsid w:val="00EE03D7"/>
    <w:rsid w:val="00EE05EB"/>
    <w:rsid w:val="00EE08FE"/>
    <w:rsid w:val="00EE0C65"/>
    <w:rsid w:val="00EE1929"/>
    <w:rsid w:val="00EE4946"/>
    <w:rsid w:val="00EE73CE"/>
    <w:rsid w:val="00EE75D5"/>
    <w:rsid w:val="00EE7654"/>
    <w:rsid w:val="00EE7F88"/>
    <w:rsid w:val="00EF258B"/>
    <w:rsid w:val="00EF326B"/>
    <w:rsid w:val="00EF54C1"/>
    <w:rsid w:val="00EF63EA"/>
    <w:rsid w:val="00EF6590"/>
    <w:rsid w:val="00EF6A3D"/>
    <w:rsid w:val="00EF7392"/>
    <w:rsid w:val="00EF73A6"/>
    <w:rsid w:val="00EF7BEB"/>
    <w:rsid w:val="00EF7C45"/>
    <w:rsid w:val="00EF7DBF"/>
    <w:rsid w:val="00F00DB5"/>
    <w:rsid w:val="00F00DEE"/>
    <w:rsid w:val="00F0204E"/>
    <w:rsid w:val="00F0239D"/>
    <w:rsid w:val="00F023FC"/>
    <w:rsid w:val="00F03627"/>
    <w:rsid w:val="00F037A4"/>
    <w:rsid w:val="00F0540C"/>
    <w:rsid w:val="00F06997"/>
    <w:rsid w:val="00F07071"/>
    <w:rsid w:val="00F074F8"/>
    <w:rsid w:val="00F07BF2"/>
    <w:rsid w:val="00F114B5"/>
    <w:rsid w:val="00F1595C"/>
    <w:rsid w:val="00F164BB"/>
    <w:rsid w:val="00F16BC3"/>
    <w:rsid w:val="00F16CCC"/>
    <w:rsid w:val="00F17CAD"/>
    <w:rsid w:val="00F20866"/>
    <w:rsid w:val="00F221A7"/>
    <w:rsid w:val="00F2223D"/>
    <w:rsid w:val="00F22539"/>
    <w:rsid w:val="00F234FB"/>
    <w:rsid w:val="00F25A50"/>
    <w:rsid w:val="00F25DC3"/>
    <w:rsid w:val="00F265A0"/>
    <w:rsid w:val="00F26AF9"/>
    <w:rsid w:val="00F32087"/>
    <w:rsid w:val="00F330CB"/>
    <w:rsid w:val="00F34A76"/>
    <w:rsid w:val="00F35CB5"/>
    <w:rsid w:val="00F3611E"/>
    <w:rsid w:val="00F40E7F"/>
    <w:rsid w:val="00F41841"/>
    <w:rsid w:val="00F4541C"/>
    <w:rsid w:val="00F4599F"/>
    <w:rsid w:val="00F46A0D"/>
    <w:rsid w:val="00F47FDB"/>
    <w:rsid w:val="00F51D38"/>
    <w:rsid w:val="00F52263"/>
    <w:rsid w:val="00F52CDE"/>
    <w:rsid w:val="00F539B7"/>
    <w:rsid w:val="00F5429F"/>
    <w:rsid w:val="00F54A60"/>
    <w:rsid w:val="00F55B8A"/>
    <w:rsid w:val="00F55EB1"/>
    <w:rsid w:val="00F56156"/>
    <w:rsid w:val="00F56A4B"/>
    <w:rsid w:val="00F56BCB"/>
    <w:rsid w:val="00F6006F"/>
    <w:rsid w:val="00F60E49"/>
    <w:rsid w:val="00F6374C"/>
    <w:rsid w:val="00F6383C"/>
    <w:rsid w:val="00F63A63"/>
    <w:rsid w:val="00F64E85"/>
    <w:rsid w:val="00F6642C"/>
    <w:rsid w:val="00F66D7C"/>
    <w:rsid w:val="00F70183"/>
    <w:rsid w:val="00F70234"/>
    <w:rsid w:val="00F709D1"/>
    <w:rsid w:val="00F711B3"/>
    <w:rsid w:val="00F718EE"/>
    <w:rsid w:val="00F73A60"/>
    <w:rsid w:val="00F76F51"/>
    <w:rsid w:val="00F77007"/>
    <w:rsid w:val="00F77545"/>
    <w:rsid w:val="00F835BA"/>
    <w:rsid w:val="00F83CD2"/>
    <w:rsid w:val="00F8593A"/>
    <w:rsid w:val="00F85BB5"/>
    <w:rsid w:val="00F86A8E"/>
    <w:rsid w:val="00F8762D"/>
    <w:rsid w:val="00F90B5F"/>
    <w:rsid w:val="00F91A9C"/>
    <w:rsid w:val="00F91B77"/>
    <w:rsid w:val="00F92254"/>
    <w:rsid w:val="00F933E3"/>
    <w:rsid w:val="00F9359D"/>
    <w:rsid w:val="00F94569"/>
    <w:rsid w:val="00F945F1"/>
    <w:rsid w:val="00F9664E"/>
    <w:rsid w:val="00F968C3"/>
    <w:rsid w:val="00F97327"/>
    <w:rsid w:val="00F97C62"/>
    <w:rsid w:val="00FA0041"/>
    <w:rsid w:val="00FA00A3"/>
    <w:rsid w:val="00FA07D5"/>
    <w:rsid w:val="00FA11EA"/>
    <w:rsid w:val="00FA18AD"/>
    <w:rsid w:val="00FA3AE5"/>
    <w:rsid w:val="00FB004F"/>
    <w:rsid w:val="00FB011F"/>
    <w:rsid w:val="00FB1BA6"/>
    <w:rsid w:val="00FB35AC"/>
    <w:rsid w:val="00FB4C96"/>
    <w:rsid w:val="00FB66C9"/>
    <w:rsid w:val="00FB6B09"/>
    <w:rsid w:val="00FB7FE7"/>
    <w:rsid w:val="00FC0802"/>
    <w:rsid w:val="00FC0939"/>
    <w:rsid w:val="00FC09D2"/>
    <w:rsid w:val="00FC141B"/>
    <w:rsid w:val="00FC34C1"/>
    <w:rsid w:val="00FC45E9"/>
    <w:rsid w:val="00FC491B"/>
    <w:rsid w:val="00FC64C4"/>
    <w:rsid w:val="00FC7173"/>
    <w:rsid w:val="00FD03C8"/>
    <w:rsid w:val="00FD14AA"/>
    <w:rsid w:val="00FD2B48"/>
    <w:rsid w:val="00FD3FA0"/>
    <w:rsid w:val="00FD472F"/>
    <w:rsid w:val="00FD4766"/>
    <w:rsid w:val="00FE0401"/>
    <w:rsid w:val="00FE0F99"/>
    <w:rsid w:val="00FE1A89"/>
    <w:rsid w:val="00FE1C95"/>
    <w:rsid w:val="00FE369C"/>
    <w:rsid w:val="00FE44C0"/>
    <w:rsid w:val="00FE4827"/>
    <w:rsid w:val="00FE57B1"/>
    <w:rsid w:val="00FE5A23"/>
    <w:rsid w:val="00FE6089"/>
    <w:rsid w:val="00FE6B9F"/>
    <w:rsid w:val="00FE6CD6"/>
    <w:rsid w:val="00FE74F0"/>
    <w:rsid w:val="00FF42D4"/>
    <w:rsid w:val="00FF546F"/>
    <w:rsid w:val="00FF54E4"/>
    <w:rsid w:val="00FF5B05"/>
    <w:rsid w:val="00FF5D72"/>
    <w:rsid w:val="00FF659B"/>
    <w:rsid w:val="00FF6E4E"/>
    <w:rsid w:val="00FF7292"/>
    <w:rsid w:val="00FF72F3"/>
    <w:rsid w:val="00FF74A1"/>
    <w:rsid w:val="00FF7A3C"/>
    <w:rsid w:val="00FF7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C15E177"/>
  <w15:chartTrackingRefBased/>
  <w15:docId w15:val="{01539947-8A2E-403C-9177-E5EAD46D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136"/>
    <w:rPr>
      <w:lang w:val="de-DE" w:eastAsia="en-US"/>
    </w:rPr>
  </w:style>
  <w:style w:type="paragraph" w:styleId="Heading1">
    <w:name w:val="heading 1"/>
    <w:basedOn w:val="Normal"/>
    <w:next w:val="Normal"/>
    <w:qFormat/>
    <w:pPr>
      <w:keepNext/>
      <w:numPr>
        <w:numId w:val="17"/>
      </w:numPr>
      <w:spacing w:line="260" w:lineRule="exact"/>
      <w:jc w:val="both"/>
      <w:outlineLvl w:val="0"/>
    </w:pPr>
    <w:rPr>
      <w:b/>
      <w:sz w:val="22"/>
    </w:rPr>
  </w:style>
  <w:style w:type="paragraph" w:styleId="Heading2">
    <w:name w:val="heading 2"/>
    <w:basedOn w:val="Normal"/>
    <w:next w:val="Normal"/>
    <w:qFormat/>
    <w:pPr>
      <w:keepNext/>
      <w:numPr>
        <w:ilvl w:val="1"/>
        <w:numId w:val="17"/>
      </w:numPr>
      <w:tabs>
        <w:tab w:val="left" w:pos="567"/>
      </w:tabs>
      <w:outlineLvl w:val="1"/>
    </w:pPr>
    <w:rPr>
      <w:b/>
      <w:sz w:val="22"/>
    </w:rPr>
  </w:style>
  <w:style w:type="paragraph" w:styleId="Heading3">
    <w:name w:val="heading 3"/>
    <w:basedOn w:val="Normal"/>
    <w:next w:val="Normal"/>
    <w:qFormat/>
    <w:pPr>
      <w:keepNext/>
      <w:numPr>
        <w:ilvl w:val="2"/>
        <w:numId w:val="17"/>
      </w:numPr>
      <w:spacing w:line="260" w:lineRule="exact"/>
      <w:jc w:val="both"/>
      <w:outlineLvl w:val="2"/>
    </w:pPr>
    <w:rPr>
      <w:sz w:val="22"/>
    </w:rPr>
  </w:style>
  <w:style w:type="paragraph" w:styleId="Heading4">
    <w:name w:val="heading 4"/>
    <w:basedOn w:val="Normal"/>
    <w:next w:val="Normal"/>
    <w:qFormat/>
    <w:pPr>
      <w:keepNext/>
      <w:numPr>
        <w:ilvl w:val="3"/>
        <w:numId w:val="17"/>
      </w:numPr>
      <w:tabs>
        <w:tab w:val="left" w:pos="567"/>
      </w:tabs>
      <w:spacing w:line="260" w:lineRule="exact"/>
      <w:jc w:val="both"/>
      <w:outlineLvl w:val="3"/>
    </w:pPr>
    <w:rPr>
      <w:b/>
      <w:noProof/>
      <w:sz w:val="22"/>
    </w:rPr>
  </w:style>
  <w:style w:type="paragraph" w:styleId="Heading5">
    <w:name w:val="heading 5"/>
    <w:basedOn w:val="Normal"/>
    <w:next w:val="Normal"/>
    <w:qFormat/>
    <w:pPr>
      <w:keepNext/>
      <w:numPr>
        <w:ilvl w:val="4"/>
        <w:numId w:val="17"/>
      </w:numPr>
      <w:jc w:val="center"/>
      <w:outlineLvl w:val="4"/>
    </w:pPr>
    <w:rPr>
      <w:b/>
      <w:sz w:val="22"/>
    </w:rPr>
  </w:style>
  <w:style w:type="paragraph" w:styleId="Heading6">
    <w:name w:val="heading 6"/>
    <w:basedOn w:val="Normal"/>
    <w:next w:val="Normal"/>
    <w:link w:val="Heading6Char"/>
    <w:qFormat/>
    <w:pPr>
      <w:keepNext/>
      <w:numPr>
        <w:ilvl w:val="5"/>
        <w:numId w:val="17"/>
      </w:numPr>
      <w:tabs>
        <w:tab w:val="left" w:pos="-720"/>
        <w:tab w:val="left" w:pos="567"/>
        <w:tab w:val="left" w:pos="4536"/>
      </w:tabs>
      <w:suppressAutoHyphens/>
      <w:spacing w:line="260" w:lineRule="exact"/>
      <w:outlineLvl w:val="5"/>
    </w:pPr>
    <w:rPr>
      <w:i/>
      <w:sz w:val="22"/>
      <w:lang w:val="en-GB"/>
    </w:rPr>
  </w:style>
  <w:style w:type="paragraph" w:styleId="Heading7">
    <w:name w:val="heading 7"/>
    <w:basedOn w:val="Normal"/>
    <w:next w:val="Normal"/>
    <w:qFormat/>
    <w:pPr>
      <w:keepNext/>
      <w:numPr>
        <w:ilvl w:val="6"/>
        <w:numId w:val="17"/>
      </w:numPr>
      <w:tabs>
        <w:tab w:val="left" w:pos="-720"/>
        <w:tab w:val="left" w:pos="567"/>
        <w:tab w:val="left" w:pos="4536"/>
      </w:tabs>
      <w:suppressAutoHyphens/>
      <w:spacing w:line="260" w:lineRule="exact"/>
      <w:jc w:val="both"/>
      <w:outlineLvl w:val="6"/>
    </w:pPr>
    <w:rPr>
      <w:i/>
      <w:sz w:val="22"/>
      <w:lang w:val="en-GB"/>
    </w:rPr>
  </w:style>
  <w:style w:type="paragraph" w:styleId="Heading8">
    <w:name w:val="heading 8"/>
    <w:basedOn w:val="Normal"/>
    <w:next w:val="Normal"/>
    <w:qFormat/>
    <w:pPr>
      <w:keepNext/>
      <w:numPr>
        <w:ilvl w:val="7"/>
        <w:numId w:val="17"/>
      </w:numPr>
      <w:outlineLvl w:val="7"/>
    </w:pPr>
    <w:rPr>
      <w:b/>
      <w:sz w:val="22"/>
    </w:rPr>
  </w:style>
  <w:style w:type="paragraph" w:styleId="Heading9">
    <w:name w:val="heading 9"/>
    <w:basedOn w:val="Normal"/>
    <w:next w:val="Normal"/>
    <w:qFormat/>
    <w:pPr>
      <w:keepNext/>
      <w:numPr>
        <w:ilvl w:val="8"/>
        <w:numId w:val="17"/>
      </w:numPr>
      <w:shd w:val="pct25" w:color="000000" w:fill="FFFFFF"/>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rPr>
      <w:sz w:val="22"/>
    </w:rPr>
  </w:style>
  <w:style w:type="paragraph" w:styleId="EndnoteText">
    <w:name w:val="endnote text"/>
    <w:basedOn w:val="Normal"/>
    <w:link w:val="EndnoteTextChar"/>
    <w:semiHidden/>
    <w:rPr>
      <w:sz w:val="18"/>
      <w:lang w:val="es-ES_tradnl"/>
    </w:rPr>
  </w:style>
  <w:style w:type="paragraph" w:styleId="BodyText2">
    <w:name w:val="Body Text 2"/>
    <w:basedOn w:val="Normal"/>
    <w:pPr>
      <w:ind w:left="567" w:hanging="567"/>
    </w:pPr>
    <w:rPr>
      <w:b/>
      <w:sz w:val="22"/>
      <w:lang w:val="en-GB"/>
    </w:rPr>
  </w:style>
  <w:style w:type="paragraph" w:styleId="BodyText">
    <w:name w:val="Body Text"/>
    <w:basedOn w:val="Normal"/>
    <w:pPr>
      <w:keepNext/>
      <w:spacing w:line="260" w:lineRule="exact"/>
      <w:jc w:val="both"/>
    </w:pPr>
    <w:rPr>
      <w:sz w:val="22"/>
    </w:rPr>
  </w:style>
  <w:style w:type="paragraph" w:styleId="Footer">
    <w:name w:val="footer"/>
    <w:basedOn w:val="Normal"/>
    <w:pPr>
      <w:tabs>
        <w:tab w:val="center" w:pos="4536"/>
        <w:tab w:val="center" w:pos="8930"/>
      </w:tabs>
    </w:pPr>
    <w:rPr>
      <w:rFonts w:ascii="Helvetica" w:hAnsi="Helvetica"/>
      <w:sz w:val="16"/>
      <w:lang w:val="es-ES_tradnl"/>
    </w:rPr>
  </w:style>
  <w:style w:type="character" w:styleId="CommentReference">
    <w:name w:val="annotation reference"/>
    <w:rPr>
      <w:sz w:val="16"/>
    </w:rPr>
  </w:style>
  <w:style w:type="paragraph" w:styleId="CommentText">
    <w:name w:val="annotation text"/>
    <w:aliases w:val="Comment Text Char1 Char,Comment Text Char Char Char,Comment Text Char1,Char"/>
    <w:basedOn w:val="Normal"/>
    <w:link w:val="CommentTextChar"/>
    <w:pPr>
      <w:tabs>
        <w:tab w:val="left" w:pos="567"/>
      </w:tabs>
      <w:spacing w:line="260" w:lineRule="exact"/>
    </w:pPr>
    <w:rPr>
      <w:lang w:val="en-GB"/>
    </w:rPr>
  </w:style>
  <w:style w:type="paragraph" w:styleId="BlockText">
    <w:name w:val="Block Text"/>
    <w:basedOn w:val="Normal"/>
    <w:pPr>
      <w:tabs>
        <w:tab w:val="left" w:pos="2657"/>
      </w:tabs>
      <w:spacing w:before="120"/>
      <w:ind w:left="-37" w:right="-28"/>
    </w:pPr>
    <w:rPr>
      <w:sz w:val="22"/>
      <w:lang w:val="en-GB"/>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rPr>
      <w:sz w:val="22"/>
    </w:rPr>
  </w:style>
  <w:style w:type="paragraph" w:styleId="BodyTextIndent">
    <w:name w:val="Body Text Indent"/>
    <w:basedOn w:val="Normal"/>
    <w:pPr>
      <w:shd w:val="pct25" w:color="000000" w:fill="FFFFFF"/>
      <w:ind w:left="567" w:hanging="567"/>
    </w:pPr>
    <w:rPr>
      <w:b/>
      <w:sz w:val="22"/>
    </w:rPr>
  </w:style>
  <w:style w:type="paragraph" w:styleId="BodyTextIndent3">
    <w:name w:val="Body Text Indent 3"/>
    <w:basedOn w:val="Normal"/>
    <w:pPr>
      <w:widowControl w:val="0"/>
      <w:ind w:left="567"/>
    </w:pPr>
    <w:rPr>
      <w:rFonts w:ascii="Arial" w:hAnsi="Arial"/>
      <w:sz w:val="22"/>
    </w:rPr>
  </w:style>
  <w:style w:type="character" w:styleId="EndnoteReference">
    <w:name w:val="endnote reference"/>
    <w:semiHidden/>
    <w:rPr>
      <w:sz w:val="20"/>
      <w:vertAlign w:val="superscript"/>
    </w:rPr>
  </w:style>
  <w:style w:type="paragraph" w:customStyle="1" w:styleId="Text">
    <w:name w:val="Text"/>
    <w:basedOn w:val="Normal"/>
    <w:link w:val="TextChar"/>
    <w:pPr>
      <w:spacing w:before="120"/>
      <w:jc w:val="both"/>
    </w:pPr>
    <w:rPr>
      <w:sz w:val="24"/>
      <w:lang w:val="en-GB"/>
    </w:rPr>
  </w:style>
  <w:style w:type="paragraph" w:styleId="BodyTextIndent2">
    <w:name w:val="Body Text Indent 2"/>
    <w:basedOn w:val="Normal"/>
    <w:link w:val="BodyTextIndent2Char"/>
    <w:pPr>
      <w:widowControl w:val="0"/>
      <w:ind w:firstLine="3"/>
    </w:pPr>
    <w:rPr>
      <w:sz w:val="22"/>
      <w:lang w:eastAsia="x-none"/>
    </w:rPr>
  </w:style>
  <w:style w:type="paragraph" w:styleId="BalloonText">
    <w:name w:val="Balloon Text"/>
    <w:basedOn w:val="Normal"/>
    <w:semiHidden/>
    <w:rsid w:val="0025297E"/>
    <w:rPr>
      <w:rFonts w:ascii="Tahoma" w:hAnsi="Tahoma" w:cs="Tahoma"/>
      <w:sz w:val="16"/>
      <w:szCs w:val="16"/>
    </w:rPr>
  </w:style>
  <w:style w:type="paragraph" w:styleId="CommentSubject">
    <w:name w:val="annotation subject"/>
    <w:basedOn w:val="CommentText"/>
    <w:next w:val="CommentText"/>
    <w:semiHidden/>
    <w:rsid w:val="002757F8"/>
    <w:pPr>
      <w:tabs>
        <w:tab w:val="clear" w:pos="567"/>
      </w:tabs>
      <w:spacing w:line="240" w:lineRule="auto"/>
    </w:pPr>
    <w:rPr>
      <w:b/>
      <w:bCs/>
      <w:lang w:val="de-DE"/>
    </w:rPr>
  </w:style>
  <w:style w:type="table" w:styleId="TableGrid">
    <w:name w:val="Table Grid"/>
    <w:basedOn w:val="TableNormal"/>
    <w:rsid w:val="00B4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2C0958"/>
    <w:pPr>
      <w:keepNext/>
      <w:keepLines/>
      <w:tabs>
        <w:tab w:val="left" w:pos="284"/>
      </w:tabs>
      <w:spacing w:before="40" w:after="20"/>
    </w:pPr>
    <w:rPr>
      <w:rFonts w:ascii="Arial" w:hAnsi="Arial"/>
      <w:lang w:val="en-US"/>
    </w:rPr>
  </w:style>
  <w:style w:type="character" w:customStyle="1" w:styleId="TableChar">
    <w:name w:val="Table Char"/>
    <w:link w:val="Table"/>
    <w:rsid w:val="002C0958"/>
    <w:rPr>
      <w:rFonts w:ascii="Arial" w:hAnsi="Arial"/>
      <w:lang w:val="en-US" w:eastAsia="en-US" w:bidi="ar-SA"/>
    </w:rPr>
  </w:style>
  <w:style w:type="character" w:customStyle="1" w:styleId="TextChar">
    <w:name w:val="Text Char"/>
    <w:link w:val="Text"/>
    <w:rsid w:val="00EF54C1"/>
    <w:rPr>
      <w:sz w:val="24"/>
      <w:lang w:val="en-GB" w:eastAsia="en-US" w:bidi="ar-SA"/>
    </w:rPr>
  </w:style>
  <w:style w:type="character" w:customStyle="1" w:styleId="EndnoteTextChar">
    <w:name w:val="Endnote Text Char"/>
    <w:link w:val="EndnoteText"/>
    <w:rsid w:val="00C75F16"/>
    <w:rPr>
      <w:sz w:val="18"/>
      <w:lang w:val="es-ES_tradnl" w:eastAsia="en-US" w:bidi="ar-SA"/>
    </w:rPr>
  </w:style>
  <w:style w:type="paragraph" w:customStyle="1" w:styleId="Nottoc-headings">
    <w:name w:val="Not toc-headings"/>
    <w:basedOn w:val="Normal"/>
    <w:next w:val="Text"/>
    <w:link w:val="Nottoc-headingsChar"/>
    <w:rsid w:val="0089502E"/>
    <w:pPr>
      <w:keepNext/>
      <w:keepLines/>
      <w:spacing w:before="240" w:after="60"/>
      <w:ind w:left="1701" w:hanging="1701"/>
    </w:pPr>
    <w:rPr>
      <w:rFonts w:ascii="Arial" w:hAnsi="Arial"/>
      <w:b/>
      <w:sz w:val="24"/>
      <w:lang w:val="en-US"/>
    </w:rPr>
  </w:style>
  <w:style w:type="table" w:customStyle="1" w:styleId="TableGrid1">
    <w:name w:val="Table Grid1"/>
    <w:basedOn w:val="TableNormal"/>
    <w:next w:val="TableGrid"/>
    <w:rsid w:val="0089502E"/>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toc-headingsChar">
    <w:name w:val="Not toc-headings Char"/>
    <w:link w:val="Nottoc-headings"/>
    <w:rsid w:val="0089502E"/>
    <w:rPr>
      <w:rFonts w:ascii="Arial" w:hAnsi="Arial"/>
      <w:b/>
      <w:sz w:val="24"/>
      <w:lang w:val="en-US" w:eastAsia="en-US" w:bidi="ar-SA"/>
    </w:rPr>
  </w:style>
  <w:style w:type="paragraph" w:customStyle="1" w:styleId="Style">
    <w:name w:val="Style"/>
    <w:basedOn w:val="Normal"/>
    <w:rsid w:val="0089502E"/>
    <w:pPr>
      <w:spacing w:after="160" w:line="240" w:lineRule="exact"/>
    </w:pPr>
    <w:rPr>
      <w:rFonts w:ascii="Verdana" w:hAnsi="Verdana" w:cs="Verdana"/>
      <w:lang w:val="en-GB"/>
    </w:rPr>
  </w:style>
  <w:style w:type="paragraph" w:customStyle="1" w:styleId="Listlevel2">
    <w:name w:val="List level 2"/>
    <w:basedOn w:val="Normal"/>
    <w:rsid w:val="00DA0642"/>
    <w:pPr>
      <w:spacing w:before="40" w:after="20"/>
      <w:ind w:left="850" w:hanging="425"/>
    </w:pPr>
    <w:rPr>
      <w:sz w:val="24"/>
      <w:lang w:val="en-US"/>
    </w:rPr>
  </w:style>
  <w:style w:type="character" w:styleId="Hyperlink">
    <w:name w:val="Hyperlink"/>
    <w:rsid w:val="00E92437"/>
    <w:rPr>
      <w:color w:val="0000FF"/>
      <w:u w:val="single"/>
    </w:rPr>
  </w:style>
  <w:style w:type="character" w:styleId="FollowedHyperlink">
    <w:name w:val="FollowedHyperlink"/>
    <w:rsid w:val="005024B7"/>
    <w:rPr>
      <w:color w:val="606420"/>
      <w:u w:val="single"/>
    </w:rPr>
  </w:style>
  <w:style w:type="paragraph" w:customStyle="1" w:styleId="CharCharCharCharCharCharCharCharChar">
    <w:name w:val="Char Char Char Char Char Char Char Char Char"/>
    <w:basedOn w:val="Normal"/>
    <w:rsid w:val="00D54337"/>
    <w:pPr>
      <w:spacing w:after="160" w:line="240" w:lineRule="exact"/>
    </w:pPr>
    <w:rPr>
      <w:rFonts w:ascii="Verdana" w:hAnsi="Verdana" w:cs="Verdana"/>
      <w:lang w:val="en-US"/>
    </w:rPr>
  </w:style>
  <w:style w:type="character" w:customStyle="1" w:styleId="BodyTextIndent2Char">
    <w:name w:val="Body Text Indent 2 Char"/>
    <w:link w:val="BodyTextIndent2"/>
    <w:rsid w:val="00AF1DDC"/>
    <w:rPr>
      <w:sz w:val="22"/>
      <w:lang w:val="de-DE"/>
    </w:rPr>
  </w:style>
  <w:style w:type="paragraph" w:styleId="Revision">
    <w:name w:val="Revision"/>
    <w:hidden/>
    <w:uiPriority w:val="99"/>
    <w:semiHidden/>
    <w:rsid w:val="00AB6D5E"/>
    <w:rPr>
      <w:lang w:val="de-DE" w:eastAsia="en-US"/>
    </w:rPr>
  </w:style>
  <w:style w:type="character" w:customStyle="1" w:styleId="CommentTextChar">
    <w:name w:val="Comment Text Char"/>
    <w:aliases w:val="Comment Text Char1 Char Char,Comment Text Char Char Char Char,Comment Text Char1 Char1,Char Char"/>
    <w:link w:val="CommentText"/>
    <w:rsid w:val="008B4F36"/>
    <w:rPr>
      <w:lang w:val="en-GB"/>
    </w:rPr>
  </w:style>
  <w:style w:type="character" w:customStyle="1" w:styleId="TextChar1">
    <w:name w:val="Text Char1"/>
    <w:locked/>
    <w:rsid w:val="007A247D"/>
    <w:rPr>
      <w:rFonts w:ascii="MS Mincho" w:eastAsia="MS Mincho" w:hAnsi="MS Mincho"/>
      <w:sz w:val="24"/>
      <w:lang w:val="de-DE" w:eastAsia="de-DE"/>
    </w:rPr>
  </w:style>
  <w:style w:type="paragraph" w:customStyle="1" w:styleId="Default">
    <w:name w:val="Default"/>
    <w:rsid w:val="002333C7"/>
    <w:pPr>
      <w:autoSpaceDE w:val="0"/>
      <w:autoSpaceDN w:val="0"/>
      <w:adjustRightInd w:val="0"/>
    </w:pPr>
    <w:rPr>
      <w:rFonts w:ascii="Verdana" w:hAnsi="Verdana" w:cs="Verdana"/>
      <w:color w:val="000000"/>
      <w:sz w:val="24"/>
      <w:szCs w:val="24"/>
      <w:lang w:val="de-DE" w:eastAsia="de-DE"/>
    </w:rPr>
  </w:style>
  <w:style w:type="character" w:customStyle="1" w:styleId="KommentartextZchn1">
    <w:name w:val="Kommentartext Zchn1"/>
    <w:semiHidden/>
    <w:rsid w:val="00EC04CB"/>
    <w:rPr>
      <w:sz w:val="24"/>
      <w:szCs w:val="24"/>
      <w:lang w:val="en-GB" w:eastAsia="en-US" w:bidi="ar-SA"/>
    </w:rPr>
  </w:style>
  <w:style w:type="character" w:customStyle="1" w:styleId="Heading6Char">
    <w:name w:val="Heading 6 Char"/>
    <w:link w:val="Heading6"/>
    <w:rsid w:val="00547136"/>
    <w:rPr>
      <w:i/>
      <w:sz w:val="22"/>
      <w:lang w:val="en-GB"/>
    </w:rPr>
  </w:style>
  <w:style w:type="paragraph" w:customStyle="1" w:styleId="BodytextAgency">
    <w:name w:val="Body text (Agency)"/>
    <w:basedOn w:val="Normal"/>
    <w:link w:val="BodytextAgencyChar"/>
    <w:qFormat/>
    <w:rsid w:val="000D7ADA"/>
    <w:pPr>
      <w:spacing w:after="140" w:line="280" w:lineRule="atLeast"/>
    </w:pPr>
    <w:rPr>
      <w:rFonts w:ascii="Verdana" w:eastAsia="Verdana" w:hAnsi="Verdana"/>
      <w:sz w:val="18"/>
      <w:szCs w:val="18"/>
      <w:lang w:eastAsia="de-DE" w:bidi="de-DE"/>
    </w:rPr>
  </w:style>
  <w:style w:type="paragraph" w:customStyle="1" w:styleId="DraftingNotesAgency">
    <w:name w:val="Drafting Notes (Agency)"/>
    <w:basedOn w:val="Normal"/>
    <w:next w:val="BodytextAgency"/>
    <w:link w:val="DraftingNotesAgencyChar"/>
    <w:rsid w:val="000D7ADA"/>
    <w:pPr>
      <w:spacing w:after="140" w:line="280" w:lineRule="atLeast"/>
    </w:pPr>
    <w:rPr>
      <w:rFonts w:ascii="Courier New" w:eastAsia="Verdana" w:hAnsi="Courier New"/>
      <w:i/>
      <w:color w:val="339966"/>
      <w:sz w:val="22"/>
      <w:szCs w:val="18"/>
      <w:lang w:eastAsia="de-DE" w:bidi="de-DE"/>
    </w:rPr>
  </w:style>
  <w:style w:type="paragraph" w:customStyle="1" w:styleId="No-numheading3Agency">
    <w:name w:val="No-num heading 3 (Agency)"/>
    <w:basedOn w:val="Normal"/>
    <w:next w:val="BodytextAgency"/>
    <w:link w:val="No-numheading3AgencyChar"/>
    <w:rsid w:val="000D7ADA"/>
    <w:pPr>
      <w:keepNext/>
      <w:spacing w:before="280" w:after="220"/>
      <w:outlineLvl w:val="2"/>
    </w:pPr>
    <w:rPr>
      <w:rFonts w:ascii="Verdana" w:eastAsia="Verdana" w:hAnsi="Verdana"/>
      <w:b/>
      <w:bCs/>
      <w:kern w:val="32"/>
      <w:sz w:val="22"/>
      <w:szCs w:val="22"/>
      <w:lang w:eastAsia="de-DE" w:bidi="de-DE"/>
    </w:rPr>
  </w:style>
  <w:style w:type="character" w:customStyle="1" w:styleId="DraftingNotesAgencyChar">
    <w:name w:val="Drafting Notes (Agency) Char"/>
    <w:link w:val="DraftingNotesAgency"/>
    <w:rsid w:val="000D7ADA"/>
    <w:rPr>
      <w:rFonts w:ascii="Courier New" w:eastAsia="Verdana" w:hAnsi="Courier New"/>
      <w:i/>
      <w:color w:val="339966"/>
      <w:sz w:val="22"/>
      <w:szCs w:val="18"/>
      <w:lang w:val="de-DE" w:eastAsia="de-DE" w:bidi="de-DE"/>
    </w:rPr>
  </w:style>
  <w:style w:type="character" w:customStyle="1" w:styleId="BodytextAgencyChar">
    <w:name w:val="Body text (Agency) Char"/>
    <w:link w:val="BodytextAgency"/>
    <w:rsid w:val="000D7ADA"/>
    <w:rPr>
      <w:rFonts w:ascii="Verdana" w:eastAsia="Verdana" w:hAnsi="Verdana"/>
      <w:sz w:val="18"/>
      <w:szCs w:val="18"/>
      <w:lang w:val="de-DE" w:eastAsia="de-DE" w:bidi="de-DE"/>
    </w:rPr>
  </w:style>
  <w:style w:type="character" w:customStyle="1" w:styleId="No-numheading3AgencyChar">
    <w:name w:val="No-num heading 3 (Agency) Char"/>
    <w:link w:val="No-numheading3Agency"/>
    <w:rsid w:val="000D7ADA"/>
    <w:rPr>
      <w:rFonts w:ascii="Verdana" w:eastAsia="Verdana" w:hAnsi="Verdana"/>
      <w:b/>
      <w:bCs/>
      <w:kern w:val="32"/>
      <w:sz w:val="22"/>
      <w:szCs w:val="22"/>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4711">
      <w:bodyDiv w:val="1"/>
      <w:marLeft w:val="0"/>
      <w:marRight w:val="0"/>
      <w:marTop w:val="0"/>
      <w:marBottom w:val="0"/>
      <w:divBdr>
        <w:top w:val="none" w:sz="0" w:space="0" w:color="auto"/>
        <w:left w:val="none" w:sz="0" w:space="0" w:color="auto"/>
        <w:bottom w:val="none" w:sz="0" w:space="0" w:color="auto"/>
        <w:right w:val="none" w:sz="0" w:space="0" w:color="auto"/>
      </w:divBdr>
      <w:divsChild>
        <w:div w:id="814181971">
          <w:marLeft w:val="0"/>
          <w:marRight w:val="0"/>
          <w:marTop w:val="0"/>
          <w:marBottom w:val="0"/>
          <w:divBdr>
            <w:top w:val="none" w:sz="0" w:space="0" w:color="auto"/>
            <w:left w:val="none" w:sz="0" w:space="0" w:color="auto"/>
            <w:bottom w:val="none" w:sz="0" w:space="0" w:color="auto"/>
            <w:right w:val="none" w:sz="0" w:space="0" w:color="auto"/>
          </w:divBdr>
        </w:div>
      </w:divsChild>
    </w:div>
    <w:div w:id="1538082135">
      <w:bodyDiv w:val="1"/>
      <w:marLeft w:val="0"/>
      <w:marRight w:val="0"/>
      <w:marTop w:val="0"/>
      <w:marBottom w:val="0"/>
      <w:divBdr>
        <w:top w:val="none" w:sz="0" w:space="0" w:color="auto"/>
        <w:left w:val="none" w:sz="0" w:space="0" w:color="auto"/>
        <w:bottom w:val="none" w:sz="0" w:space="0" w:color="auto"/>
        <w:right w:val="none" w:sz="0" w:space="0" w:color="auto"/>
      </w:divBdr>
    </w:div>
    <w:div w:id="1553074490">
      <w:bodyDiv w:val="1"/>
      <w:marLeft w:val="0"/>
      <w:marRight w:val="0"/>
      <w:marTop w:val="0"/>
      <w:marBottom w:val="0"/>
      <w:divBdr>
        <w:top w:val="none" w:sz="0" w:space="0" w:color="auto"/>
        <w:left w:val="none" w:sz="0" w:space="0" w:color="auto"/>
        <w:bottom w:val="none" w:sz="0" w:space="0" w:color="auto"/>
        <w:right w:val="none" w:sz="0" w:space="0" w:color="auto"/>
      </w:divBdr>
    </w:div>
    <w:div w:id="1591161094">
      <w:bodyDiv w:val="1"/>
      <w:marLeft w:val="0"/>
      <w:marRight w:val="0"/>
      <w:marTop w:val="0"/>
      <w:marBottom w:val="0"/>
      <w:divBdr>
        <w:top w:val="none" w:sz="0" w:space="0" w:color="auto"/>
        <w:left w:val="none" w:sz="0" w:space="0" w:color="auto"/>
        <w:bottom w:val="none" w:sz="0" w:space="0" w:color="auto"/>
        <w:right w:val="none" w:sz="0" w:space="0" w:color="auto"/>
      </w:divBdr>
    </w:div>
    <w:div w:id="1753501295">
      <w:bodyDiv w:val="1"/>
      <w:marLeft w:val="0"/>
      <w:marRight w:val="0"/>
      <w:marTop w:val="0"/>
      <w:marBottom w:val="0"/>
      <w:divBdr>
        <w:top w:val="none" w:sz="0" w:space="0" w:color="auto"/>
        <w:left w:val="none" w:sz="0" w:space="0" w:color="auto"/>
        <w:bottom w:val="none" w:sz="0" w:space="0" w:color="auto"/>
        <w:right w:val="none" w:sz="0" w:space="0" w:color="auto"/>
      </w:divBdr>
    </w:div>
    <w:div w:id="18077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430F6-D3A0-472D-A91C-0533F305C4E9}">
  <ds:schemaRefs>
    <ds:schemaRef ds:uri="http://schemas.microsoft.com/sharepoint/v3/contenttype/forms"/>
  </ds:schemaRefs>
</ds:datastoreItem>
</file>

<file path=customXml/itemProps2.xml><?xml version="1.0" encoding="utf-8"?>
<ds:datastoreItem xmlns:ds="http://schemas.openxmlformats.org/officeDocument/2006/customXml" ds:itemID="{0DE31AEC-E4FE-4CE9-9390-24E2EF30C68B}"/>
</file>

<file path=customXml/itemProps3.xml><?xml version="1.0" encoding="utf-8"?>
<ds:datastoreItem xmlns:ds="http://schemas.openxmlformats.org/officeDocument/2006/customXml" ds:itemID="{9C8C5B58-A97A-49A7-A3BF-85344545BC2C}">
  <ds:schemaRefs>
    <ds:schemaRef ds:uri="e84aa060-13d4-4ddd-8d65-c3aafff2663b"/>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12B16BF-2136-471B-944F-1501F13A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44199</Words>
  <Characters>251936</Characters>
  <Application>Microsoft Office Word</Application>
  <DocSecurity>0</DocSecurity>
  <Lines>2099</Lines>
  <Paragraphs>591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Glivec, INN-imatinib</vt:lpstr>
      <vt:lpstr>Glivec, INN-imatinib</vt:lpstr>
    </vt:vector>
  </TitlesOfParts>
  <Company>Novartis</Company>
  <LinksUpToDate>false</LinksUpToDate>
  <CharactersWithSpaces>295544</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4</cp:revision>
  <cp:lastPrinted>2016-11-07T13:36:00Z</cp:lastPrinted>
  <dcterms:created xsi:type="dcterms:W3CDTF">2021-02-04T14:06:00Z</dcterms:created>
  <dcterms:modified xsi:type="dcterms:W3CDTF">2021-05-21T15:54:00Z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2019-01-22T12:38:31.4150540Z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2021-05-21T15:54:06Z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0ab579d7-6133-4924-aa88-86e808dfa222</vt:lpwstr>
  </property>
  <property fmtid="{D5CDD505-2E9C-101B-9397-08002B2CF9AE}" pid="15" name="MSIP_Label_0eea11ca-d417-4147-80ed-01a58412c458_ContentBits">
    <vt:lpwstr>2</vt:lpwstr>
  </property>
</Properties>
</file>