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FE37" w14:textId="77777777" w:rsidR="009B57ED" w:rsidRPr="00415635" w:rsidRDefault="009B57ED" w:rsidP="001D5C8C">
      <w:pPr>
        <w:pStyle w:val="Header"/>
        <w:widowControl w:val="0"/>
        <w:tabs>
          <w:tab w:val="left" w:pos="7513"/>
        </w:tabs>
        <w:rPr>
          <w:rFonts w:ascii="Times New Roman" w:hAnsi="Times New Roman"/>
          <w:color w:val="000000"/>
          <w:sz w:val="22"/>
          <w:szCs w:val="22"/>
        </w:rPr>
      </w:pPr>
      <w:bookmarkStart w:id="0" w:name="_GoBack"/>
      <w:bookmarkEnd w:id="0"/>
    </w:p>
    <w:p w14:paraId="1B67FE38" w14:textId="77777777" w:rsidR="009B57ED" w:rsidRPr="00415635" w:rsidRDefault="009B57ED" w:rsidP="001D5C8C">
      <w:pPr>
        <w:widowControl w:val="0"/>
        <w:tabs>
          <w:tab w:val="clear" w:pos="567"/>
        </w:tabs>
        <w:spacing w:line="240" w:lineRule="auto"/>
        <w:rPr>
          <w:color w:val="000000"/>
          <w:szCs w:val="22"/>
        </w:rPr>
      </w:pPr>
    </w:p>
    <w:p w14:paraId="1B67FE39" w14:textId="77777777" w:rsidR="009B57ED" w:rsidRPr="00415635" w:rsidRDefault="009B57ED" w:rsidP="001D5C8C">
      <w:pPr>
        <w:pStyle w:val="EndnoteText"/>
        <w:widowControl w:val="0"/>
        <w:tabs>
          <w:tab w:val="clear" w:pos="567"/>
        </w:tabs>
        <w:rPr>
          <w:color w:val="000000"/>
          <w:szCs w:val="22"/>
        </w:rPr>
      </w:pPr>
    </w:p>
    <w:p w14:paraId="1B67FE3A" w14:textId="77777777" w:rsidR="009B57ED" w:rsidRPr="00415635" w:rsidRDefault="009B57ED" w:rsidP="001D5C8C">
      <w:pPr>
        <w:widowControl w:val="0"/>
        <w:tabs>
          <w:tab w:val="clear" w:pos="567"/>
        </w:tabs>
        <w:spacing w:line="240" w:lineRule="auto"/>
        <w:rPr>
          <w:color w:val="000000"/>
          <w:szCs w:val="22"/>
        </w:rPr>
      </w:pPr>
    </w:p>
    <w:p w14:paraId="1B67FE3B" w14:textId="77777777" w:rsidR="009B57ED" w:rsidRPr="00415635" w:rsidRDefault="009B57ED" w:rsidP="001D5C8C">
      <w:pPr>
        <w:widowControl w:val="0"/>
        <w:tabs>
          <w:tab w:val="clear" w:pos="567"/>
        </w:tabs>
        <w:spacing w:line="240" w:lineRule="auto"/>
        <w:rPr>
          <w:color w:val="000000"/>
          <w:szCs w:val="22"/>
        </w:rPr>
      </w:pPr>
    </w:p>
    <w:p w14:paraId="1B67FE3C" w14:textId="77777777" w:rsidR="009B57ED" w:rsidRPr="00415635" w:rsidRDefault="009B57ED" w:rsidP="001D5C8C">
      <w:pPr>
        <w:widowControl w:val="0"/>
        <w:tabs>
          <w:tab w:val="clear" w:pos="567"/>
        </w:tabs>
        <w:spacing w:line="240" w:lineRule="auto"/>
        <w:rPr>
          <w:color w:val="000000"/>
          <w:szCs w:val="22"/>
        </w:rPr>
      </w:pPr>
    </w:p>
    <w:p w14:paraId="1B67FE3D" w14:textId="77777777" w:rsidR="009B57ED" w:rsidRPr="00415635" w:rsidRDefault="009B57ED" w:rsidP="001D5C8C">
      <w:pPr>
        <w:widowControl w:val="0"/>
        <w:tabs>
          <w:tab w:val="clear" w:pos="567"/>
        </w:tabs>
        <w:spacing w:line="240" w:lineRule="auto"/>
        <w:rPr>
          <w:color w:val="000000"/>
          <w:szCs w:val="22"/>
        </w:rPr>
      </w:pPr>
    </w:p>
    <w:p w14:paraId="1B67FE3E" w14:textId="77777777" w:rsidR="009B57ED" w:rsidRPr="00415635" w:rsidRDefault="009B57ED" w:rsidP="001D5C8C">
      <w:pPr>
        <w:widowControl w:val="0"/>
        <w:tabs>
          <w:tab w:val="clear" w:pos="567"/>
        </w:tabs>
        <w:spacing w:line="240" w:lineRule="auto"/>
        <w:rPr>
          <w:color w:val="000000"/>
          <w:szCs w:val="22"/>
        </w:rPr>
      </w:pPr>
    </w:p>
    <w:p w14:paraId="1B67FE3F" w14:textId="77777777" w:rsidR="009B57ED" w:rsidRPr="00415635" w:rsidRDefault="009B57ED" w:rsidP="001D5C8C">
      <w:pPr>
        <w:widowControl w:val="0"/>
        <w:tabs>
          <w:tab w:val="clear" w:pos="567"/>
        </w:tabs>
        <w:spacing w:line="240" w:lineRule="auto"/>
        <w:rPr>
          <w:color w:val="000000"/>
          <w:szCs w:val="22"/>
        </w:rPr>
      </w:pPr>
    </w:p>
    <w:p w14:paraId="1B67FE40" w14:textId="77777777" w:rsidR="009B57ED" w:rsidRPr="00415635" w:rsidRDefault="009B57ED" w:rsidP="001D5C8C">
      <w:pPr>
        <w:widowControl w:val="0"/>
        <w:tabs>
          <w:tab w:val="clear" w:pos="567"/>
        </w:tabs>
        <w:spacing w:line="240" w:lineRule="auto"/>
        <w:rPr>
          <w:color w:val="000000"/>
          <w:szCs w:val="22"/>
        </w:rPr>
      </w:pPr>
    </w:p>
    <w:p w14:paraId="1B67FE41" w14:textId="77777777" w:rsidR="009B57ED" w:rsidRPr="00415635" w:rsidRDefault="009B57ED" w:rsidP="001D5C8C">
      <w:pPr>
        <w:pStyle w:val="EndnoteText"/>
        <w:widowControl w:val="0"/>
        <w:tabs>
          <w:tab w:val="clear" w:pos="567"/>
        </w:tabs>
        <w:rPr>
          <w:color w:val="000000"/>
          <w:szCs w:val="22"/>
        </w:rPr>
      </w:pPr>
    </w:p>
    <w:p w14:paraId="1B67FE42" w14:textId="77777777" w:rsidR="009B57ED" w:rsidRPr="00415635" w:rsidRDefault="009B57ED" w:rsidP="001D5C8C">
      <w:pPr>
        <w:widowControl w:val="0"/>
        <w:tabs>
          <w:tab w:val="clear" w:pos="567"/>
        </w:tabs>
        <w:spacing w:line="240" w:lineRule="auto"/>
        <w:rPr>
          <w:color w:val="000000"/>
          <w:szCs w:val="22"/>
        </w:rPr>
      </w:pPr>
    </w:p>
    <w:p w14:paraId="1B67FE43" w14:textId="77777777" w:rsidR="009B57ED" w:rsidRPr="00415635" w:rsidRDefault="009B57ED" w:rsidP="001D5C8C">
      <w:pPr>
        <w:widowControl w:val="0"/>
        <w:tabs>
          <w:tab w:val="clear" w:pos="567"/>
        </w:tabs>
        <w:spacing w:line="240" w:lineRule="auto"/>
        <w:rPr>
          <w:color w:val="000000"/>
          <w:szCs w:val="22"/>
        </w:rPr>
      </w:pPr>
    </w:p>
    <w:p w14:paraId="1B67FE44" w14:textId="77777777" w:rsidR="009B57ED" w:rsidRPr="00415635" w:rsidRDefault="009B57ED" w:rsidP="001D5C8C">
      <w:pPr>
        <w:widowControl w:val="0"/>
        <w:tabs>
          <w:tab w:val="clear" w:pos="567"/>
        </w:tabs>
        <w:spacing w:line="240" w:lineRule="auto"/>
        <w:rPr>
          <w:color w:val="000000"/>
          <w:szCs w:val="22"/>
        </w:rPr>
      </w:pPr>
    </w:p>
    <w:p w14:paraId="1B67FE45" w14:textId="77777777" w:rsidR="009B57ED" w:rsidRPr="00415635" w:rsidRDefault="009B57ED" w:rsidP="001D5C8C">
      <w:pPr>
        <w:widowControl w:val="0"/>
        <w:tabs>
          <w:tab w:val="clear" w:pos="567"/>
        </w:tabs>
        <w:spacing w:line="240" w:lineRule="auto"/>
        <w:rPr>
          <w:color w:val="000000"/>
          <w:szCs w:val="22"/>
        </w:rPr>
      </w:pPr>
    </w:p>
    <w:p w14:paraId="1B67FE46" w14:textId="77777777" w:rsidR="009B57ED" w:rsidRPr="00415635" w:rsidRDefault="009B57ED" w:rsidP="001D5C8C">
      <w:pPr>
        <w:widowControl w:val="0"/>
        <w:tabs>
          <w:tab w:val="clear" w:pos="567"/>
        </w:tabs>
        <w:spacing w:line="240" w:lineRule="auto"/>
        <w:rPr>
          <w:color w:val="000000"/>
          <w:szCs w:val="22"/>
        </w:rPr>
      </w:pPr>
    </w:p>
    <w:p w14:paraId="1B67FE47" w14:textId="77777777" w:rsidR="009B57ED" w:rsidRPr="00415635" w:rsidRDefault="009B57ED" w:rsidP="001D5C8C">
      <w:pPr>
        <w:widowControl w:val="0"/>
        <w:tabs>
          <w:tab w:val="clear" w:pos="567"/>
        </w:tabs>
        <w:spacing w:line="240" w:lineRule="auto"/>
        <w:rPr>
          <w:color w:val="000000"/>
          <w:szCs w:val="22"/>
        </w:rPr>
      </w:pPr>
    </w:p>
    <w:p w14:paraId="1B67FE48" w14:textId="77777777" w:rsidR="009B57ED" w:rsidRPr="00415635" w:rsidRDefault="009B57ED" w:rsidP="001D5C8C">
      <w:pPr>
        <w:widowControl w:val="0"/>
        <w:tabs>
          <w:tab w:val="clear" w:pos="567"/>
        </w:tabs>
        <w:spacing w:line="240" w:lineRule="auto"/>
        <w:rPr>
          <w:color w:val="000000"/>
          <w:szCs w:val="22"/>
        </w:rPr>
      </w:pPr>
    </w:p>
    <w:p w14:paraId="1B67FE49" w14:textId="77777777" w:rsidR="009B57ED" w:rsidRPr="00415635" w:rsidRDefault="009B57ED" w:rsidP="001D5C8C">
      <w:pPr>
        <w:widowControl w:val="0"/>
        <w:tabs>
          <w:tab w:val="clear" w:pos="567"/>
        </w:tabs>
        <w:spacing w:line="240" w:lineRule="auto"/>
        <w:rPr>
          <w:color w:val="000000"/>
          <w:szCs w:val="22"/>
        </w:rPr>
      </w:pPr>
    </w:p>
    <w:p w14:paraId="1B67FE4A" w14:textId="77777777" w:rsidR="009B57ED" w:rsidRPr="00415635" w:rsidRDefault="009B57ED" w:rsidP="001D5C8C">
      <w:pPr>
        <w:widowControl w:val="0"/>
        <w:tabs>
          <w:tab w:val="clear" w:pos="567"/>
        </w:tabs>
        <w:spacing w:line="240" w:lineRule="auto"/>
        <w:rPr>
          <w:color w:val="000000"/>
          <w:szCs w:val="22"/>
        </w:rPr>
      </w:pPr>
    </w:p>
    <w:p w14:paraId="1B67FE4B" w14:textId="77777777" w:rsidR="009B57ED" w:rsidRPr="00415635" w:rsidRDefault="009B57ED" w:rsidP="001D5C8C">
      <w:pPr>
        <w:widowControl w:val="0"/>
        <w:tabs>
          <w:tab w:val="clear" w:pos="567"/>
        </w:tabs>
        <w:spacing w:line="240" w:lineRule="auto"/>
        <w:rPr>
          <w:color w:val="000000"/>
          <w:szCs w:val="22"/>
        </w:rPr>
      </w:pPr>
    </w:p>
    <w:p w14:paraId="1B67FE4C" w14:textId="77777777" w:rsidR="009B57ED" w:rsidRPr="00415635" w:rsidRDefault="009B57ED" w:rsidP="001D5C8C">
      <w:pPr>
        <w:pStyle w:val="EndnoteText"/>
        <w:widowControl w:val="0"/>
        <w:tabs>
          <w:tab w:val="clear" w:pos="567"/>
        </w:tabs>
        <w:rPr>
          <w:color w:val="000000"/>
          <w:szCs w:val="22"/>
        </w:rPr>
      </w:pPr>
    </w:p>
    <w:p w14:paraId="1B67FE4D" w14:textId="77777777" w:rsidR="009B57ED" w:rsidRPr="0042381E" w:rsidRDefault="009B57ED" w:rsidP="001D5C8C">
      <w:pPr>
        <w:widowControl w:val="0"/>
        <w:tabs>
          <w:tab w:val="clear" w:pos="567"/>
        </w:tabs>
        <w:spacing w:line="240" w:lineRule="auto"/>
        <w:rPr>
          <w:color w:val="000000"/>
          <w:szCs w:val="22"/>
        </w:rPr>
      </w:pPr>
    </w:p>
    <w:p w14:paraId="1B67FE4E" w14:textId="77777777" w:rsidR="009B57ED" w:rsidRPr="00654EF1" w:rsidRDefault="009B57ED" w:rsidP="001D5C8C">
      <w:pPr>
        <w:widowControl w:val="0"/>
        <w:tabs>
          <w:tab w:val="clear" w:pos="567"/>
        </w:tabs>
        <w:spacing w:line="240" w:lineRule="auto"/>
        <w:jc w:val="center"/>
        <w:rPr>
          <w:b/>
          <w:color w:val="000000"/>
          <w:szCs w:val="22"/>
        </w:rPr>
      </w:pPr>
      <w:r w:rsidRPr="00654EF1">
        <w:rPr>
          <w:b/>
          <w:color w:val="000000"/>
          <w:szCs w:val="22"/>
        </w:rPr>
        <w:t>ANNEX I</w:t>
      </w:r>
    </w:p>
    <w:p w14:paraId="1B67FE4F" w14:textId="77777777" w:rsidR="009B57ED" w:rsidRPr="00654EF1" w:rsidRDefault="009B57ED" w:rsidP="001D5C8C">
      <w:pPr>
        <w:widowControl w:val="0"/>
        <w:tabs>
          <w:tab w:val="clear" w:pos="567"/>
        </w:tabs>
        <w:spacing w:line="240" w:lineRule="auto"/>
        <w:jc w:val="center"/>
        <w:rPr>
          <w:color w:val="000000"/>
          <w:szCs w:val="22"/>
        </w:rPr>
      </w:pPr>
    </w:p>
    <w:p w14:paraId="1B67FE50" w14:textId="77777777" w:rsidR="009B57ED" w:rsidRPr="00654EF1" w:rsidRDefault="009B57ED" w:rsidP="001D5C8C">
      <w:pPr>
        <w:widowControl w:val="0"/>
        <w:tabs>
          <w:tab w:val="clear" w:pos="567"/>
        </w:tabs>
        <w:spacing w:line="240" w:lineRule="auto"/>
        <w:jc w:val="center"/>
        <w:rPr>
          <w:b/>
          <w:color w:val="000000"/>
          <w:szCs w:val="22"/>
        </w:rPr>
      </w:pPr>
      <w:r w:rsidRPr="00654EF1">
        <w:rPr>
          <w:b/>
          <w:color w:val="000000"/>
          <w:szCs w:val="22"/>
        </w:rPr>
        <w:t>SUMMARY OF PRODUCT CHARACTERISTICS</w:t>
      </w:r>
    </w:p>
    <w:p w14:paraId="1B67FE51" w14:textId="77777777" w:rsidR="006A5BD3" w:rsidRPr="00654EF1" w:rsidRDefault="009B57ED" w:rsidP="001D5C8C">
      <w:pPr>
        <w:spacing w:line="240" w:lineRule="auto"/>
        <w:rPr>
          <w:szCs w:val="22"/>
        </w:rPr>
      </w:pPr>
      <w:r w:rsidRPr="00654EF1">
        <w:rPr>
          <w:b/>
          <w:color w:val="000000"/>
          <w:szCs w:val="22"/>
        </w:rPr>
        <w:br w:type="page"/>
      </w:r>
      <w:r w:rsidR="002B04AE" w:rsidRPr="00654EF1">
        <w:rPr>
          <w:noProof/>
          <w:lang w:eastAsia="en-GB"/>
        </w:rPr>
        <w:lastRenderedPageBreak/>
        <w:drawing>
          <wp:inline distT="0" distB="0" distL="0" distR="0" wp14:anchorId="1B6812ED" wp14:editId="1B6812EE">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A5BD3" w:rsidRPr="00654EF1">
        <w:rPr>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14:paraId="1B67FE52" w14:textId="77777777" w:rsidR="006A5BD3" w:rsidRPr="00654EF1" w:rsidRDefault="006A5BD3" w:rsidP="001D5C8C">
      <w:pPr>
        <w:spacing w:line="240" w:lineRule="auto"/>
        <w:rPr>
          <w:szCs w:val="22"/>
        </w:rPr>
      </w:pPr>
    </w:p>
    <w:p w14:paraId="1B67FE53" w14:textId="77777777" w:rsidR="006F3324" w:rsidRPr="00654EF1" w:rsidRDefault="006F3324" w:rsidP="001D5C8C">
      <w:pPr>
        <w:widowControl w:val="0"/>
        <w:tabs>
          <w:tab w:val="clear" w:pos="567"/>
        </w:tabs>
        <w:spacing w:line="240" w:lineRule="auto"/>
        <w:outlineLvl w:val="0"/>
        <w:rPr>
          <w:noProof/>
          <w:szCs w:val="22"/>
        </w:rPr>
      </w:pPr>
    </w:p>
    <w:p w14:paraId="1B67FE54"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1.</w:t>
      </w:r>
      <w:r w:rsidRPr="00654EF1">
        <w:rPr>
          <w:b/>
          <w:color w:val="000000"/>
          <w:szCs w:val="22"/>
        </w:rPr>
        <w:tab/>
        <w:t>NAME OF THE MEDICINAL PRODUCT</w:t>
      </w:r>
    </w:p>
    <w:p w14:paraId="1B67FE55" w14:textId="77777777" w:rsidR="009B57ED" w:rsidRPr="00654EF1" w:rsidRDefault="009B57ED" w:rsidP="001D5C8C">
      <w:pPr>
        <w:pStyle w:val="EndnoteText"/>
        <w:keepNext/>
        <w:widowControl w:val="0"/>
        <w:tabs>
          <w:tab w:val="clear" w:pos="567"/>
        </w:tabs>
        <w:rPr>
          <w:color w:val="000000"/>
          <w:szCs w:val="22"/>
        </w:rPr>
      </w:pPr>
    </w:p>
    <w:p w14:paraId="1B67FE57" w14:textId="77777777" w:rsidR="002823B9" w:rsidRPr="00280050" w:rsidRDefault="002823B9" w:rsidP="001D5C8C">
      <w:pPr>
        <w:pStyle w:val="EndnoteText"/>
        <w:widowControl w:val="0"/>
        <w:tabs>
          <w:tab w:val="clear" w:pos="567"/>
        </w:tabs>
        <w:rPr>
          <w:color w:val="000000"/>
          <w:szCs w:val="22"/>
          <w:lang w:val="fr-FR"/>
        </w:rPr>
      </w:pPr>
      <w:r w:rsidRPr="00280050">
        <w:rPr>
          <w:color w:val="000000"/>
          <w:szCs w:val="22"/>
          <w:lang w:val="fr-FR"/>
        </w:rPr>
        <w:t>Glivec 100 mg hard capsules</w:t>
      </w:r>
    </w:p>
    <w:p w14:paraId="1B67FE58" w14:textId="77777777" w:rsidR="009B57ED" w:rsidRPr="00280050" w:rsidRDefault="009B57ED" w:rsidP="001D5C8C">
      <w:pPr>
        <w:pStyle w:val="EndnoteText"/>
        <w:widowControl w:val="0"/>
        <w:tabs>
          <w:tab w:val="clear" w:pos="567"/>
        </w:tabs>
        <w:rPr>
          <w:color w:val="000000"/>
          <w:szCs w:val="22"/>
          <w:lang w:val="fr-FR"/>
        </w:rPr>
      </w:pPr>
    </w:p>
    <w:p w14:paraId="1B67FE59" w14:textId="77777777" w:rsidR="009B57ED" w:rsidRPr="00280050" w:rsidRDefault="009B57ED" w:rsidP="001D5C8C">
      <w:pPr>
        <w:pStyle w:val="EndnoteText"/>
        <w:widowControl w:val="0"/>
        <w:tabs>
          <w:tab w:val="clear" w:pos="567"/>
        </w:tabs>
        <w:rPr>
          <w:color w:val="000000"/>
          <w:szCs w:val="22"/>
          <w:lang w:val="fr-FR"/>
        </w:rPr>
      </w:pPr>
    </w:p>
    <w:p w14:paraId="1B67FE5A" w14:textId="77777777" w:rsidR="009B57ED" w:rsidRPr="00280050" w:rsidRDefault="009B57ED" w:rsidP="001D5C8C">
      <w:pPr>
        <w:keepNext/>
        <w:widowControl w:val="0"/>
        <w:tabs>
          <w:tab w:val="clear" w:pos="567"/>
        </w:tabs>
        <w:spacing w:line="240" w:lineRule="auto"/>
        <w:ind w:left="567" w:hanging="567"/>
        <w:rPr>
          <w:color w:val="000000"/>
          <w:szCs w:val="22"/>
          <w:lang w:val="fr-FR"/>
        </w:rPr>
      </w:pPr>
      <w:r w:rsidRPr="00280050">
        <w:rPr>
          <w:b/>
          <w:color w:val="000000"/>
          <w:szCs w:val="22"/>
          <w:lang w:val="fr-FR"/>
        </w:rPr>
        <w:t>2.</w:t>
      </w:r>
      <w:r w:rsidRPr="00280050">
        <w:rPr>
          <w:b/>
          <w:color w:val="000000"/>
          <w:szCs w:val="22"/>
          <w:lang w:val="fr-FR"/>
        </w:rPr>
        <w:tab/>
        <w:t xml:space="preserve">QUALITATIVE </w:t>
      </w:r>
      <w:smartTag w:uri="urn:schemas-microsoft-com:office:smarttags" w:element="stockticker">
        <w:r w:rsidRPr="00280050">
          <w:rPr>
            <w:b/>
            <w:color w:val="000000"/>
            <w:szCs w:val="22"/>
            <w:lang w:val="fr-FR"/>
          </w:rPr>
          <w:t>AND</w:t>
        </w:r>
      </w:smartTag>
      <w:r w:rsidRPr="00280050">
        <w:rPr>
          <w:b/>
          <w:color w:val="000000"/>
          <w:szCs w:val="22"/>
          <w:lang w:val="fr-FR"/>
        </w:rPr>
        <w:t xml:space="preserve"> QUANTITATIVE COMPOSITION</w:t>
      </w:r>
    </w:p>
    <w:p w14:paraId="1B67FE5B" w14:textId="77777777" w:rsidR="009B57ED" w:rsidRPr="00280050" w:rsidRDefault="009B57ED" w:rsidP="001D5C8C">
      <w:pPr>
        <w:keepNext/>
        <w:widowControl w:val="0"/>
        <w:tabs>
          <w:tab w:val="clear" w:pos="567"/>
        </w:tabs>
        <w:spacing w:line="240" w:lineRule="auto"/>
        <w:rPr>
          <w:color w:val="000000"/>
          <w:szCs w:val="22"/>
          <w:lang w:val="fr-FR"/>
        </w:rPr>
      </w:pPr>
    </w:p>
    <w:p w14:paraId="1B67FE60" w14:textId="77777777" w:rsidR="002823B9" w:rsidRPr="00654EF1" w:rsidRDefault="002823B9" w:rsidP="008808E5">
      <w:pPr>
        <w:widowControl w:val="0"/>
        <w:tabs>
          <w:tab w:val="clear" w:pos="567"/>
        </w:tabs>
        <w:spacing w:line="240" w:lineRule="auto"/>
        <w:rPr>
          <w:color w:val="000000"/>
          <w:szCs w:val="22"/>
        </w:rPr>
      </w:pPr>
      <w:r w:rsidRPr="00654EF1">
        <w:rPr>
          <w:color w:val="000000"/>
          <w:szCs w:val="22"/>
        </w:rPr>
        <w:t>Each capsule contains 100 mg imatinib (as mesilate).</w:t>
      </w:r>
    </w:p>
    <w:p w14:paraId="1B67FE61" w14:textId="77777777" w:rsidR="009B57ED" w:rsidRPr="00654EF1" w:rsidRDefault="009B57ED" w:rsidP="001D5C8C">
      <w:pPr>
        <w:widowControl w:val="0"/>
        <w:tabs>
          <w:tab w:val="clear" w:pos="567"/>
        </w:tabs>
        <w:spacing w:line="240" w:lineRule="auto"/>
        <w:rPr>
          <w:color w:val="000000"/>
          <w:szCs w:val="22"/>
        </w:rPr>
      </w:pPr>
    </w:p>
    <w:p w14:paraId="1B67FE62"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 xml:space="preserve">For </w:t>
      </w:r>
      <w:r w:rsidR="003865A6" w:rsidRPr="00654EF1">
        <w:rPr>
          <w:color w:val="000000"/>
          <w:szCs w:val="22"/>
        </w:rPr>
        <w:t xml:space="preserve">the </w:t>
      </w:r>
      <w:r w:rsidRPr="00654EF1">
        <w:rPr>
          <w:color w:val="000000"/>
          <w:szCs w:val="22"/>
        </w:rPr>
        <w:t>full list of excipients, see section 6.1.</w:t>
      </w:r>
    </w:p>
    <w:p w14:paraId="1B67FE63" w14:textId="77777777" w:rsidR="009B57ED" w:rsidRPr="00654EF1" w:rsidRDefault="009B57ED" w:rsidP="001D5C8C">
      <w:pPr>
        <w:widowControl w:val="0"/>
        <w:tabs>
          <w:tab w:val="clear" w:pos="567"/>
        </w:tabs>
        <w:spacing w:line="240" w:lineRule="auto"/>
        <w:rPr>
          <w:color w:val="000000"/>
          <w:szCs w:val="22"/>
        </w:rPr>
      </w:pPr>
    </w:p>
    <w:p w14:paraId="1B67FE64" w14:textId="77777777" w:rsidR="009B57ED" w:rsidRPr="00654EF1" w:rsidRDefault="009B57ED" w:rsidP="001D5C8C">
      <w:pPr>
        <w:widowControl w:val="0"/>
        <w:tabs>
          <w:tab w:val="clear" w:pos="567"/>
        </w:tabs>
        <w:spacing w:line="240" w:lineRule="auto"/>
        <w:rPr>
          <w:color w:val="000000"/>
          <w:szCs w:val="22"/>
        </w:rPr>
      </w:pPr>
    </w:p>
    <w:p w14:paraId="1B67FE65" w14:textId="77777777" w:rsidR="009B57ED" w:rsidRPr="00654EF1" w:rsidRDefault="009B57ED" w:rsidP="001D5C8C">
      <w:pPr>
        <w:keepNext/>
        <w:widowControl w:val="0"/>
        <w:tabs>
          <w:tab w:val="clear" w:pos="567"/>
        </w:tabs>
        <w:spacing w:line="240" w:lineRule="auto"/>
        <w:ind w:left="567" w:hanging="567"/>
        <w:rPr>
          <w:caps/>
          <w:color w:val="000000"/>
          <w:szCs w:val="22"/>
        </w:rPr>
      </w:pPr>
      <w:r w:rsidRPr="00654EF1">
        <w:rPr>
          <w:b/>
          <w:color w:val="000000"/>
          <w:szCs w:val="22"/>
        </w:rPr>
        <w:t>3.</w:t>
      </w:r>
      <w:r w:rsidRPr="00654EF1">
        <w:rPr>
          <w:b/>
          <w:color w:val="000000"/>
          <w:szCs w:val="22"/>
        </w:rPr>
        <w:tab/>
        <w:t xml:space="preserve">PHARMACEUTICAL </w:t>
      </w:r>
      <w:smartTag w:uri="urn:schemas-microsoft-com:office:smarttags" w:element="stockticker">
        <w:r w:rsidRPr="00654EF1">
          <w:rPr>
            <w:b/>
            <w:caps/>
            <w:color w:val="000000"/>
            <w:szCs w:val="22"/>
          </w:rPr>
          <w:t>form</w:t>
        </w:r>
      </w:smartTag>
    </w:p>
    <w:p w14:paraId="1B67FE66" w14:textId="77777777" w:rsidR="009B57ED" w:rsidRPr="00654EF1" w:rsidRDefault="009B57ED" w:rsidP="001D5C8C">
      <w:pPr>
        <w:pStyle w:val="EndnoteText"/>
        <w:keepNext/>
        <w:widowControl w:val="0"/>
        <w:tabs>
          <w:tab w:val="clear" w:pos="567"/>
        </w:tabs>
        <w:rPr>
          <w:color w:val="000000"/>
          <w:szCs w:val="22"/>
        </w:rPr>
      </w:pPr>
    </w:p>
    <w:p w14:paraId="1B67FE67"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Hard capsule</w:t>
      </w:r>
    </w:p>
    <w:p w14:paraId="1B67FE68" w14:textId="77777777" w:rsidR="009B57ED" w:rsidRPr="00654EF1" w:rsidRDefault="009B57ED" w:rsidP="001D5C8C">
      <w:pPr>
        <w:widowControl w:val="0"/>
        <w:tabs>
          <w:tab w:val="clear" w:pos="567"/>
        </w:tabs>
        <w:spacing w:line="240" w:lineRule="auto"/>
        <w:rPr>
          <w:color w:val="000000"/>
          <w:szCs w:val="22"/>
        </w:rPr>
      </w:pPr>
    </w:p>
    <w:p w14:paraId="1B67FE6D" w14:textId="77777777" w:rsidR="002823B9" w:rsidRPr="00654EF1" w:rsidRDefault="002823B9" w:rsidP="008808E5">
      <w:pPr>
        <w:widowControl w:val="0"/>
        <w:tabs>
          <w:tab w:val="clear" w:pos="567"/>
        </w:tabs>
        <w:spacing w:line="240" w:lineRule="auto"/>
        <w:rPr>
          <w:color w:val="000000"/>
          <w:szCs w:val="22"/>
        </w:rPr>
      </w:pPr>
      <w:r w:rsidRPr="00654EF1">
        <w:rPr>
          <w:color w:val="000000"/>
          <w:szCs w:val="22"/>
        </w:rPr>
        <w:t>White to yellow powder in an orange to greyish-orange opaque capsule, marked “</w:t>
      </w:r>
      <w:smartTag w:uri="urn:schemas-microsoft-com:office:smarttags" w:element="stockticker">
        <w:r w:rsidRPr="00654EF1">
          <w:rPr>
            <w:color w:val="000000"/>
            <w:szCs w:val="22"/>
          </w:rPr>
          <w:t>NVR</w:t>
        </w:r>
      </w:smartTag>
      <w:r w:rsidRPr="00654EF1">
        <w:rPr>
          <w:color w:val="000000"/>
          <w:szCs w:val="22"/>
        </w:rPr>
        <w:t xml:space="preserve"> SI”.</w:t>
      </w:r>
    </w:p>
    <w:p w14:paraId="1B67FE6E" w14:textId="77777777" w:rsidR="009B57ED" w:rsidRPr="00654EF1" w:rsidRDefault="009B57ED" w:rsidP="001D5C8C">
      <w:pPr>
        <w:widowControl w:val="0"/>
        <w:tabs>
          <w:tab w:val="clear" w:pos="567"/>
        </w:tabs>
        <w:spacing w:line="240" w:lineRule="auto"/>
        <w:rPr>
          <w:color w:val="000000"/>
          <w:szCs w:val="22"/>
        </w:rPr>
      </w:pPr>
    </w:p>
    <w:p w14:paraId="1B67FE6F" w14:textId="77777777" w:rsidR="009B57ED" w:rsidRPr="00654EF1" w:rsidRDefault="009B57ED" w:rsidP="001D5C8C">
      <w:pPr>
        <w:widowControl w:val="0"/>
        <w:tabs>
          <w:tab w:val="clear" w:pos="567"/>
        </w:tabs>
        <w:spacing w:line="240" w:lineRule="auto"/>
        <w:rPr>
          <w:color w:val="000000"/>
          <w:szCs w:val="22"/>
        </w:rPr>
      </w:pPr>
    </w:p>
    <w:p w14:paraId="1B67FE70" w14:textId="77777777" w:rsidR="009B57ED" w:rsidRPr="00654EF1" w:rsidRDefault="009B57ED" w:rsidP="001D5C8C">
      <w:pPr>
        <w:keepNext/>
        <w:widowControl w:val="0"/>
        <w:tabs>
          <w:tab w:val="clear" w:pos="567"/>
        </w:tabs>
        <w:spacing w:line="240" w:lineRule="auto"/>
        <w:ind w:left="567" w:hanging="567"/>
        <w:rPr>
          <w:caps/>
          <w:color w:val="000000"/>
          <w:szCs w:val="22"/>
        </w:rPr>
      </w:pPr>
      <w:r w:rsidRPr="00654EF1">
        <w:rPr>
          <w:b/>
          <w:caps/>
          <w:color w:val="000000"/>
          <w:szCs w:val="22"/>
        </w:rPr>
        <w:t>4.</w:t>
      </w:r>
      <w:r w:rsidRPr="00654EF1">
        <w:rPr>
          <w:b/>
          <w:caps/>
          <w:color w:val="000000"/>
          <w:szCs w:val="22"/>
        </w:rPr>
        <w:tab/>
        <w:t>Clinical particulars</w:t>
      </w:r>
    </w:p>
    <w:p w14:paraId="1B67FE71" w14:textId="77777777" w:rsidR="009B57ED" w:rsidRPr="00654EF1" w:rsidRDefault="009B57ED" w:rsidP="001D5C8C">
      <w:pPr>
        <w:pStyle w:val="EndnoteText"/>
        <w:keepNext/>
        <w:widowControl w:val="0"/>
        <w:tabs>
          <w:tab w:val="clear" w:pos="567"/>
        </w:tabs>
        <w:rPr>
          <w:color w:val="000000"/>
          <w:szCs w:val="22"/>
        </w:rPr>
      </w:pPr>
    </w:p>
    <w:p w14:paraId="1B67FE72"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4.1</w:t>
      </w:r>
      <w:r w:rsidRPr="00654EF1">
        <w:rPr>
          <w:b/>
          <w:color w:val="000000"/>
          <w:szCs w:val="22"/>
        </w:rPr>
        <w:tab/>
        <w:t>Therapeutic indications</w:t>
      </w:r>
    </w:p>
    <w:p w14:paraId="1B67FE73" w14:textId="77777777" w:rsidR="009B57ED" w:rsidRPr="00654EF1" w:rsidRDefault="009B57ED" w:rsidP="001D5C8C">
      <w:pPr>
        <w:pStyle w:val="EndnoteText"/>
        <w:keepNext/>
        <w:widowControl w:val="0"/>
        <w:tabs>
          <w:tab w:val="clear" w:pos="567"/>
        </w:tabs>
        <w:rPr>
          <w:color w:val="000000"/>
          <w:szCs w:val="22"/>
        </w:rPr>
      </w:pPr>
    </w:p>
    <w:p w14:paraId="1B67FE74" w14:textId="77777777" w:rsidR="008F1C56" w:rsidRPr="00654EF1" w:rsidRDefault="008F1C56" w:rsidP="001D5C8C">
      <w:pPr>
        <w:pStyle w:val="EndnoteText"/>
        <w:keepNext/>
        <w:widowControl w:val="0"/>
        <w:tabs>
          <w:tab w:val="clear" w:pos="567"/>
        </w:tabs>
        <w:rPr>
          <w:snapToGrid w:val="0"/>
          <w:color w:val="000000"/>
          <w:szCs w:val="22"/>
          <w:lang w:eastAsia="de-DE"/>
        </w:rPr>
      </w:pPr>
      <w:r w:rsidRPr="00654EF1">
        <w:rPr>
          <w:snapToGrid w:val="0"/>
          <w:color w:val="000000"/>
          <w:szCs w:val="22"/>
          <w:lang w:eastAsia="de-DE"/>
        </w:rPr>
        <w:t>Glivec is indicated for the treatment of</w:t>
      </w:r>
    </w:p>
    <w:p w14:paraId="1B67FE75" w14:textId="77777777" w:rsidR="008F1C56" w:rsidRPr="00654EF1" w:rsidRDefault="008F1C56" w:rsidP="001D5C8C">
      <w:pPr>
        <w:pStyle w:val="EndnoteText"/>
        <w:widowControl w:val="0"/>
        <w:numPr>
          <w:ilvl w:val="0"/>
          <w:numId w:val="8"/>
        </w:numPr>
        <w:rPr>
          <w:snapToGrid w:val="0"/>
          <w:color w:val="000000"/>
          <w:szCs w:val="22"/>
          <w:lang w:eastAsia="de-DE"/>
        </w:rPr>
      </w:pPr>
      <w:r w:rsidRPr="00654EF1">
        <w:rPr>
          <w:snapToGrid w:val="0"/>
          <w:color w:val="000000"/>
          <w:szCs w:val="22"/>
          <w:lang w:eastAsia="de-DE"/>
        </w:rPr>
        <w:t>adult and paediatric patients with newly diagnosed Philadelphia chromosome (bcr-abl) positive (Ph+) chronic myeloid leukaemia (CML) for whom bone marrow transplantation is not considered as the first line of treatment.</w:t>
      </w:r>
    </w:p>
    <w:p w14:paraId="1B67FE76" w14:textId="77777777" w:rsidR="008F1C56" w:rsidRPr="00654EF1" w:rsidRDefault="008F1C56" w:rsidP="001D5C8C">
      <w:pPr>
        <w:pStyle w:val="EndnoteText"/>
        <w:widowControl w:val="0"/>
        <w:numPr>
          <w:ilvl w:val="0"/>
          <w:numId w:val="8"/>
        </w:numPr>
        <w:rPr>
          <w:snapToGrid w:val="0"/>
          <w:color w:val="000000"/>
          <w:szCs w:val="22"/>
          <w:lang w:eastAsia="de-DE"/>
        </w:rPr>
      </w:pPr>
      <w:r w:rsidRPr="00654EF1">
        <w:rPr>
          <w:snapToGrid w:val="0"/>
          <w:color w:val="000000"/>
          <w:szCs w:val="22"/>
          <w:lang w:eastAsia="de-DE"/>
        </w:rPr>
        <w:t>adult and paediatric patients with Ph+ CML in chronic phase after failure of interferon-alpha therapy, or in accelerated phase or blast crisis.</w:t>
      </w:r>
    </w:p>
    <w:p w14:paraId="1B67FE77" w14:textId="77777777" w:rsidR="00613FFC" w:rsidRPr="00654EF1" w:rsidRDefault="00613FFC" w:rsidP="001D5C8C">
      <w:pPr>
        <w:pStyle w:val="EndnoteText"/>
        <w:widowControl w:val="0"/>
        <w:numPr>
          <w:ilvl w:val="0"/>
          <w:numId w:val="8"/>
        </w:numPr>
        <w:rPr>
          <w:snapToGrid w:val="0"/>
          <w:color w:val="000000"/>
          <w:szCs w:val="22"/>
          <w:lang w:eastAsia="de-DE"/>
        </w:rPr>
      </w:pPr>
      <w:r w:rsidRPr="00654EF1">
        <w:rPr>
          <w:rFonts w:eastAsia="MS Mincho"/>
          <w:color w:val="000000"/>
          <w:lang w:eastAsia="ja-JP"/>
        </w:rPr>
        <w:t xml:space="preserve">adult </w:t>
      </w:r>
      <w:r w:rsidR="00505F51" w:rsidRPr="00654EF1">
        <w:rPr>
          <w:rFonts w:eastAsia="MS Mincho"/>
          <w:color w:val="000000"/>
          <w:lang w:eastAsia="ja-JP"/>
        </w:rPr>
        <w:t xml:space="preserve">and paediatric </w:t>
      </w:r>
      <w:r w:rsidRPr="00654EF1">
        <w:rPr>
          <w:rFonts w:eastAsia="MS Mincho"/>
          <w:color w:val="000000"/>
          <w:lang w:eastAsia="ja-JP"/>
        </w:rPr>
        <w:t xml:space="preserve">patients with newly diagnosed Philadelphia chromosome positive acute lymphoblastic leukaemia (Ph+ </w:t>
      </w:r>
      <w:smartTag w:uri="urn:schemas-microsoft-com:office:smarttags" w:element="stockticker">
        <w:r w:rsidRPr="00654EF1">
          <w:rPr>
            <w:rFonts w:eastAsia="MS Mincho"/>
            <w:color w:val="000000"/>
            <w:lang w:eastAsia="ja-JP"/>
          </w:rPr>
          <w:t>ALL</w:t>
        </w:r>
      </w:smartTag>
      <w:r w:rsidRPr="00654EF1">
        <w:rPr>
          <w:rFonts w:eastAsia="MS Mincho"/>
          <w:color w:val="000000"/>
          <w:lang w:eastAsia="ja-JP"/>
        </w:rPr>
        <w:t>) integ</w:t>
      </w:r>
      <w:r w:rsidRPr="00654EF1">
        <w:rPr>
          <w:color w:val="000000"/>
        </w:rPr>
        <w:t>rated with chemotherapy.</w:t>
      </w:r>
    </w:p>
    <w:p w14:paraId="1B67FE78" w14:textId="77777777" w:rsidR="00613FFC" w:rsidRPr="00654EF1" w:rsidRDefault="00613FFC" w:rsidP="001D5C8C">
      <w:pPr>
        <w:pStyle w:val="EndnoteText"/>
        <w:widowControl w:val="0"/>
        <w:numPr>
          <w:ilvl w:val="0"/>
          <w:numId w:val="8"/>
        </w:numPr>
        <w:rPr>
          <w:snapToGrid w:val="0"/>
          <w:color w:val="000000"/>
          <w:szCs w:val="22"/>
          <w:lang w:eastAsia="de-DE"/>
        </w:rPr>
      </w:pPr>
      <w:r w:rsidRPr="00654EF1">
        <w:rPr>
          <w:rFonts w:eastAsia="MS Mincho"/>
          <w:color w:val="000000"/>
          <w:szCs w:val="24"/>
          <w:lang w:eastAsia="ja-JP"/>
        </w:rPr>
        <w:t xml:space="preserve">adult patients with relapsed or refractory Ph+ </w:t>
      </w:r>
      <w:smartTag w:uri="urn:schemas-microsoft-com:office:smarttags" w:element="stockticker">
        <w:r w:rsidRPr="00654EF1">
          <w:rPr>
            <w:rFonts w:eastAsia="MS Mincho"/>
            <w:color w:val="000000"/>
            <w:szCs w:val="24"/>
            <w:lang w:eastAsia="ja-JP"/>
          </w:rPr>
          <w:t>ALL</w:t>
        </w:r>
      </w:smartTag>
      <w:r w:rsidRPr="00654EF1">
        <w:rPr>
          <w:rFonts w:eastAsia="MS Mincho"/>
          <w:color w:val="000000"/>
          <w:szCs w:val="24"/>
          <w:lang w:eastAsia="ja-JP"/>
        </w:rPr>
        <w:t xml:space="preserve"> as monotherapy.</w:t>
      </w:r>
    </w:p>
    <w:p w14:paraId="1B67FE79" w14:textId="77777777" w:rsidR="00632833" w:rsidRPr="00654EF1" w:rsidRDefault="00632833" w:rsidP="001D5C8C">
      <w:pPr>
        <w:pStyle w:val="EndnoteText"/>
        <w:widowControl w:val="0"/>
        <w:numPr>
          <w:ilvl w:val="0"/>
          <w:numId w:val="8"/>
        </w:numPr>
        <w:rPr>
          <w:snapToGrid w:val="0"/>
          <w:color w:val="000000"/>
          <w:szCs w:val="22"/>
          <w:lang w:eastAsia="de-DE"/>
        </w:rPr>
      </w:pPr>
      <w:r w:rsidRPr="00654EF1">
        <w:rPr>
          <w:snapToGrid w:val="0"/>
          <w:color w:val="000000"/>
        </w:rPr>
        <w:t>adult patients with myelodysplastic/myeloproliferative diseases (</w:t>
      </w:r>
      <w:smartTag w:uri="urn:schemas-microsoft-com:office:smarttags" w:element="stockticker">
        <w:r w:rsidRPr="00654EF1">
          <w:rPr>
            <w:snapToGrid w:val="0"/>
            <w:color w:val="000000"/>
          </w:rPr>
          <w:t>MDS</w:t>
        </w:r>
      </w:smartTag>
      <w:r w:rsidRPr="00654EF1">
        <w:rPr>
          <w:snapToGrid w:val="0"/>
          <w:color w:val="000000"/>
        </w:rPr>
        <w:t>/MPD) associated with platelet-derived growth factor receptor (PDGFR) gene re-arrangements.</w:t>
      </w:r>
    </w:p>
    <w:p w14:paraId="1B67FE7A" w14:textId="77777777" w:rsidR="002B5150" w:rsidRPr="00654EF1" w:rsidRDefault="002B5150" w:rsidP="001D5C8C">
      <w:pPr>
        <w:pStyle w:val="EndnoteText"/>
        <w:widowControl w:val="0"/>
        <w:numPr>
          <w:ilvl w:val="0"/>
          <w:numId w:val="8"/>
        </w:numPr>
        <w:rPr>
          <w:snapToGrid w:val="0"/>
          <w:color w:val="000000"/>
          <w:szCs w:val="22"/>
          <w:lang w:eastAsia="de-DE"/>
        </w:rPr>
      </w:pPr>
      <w:r w:rsidRPr="00654EF1">
        <w:rPr>
          <w:color w:val="000000"/>
        </w:rPr>
        <w:t>adult patients with advanced hypereosinophilic syndrome (HES) and/or chronic eosinophilic leukaemia (</w:t>
      </w:r>
      <w:smartTag w:uri="urn:schemas-microsoft-com:office:smarttags" w:element="stockticker">
        <w:r w:rsidRPr="00654EF1">
          <w:rPr>
            <w:color w:val="000000"/>
          </w:rPr>
          <w:t>CEL</w:t>
        </w:r>
      </w:smartTag>
      <w:r w:rsidRPr="00654EF1">
        <w:rPr>
          <w:color w:val="000000"/>
        </w:rPr>
        <w:t>) with FIP1L1-PDGFR</w:t>
      </w:r>
      <w:r w:rsidRPr="00654EF1">
        <w:rPr>
          <w:color w:val="000000"/>
        </w:rPr>
        <w:sym w:font="Symbol" w:char="F061"/>
      </w:r>
      <w:r w:rsidRPr="00654EF1">
        <w:rPr>
          <w:color w:val="000000"/>
        </w:rPr>
        <w:t xml:space="preserve"> rearrangement.</w:t>
      </w:r>
    </w:p>
    <w:p w14:paraId="1B67FE7B" w14:textId="77777777" w:rsidR="008F1C56" w:rsidRPr="00654EF1" w:rsidRDefault="008F1C56" w:rsidP="001D5C8C">
      <w:pPr>
        <w:pStyle w:val="EndnoteText"/>
        <w:widowControl w:val="0"/>
        <w:tabs>
          <w:tab w:val="clear" w:pos="567"/>
        </w:tabs>
        <w:rPr>
          <w:snapToGrid w:val="0"/>
          <w:color w:val="000000"/>
          <w:szCs w:val="22"/>
          <w:lang w:eastAsia="de-DE"/>
        </w:rPr>
      </w:pPr>
    </w:p>
    <w:p w14:paraId="1B67FE7C" w14:textId="77777777" w:rsidR="008F1C56" w:rsidRPr="00654EF1" w:rsidRDefault="008F1C56" w:rsidP="001D5C8C">
      <w:pPr>
        <w:pStyle w:val="EndnoteText"/>
        <w:widowControl w:val="0"/>
        <w:tabs>
          <w:tab w:val="clear" w:pos="567"/>
        </w:tabs>
        <w:rPr>
          <w:color w:val="000000"/>
          <w:szCs w:val="22"/>
        </w:rPr>
      </w:pPr>
      <w:r w:rsidRPr="00654EF1">
        <w:rPr>
          <w:snapToGrid w:val="0"/>
          <w:color w:val="000000"/>
          <w:szCs w:val="22"/>
          <w:lang w:eastAsia="de-DE"/>
        </w:rPr>
        <w:t>The effect of Glivec on the outcome of bone marrow transplantation has not been determined.</w:t>
      </w:r>
    </w:p>
    <w:p w14:paraId="1B67FE7D" w14:textId="77777777" w:rsidR="008F1C56" w:rsidRPr="00654EF1" w:rsidRDefault="008F1C56" w:rsidP="001D5C8C">
      <w:pPr>
        <w:widowControl w:val="0"/>
        <w:tabs>
          <w:tab w:val="clear" w:pos="567"/>
        </w:tabs>
        <w:spacing w:line="240" w:lineRule="auto"/>
        <w:rPr>
          <w:color w:val="000000"/>
          <w:szCs w:val="22"/>
        </w:rPr>
      </w:pPr>
    </w:p>
    <w:p w14:paraId="1B67FE7E" w14:textId="77777777" w:rsidR="00936EF9" w:rsidRPr="00654EF1" w:rsidRDefault="00936EF9" w:rsidP="001D5C8C">
      <w:pPr>
        <w:pStyle w:val="EndnoteText"/>
        <w:keepNext/>
        <w:widowControl w:val="0"/>
        <w:tabs>
          <w:tab w:val="clear" w:pos="567"/>
        </w:tabs>
        <w:rPr>
          <w:snapToGrid w:val="0"/>
          <w:color w:val="000000"/>
          <w:szCs w:val="22"/>
          <w:lang w:eastAsia="de-DE"/>
        </w:rPr>
      </w:pPr>
      <w:r w:rsidRPr="00654EF1">
        <w:rPr>
          <w:snapToGrid w:val="0"/>
          <w:color w:val="000000"/>
          <w:szCs w:val="22"/>
          <w:lang w:eastAsia="de-DE"/>
        </w:rPr>
        <w:t>Glivec is indicated for</w:t>
      </w:r>
    </w:p>
    <w:p w14:paraId="1B67FE7F" w14:textId="77777777" w:rsidR="00936EF9" w:rsidRPr="00654EF1" w:rsidRDefault="00936EF9" w:rsidP="001D5C8C">
      <w:pPr>
        <w:widowControl w:val="0"/>
        <w:numPr>
          <w:ilvl w:val="0"/>
          <w:numId w:val="11"/>
        </w:numPr>
        <w:tabs>
          <w:tab w:val="clear" w:pos="227"/>
          <w:tab w:val="clear" w:pos="567"/>
        </w:tabs>
        <w:spacing w:line="240" w:lineRule="auto"/>
        <w:ind w:left="567" w:hanging="567"/>
        <w:rPr>
          <w:color w:val="000000"/>
          <w:szCs w:val="22"/>
        </w:rPr>
      </w:pPr>
      <w:r w:rsidRPr="00654EF1">
        <w:rPr>
          <w:color w:val="000000"/>
          <w:szCs w:val="22"/>
        </w:rPr>
        <w:t>the treatment of adult patients with Kit (CD 117) positive unresectable and/or metastatic malignant gastrointestinal stromal tumours (GIST).</w:t>
      </w:r>
    </w:p>
    <w:p w14:paraId="1B67FE80" w14:textId="77777777" w:rsidR="00936EF9" w:rsidRPr="00654EF1" w:rsidRDefault="00936EF9" w:rsidP="001D5C8C">
      <w:pPr>
        <w:widowControl w:val="0"/>
        <w:numPr>
          <w:ilvl w:val="0"/>
          <w:numId w:val="11"/>
        </w:numPr>
        <w:tabs>
          <w:tab w:val="clear" w:pos="227"/>
          <w:tab w:val="num" w:pos="567"/>
        </w:tabs>
        <w:autoSpaceDE w:val="0"/>
        <w:autoSpaceDN w:val="0"/>
        <w:adjustRightInd w:val="0"/>
        <w:spacing w:line="240" w:lineRule="auto"/>
        <w:ind w:left="567" w:hanging="567"/>
        <w:rPr>
          <w:color w:val="000000"/>
          <w:szCs w:val="22"/>
        </w:rPr>
      </w:pPr>
      <w:r w:rsidRPr="00654EF1">
        <w:rPr>
          <w:color w:val="000000"/>
          <w:szCs w:val="22"/>
        </w:rPr>
        <w:t>the adjuvant treatment of adult patients who are at significant risk of relapse following resection of Kit (CD117)-positive GIST. Patients who have a low or very low risk of recurrence should not receive adjuvant treatment.</w:t>
      </w:r>
    </w:p>
    <w:p w14:paraId="1B67FE81" w14:textId="77777777" w:rsidR="00936EF9" w:rsidRPr="00654EF1" w:rsidRDefault="00936EF9" w:rsidP="001D5C8C">
      <w:pPr>
        <w:widowControl w:val="0"/>
        <w:numPr>
          <w:ilvl w:val="0"/>
          <w:numId w:val="10"/>
        </w:numPr>
        <w:tabs>
          <w:tab w:val="clear" w:pos="227"/>
          <w:tab w:val="clear" w:pos="567"/>
        </w:tabs>
        <w:spacing w:line="240" w:lineRule="auto"/>
        <w:ind w:left="567" w:hanging="567"/>
        <w:rPr>
          <w:color w:val="000000"/>
          <w:szCs w:val="22"/>
        </w:rPr>
      </w:pPr>
      <w:r w:rsidRPr="00654EF1">
        <w:rPr>
          <w:snapToGrid w:val="0"/>
          <w:color w:val="000000"/>
          <w:szCs w:val="22"/>
          <w:lang w:eastAsia="de-DE"/>
        </w:rPr>
        <w:t xml:space="preserve">the treatment of adult patients with unresectable </w:t>
      </w:r>
      <w:r w:rsidRPr="00654EF1">
        <w:rPr>
          <w:color w:val="000000"/>
          <w:szCs w:val="22"/>
        </w:rPr>
        <w:t>dermatofibrosarcoma protuberans (DFSP) and adult patients with recurrent and/or metastatic DFSP who are not eligible for surgery.</w:t>
      </w:r>
    </w:p>
    <w:p w14:paraId="1B67FE82" w14:textId="77777777" w:rsidR="00936EF9" w:rsidRPr="00654EF1" w:rsidRDefault="00936EF9" w:rsidP="001D5C8C">
      <w:pPr>
        <w:widowControl w:val="0"/>
        <w:tabs>
          <w:tab w:val="clear" w:pos="567"/>
        </w:tabs>
        <w:spacing w:line="240" w:lineRule="auto"/>
        <w:rPr>
          <w:color w:val="000000"/>
          <w:szCs w:val="22"/>
        </w:rPr>
      </w:pPr>
    </w:p>
    <w:p w14:paraId="1B67FE83" w14:textId="77777777" w:rsidR="008F1C56" w:rsidRPr="00654EF1" w:rsidRDefault="000D2060" w:rsidP="001D5C8C">
      <w:pPr>
        <w:pStyle w:val="Text"/>
        <w:widowControl w:val="0"/>
        <w:spacing w:before="0"/>
        <w:jc w:val="left"/>
        <w:rPr>
          <w:color w:val="000000"/>
          <w:sz w:val="22"/>
          <w:szCs w:val="22"/>
          <w:lang w:val="en-GB"/>
        </w:rPr>
      </w:pPr>
      <w:r w:rsidRPr="00654EF1">
        <w:rPr>
          <w:color w:val="000000"/>
          <w:sz w:val="22"/>
          <w:szCs w:val="22"/>
          <w:lang w:val="en-GB"/>
        </w:rPr>
        <w:t xml:space="preserve">In adult and paediatric patients, the effectiveness of Glivec is based on overall haematological and cytogenetic response rates and progression-free survival in CML, on haematological and cytogenetic response rates in Ph+ </w:t>
      </w:r>
      <w:smartTag w:uri="urn:schemas-microsoft-com:office:smarttags" w:element="stockticker">
        <w:r w:rsidRPr="00654EF1">
          <w:rPr>
            <w:color w:val="000000"/>
            <w:sz w:val="22"/>
            <w:szCs w:val="22"/>
            <w:lang w:val="en-GB"/>
          </w:rPr>
          <w:t>ALL</w:t>
        </w:r>
      </w:smartTag>
      <w:r w:rsidRPr="00654EF1">
        <w:rPr>
          <w:color w:val="000000"/>
          <w:sz w:val="22"/>
          <w:szCs w:val="22"/>
          <w:lang w:val="en-GB"/>
        </w:rPr>
        <w:t xml:space="preserve">, </w:t>
      </w:r>
      <w:smartTag w:uri="urn:schemas-microsoft-com:office:smarttags" w:element="stockticker">
        <w:r w:rsidRPr="00654EF1">
          <w:rPr>
            <w:color w:val="000000"/>
            <w:sz w:val="22"/>
            <w:szCs w:val="22"/>
            <w:lang w:val="en-GB"/>
          </w:rPr>
          <w:t>MDS</w:t>
        </w:r>
      </w:smartTag>
      <w:r w:rsidRPr="00654EF1">
        <w:rPr>
          <w:color w:val="000000"/>
          <w:sz w:val="22"/>
          <w:szCs w:val="22"/>
          <w:lang w:val="en-GB"/>
        </w:rPr>
        <w:t>/MPD, on haematological response rates in HES/</w:t>
      </w:r>
      <w:smartTag w:uri="urn:schemas-microsoft-com:office:smarttags" w:element="stockticker">
        <w:r w:rsidRPr="00654EF1">
          <w:rPr>
            <w:color w:val="000000"/>
            <w:sz w:val="22"/>
            <w:szCs w:val="22"/>
            <w:lang w:val="en-GB"/>
          </w:rPr>
          <w:t>CEL</w:t>
        </w:r>
      </w:smartTag>
      <w:r w:rsidRPr="00654EF1">
        <w:rPr>
          <w:color w:val="000000"/>
          <w:sz w:val="22"/>
          <w:szCs w:val="22"/>
          <w:lang w:val="en-GB"/>
        </w:rPr>
        <w:t xml:space="preserve"> and on </w:t>
      </w:r>
      <w:r w:rsidRPr="00654EF1">
        <w:rPr>
          <w:color w:val="000000"/>
          <w:sz w:val="22"/>
          <w:szCs w:val="22"/>
          <w:lang w:val="en-GB"/>
        </w:rPr>
        <w:lastRenderedPageBreak/>
        <w:t xml:space="preserve">objective response rates in adult patients with unresectable and/or metastatic GIST and DFSP and on recurrence-free survival in adjuvant GIST. The experience with Glivec in patients with </w:t>
      </w:r>
      <w:smartTag w:uri="urn:schemas-microsoft-com:office:smarttags" w:element="stockticker">
        <w:r w:rsidRPr="00654EF1">
          <w:rPr>
            <w:color w:val="000000"/>
            <w:sz w:val="22"/>
            <w:szCs w:val="22"/>
            <w:lang w:val="en-GB"/>
          </w:rPr>
          <w:t>MDS</w:t>
        </w:r>
      </w:smartTag>
      <w:r w:rsidRPr="00654EF1">
        <w:rPr>
          <w:color w:val="000000"/>
          <w:sz w:val="22"/>
          <w:szCs w:val="22"/>
          <w:lang w:val="en-GB"/>
        </w:rPr>
        <w:t xml:space="preserve">/MPD associated with </w:t>
      </w:r>
      <w:r w:rsidRPr="00654EF1">
        <w:rPr>
          <w:snapToGrid w:val="0"/>
          <w:color w:val="000000"/>
          <w:sz w:val="22"/>
          <w:szCs w:val="22"/>
        </w:rPr>
        <w:t>PDGFR gene re-arrangements</w:t>
      </w:r>
      <w:r w:rsidRPr="00654EF1">
        <w:rPr>
          <w:color w:val="000000"/>
          <w:sz w:val="22"/>
          <w:szCs w:val="22"/>
          <w:lang w:val="en-GB"/>
        </w:rPr>
        <w:t xml:space="preserve"> is very limited (see section 5.1). Except in newly diagnosed chronic phase CML, there are no controlled trials demonstrating a clinical benefit or increased survival for these diseases.</w:t>
      </w:r>
    </w:p>
    <w:p w14:paraId="1B67FE84" w14:textId="77777777" w:rsidR="009B57ED" w:rsidRPr="00654EF1" w:rsidRDefault="009B57ED" w:rsidP="001D5C8C">
      <w:pPr>
        <w:pStyle w:val="Text"/>
        <w:widowControl w:val="0"/>
        <w:spacing w:before="0"/>
        <w:rPr>
          <w:color w:val="000000"/>
          <w:sz w:val="22"/>
          <w:szCs w:val="22"/>
          <w:lang w:val="en-GB"/>
        </w:rPr>
      </w:pPr>
    </w:p>
    <w:p w14:paraId="1B67FE85"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4.2</w:t>
      </w:r>
      <w:r w:rsidRPr="00654EF1">
        <w:rPr>
          <w:b/>
          <w:color w:val="000000"/>
          <w:szCs w:val="22"/>
        </w:rPr>
        <w:tab/>
        <w:t>Posology and method of administration</w:t>
      </w:r>
    </w:p>
    <w:p w14:paraId="1B67FE86" w14:textId="77777777" w:rsidR="009B57ED" w:rsidRPr="00654EF1" w:rsidRDefault="009B57ED" w:rsidP="001D5C8C">
      <w:pPr>
        <w:pStyle w:val="EndnoteText"/>
        <w:keepNext/>
        <w:widowControl w:val="0"/>
        <w:tabs>
          <w:tab w:val="clear" w:pos="567"/>
        </w:tabs>
        <w:rPr>
          <w:color w:val="000000"/>
          <w:szCs w:val="22"/>
        </w:rPr>
      </w:pPr>
    </w:p>
    <w:p w14:paraId="1B67FE87" w14:textId="77777777" w:rsidR="009B57ED" w:rsidRPr="00654EF1" w:rsidRDefault="0078783A" w:rsidP="001D5C8C">
      <w:pPr>
        <w:pStyle w:val="EndnoteText"/>
        <w:widowControl w:val="0"/>
        <w:tabs>
          <w:tab w:val="clear" w:pos="567"/>
        </w:tabs>
        <w:rPr>
          <w:color w:val="000000"/>
          <w:szCs w:val="22"/>
        </w:rPr>
      </w:pPr>
      <w:r w:rsidRPr="00654EF1">
        <w:rPr>
          <w:color w:val="000000"/>
          <w:szCs w:val="22"/>
        </w:rPr>
        <w:t xml:space="preserve">Therapy should be initiated by a physician experienced in the treatment of patients with </w:t>
      </w:r>
      <w:r w:rsidRPr="00654EF1">
        <w:rPr>
          <w:color w:val="000000"/>
        </w:rPr>
        <w:t>haematological malignancies and malignant sarcomas, as appropriate</w:t>
      </w:r>
      <w:r w:rsidRPr="00654EF1">
        <w:rPr>
          <w:color w:val="000000"/>
          <w:szCs w:val="22"/>
        </w:rPr>
        <w:t>.</w:t>
      </w:r>
    </w:p>
    <w:p w14:paraId="1B67FE88" w14:textId="77777777" w:rsidR="00267D64" w:rsidRPr="00654EF1" w:rsidRDefault="00267D64" w:rsidP="001D5C8C">
      <w:pPr>
        <w:pStyle w:val="EndnoteText"/>
        <w:widowControl w:val="0"/>
        <w:tabs>
          <w:tab w:val="clear" w:pos="567"/>
        </w:tabs>
        <w:rPr>
          <w:color w:val="000000"/>
          <w:szCs w:val="22"/>
        </w:rPr>
      </w:pPr>
    </w:p>
    <w:p w14:paraId="1B67FE89"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The prescribed dose should be administered orally with a meal and a large glass of water to minimise the risk of gastrointestinal irritations. </w:t>
      </w:r>
      <w:r w:rsidRPr="00654EF1">
        <w:rPr>
          <w:color w:val="000000"/>
        </w:rPr>
        <w:t xml:space="preserve">Doses of 400 mg or 600 mg should be administered once daily, whereas a daily dose of 800 mg should be administered as 400 mg twice a day, in the morning and in the evening. </w:t>
      </w:r>
      <w:r w:rsidRPr="00654EF1">
        <w:rPr>
          <w:color w:val="000000"/>
          <w:szCs w:val="22"/>
        </w:rPr>
        <w:t>For patients (children) unable to swallow the capsules, their content may be diluted in a glass of either still water or apple juice. Since studies in animals have shown reproductive toxicity, and the potential risk for the human foetus is unknown, women of child-bearing potential who open capsules should be advised to handle the contents with caution and avoid skin-eye contact or inhalation (see section 4.6). Hands should be washed immediately after handling open capsules.</w:t>
      </w:r>
    </w:p>
    <w:p w14:paraId="1B67FE8A" w14:textId="77777777" w:rsidR="009B57ED" w:rsidRPr="00654EF1" w:rsidRDefault="009B57ED" w:rsidP="001D5C8C">
      <w:pPr>
        <w:pStyle w:val="BodyText"/>
        <w:widowControl w:val="0"/>
        <w:spacing w:line="240" w:lineRule="auto"/>
        <w:rPr>
          <w:b w:val="0"/>
          <w:i w:val="0"/>
          <w:color w:val="000000"/>
          <w:szCs w:val="22"/>
        </w:rPr>
      </w:pPr>
    </w:p>
    <w:p w14:paraId="1B67FE8B" w14:textId="77777777" w:rsidR="009B57ED" w:rsidRPr="00654EF1" w:rsidRDefault="009B57ED" w:rsidP="001D5C8C">
      <w:pPr>
        <w:pStyle w:val="BodyText"/>
        <w:keepNext/>
        <w:widowControl w:val="0"/>
        <w:spacing w:line="240" w:lineRule="auto"/>
        <w:rPr>
          <w:b w:val="0"/>
          <w:i w:val="0"/>
          <w:color w:val="000000"/>
          <w:szCs w:val="22"/>
          <w:u w:val="single"/>
        </w:rPr>
      </w:pPr>
      <w:r w:rsidRPr="00654EF1">
        <w:rPr>
          <w:b w:val="0"/>
          <w:i w:val="0"/>
          <w:color w:val="000000"/>
          <w:szCs w:val="22"/>
          <w:u w:val="single"/>
        </w:rPr>
        <w:t>Posology for CML</w:t>
      </w:r>
      <w:r w:rsidR="008F1C56" w:rsidRPr="00654EF1">
        <w:rPr>
          <w:b w:val="0"/>
          <w:i w:val="0"/>
          <w:color w:val="000000"/>
          <w:szCs w:val="22"/>
          <w:u w:val="single"/>
        </w:rPr>
        <w:t xml:space="preserve"> in adult patients</w:t>
      </w:r>
    </w:p>
    <w:p w14:paraId="1B67FE8C" w14:textId="77777777" w:rsidR="009B57ED" w:rsidRPr="00654EF1" w:rsidRDefault="009B57ED" w:rsidP="001D5C8C">
      <w:pPr>
        <w:pStyle w:val="BodyText"/>
        <w:widowControl w:val="0"/>
        <w:spacing w:line="240" w:lineRule="auto"/>
        <w:rPr>
          <w:b w:val="0"/>
          <w:i w:val="0"/>
          <w:snapToGrid w:val="0"/>
          <w:color w:val="000000"/>
          <w:szCs w:val="22"/>
        </w:rPr>
      </w:pPr>
      <w:r w:rsidRPr="00654EF1">
        <w:rPr>
          <w:b w:val="0"/>
          <w:i w:val="0"/>
          <w:color w:val="000000"/>
          <w:szCs w:val="22"/>
        </w:rPr>
        <w:t xml:space="preserve">The recommended dosage of Glivec is 400 mg/day for </w:t>
      </w:r>
      <w:r w:rsidR="00E539BC" w:rsidRPr="00654EF1">
        <w:rPr>
          <w:b w:val="0"/>
          <w:i w:val="0"/>
          <w:color w:val="000000"/>
          <w:szCs w:val="22"/>
        </w:rPr>
        <w:t xml:space="preserve">adult </w:t>
      </w:r>
      <w:r w:rsidRPr="00654EF1">
        <w:rPr>
          <w:b w:val="0"/>
          <w:i w:val="0"/>
          <w:color w:val="000000"/>
          <w:szCs w:val="22"/>
        </w:rPr>
        <w:t xml:space="preserve">patients in chronic phase CML. </w:t>
      </w:r>
      <w:r w:rsidRPr="00654EF1">
        <w:rPr>
          <w:b w:val="0"/>
          <w:i w:val="0"/>
          <w:snapToGrid w:val="0"/>
          <w:color w:val="000000"/>
          <w:szCs w:val="22"/>
        </w:rPr>
        <w:t>Chronic phase CML is defined when all of the following criteria are met: blasts &lt; 15% in blood and bone marrow, peripheral blood basophils &lt; 20%, platelets &gt; 100 x 10</w:t>
      </w:r>
      <w:r w:rsidRPr="00654EF1">
        <w:rPr>
          <w:b w:val="0"/>
          <w:i w:val="0"/>
          <w:snapToGrid w:val="0"/>
          <w:color w:val="000000"/>
          <w:szCs w:val="22"/>
          <w:vertAlign w:val="superscript"/>
        </w:rPr>
        <w:t>9</w:t>
      </w:r>
      <w:r w:rsidRPr="00654EF1">
        <w:rPr>
          <w:b w:val="0"/>
          <w:i w:val="0"/>
          <w:snapToGrid w:val="0"/>
          <w:color w:val="000000"/>
          <w:szCs w:val="22"/>
        </w:rPr>
        <w:t>/l.</w:t>
      </w:r>
    </w:p>
    <w:p w14:paraId="1B67FE8D" w14:textId="77777777" w:rsidR="009B57ED" w:rsidRPr="00654EF1" w:rsidRDefault="009B57ED" w:rsidP="001D5C8C">
      <w:pPr>
        <w:pStyle w:val="BodyText"/>
        <w:widowControl w:val="0"/>
        <w:spacing w:line="240" w:lineRule="auto"/>
        <w:rPr>
          <w:b w:val="0"/>
          <w:i w:val="0"/>
          <w:color w:val="000000"/>
          <w:szCs w:val="22"/>
        </w:rPr>
      </w:pPr>
    </w:p>
    <w:p w14:paraId="1B67FE8E" w14:textId="77777777" w:rsidR="009B57ED" w:rsidRPr="00654EF1" w:rsidRDefault="009B57ED" w:rsidP="001D5C8C">
      <w:pPr>
        <w:pStyle w:val="BodyText"/>
        <w:widowControl w:val="0"/>
        <w:spacing w:line="240" w:lineRule="auto"/>
        <w:rPr>
          <w:b w:val="0"/>
          <w:i w:val="0"/>
          <w:snapToGrid w:val="0"/>
          <w:color w:val="000000"/>
          <w:szCs w:val="22"/>
        </w:rPr>
      </w:pPr>
      <w:r w:rsidRPr="00654EF1">
        <w:rPr>
          <w:b w:val="0"/>
          <w:i w:val="0"/>
          <w:color w:val="000000"/>
          <w:szCs w:val="22"/>
        </w:rPr>
        <w:t xml:space="preserve">The recommended dosage of Glivec is 600 mg/day for </w:t>
      </w:r>
      <w:r w:rsidR="00E539BC" w:rsidRPr="00654EF1">
        <w:rPr>
          <w:b w:val="0"/>
          <w:i w:val="0"/>
          <w:color w:val="000000"/>
          <w:szCs w:val="22"/>
        </w:rPr>
        <w:t xml:space="preserve">adult </w:t>
      </w:r>
      <w:r w:rsidRPr="00654EF1">
        <w:rPr>
          <w:b w:val="0"/>
          <w:i w:val="0"/>
          <w:color w:val="000000"/>
          <w:szCs w:val="22"/>
        </w:rPr>
        <w:t xml:space="preserve">patients in accelerated phase. </w:t>
      </w:r>
      <w:r w:rsidRPr="00654EF1">
        <w:rPr>
          <w:b w:val="0"/>
          <w:i w:val="0"/>
          <w:snapToGrid w:val="0"/>
          <w:color w:val="000000"/>
          <w:szCs w:val="22"/>
        </w:rPr>
        <w:t xml:space="preserve">Accelerated phase is defined by the presence of any of the following: blasts </w:t>
      </w:r>
      <w:r w:rsidRPr="00654EF1">
        <w:rPr>
          <w:b w:val="0"/>
          <w:i w:val="0"/>
          <w:snapToGrid w:val="0"/>
          <w:color w:val="000000"/>
          <w:szCs w:val="22"/>
        </w:rPr>
        <w:sym w:font="Symbol" w:char="F0B3"/>
      </w:r>
      <w:r w:rsidRPr="00654EF1">
        <w:rPr>
          <w:b w:val="0"/>
          <w:i w:val="0"/>
          <w:snapToGrid w:val="0"/>
          <w:color w:val="000000"/>
          <w:szCs w:val="22"/>
        </w:rPr>
        <w:t xml:space="preserve"> 15% but &lt; 30% in blood or bone marrow, blasts plus promyelocytes </w:t>
      </w:r>
      <w:r w:rsidRPr="00654EF1">
        <w:rPr>
          <w:b w:val="0"/>
          <w:i w:val="0"/>
          <w:snapToGrid w:val="0"/>
          <w:color w:val="000000"/>
          <w:szCs w:val="22"/>
        </w:rPr>
        <w:sym w:font="Symbol" w:char="F0B3"/>
      </w:r>
      <w:r w:rsidRPr="00654EF1">
        <w:rPr>
          <w:b w:val="0"/>
          <w:i w:val="0"/>
          <w:snapToGrid w:val="0"/>
          <w:color w:val="000000"/>
          <w:szCs w:val="22"/>
        </w:rPr>
        <w:t xml:space="preserve"> 30% in blood or bone marrow (providing &lt; 30% blasts), peripheral blood basophils </w:t>
      </w:r>
      <w:r w:rsidRPr="00654EF1">
        <w:rPr>
          <w:b w:val="0"/>
          <w:i w:val="0"/>
          <w:snapToGrid w:val="0"/>
          <w:color w:val="000000"/>
          <w:szCs w:val="22"/>
        </w:rPr>
        <w:sym w:font="Symbol" w:char="F0B3"/>
      </w:r>
      <w:r w:rsidRPr="00654EF1">
        <w:rPr>
          <w:b w:val="0"/>
          <w:i w:val="0"/>
          <w:snapToGrid w:val="0"/>
          <w:color w:val="000000"/>
          <w:szCs w:val="22"/>
        </w:rPr>
        <w:t> 20%, platelets &lt; 100 x 10</w:t>
      </w:r>
      <w:r w:rsidRPr="00654EF1">
        <w:rPr>
          <w:b w:val="0"/>
          <w:i w:val="0"/>
          <w:snapToGrid w:val="0"/>
          <w:color w:val="000000"/>
          <w:szCs w:val="22"/>
          <w:vertAlign w:val="superscript"/>
        </w:rPr>
        <w:t>9</w:t>
      </w:r>
      <w:r w:rsidRPr="00654EF1">
        <w:rPr>
          <w:b w:val="0"/>
          <w:i w:val="0"/>
          <w:snapToGrid w:val="0"/>
          <w:color w:val="000000"/>
          <w:szCs w:val="22"/>
        </w:rPr>
        <w:t>/l unrelated to therapy.</w:t>
      </w:r>
    </w:p>
    <w:p w14:paraId="1B67FE8F" w14:textId="77777777" w:rsidR="009B57ED" w:rsidRPr="00654EF1" w:rsidRDefault="009B57ED" w:rsidP="001D5C8C">
      <w:pPr>
        <w:pStyle w:val="BodyText"/>
        <w:widowControl w:val="0"/>
        <w:spacing w:line="240" w:lineRule="auto"/>
        <w:rPr>
          <w:b w:val="0"/>
          <w:i w:val="0"/>
          <w:color w:val="000000"/>
          <w:szCs w:val="22"/>
        </w:rPr>
      </w:pPr>
    </w:p>
    <w:p w14:paraId="1B67FE90" w14:textId="77777777" w:rsidR="009B57ED" w:rsidRPr="00654EF1" w:rsidRDefault="009B57ED" w:rsidP="001D5C8C">
      <w:pPr>
        <w:pStyle w:val="BodyText"/>
        <w:widowControl w:val="0"/>
        <w:spacing w:line="240" w:lineRule="auto"/>
        <w:rPr>
          <w:b w:val="0"/>
          <w:i w:val="0"/>
          <w:color w:val="000000"/>
          <w:szCs w:val="22"/>
        </w:rPr>
      </w:pPr>
      <w:r w:rsidRPr="00654EF1">
        <w:rPr>
          <w:b w:val="0"/>
          <w:i w:val="0"/>
          <w:color w:val="000000"/>
          <w:szCs w:val="22"/>
        </w:rPr>
        <w:t xml:space="preserve">The recommended dose of Glivec is 600 mg/day for </w:t>
      </w:r>
      <w:r w:rsidR="00E539BC" w:rsidRPr="00654EF1">
        <w:rPr>
          <w:b w:val="0"/>
          <w:i w:val="0"/>
          <w:color w:val="000000"/>
          <w:szCs w:val="22"/>
        </w:rPr>
        <w:t xml:space="preserve">adult </w:t>
      </w:r>
      <w:r w:rsidRPr="00654EF1">
        <w:rPr>
          <w:b w:val="0"/>
          <w:i w:val="0"/>
          <w:color w:val="000000"/>
          <w:szCs w:val="22"/>
        </w:rPr>
        <w:t xml:space="preserve">patients in blast crisis. </w:t>
      </w:r>
      <w:r w:rsidRPr="00654EF1">
        <w:rPr>
          <w:b w:val="0"/>
          <w:i w:val="0"/>
          <w:snapToGrid w:val="0"/>
          <w:color w:val="000000"/>
          <w:szCs w:val="22"/>
        </w:rPr>
        <w:t xml:space="preserve">Blast crisis is defined as blasts </w:t>
      </w:r>
      <w:r w:rsidRPr="00654EF1">
        <w:rPr>
          <w:b w:val="0"/>
          <w:i w:val="0"/>
          <w:snapToGrid w:val="0"/>
          <w:color w:val="000000"/>
          <w:szCs w:val="22"/>
        </w:rPr>
        <w:sym w:font="Symbol" w:char="F0B3"/>
      </w:r>
      <w:r w:rsidRPr="00654EF1">
        <w:rPr>
          <w:b w:val="0"/>
          <w:i w:val="0"/>
          <w:snapToGrid w:val="0"/>
          <w:color w:val="000000"/>
          <w:szCs w:val="22"/>
        </w:rPr>
        <w:t> 30% in blood or bone marrow or extramedullary disease other than hepatosplenomegaly.</w:t>
      </w:r>
    </w:p>
    <w:p w14:paraId="1B67FE91" w14:textId="77777777" w:rsidR="009B57ED" w:rsidRPr="00654EF1" w:rsidRDefault="009B57ED" w:rsidP="001D5C8C">
      <w:pPr>
        <w:pStyle w:val="EndnoteText"/>
        <w:widowControl w:val="0"/>
        <w:tabs>
          <w:tab w:val="clear" w:pos="567"/>
        </w:tabs>
        <w:rPr>
          <w:color w:val="000000"/>
          <w:szCs w:val="22"/>
        </w:rPr>
      </w:pPr>
    </w:p>
    <w:p w14:paraId="1B67FE92"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Treatment duration: In clinical trials, treatment with Glivec was continued until disease progression. The effect of stopping treatment after the achievement of a complete cytogenetic response has not been investigated.</w:t>
      </w:r>
    </w:p>
    <w:p w14:paraId="1B67FE93" w14:textId="77777777" w:rsidR="009B57ED" w:rsidRPr="00654EF1" w:rsidRDefault="009B57ED" w:rsidP="001D5C8C">
      <w:pPr>
        <w:pStyle w:val="EndnoteText"/>
        <w:widowControl w:val="0"/>
        <w:tabs>
          <w:tab w:val="clear" w:pos="567"/>
        </w:tabs>
        <w:rPr>
          <w:color w:val="000000"/>
          <w:szCs w:val="22"/>
        </w:rPr>
      </w:pPr>
    </w:p>
    <w:p w14:paraId="1B67FE94"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Dose increases from 400 mg to 600 mg or 800 mg in patients with chronic phase disease, or from 600 mg to a maximum of 800 mg (given as 400 mg twice daily) in patients with accelerated phase or blast crisis may be considered in the absence of severe adverse drug reaction and severe non-leukaemia-related neutropenia or thrombocytopenia in the following circumstances: disease progression (at any time); failure to achieve a satisfactory haematological response after at least 3 months of treatment; </w:t>
      </w:r>
      <w:r w:rsidRPr="00654EF1">
        <w:rPr>
          <w:color w:val="000000"/>
        </w:rPr>
        <w:t xml:space="preserve">failure to achieve a cytogenetic response after 12 months of treatment; or </w:t>
      </w:r>
      <w:r w:rsidRPr="00654EF1">
        <w:rPr>
          <w:color w:val="000000"/>
          <w:szCs w:val="22"/>
        </w:rPr>
        <w:t>loss of a previously achieved haematological and/or cytogenetic response. Patients should be monitored closely following dose escalation given the potential for an increased incidence of adverse reactions at higher dosages.</w:t>
      </w:r>
    </w:p>
    <w:p w14:paraId="1B67FE95" w14:textId="77777777" w:rsidR="008F1C56" w:rsidRPr="00654EF1" w:rsidRDefault="008F1C56" w:rsidP="001D5C8C">
      <w:pPr>
        <w:pStyle w:val="EndnoteText"/>
        <w:widowControl w:val="0"/>
        <w:tabs>
          <w:tab w:val="clear" w:pos="567"/>
        </w:tabs>
        <w:rPr>
          <w:color w:val="000000"/>
          <w:szCs w:val="22"/>
        </w:rPr>
      </w:pPr>
    </w:p>
    <w:p w14:paraId="1B67FE96" w14:textId="77777777" w:rsidR="008F1C56" w:rsidRPr="00654EF1" w:rsidRDefault="008F1C56" w:rsidP="001D5C8C">
      <w:pPr>
        <w:pStyle w:val="EndnoteText"/>
        <w:keepNext/>
        <w:widowControl w:val="0"/>
        <w:tabs>
          <w:tab w:val="clear" w:pos="567"/>
        </w:tabs>
        <w:rPr>
          <w:color w:val="000000"/>
          <w:szCs w:val="22"/>
        </w:rPr>
      </w:pPr>
      <w:r w:rsidRPr="00654EF1">
        <w:rPr>
          <w:color w:val="000000"/>
          <w:szCs w:val="22"/>
          <w:u w:val="single"/>
        </w:rPr>
        <w:t>Posology for CML in children</w:t>
      </w:r>
    </w:p>
    <w:p w14:paraId="1B67FE97"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Dosing for children should be on the basis of body surface area (mg/m</w:t>
      </w:r>
      <w:r w:rsidRPr="00654EF1">
        <w:rPr>
          <w:color w:val="000000"/>
          <w:szCs w:val="22"/>
          <w:vertAlign w:val="superscript"/>
        </w:rPr>
        <w:t>2</w:t>
      </w:r>
      <w:r w:rsidRPr="00654EF1">
        <w:rPr>
          <w:color w:val="000000"/>
          <w:szCs w:val="22"/>
        </w:rPr>
        <w:t>). The dose of 340 mg/m</w:t>
      </w:r>
      <w:r w:rsidRPr="00654EF1">
        <w:rPr>
          <w:color w:val="000000"/>
          <w:szCs w:val="22"/>
          <w:vertAlign w:val="superscript"/>
        </w:rPr>
        <w:t>2</w:t>
      </w:r>
      <w:r w:rsidRPr="00654EF1">
        <w:rPr>
          <w:color w:val="000000"/>
          <w:szCs w:val="22"/>
        </w:rPr>
        <w:t xml:space="preserve"> daily is recommended for children with chronic phase CML and advanced phase CML (not to exceed the total dose of 800 mg). Treatment can be given as a once daily dose or alternatively the daily dose may be split into two administrations – one in the morning and one in the evening. The dose recommendation is currently based on a small number of paediatric patients (see sections 5.1 and 5.2). There is no experience with the treatment of children below 2 years of age.</w:t>
      </w:r>
    </w:p>
    <w:p w14:paraId="1B67FE98" w14:textId="77777777" w:rsidR="008F1C56" w:rsidRPr="00654EF1" w:rsidRDefault="008F1C56" w:rsidP="001D5C8C">
      <w:pPr>
        <w:pStyle w:val="EndnoteText"/>
        <w:widowControl w:val="0"/>
        <w:tabs>
          <w:tab w:val="clear" w:pos="567"/>
        </w:tabs>
        <w:rPr>
          <w:color w:val="000000"/>
          <w:szCs w:val="22"/>
        </w:rPr>
      </w:pPr>
    </w:p>
    <w:p w14:paraId="1B67FE99"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Dose increases from 340 mg/m</w:t>
      </w:r>
      <w:r w:rsidRPr="00654EF1">
        <w:rPr>
          <w:color w:val="000000"/>
          <w:szCs w:val="22"/>
          <w:vertAlign w:val="superscript"/>
        </w:rPr>
        <w:t>2</w:t>
      </w:r>
      <w:r w:rsidRPr="00654EF1">
        <w:rPr>
          <w:color w:val="000000"/>
          <w:szCs w:val="22"/>
        </w:rPr>
        <w:t xml:space="preserve"> daily to 570 mg/m</w:t>
      </w:r>
      <w:r w:rsidRPr="00654EF1">
        <w:rPr>
          <w:color w:val="000000"/>
          <w:szCs w:val="22"/>
          <w:vertAlign w:val="superscript"/>
        </w:rPr>
        <w:t>2</w:t>
      </w:r>
      <w:r w:rsidRPr="00654EF1">
        <w:rPr>
          <w:color w:val="000000"/>
          <w:szCs w:val="22"/>
        </w:rPr>
        <w:t xml:space="preserve"> daily (not to exceed the total dose of 800 mg) may be considered in children in the absence of severe adverse drug reaction and severe non-leukaemia-</w:t>
      </w:r>
      <w:r w:rsidRPr="00654EF1">
        <w:rPr>
          <w:color w:val="000000"/>
          <w:szCs w:val="22"/>
        </w:rPr>
        <w:lastRenderedPageBreak/>
        <w:t xml:space="preserve">related neutropenia or thrombocytopenia in the following circumstances: disease progression (at any time); failure to achieve a satisfactory haematological response after at least 3 months of treatment; </w:t>
      </w:r>
      <w:r w:rsidRPr="00654EF1">
        <w:rPr>
          <w:color w:val="000000"/>
        </w:rPr>
        <w:t xml:space="preserve">failure to achieve a cytogenetic response after 12 months of treatment; or </w:t>
      </w:r>
      <w:r w:rsidRPr="00654EF1">
        <w:rPr>
          <w:color w:val="000000"/>
          <w:szCs w:val="22"/>
        </w:rPr>
        <w:t>loss of a previously achieved haematological and/or cytogenetic response. Patients should be monitored closely following dose escalation given the potential for an increased incidence of adverse reactions at higher dosages.</w:t>
      </w:r>
    </w:p>
    <w:p w14:paraId="1B67FE9A" w14:textId="77777777" w:rsidR="0078783A" w:rsidRPr="00654EF1" w:rsidRDefault="0078783A" w:rsidP="001D5C8C">
      <w:pPr>
        <w:pStyle w:val="EndnoteText"/>
        <w:widowControl w:val="0"/>
        <w:tabs>
          <w:tab w:val="clear" w:pos="567"/>
        </w:tabs>
        <w:rPr>
          <w:color w:val="000000"/>
          <w:szCs w:val="22"/>
        </w:rPr>
      </w:pPr>
    </w:p>
    <w:p w14:paraId="1B67FE9B" w14:textId="77777777" w:rsidR="0078783A" w:rsidRPr="00654EF1" w:rsidRDefault="0078783A" w:rsidP="001D5C8C">
      <w:pPr>
        <w:pStyle w:val="EndnoteText"/>
        <w:keepNext/>
        <w:widowControl w:val="0"/>
        <w:tabs>
          <w:tab w:val="clear" w:pos="567"/>
        </w:tabs>
        <w:rPr>
          <w:color w:val="000000"/>
          <w:szCs w:val="22"/>
          <w:u w:val="single"/>
        </w:rPr>
      </w:pPr>
      <w:r w:rsidRPr="00654EF1">
        <w:rPr>
          <w:color w:val="000000"/>
          <w:szCs w:val="22"/>
          <w:u w:val="single"/>
        </w:rPr>
        <w:t>Posology for Ph+ ALL</w:t>
      </w:r>
      <w:r w:rsidR="00505F51" w:rsidRPr="00654EF1">
        <w:rPr>
          <w:color w:val="000000"/>
          <w:szCs w:val="22"/>
          <w:u w:val="single"/>
        </w:rPr>
        <w:t xml:space="preserve"> in adult patients</w:t>
      </w:r>
    </w:p>
    <w:p w14:paraId="1B67FE9C" w14:textId="77777777" w:rsidR="0078783A" w:rsidRPr="00654EF1" w:rsidRDefault="0078783A" w:rsidP="001D5C8C">
      <w:pPr>
        <w:pStyle w:val="EndnoteText"/>
        <w:widowControl w:val="0"/>
        <w:tabs>
          <w:tab w:val="clear" w:pos="567"/>
        </w:tabs>
        <w:rPr>
          <w:color w:val="000000"/>
        </w:rPr>
      </w:pPr>
      <w:r w:rsidRPr="00654EF1">
        <w:rPr>
          <w:color w:val="000000"/>
        </w:rPr>
        <w:t xml:space="preserve">The recommended dose of Glivec is 600 mg/day for </w:t>
      </w:r>
      <w:r w:rsidR="00E539BC" w:rsidRPr="00654EF1">
        <w:rPr>
          <w:color w:val="000000"/>
        </w:rPr>
        <w:t xml:space="preserve">adult </w:t>
      </w:r>
      <w:r w:rsidRPr="00654EF1">
        <w:rPr>
          <w:color w:val="000000"/>
        </w:rPr>
        <w:t xml:space="preserve">patients with Ph+ </w:t>
      </w:r>
      <w:smartTag w:uri="urn:schemas-microsoft-com:office:smarttags" w:element="stockticker">
        <w:r w:rsidRPr="00654EF1">
          <w:rPr>
            <w:color w:val="000000"/>
          </w:rPr>
          <w:t>ALL</w:t>
        </w:r>
      </w:smartTag>
      <w:r w:rsidRPr="00654EF1">
        <w:rPr>
          <w:color w:val="000000"/>
        </w:rPr>
        <w:t>.</w:t>
      </w:r>
      <w:r w:rsidRPr="00654EF1">
        <w:rPr>
          <w:rFonts w:eastAsia="MS Mincho"/>
          <w:color w:val="000000"/>
          <w:lang w:val="en-US" w:eastAsia="ja-JP"/>
        </w:rPr>
        <w:t xml:space="preserve"> Haematological experts in the management of this disease should supervise the therapy throughout all phases of care.</w:t>
      </w:r>
    </w:p>
    <w:p w14:paraId="1B67FE9D" w14:textId="77777777" w:rsidR="0078783A" w:rsidRPr="00654EF1" w:rsidRDefault="0078783A" w:rsidP="001D5C8C">
      <w:pPr>
        <w:widowControl w:val="0"/>
        <w:spacing w:line="240" w:lineRule="auto"/>
        <w:rPr>
          <w:color w:val="000000"/>
        </w:rPr>
      </w:pPr>
    </w:p>
    <w:p w14:paraId="1B67FE9E" w14:textId="77777777" w:rsidR="0078783A" w:rsidRPr="00654EF1" w:rsidRDefault="0078783A" w:rsidP="001D5C8C">
      <w:pPr>
        <w:widowControl w:val="0"/>
        <w:spacing w:line="240" w:lineRule="auto"/>
        <w:rPr>
          <w:rFonts w:eastAsia="MS Mincho"/>
          <w:color w:val="000000"/>
          <w:lang w:val="en-US" w:eastAsia="ja-JP"/>
        </w:rPr>
      </w:pPr>
      <w:r w:rsidRPr="00654EF1">
        <w:rPr>
          <w:rFonts w:eastAsia="MS Mincho"/>
          <w:color w:val="000000"/>
          <w:lang w:val="en-US" w:eastAsia="ja-JP"/>
        </w:rPr>
        <w:t xml:space="preserve">Treatment schedule: On the basis of the existing data, Glivec has been shown to be effective and safe when administered at 600 mg/day in combination with chemotherapy in the induction phase, the consolidation and maintenance phases of chemotherapy (see section 5.1) for adult patients with newly diagnosed Ph+ </w:t>
      </w:r>
      <w:smartTag w:uri="urn:schemas-microsoft-com:office:smarttags" w:element="stockticker">
        <w:r w:rsidRPr="00654EF1">
          <w:rPr>
            <w:rFonts w:eastAsia="MS Mincho"/>
            <w:color w:val="000000"/>
            <w:lang w:val="en-US" w:eastAsia="ja-JP"/>
          </w:rPr>
          <w:t>ALL</w:t>
        </w:r>
      </w:smartTag>
      <w:r w:rsidRPr="00654EF1">
        <w:rPr>
          <w:rFonts w:eastAsia="MS Mincho"/>
          <w:color w:val="000000"/>
          <w:lang w:val="en-US" w:eastAsia="ja-JP"/>
        </w:rPr>
        <w:t>. The duration of Glivec therapy can vary with the treatment programme selected, but generally longer exposures to Glivec have yielded better results.</w:t>
      </w:r>
    </w:p>
    <w:p w14:paraId="1B67FE9F" w14:textId="77777777" w:rsidR="0078783A" w:rsidRPr="00654EF1" w:rsidRDefault="0078783A" w:rsidP="001D5C8C">
      <w:pPr>
        <w:widowControl w:val="0"/>
        <w:spacing w:line="240" w:lineRule="auto"/>
        <w:rPr>
          <w:rFonts w:eastAsia="MS Mincho"/>
          <w:color w:val="000000"/>
          <w:lang w:val="en-US" w:eastAsia="ja-JP"/>
        </w:rPr>
      </w:pPr>
    </w:p>
    <w:p w14:paraId="1B67FEA0" w14:textId="77777777" w:rsidR="00515177" w:rsidRPr="00654EF1" w:rsidRDefault="0078783A" w:rsidP="001D5C8C">
      <w:pPr>
        <w:widowControl w:val="0"/>
        <w:spacing w:line="240" w:lineRule="auto"/>
        <w:rPr>
          <w:color w:val="000000"/>
        </w:rPr>
      </w:pPr>
      <w:r w:rsidRPr="00654EF1">
        <w:rPr>
          <w:rFonts w:eastAsia="MS Mincho"/>
          <w:color w:val="000000"/>
          <w:lang w:val="en-US" w:eastAsia="ja-JP"/>
        </w:rPr>
        <w:t>For adult patients with relapsed or refractory Ph+</w:t>
      </w:r>
      <w:smartTag w:uri="urn:schemas-microsoft-com:office:smarttags" w:element="stockticker">
        <w:r w:rsidRPr="00654EF1">
          <w:rPr>
            <w:rFonts w:eastAsia="MS Mincho"/>
            <w:color w:val="000000"/>
            <w:lang w:val="en-US" w:eastAsia="ja-JP"/>
          </w:rPr>
          <w:t>ALL</w:t>
        </w:r>
      </w:smartTag>
      <w:r w:rsidRPr="00654EF1">
        <w:rPr>
          <w:rFonts w:eastAsia="MS Mincho"/>
          <w:color w:val="000000"/>
          <w:lang w:val="en-US" w:eastAsia="ja-JP"/>
        </w:rPr>
        <w:t xml:space="preserve"> Glivec monotherapy at 600 mg/day is safe, effective and can be given until disease progression occurs.</w:t>
      </w:r>
    </w:p>
    <w:p w14:paraId="1B67FEA1" w14:textId="77777777" w:rsidR="00505F51" w:rsidRPr="00654EF1" w:rsidRDefault="00505F51" w:rsidP="001D5C8C">
      <w:pPr>
        <w:widowControl w:val="0"/>
        <w:spacing w:line="240" w:lineRule="auto"/>
        <w:rPr>
          <w:rFonts w:eastAsia="MS Mincho"/>
          <w:color w:val="000000"/>
          <w:lang w:val="en-US" w:eastAsia="ja-JP"/>
        </w:rPr>
      </w:pPr>
    </w:p>
    <w:p w14:paraId="1B67FEA2" w14:textId="77777777" w:rsidR="00505F51" w:rsidRPr="00654EF1" w:rsidRDefault="00505F51" w:rsidP="001D5C8C">
      <w:pPr>
        <w:keepNext/>
        <w:widowControl w:val="0"/>
        <w:spacing w:line="240" w:lineRule="auto"/>
        <w:rPr>
          <w:rFonts w:eastAsia="MS Mincho"/>
          <w:color w:val="000000"/>
          <w:u w:val="single"/>
          <w:lang w:val="en-US" w:eastAsia="ja-JP"/>
        </w:rPr>
      </w:pPr>
      <w:r w:rsidRPr="00654EF1">
        <w:rPr>
          <w:rFonts w:eastAsia="MS Mincho"/>
          <w:color w:val="000000"/>
          <w:u w:val="single"/>
          <w:lang w:val="en-US" w:eastAsia="ja-JP"/>
        </w:rPr>
        <w:t>Posology for Ph+ ALL in children</w:t>
      </w:r>
    </w:p>
    <w:p w14:paraId="1B67FEA3" w14:textId="77777777" w:rsidR="00505F51" w:rsidRPr="00654EF1" w:rsidRDefault="00505F51" w:rsidP="001D5C8C">
      <w:pPr>
        <w:widowControl w:val="0"/>
        <w:spacing w:line="240" w:lineRule="auto"/>
        <w:rPr>
          <w:color w:val="000000"/>
        </w:rPr>
      </w:pPr>
      <w:r w:rsidRPr="00654EF1">
        <w:rPr>
          <w:color w:val="000000"/>
          <w:szCs w:val="22"/>
        </w:rPr>
        <w:t>Dosing for children should be on the basis of body surface area (mg/m</w:t>
      </w:r>
      <w:r w:rsidRPr="00654EF1">
        <w:rPr>
          <w:color w:val="000000"/>
          <w:szCs w:val="22"/>
          <w:vertAlign w:val="superscript"/>
        </w:rPr>
        <w:t>2</w:t>
      </w:r>
      <w:r w:rsidRPr="00654EF1">
        <w:rPr>
          <w:color w:val="000000"/>
          <w:szCs w:val="22"/>
        </w:rPr>
        <w:t xml:space="preserve">). </w:t>
      </w:r>
      <w:r w:rsidRPr="00654EF1">
        <w:rPr>
          <w:color w:val="000000"/>
        </w:rPr>
        <w:t>The dose of 340 mg/m</w:t>
      </w:r>
      <w:r w:rsidRPr="00654EF1">
        <w:rPr>
          <w:color w:val="000000"/>
          <w:vertAlign w:val="superscript"/>
        </w:rPr>
        <w:t>2</w:t>
      </w:r>
      <w:r w:rsidRPr="00654EF1">
        <w:rPr>
          <w:color w:val="000000"/>
        </w:rPr>
        <w:t xml:space="preserve"> daily is recommended for children with Ph+ ALL (not to exceed the total dose of 600 mg).</w:t>
      </w:r>
    </w:p>
    <w:p w14:paraId="1B67FEA4" w14:textId="77777777" w:rsidR="00632833" w:rsidRPr="00654EF1" w:rsidRDefault="00632833" w:rsidP="001D5C8C">
      <w:pPr>
        <w:pStyle w:val="EndnoteText"/>
        <w:widowControl w:val="0"/>
        <w:tabs>
          <w:tab w:val="clear" w:pos="567"/>
        </w:tabs>
        <w:rPr>
          <w:color w:val="000000"/>
        </w:rPr>
      </w:pPr>
    </w:p>
    <w:p w14:paraId="1B67FEA5" w14:textId="77777777" w:rsidR="00632833" w:rsidRPr="00654EF1" w:rsidRDefault="00632833" w:rsidP="001D5C8C">
      <w:pPr>
        <w:pStyle w:val="EndnoteText"/>
        <w:keepNext/>
        <w:widowControl w:val="0"/>
        <w:tabs>
          <w:tab w:val="clear" w:pos="567"/>
        </w:tabs>
        <w:rPr>
          <w:color w:val="000000"/>
          <w:szCs w:val="22"/>
          <w:u w:val="single"/>
        </w:rPr>
      </w:pPr>
      <w:r w:rsidRPr="00654EF1">
        <w:rPr>
          <w:color w:val="000000"/>
          <w:u w:val="single"/>
        </w:rPr>
        <w:t xml:space="preserve">Posology for </w:t>
      </w:r>
      <w:smartTag w:uri="urn:schemas-microsoft-com:office:smarttags" w:element="stockticker">
        <w:r w:rsidRPr="00654EF1">
          <w:rPr>
            <w:color w:val="000000"/>
            <w:u w:val="single"/>
          </w:rPr>
          <w:t>MDS</w:t>
        </w:r>
      </w:smartTag>
      <w:r w:rsidRPr="00654EF1">
        <w:rPr>
          <w:color w:val="000000"/>
          <w:u w:val="single"/>
        </w:rPr>
        <w:t>/MPD</w:t>
      </w:r>
    </w:p>
    <w:p w14:paraId="1B67FEA6" w14:textId="77777777" w:rsidR="00632833" w:rsidRPr="00654EF1" w:rsidRDefault="00632833" w:rsidP="001D5C8C">
      <w:pPr>
        <w:pStyle w:val="EndnoteText"/>
        <w:widowControl w:val="0"/>
        <w:tabs>
          <w:tab w:val="clear" w:pos="567"/>
        </w:tabs>
        <w:rPr>
          <w:color w:val="000000"/>
          <w:szCs w:val="22"/>
        </w:rPr>
      </w:pPr>
      <w:r w:rsidRPr="00654EF1">
        <w:rPr>
          <w:color w:val="000000"/>
        </w:rPr>
        <w:t xml:space="preserve">The recommended dose of Glivec is 400 mg/day for </w:t>
      </w:r>
      <w:r w:rsidR="00E539BC" w:rsidRPr="00654EF1">
        <w:rPr>
          <w:color w:val="000000"/>
        </w:rPr>
        <w:t xml:space="preserve">adult </w:t>
      </w:r>
      <w:r w:rsidRPr="00654EF1">
        <w:rPr>
          <w:color w:val="000000"/>
        </w:rPr>
        <w:t xml:space="preserve">patients with </w:t>
      </w:r>
      <w:smartTag w:uri="urn:schemas-microsoft-com:office:smarttags" w:element="stockticker">
        <w:r w:rsidRPr="00654EF1">
          <w:rPr>
            <w:color w:val="000000"/>
          </w:rPr>
          <w:t>MDS</w:t>
        </w:r>
      </w:smartTag>
      <w:r w:rsidRPr="00654EF1">
        <w:rPr>
          <w:color w:val="000000"/>
        </w:rPr>
        <w:t>/MPD.</w:t>
      </w:r>
    </w:p>
    <w:p w14:paraId="1B67FEA7" w14:textId="77777777" w:rsidR="00254208" w:rsidRPr="00654EF1" w:rsidRDefault="00254208" w:rsidP="001D5C8C">
      <w:pPr>
        <w:pStyle w:val="EndnoteText"/>
        <w:widowControl w:val="0"/>
        <w:tabs>
          <w:tab w:val="clear" w:pos="567"/>
        </w:tabs>
        <w:rPr>
          <w:color w:val="000000"/>
          <w:szCs w:val="22"/>
        </w:rPr>
      </w:pPr>
    </w:p>
    <w:p w14:paraId="1B67FEA8" w14:textId="77777777" w:rsidR="00254208" w:rsidRPr="00654EF1" w:rsidRDefault="00254208" w:rsidP="001D5C8C">
      <w:pPr>
        <w:pStyle w:val="EndnoteText"/>
        <w:widowControl w:val="0"/>
        <w:tabs>
          <w:tab w:val="clear" w:pos="567"/>
        </w:tabs>
        <w:rPr>
          <w:color w:val="000000"/>
          <w:szCs w:val="22"/>
        </w:rPr>
      </w:pPr>
      <w:r w:rsidRPr="00654EF1">
        <w:rPr>
          <w:color w:val="000000"/>
          <w:szCs w:val="22"/>
        </w:rPr>
        <w:t>Treatment duration: In the only clinical trial performed up to now, treatment with Glivec was continued until disease progression</w:t>
      </w:r>
      <w:r w:rsidR="003914B4" w:rsidRPr="00654EF1">
        <w:rPr>
          <w:color w:val="000000"/>
          <w:szCs w:val="22"/>
        </w:rPr>
        <w:t xml:space="preserve"> (see section 5.1)</w:t>
      </w:r>
      <w:r w:rsidRPr="00654EF1">
        <w:rPr>
          <w:color w:val="000000"/>
          <w:szCs w:val="22"/>
        </w:rPr>
        <w:t>.</w:t>
      </w:r>
      <w:r w:rsidR="00740EEE" w:rsidRPr="00654EF1">
        <w:rPr>
          <w:color w:val="000000"/>
          <w:szCs w:val="22"/>
        </w:rPr>
        <w:t xml:space="preserve"> At the time of analysis, the treatment duration was a median of 47 months (24 days</w:t>
      </w:r>
      <w:r w:rsidR="003914B4" w:rsidRPr="00654EF1">
        <w:rPr>
          <w:color w:val="000000"/>
          <w:szCs w:val="22"/>
        </w:rPr>
        <w:t xml:space="preserve"> </w:t>
      </w:r>
      <w:r w:rsidR="00740EEE" w:rsidRPr="00654EF1">
        <w:rPr>
          <w:color w:val="000000"/>
          <w:szCs w:val="22"/>
        </w:rPr>
        <w:t>-</w:t>
      </w:r>
      <w:r w:rsidR="003914B4" w:rsidRPr="00654EF1">
        <w:rPr>
          <w:color w:val="000000"/>
          <w:szCs w:val="22"/>
        </w:rPr>
        <w:t xml:space="preserve"> </w:t>
      </w:r>
      <w:r w:rsidR="00740EEE" w:rsidRPr="00654EF1">
        <w:rPr>
          <w:color w:val="000000"/>
          <w:szCs w:val="22"/>
        </w:rPr>
        <w:t>60 months).</w:t>
      </w:r>
    </w:p>
    <w:p w14:paraId="1B67FEA9" w14:textId="77777777" w:rsidR="00AF1D36" w:rsidRPr="00654EF1" w:rsidRDefault="00AF1D36" w:rsidP="001D5C8C">
      <w:pPr>
        <w:pStyle w:val="EndnoteText"/>
        <w:widowControl w:val="0"/>
        <w:tabs>
          <w:tab w:val="clear" w:pos="567"/>
        </w:tabs>
        <w:rPr>
          <w:color w:val="000000"/>
          <w:szCs w:val="22"/>
        </w:rPr>
      </w:pPr>
    </w:p>
    <w:p w14:paraId="1B67FEAA" w14:textId="77777777" w:rsidR="00AF1D36" w:rsidRPr="00654EF1" w:rsidRDefault="00AF1D36" w:rsidP="001D5C8C">
      <w:pPr>
        <w:pStyle w:val="EndnoteText"/>
        <w:keepNext/>
        <w:widowControl w:val="0"/>
        <w:tabs>
          <w:tab w:val="clear" w:pos="567"/>
        </w:tabs>
        <w:rPr>
          <w:color w:val="000000"/>
          <w:szCs w:val="22"/>
          <w:u w:val="single"/>
        </w:rPr>
      </w:pPr>
      <w:r w:rsidRPr="00654EF1">
        <w:rPr>
          <w:color w:val="000000"/>
          <w:szCs w:val="22"/>
          <w:u w:val="single"/>
        </w:rPr>
        <w:t>Posology for HES/</w:t>
      </w:r>
      <w:smartTag w:uri="urn:schemas-microsoft-com:office:smarttags" w:element="stockticker">
        <w:r w:rsidRPr="00654EF1">
          <w:rPr>
            <w:color w:val="000000"/>
            <w:szCs w:val="22"/>
            <w:u w:val="single"/>
          </w:rPr>
          <w:t>CEL</w:t>
        </w:r>
      </w:smartTag>
    </w:p>
    <w:p w14:paraId="1B67FEAB" w14:textId="77777777" w:rsidR="00AF1D36" w:rsidRPr="00654EF1" w:rsidRDefault="00AF1D36" w:rsidP="001D5C8C">
      <w:pPr>
        <w:pStyle w:val="Text"/>
        <w:widowControl w:val="0"/>
        <w:spacing w:before="0"/>
        <w:jc w:val="left"/>
        <w:rPr>
          <w:color w:val="000000"/>
          <w:sz w:val="22"/>
          <w:szCs w:val="22"/>
          <w:lang w:val="en-GB"/>
        </w:rPr>
      </w:pPr>
      <w:r w:rsidRPr="00654EF1">
        <w:rPr>
          <w:color w:val="000000"/>
          <w:sz w:val="22"/>
          <w:szCs w:val="22"/>
          <w:lang w:val="en-GB"/>
        </w:rPr>
        <w:t xml:space="preserve">The recommended dose of Glivec is 100 mg/day for </w:t>
      </w:r>
      <w:r w:rsidR="00E539BC" w:rsidRPr="00654EF1">
        <w:rPr>
          <w:color w:val="000000"/>
          <w:sz w:val="22"/>
          <w:szCs w:val="22"/>
          <w:lang w:val="en-GB"/>
        </w:rPr>
        <w:t xml:space="preserve">adult </w:t>
      </w:r>
      <w:r w:rsidRPr="00654EF1">
        <w:rPr>
          <w:color w:val="000000"/>
          <w:sz w:val="22"/>
          <w:szCs w:val="22"/>
          <w:lang w:val="en-GB"/>
        </w:rPr>
        <w:t>patients with HES/</w:t>
      </w:r>
      <w:smartTag w:uri="urn:schemas-microsoft-com:office:smarttags" w:element="stockticker">
        <w:r w:rsidRPr="00654EF1">
          <w:rPr>
            <w:color w:val="000000"/>
            <w:sz w:val="22"/>
            <w:szCs w:val="22"/>
            <w:lang w:val="en-GB"/>
          </w:rPr>
          <w:t>CEL</w:t>
        </w:r>
      </w:smartTag>
      <w:r w:rsidRPr="00654EF1">
        <w:rPr>
          <w:color w:val="000000"/>
          <w:sz w:val="22"/>
          <w:szCs w:val="22"/>
          <w:lang w:val="en-GB"/>
        </w:rPr>
        <w:t>.</w:t>
      </w:r>
    </w:p>
    <w:p w14:paraId="1B67FEAC" w14:textId="77777777" w:rsidR="00AF1D36" w:rsidRPr="00654EF1" w:rsidRDefault="00AF1D36" w:rsidP="001D5C8C">
      <w:pPr>
        <w:pStyle w:val="Text"/>
        <w:widowControl w:val="0"/>
        <w:spacing w:before="0"/>
        <w:jc w:val="left"/>
        <w:rPr>
          <w:color w:val="000000"/>
          <w:sz w:val="22"/>
          <w:szCs w:val="22"/>
          <w:lang w:val="en-GB"/>
        </w:rPr>
      </w:pPr>
    </w:p>
    <w:p w14:paraId="1B67FEAD" w14:textId="77777777" w:rsidR="00AF1D36" w:rsidRPr="00654EF1" w:rsidRDefault="004D0E4C" w:rsidP="001D5C8C">
      <w:pPr>
        <w:pStyle w:val="Text"/>
        <w:widowControl w:val="0"/>
        <w:spacing w:before="0"/>
        <w:jc w:val="left"/>
        <w:rPr>
          <w:color w:val="000000"/>
          <w:sz w:val="22"/>
          <w:szCs w:val="22"/>
          <w:lang w:val="en-GB"/>
        </w:rPr>
      </w:pPr>
      <w:r w:rsidRPr="00654EF1">
        <w:rPr>
          <w:color w:val="000000"/>
          <w:sz w:val="22"/>
          <w:szCs w:val="22"/>
        </w:rPr>
        <w:t>Dose increase from 100 mg to 400 mg</w:t>
      </w:r>
      <w:r w:rsidR="00AF1D36" w:rsidRPr="00654EF1">
        <w:rPr>
          <w:color w:val="000000"/>
          <w:sz w:val="22"/>
          <w:szCs w:val="22"/>
          <w:lang w:val="en-GB"/>
        </w:rPr>
        <w:t xml:space="preserve"> may be considered in the absence of adverse drug reactions if assessments demonstrate an insufficient response to therapy.</w:t>
      </w:r>
    </w:p>
    <w:p w14:paraId="1B67FEAE" w14:textId="77777777" w:rsidR="00241B33" w:rsidRPr="00654EF1" w:rsidRDefault="00241B33" w:rsidP="001D5C8C">
      <w:pPr>
        <w:pStyle w:val="Text"/>
        <w:widowControl w:val="0"/>
        <w:spacing w:before="0"/>
        <w:jc w:val="left"/>
        <w:rPr>
          <w:color w:val="000000"/>
          <w:sz w:val="22"/>
          <w:szCs w:val="22"/>
          <w:lang w:val="en-GB"/>
        </w:rPr>
      </w:pPr>
    </w:p>
    <w:p w14:paraId="1B67FEAF" w14:textId="77777777" w:rsidR="00241B33" w:rsidRPr="00654EF1" w:rsidRDefault="00241B33" w:rsidP="001D5C8C">
      <w:pPr>
        <w:pStyle w:val="Text"/>
        <w:widowControl w:val="0"/>
        <w:spacing w:before="0"/>
        <w:jc w:val="left"/>
        <w:rPr>
          <w:color w:val="000000"/>
          <w:sz w:val="22"/>
          <w:szCs w:val="22"/>
          <w:lang w:val="en-GB"/>
        </w:rPr>
      </w:pPr>
      <w:r w:rsidRPr="00654EF1">
        <w:rPr>
          <w:color w:val="000000"/>
          <w:sz w:val="22"/>
          <w:szCs w:val="22"/>
          <w:lang w:val="en-GB"/>
        </w:rPr>
        <w:t>Treatment should be continued as long as the patient continues to benefit.</w:t>
      </w:r>
    </w:p>
    <w:p w14:paraId="1B67FEB0" w14:textId="77777777" w:rsidR="009B57ED" w:rsidRPr="00654EF1" w:rsidRDefault="009B57ED" w:rsidP="001D5C8C">
      <w:pPr>
        <w:pStyle w:val="EndnoteText"/>
        <w:widowControl w:val="0"/>
        <w:tabs>
          <w:tab w:val="clear" w:pos="567"/>
        </w:tabs>
        <w:rPr>
          <w:color w:val="000000"/>
          <w:szCs w:val="22"/>
        </w:rPr>
      </w:pPr>
    </w:p>
    <w:p w14:paraId="1B67FEB1" w14:textId="77777777" w:rsidR="000D2060" w:rsidRPr="00654EF1" w:rsidRDefault="000D2060" w:rsidP="001D5C8C">
      <w:pPr>
        <w:pStyle w:val="EndnoteText"/>
        <w:keepNext/>
        <w:widowControl w:val="0"/>
        <w:tabs>
          <w:tab w:val="clear" w:pos="567"/>
        </w:tabs>
        <w:rPr>
          <w:color w:val="000000"/>
          <w:szCs w:val="22"/>
          <w:u w:val="single"/>
        </w:rPr>
      </w:pPr>
      <w:r w:rsidRPr="00654EF1">
        <w:rPr>
          <w:color w:val="000000"/>
          <w:szCs w:val="22"/>
          <w:u w:val="single"/>
        </w:rPr>
        <w:t>Posology for GIST</w:t>
      </w:r>
    </w:p>
    <w:p w14:paraId="1B67FEB2" w14:textId="77777777" w:rsidR="000D2060" w:rsidRPr="00654EF1" w:rsidRDefault="000D2060" w:rsidP="001D5C8C">
      <w:pPr>
        <w:pStyle w:val="EndnoteText"/>
        <w:widowControl w:val="0"/>
        <w:tabs>
          <w:tab w:val="clear" w:pos="567"/>
        </w:tabs>
        <w:rPr>
          <w:color w:val="000000"/>
          <w:szCs w:val="22"/>
        </w:rPr>
      </w:pPr>
      <w:r w:rsidRPr="00654EF1">
        <w:rPr>
          <w:color w:val="000000"/>
          <w:szCs w:val="22"/>
        </w:rPr>
        <w:t xml:space="preserve">The recommended dose of Glivec is 400 mg/day for </w:t>
      </w:r>
      <w:r w:rsidR="00E539BC" w:rsidRPr="00654EF1">
        <w:rPr>
          <w:color w:val="000000"/>
          <w:szCs w:val="22"/>
        </w:rPr>
        <w:t xml:space="preserve">adult </w:t>
      </w:r>
      <w:r w:rsidRPr="00654EF1">
        <w:rPr>
          <w:color w:val="000000"/>
          <w:szCs w:val="22"/>
        </w:rPr>
        <w:t>patients with unresectable and/or metastatic malignant GIST.</w:t>
      </w:r>
    </w:p>
    <w:p w14:paraId="1B67FEB3" w14:textId="77777777" w:rsidR="000D2060" w:rsidRPr="00654EF1" w:rsidRDefault="000D2060" w:rsidP="001D5C8C">
      <w:pPr>
        <w:pStyle w:val="EndnoteText"/>
        <w:widowControl w:val="0"/>
        <w:tabs>
          <w:tab w:val="clear" w:pos="567"/>
        </w:tabs>
        <w:rPr>
          <w:color w:val="000000"/>
          <w:szCs w:val="22"/>
        </w:rPr>
      </w:pPr>
    </w:p>
    <w:p w14:paraId="1B67FEB4" w14:textId="77777777" w:rsidR="000D2060" w:rsidRPr="00654EF1" w:rsidRDefault="000D2060" w:rsidP="001D5C8C">
      <w:pPr>
        <w:pStyle w:val="EndnoteText"/>
        <w:widowControl w:val="0"/>
        <w:tabs>
          <w:tab w:val="clear" w:pos="567"/>
        </w:tabs>
        <w:rPr>
          <w:color w:val="000000"/>
          <w:szCs w:val="22"/>
        </w:rPr>
      </w:pPr>
      <w:r w:rsidRPr="00654EF1">
        <w:rPr>
          <w:color w:val="000000"/>
          <w:szCs w:val="22"/>
        </w:rPr>
        <w:t>Limited data exist on the effect of dose increases from 400 mg to 600 mg or 800 mg in patients progressing at the lower dose (see section 5.1).</w:t>
      </w:r>
    </w:p>
    <w:p w14:paraId="1B67FEB5" w14:textId="77777777" w:rsidR="000D2060" w:rsidRPr="00654EF1" w:rsidRDefault="000D2060" w:rsidP="001D5C8C">
      <w:pPr>
        <w:pStyle w:val="EndnoteText"/>
        <w:widowControl w:val="0"/>
        <w:tabs>
          <w:tab w:val="clear" w:pos="567"/>
        </w:tabs>
        <w:rPr>
          <w:color w:val="000000"/>
          <w:szCs w:val="22"/>
        </w:rPr>
      </w:pPr>
    </w:p>
    <w:p w14:paraId="1B67FEB6" w14:textId="77777777" w:rsidR="000D2060" w:rsidRPr="00654EF1" w:rsidRDefault="000D2060" w:rsidP="001D5C8C">
      <w:pPr>
        <w:pStyle w:val="EndnoteText"/>
        <w:widowControl w:val="0"/>
        <w:tabs>
          <w:tab w:val="clear" w:pos="567"/>
        </w:tabs>
        <w:rPr>
          <w:color w:val="000000"/>
          <w:szCs w:val="22"/>
        </w:rPr>
      </w:pPr>
      <w:r w:rsidRPr="00654EF1">
        <w:rPr>
          <w:color w:val="000000"/>
          <w:szCs w:val="22"/>
        </w:rPr>
        <w:t>Treatment duration: In clinical trials in GIST patients, treatment with Glivec was continued until disease progression. At the time of analysis, the treatment duration was a median of 7 months (7 days to 13 months). The effect of stopping treatment after achieving a response has not been investigated.</w:t>
      </w:r>
    </w:p>
    <w:p w14:paraId="1B67FEB7" w14:textId="77777777" w:rsidR="000D2060" w:rsidRPr="00654EF1" w:rsidRDefault="000D2060" w:rsidP="001D5C8C">
      <w:pPr>
        <w:pStyle w:val="EndnoteText"/>
        <w:widowControl w:val="0"/>
        <w:tabs>
          <w:tab w:val="clear" w:pos="567"/>
        </w:tabs>
        <w:rPr>
          <w:color w:val="000000"/>
          <w:szCs w:val="22"/>
        </w:rPr>
      </w:pPr>
    </w:p>
    <w:p w14:paraId="1B67FEB8" w14:textId="77777777" w:rsidR="000D2060" w:rsidRPr="00654EF1" w:rsidRDefault="00936EF9" w:rsidP="001D5C8C">
      <w:pPr>
        <w:pStyle w:val="Text"/>
        <w:widowControl w:val="0"/>
        <w:spacing w:before="0"/>
        <w:jc w:val="left"/>
        <w:rPr>
          <w:color w:val="000000"/>
        </w:rPr>
      </w:pPr>
      <w:r w:rsidRPr="00654EF1">
        <w:rPr>
          <w:color w:val="000000"/>
          <w:sz w:val="22"/>
          <w:szCs w:val="22"/>
        </w:rPr>
        <w:t xml:space="preserve">The recommended dose of Glivec is 400 mg/day for the adjuvant treatment of adult patients following resection of GIST. Optimal treatment duration is not yet established. Length of treatment in the clinical trial supporting this indication was </w:t>
      </w:r>
      <w:r w:rsidR="00362732" w:rsidRPr="00654EF1">
        <w:rPr>
          <w:color w:val="000000"/>
          <w:sz w:val="22"/>
          <w:szCs w:val="22"/>
        </w:rPr>
        <w:t>36 </w:t>
      </w:r>
      <w:r w:rsidRPr="00654EF1">
        <w:rPr>
          <w:color w:val="000000"/>
          <w:sz w:val="22"/>
          <w:szCs w:val="22"/>
        </w:rPr>
        <w:t>months</w:t>
      </w:r>
      <w:r w:rsidR="00A40BA1" w:rsidRPr="00654EF1">
        <w:rPr>
          <w:color w:val="000000"/>
          <w:sz w:val="22"/>
          <w:szCs w:val="22"/>
        </w:rPr>
        <w:t xml:space="preserve"> (see section 5.1)</w:t>
      </w:r>
      <w:r w:rsidR="000D2060" w:rsidRPr="00654EF1">
        <w:rPr>
          <w:color w:val="000000"/>
          <w:sz w:val="22"/>
          <w:szCs w:val="22"/>
          <w:lang w:val="en-GB"/>
        </w:rPr>
        <w:t>.</w:t>
      </w:r>
    </w:p>
    <w:p w14:paraId="1B67FEB9" w14:textId="77777777" w:rsidR="000D2060" w:rsidRPr="00654EF1" w:rsidRDefault="000D2060" w:rsidP="001D5C8C">
      <w:pPr>
        <w:pStyle w:val="EndnoteText"/>
        <w:widowControl w:val="0"/>
        <w:tabs>
          <w:tab w:val="clear" w:pos="567"/>
        </w:tabs>
        <w:rPr>
          <w:color w:val="000000"/>
          <w:szCs w:val="22"/>
        </w:rPr>
      </w:pPr>
    </w:p>
    <w:p w14:paraId="1B67FEBA" w14:textId="77777777" w:rsidR="0078783A" w:rsidRPr="00654EF1" w:rsidRDefault="0078783A" w:rsidP="001D5C8C">
      <w:pPr>
        <w:pStyle w:val="EndnoteText"/>
        <w:keepNext/>
        <w:widowControl w:val="0"/>
        <w:tabs>
          <w:tab w:val="clear" w:pos="567"/>
        </w:tabs>
        <w:rPr>
          <w:color w:val="000000"/>
          <w:szCs w:val="22"/>
          <w:u w:val="single"/>
        </w:rPr>
      </w:pPr>
      <w:r w:rsidRPr="00654EF1">
        <w:rPr>
          <w:color w:val="000000"/>
          <w:szCs w:val="22"/>
          <w:u w:val="single"/>
        </w:rPr>
        <w:t>Posology for DFSP</w:t>
      </w:r>
    </w:p>
    <w:p w14:paraId="1B67FEBB" w14:textId="77777777" w:rsidR="0078783A" w:rsidRPr="00654EF1" w:rsidRDefault="0078783A" w:rsidP="001D5C8C">
      <w:pPr>
        <w:pStyle w:val="EndnoteText"/>
        <w:widowControl w:val="0"/>
        <w:tabs>
          <w:tab w:val="clear" w:pos="567"/>
        </w:tabs>
        <w:rPr>
          <w:color w:val="000000"/>
          <w:szCs w:val="22"/>
        </w:rPr>
      </w:pPr>
      <w:r w:rsidRPr="00654EF1">
        <w:rPr>
          <w:color w:val="000000"/>
        </w:rPr>
        <w:t xml:space="preserve">The recommended dose of Glivec is 800 mg/day for </w:t>
      </w:r>
      <w:r w:rsidR="00E539BC" w:rsidRPr="00654EF1">
        <w:rPr>
          <w:color w:val="000000"/>
        </w:rPr>
        <w:t xml:space="preserve">adult </w:t>
      </w:r>
      <w:r w:rsidRPr="00654EF1">
        <w:rPr>
          <w:color w:val="000000"/>
        </w:rPr>
        <w:t>patients with DFSP.</w:t>
      </w:r>
    </w:p>
    <w:p w14:paraId="1B67FEBC" w14:textId="77777777" w:rsidR="009B57ED" w:rsidRPr="00654EF1" w:rsidRDefault="009B57ED" w:rsidP="001D5C8C">
      <w:pPr>
        <w:pStyle w:val="EndnoteText"/>
        <w:widowControl w:val="0"/>
        <w:tabs>
          <w:tab w:val="clear" w:pos="567"/>
        </w:tabs>
        <w:rPr>
          <w:color w:val="000000"/>
          <w:szCs w:val="22"/>
        </w:rPr>
      </w:pPr>
    </w:p>
    <w:p w14:paraId="1B67FEBD"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lastRenderedPageBreak/>
        <w:t>Dose adjustment for adverse reactions</w:t>
      </w:r>
    </w:p>
    <w:p w14:paraId="1B67FEBE" w14:textId="77777777" w:rsidR="009B57ED" w:rsidRPr="00654EF1" w:rsidRDefault="009B57ED" w:rsidP="001D5C8C">
      <w:pPr>
        <w:pStyle w:val="EndnoteText"/>
        <w:keepNext/>
        <w:widowControl w:val="0"/>
        <w:tabs>
          <w:tab w:val="clear" w:pos="567"/>
        </w:tabs>
        <w:rPr>
          <w:i/>
          <w:color w:val="000000"/>
          <w:szCs w:val="22"/>
        </w:rPr>
      </w:pPr>
      <w:r w:rsidRPr="00654EF1">
        <w:rPr>
          <w:i/>
          <w:color w:val="000000"/>
          <w:szCs w:val="22"/>
        </w:rPr>
        <w:t>Non-haematological adverse reactions</w:t>
      </w:r>
    </w:p>
    <w:p w14:paraId="1B67FEBF"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If a severe non-haematological adverse reaction develops with Glivec use, treatment must be withheld until the event has resolved. Thereafter, treatment can be resumed as appropriate depending on the initial severity of the event.</w:t>
      </w:r>
    </w:p>
    <w:p w14:paraId="1B67FEC0" w14:textId="77777777" w:rsidR="009B57ED" w:rsidRPr="00654EF1" w:rsidRDefault="009B57ED" w:rsidP="001D5C8C">
      <w:pPr>
        <w:pStyle w:val="EndnoteText"/>
        <w:widowControl w:val="0"/>
        <w:tabs>
          <w:tab w:val="clear" w:pos="567"/>
        </w:tabs>
        <w:rPr>
          <w:color w:val="000000"/>
          <w:szCs w:val="22"/>
        </w:rPr>
      </w:pPr>
    </w:p>
    <w:p w14:paraId="1B67FEC1"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If elevations in bilirubin &gt; 3 x institutional upper limit of normal (IULN) or in liver transaminases &gt; 5 x IULN occur, Glivec should be withheld until bilirubin levels have returned to &lt; 1.5 x IULN and transaminase levels to &lt; 2.5 x IULN. Treatment with Glivec may then be continued at a reduced daily dose. In adults the dose should be reduced from 400 to 300 mg or from 600 to 400 mg</w:t>
      </w:r>
      <w:r w:rsidR="0078783A" w:rsidRPr="00654EF1">
        <w:rPr>
          <w:color w:val="000000"/>
          <w:szCs w:val="22"/>
        </w:rPr>
        <w:t xml:space="preserve">, </w:t>
      </w:r>
      <w:r w:rsidR="0078783A" w:rsidRPr="00654EF1">
        <w:rPr>
          <w:color w:val="000000"/>
        </w:rPr>
        <w:t>or from 800 mg to 600 mg,</w:t>
      </w:r>
      <w:r w:rsidRPr="00654EF1">
        <w:rPr>
          <w:color w:val="000000"/>
          <w:szCs w:val="22"/>
        </w:rPr>
        <w:t xml:space="preserve"> and in children from 340 to 260 mg</w:t>
      </w:r>
      <w:r w:rsidRPr="00654EF1">
        <w:rPr>
          <w:color w:val="000000"/>
          <w:szCs w:val="22"/>
          <w:lang w:val="en-US"/>
        </w:rPr>
        <w:t>/m</w:t>
      </w:r>
      <w:r w:rsidRPr="00654EF1">
        <w:rPr>
          <w:color w:val="000000"/>
          <w:szCs w:val="22"/>
          <w:vertAlign w:val="superscript"/>
          <w:lang w:val="en-US"/>
        </w:rPr>
        <w:t>2</w:t>
      </w:r>
      <w:r w:rsidRPr="00654EF1">
        <w:rPr>
          <w:color w:val="000000"/>
          <w:szCs w:val="22"/>
        </w:rPr>
        <w:t>/day.</w:t>
      </w:r>
    </w:p>
    <w:p w14:paraId="1B67FEC2" w14:textId="77777777" w:rsidR="009B57ED" w:rsidRPr="00654EF1" w:rsidRDefault="009B57ED" w:rsidP="001D5C8C">
      <w:pPr>
        <w:pStyle w:val="EndnoteText"/>
        <w:widowControl w:val="0"/>
        <w:tabs>
          <w:tab w:val="clear" w:pos="567"/>
        </w:tabs>
        <w:rPr>
          <w:color w:val="000000"/>
          <w:szCs w:val="22"/>
        </w:rPr>
      </w:pPr>
    </w:p>
    <w:p w14:paraId="1B67FEC3" w14:textId="77777777" w:rsidR="009B57ED" w:rsidRPr="00654EF1" w:rsidRDefault="009B57ED" w:rsidP="001D5C8C">
      <w:pPr>
        <w:pStyle w:val="EndnoteText"/>
        <w:keepNext/>
        <w:widowControl w:val="0"/>
        <w:tabs>
          <w:tab w:val="clear" w:pos="567"/>
        </w:tabs>
        <w:rPr>
          <w:i/>
          <w:color w:val="000000"/>
          <w:szCs w:val="22"/>
        </w:rPr>
      </w:pPr>
      <w:r w:rsidRPr="00654EF1">
        <w:rPr>
          <w:i/>
          <w:color w:val="000000"/>
          <w:szCs w:val="22"/>
        </w:rPr>
        <w:t>Haematological adverse reactions</w:t>
      </w:r>
    </w:p>
    <w:p w14:paraId="1B67FEC4"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Dose reduction or treatment interruption for severe neutropenia and thrombocytopenia are recommended as indicated in the table below.</w:t>
      </w:r>
    </w:p>
    <w:p w14:paraId="1B67FEC5" w14:textId="77777777" w:rsidR="009B57ED" w:rsidRPr="00654EF1" w:rsidRDefault="009B57ED" w:rsidP="001D5C8C">
      <w:pPr>
        <w:pStyle w:val="EndnoteText"/>
        <w:widowControl w:val="0"/>
        <w:tabs>
          <w:tab w:val="clear" w:pos="567"/>
        </w:tabs>
        <w:rPr>
          <w:color w:val="000000"/>
          <w:szCs w:val="22"/>
        </w:rPr>
      </w:pPr>
    </w:p>
    <w:p w14:paraId="1B67FEC6"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Dose adjustments for neutropenia and thrombocytopenia:</w:t>
      </w:r>
    </w:p>
    <w:p w14:paraId="1B67FEC7" w14:textId="77777777" w:rsidR="008F1C56" w:rsidRPr="00654EF1" w:rsidRDefault="008F1C56"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AF1D36" w:rsidRPr="00654EF1" w14:paraId="1B67FECE" w14:textId="77777777" w:rsidTr="006F3324">
        <w:trPr>
          <w:cantSplit/>
        </w:trPr>
        <w:tc>
          <w:tcPr>
            <w:tcW w:w="2376" w:type="dxa"/>
          </w:tcPr>
          <w:p w14:paraId="1B67FEC8" w14:textId="77777777" w:rsidR="00AF1D36" w:rsidRPr="00654EF1" w:rsidRDefault="00AF1D36" w:rsidP="005E7BE5">
            <w:pPr>
              <w:pStyle w:val="EndnoteText"/>
              <w:keepNext/>
              <w:keepLines/>
              <w:widowControl w:val="0"/>
              <w:tabs>
                <w:tab w:val="clear" w:pos="567"/>
              </w:tabs>
              <w:rPr>
                <w:color w:val="000000"/>
                <w:szCs w:val="22"/>
              </w:rPr>
            </w:pPr>
            <w:r w:rsidRPr="00654EF1">
              <w:rPr>
                <w:color w:val="000000"/>
                <w:szCs w:val="22"/>
              </w:rPr>
              <w:t>HES/</w:t>
            </w:r>
            <w:smartTag w:uri="urn:schemas-microsoft-com:office:smarttags" w:element="stockticker">
              <w:r w:rsidRPr="00654EF1">
                <w:rPr>
                  <w:color w:val="000000"/>
                  <w:szCs w:val="22"/>
                </w:rPr>
                <w:t>CEL</w:t>
              </w:r>
            </w:smartTag>
            <w:r w:rsidRPr="00654EF1">
              <w:rPr>
                <w:color w:val="000000"/>
                <w:szCs w:val="22"/>
              </w:rPr>
              <w:t xml:space="preserve"> (starting dose 100 mg)</w:t>
            </w:r>
          </w:p>
        </w:tc>
        <w:tc>
          <w:tcPr>
            <w:tcW w:w="2400" w:type="dxa"/>
          </w:tcPr>
          <w:p w14:paraId="1B67FEC9" w14:textId="77777777" w:rsidR="00AF1D36" w:rsidRPr="00654EF1" w:rsidRDefault="00AF1D36" w:rsidP="005E7BE5">
            <w:pPr>
              <w:pStyle w:val="Table"/>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CA" w14:textId="77777777" w:rsidR="00AF1D36" w:rsidRPr="00654EF1" w:rsidRDefault="00AF1D36" w:rsidP="005E7BE5">
            <w:pPr>
              <w:pStyle w:val="Table"/>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CB" w14:textId="77777777" w:rsidR="00AF1D36" w:rsidRPr="00654EF1" w:rsidRDefault="00AF1D36" w:rsidP="005E7BE5">
            <w:pPr>
              <w:pStyle w:val="Table"/>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rPr>
              <w:t>platelets &lt; 50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w:t>
            </w:r>
          </w:p>
        </w:tc>
        <w:tc>
          <w:tcPr>
            <w:tcW w:w="4404" w:type="dxa"/>
          </w:tcPr>
          <w:p w14:paraId="1B67FECC" w14:textId="77777777" w:rsidR="00AF1D36" w:rsidRPr="00654EF1" w:rsidRDefault="008A1B05" w:rsidP="005E7BE5">
            <w:pPr>
              <w:pStyle w:val="Table"/>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AF1D36" w:rsidRPr="00654EF1">
              <w:rPr>
                <w:rFonts w:ascii="Times New Roman" w:hAnsi="Times New Roman"/>
                <w:color w:val="000000"/>
                <w:sz w:val="22"/>
                <w:szCs w:val="22"/>
                <w:lang w:val="en-GB"/>
              </w:rPr>
              <w:t xml:space="preserve">Stop Glivec until ANC </w:t>
            </w:r>
            <w:r w:rsidR="00AF1D36" w:rsidRPr="00654EF1">
              <w:rPr>
                <w:rFonts w:ascii="Times New Roman" w:hAnsi="Times New Roman"/>
                <w:color w:val="000000"/>
                <w:sz w:val="22"/>
                <w:szCs w:val="22"/>
                <w:lang w:val="en-GB"/>
              </w:rPr>
              <w:sym w:font="Symbol" w:char="F0B3"/>
            </w:r>
            <w:r w:rsidR="00AF1D36" w:rsidRPr="00654EF1">
              <w:rPr>
                <w:rFonts w:ascii="Times New Roman" w:hAnsi="Times New Roman"/>
                <w:color w:val="000000"/>
                <w:sz w:val="22"/>
                <w:szCs w:val="22"/>
                <w:lang w:val="en-GB"/>
              </w:rPr>
              <w:t> 1.5 x 10</w:t>
            </w:r>
            <w:r w:rsidR="00AF1D36" w:rsidRPr="00654EF1">
              <w:rPr>
                <w:rFonts w:ascii="Times New Roman" w:hAnsi="Times New Roman"/>
                <w:color w:val="000000"/>
                <w:sz w:val="22"/>
                <w:szCs w:val="22"/>
                <w:vertAlign w:val="superscript"/>
                <w:lang w:val="en-GB"/>
              </w:rPr>
              <w:t>9</w:t>
            </w:r>
            <w:r w:rsidR="00AF1D36" w:rsidRPr="00654EF1">
              <w:rPr>
                <w:rFonts w:ascii="Times New Roman" w:hAnsi="Times New Roman"/>
                <w:color w:val="000000"/>
                <w:sz w:val="22"/>
                <w:szCs w:val="22"/>
                <w:lang w:val="en-GB"/>
              </w:rPr>
              <w:t xml:space="preserve">/l and platelets </w:t>
            </w:r>
            <w:r w:rsidR="00AF1D36" w:rsidRPr="00654EF1">
              <w:rPr>
                <w:rFonts w:ascii="Times New Roman" w:hAnsi="Times New Roman"/>
                <w:color w:val="000000"/>
                <w:sz w:val="22"/>
                <w:szCs w:val="22"/>
                <w:lang w:val="en-GB"/>
              </w:rPr>
              <w:sym w:font="Symbol" w:char="F0B3"/>
            </w:r>
            <w:r w:rsidR="00AF1D36" w:rsidRPr="00654EF1">
              <w:rPr>
                <w:rFonts w:ascii="Times New Roman" w:hAnsi="Times New Roman"/>
                <w:color w:val="000000"/>
                <w:sz w:val="22"/>
                <w:szCs w:val="22"/>
                <w:lang w:val="en-GB"/>
              </w:rPr>
              <w:t> 75 x 10</w:t>
            </w:r>
            <w:r w:rsidR="00AF1D36" w:rsidRPr="00654EF1">
              <w:rPr>
                <w:rFonts w:ascii="Times New Roman" w:hAnsi="Times New Roman"/>
                <w:color w:val="000000"/>
                <w:sz w:val="22"/>
                <w:szCs w:val="22"/>
                <w:vertAlign w:val="superscript"/>
                <w:lang w:val="en-GB"/>
              </w:rPr>
              <w:t>9</w:t>
            </w:r>
            <w:r w:rsidR="00AF1D36" w:rsidRPr="00654EF1">
              <w:rPr>
                <w:rFonts w:ascii="Times New Roman" w:hAnsi="Times New Roman"/>
                <w:color w:val="000000"/>
                <w:sz w:val="22"/>
                <w:szCs w:val="22"/>
                <w:lang w:val="en-GB"/>
              </w:rPr>
              <w:t>/l.</w:t>
            </w:r>
          </w:p>
          <w:p w14:paraId="1B67FECD" w14:textId="77777777" w:rsidR="00AF1D36" w:rsidRPr="00654EF1" w:rsidRDefault="008A1B05" w:rsidP="005E7BE5">
            <w:pPr>
              <w:pStyle w:val="Table"/>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AF1D36" w:rsidRPr="00654EF1">
              <w:rPr>
                <w:rFonts w:ascii="Times New Roman" w:hAnsi="Times New Roman"/>
                <w:color w:val="000000"/>
                <w:sz w:val="22"/>
                <w:szCs w:val="22"/>
                <w:lang w:val="en-GB"/>
              </w:rPr>
              <w:t>Resume treatment with Glivec at previous dose (i.e. before severe adverse reaction).</w:t>
            </w:r>
          </w:p>
        </w:tc>
      </w:tr>
      <w:tr w:rsidR="008F1C56" w:rsidRPr="00654EF1" w14:paraId="1B67FED8" w14:textId="77777777" w:rsidTr="006F3324">
        <w:trPr>
          <w:cantSplit/>
        </w:trPr>
        <w:tc>
          <w:tcPr>
            <w:tcW w:w="2376" w:type="dxa"/>
          </w:tcPr>
          <w:p w14:paraId="1B67FECF"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Chronic phase CML</w:t>
            </w:r>
            <w:r w:rsidR="00632833" w:rsidRPr="00654EF1">
              <w:rPr>
                <w:color w:val="000000"/>
                <w:szCs w:val="22"/>
              </w:rPr>
              <w:t xml:space="preserve">, </w:t>
            </w:r>
            <w:smartTag w:uri="urn:schemas-microsoft-com:office:smarttags" w:element="stockticker">
              <w:r w:rsidR="00632833" w:rsidRPr="00654EF1">
                <w:rPr>
                  <w:color w:val="000000"/>
                  <w:szCs w:val="22"/>
                </w:rPr>
                <w:t>MDS</w:t>
              </w:r>
            </w:smartTag>
            <w:r w:rsidR="00632833" w:rsidRPr="00654EF1">
              <w:rPr>
                <w:color w:val="000000"/>
                <w:szCs w:val="22"/>
              </w:rPr>
              <w:t>/MPD</w:t>
            </w:r>
            <w:r w:rsidRPr="00654EF1">
              <w:rPr>
                <w:color w:val="000000"/>
                <w:szCs w:val="22"/>
              </w:rPr>
              <w:t xml:space="preserve"> and GIST (starting dose 400 mg)</w:t>
            </w:r>
          </w:p>
          <w:p w14:paraId="1B67FED0" w14:textId="77777777" w:rsidR="00AF1D36" w:rsidRPr="00654EF1" w:rsidRDefault="00AF1D36" w:rsidP="001D5C8C">
            <w:pPr>
              <w:pStyle w:val="EndnoteText"/>
              <w:widowControl w:val="0"/>
              <w:tabs>
                <w:tab w:val="clear" w:pos="567"/>
              </w:tabs>
              <w:rPr>
                <w:color w:val="000000"/>
                <w:szCs w:val="22"/>
              </w:rPr>
            </w:pPr>
            <w:r w:rsidRPr="00654EF1">
              <w:rPr>
                <w:color w:val="000000"/>
                <w:szCs w:val="22"/>
              </w:rPr>
              <w:t>HES/</w:t>
            </w:r>
            <w:smartTag w:uri="urn:schemas-microsoft-com:office:smarttags" w:element="stockticker">
              <w:r w:rsidRPr="00654EF1">
                <w:rPr>
                  <w:color w:val="000000"/>
                  <w:szCs w:val="22"/>
                </w:rPr>
                <w:t>CEL</w:t>
              </w:r>
            </w:smartTag>
          </w:p>
          <w:p w14:paraId="1B67FED1" w14:textId="77777777" w:rsidR="00AF1D36" w:rsidRPr="00654EF1" w:rsidRDefault="00AF1D36" w:rsidP="001D5C8C">
            <w:pPr>
              <w:pStyle w:val="EndnoteText"/>
              <w:widowControl w:val="0"/>
              <w:tabs>
                <w:tab w:val="clear" w:pos="567"/>
              </w:tabs>
              <w:rPr>
                <w:color w:val="000000"/>
                <w:szCs w:val="22"/>
              </w:rPr>
            </w:pPr>
            <w:r w:rsidRPr="00654EF1">
              <w:rPr>
                <w:color w:val="000000"/>
                <w:szCs w:val="22"/>
              </w:rPr>
              <w:t>(at dose 400 mg)</w:t>
            </w:r>
          </w:p>
        </w:tc>
        <w:tc>
          <w:tcPr>
            <w:tcW w:w="2400" w:type="dxa"/>
          </w:tcPr>
          <w:p w14:paraId="1B67FED2"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D3"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D4"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platelets &lt; 50 x 10</w:t>
            </w:r>
            <w:r w:rsidRPr="00654EF1">
              <w:rPr>
                <w:color w:val="000000"/>
                <w:szCs w:val="22"/>
                <w:vertAlign w:val="superscript"/>
              </w:rPr>
              <w:t>9</w:t>
            </w:r>
            <w:r w:rsidRPr="00654EF1">
              <w:rPr>
                <w:color w:val="000000"/>
                <w:szCs w:val="22"/>
              </w:rPr>
              <w:t>/l</w:t>
            </w:r>
          </w:p>
        </w:tc>
        <w:tc>
          <w:tcPr>
            <w:tcW w:w="4404" w:type="dxa"/>
          </w:tcPr>
          <w:p w14:paraId="1B67FED5"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 xml:space="preserve">Stop Glivec until ANC </w:t>
            </w:r>
            <w:r w:rsidR="008F1C56" w:rsidRPr="00654EF1">
              <w:rPr>
                <w:rFonts w:ascii="Times New Roman" w:hAnsi="Times New Roman"/>
                <w:color w:val="000000"/>
                <w:sz w:val="22"/>
                <w:szCs w:val="22"/>
                <w:lang w:val="en-GB"/>
              </w:rPr>
              <w:sym w:font="Symbol" w:char="F0B3"/>
            </w:r>
            <w:r w:rsidR="008F1C56" w:rsidRPr="00654EF1">
              <w:rPr>
                <w:rFonts w:ascii="Times New Roman" w:hAnsi="Times New Roman"/>
                <w:color w:val="000000"/>
                <w:sz w:val="22"/>
                <w:szCs w:val="22"/>
                <w:lang w:val="en-GB"/>
              </w:rPr>
              <w:t> 1.5 x 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 xml:space="preserve">/l and platelets </w:t>
            </w:r>
            <w:r w:rsidR="008F1C56" w:rsidRPr="00654EF1">
              <w:rPr>
                <w:rFonts w:ascii="Times New Roman" w:hAnsi="Times New Roman"/>
                <w:color w:val="000000"/>
                <w:sz w:val="22"/>
                <w:szCs w:val="22"/>
                <w:lang w:val="en-GB"/>
              </w:rPr>
              <w:sym w:font="Symbol" w:char="F0B3"/>
            </w:r>
            <w:r w:rsidR="008F1C56" w:rsidRPr="00654EF1">
              <w:rPr>
                <w:rFonts w:ascii="Times New Roman" w:hAnsi="Times New Roman"/>
                <w:color w:val="000000"/>
                <w:sz w:val="22"/>
                <w:szCs w:val="22"/>
                <w:lang w:val="en-GB"/>
              </w:rPr>
              <w:t> 75 x 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/l.</w:t>
            </w:r>
          </w:p>
          <w:p w14:paraId="1B67FED6"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Resume treatment with Glivec at previous dose (i.e. before severe adverse reaction).</w:t>
            </w:r>
          </w:p>
          <w:p w14:paraId="1B67FED7" w14:textId="77777777" w:rsidR="008F1C56" w:rsidRPr="00654EF1" w:rsidRDefault="008A1B05" w:rsidP="001D5C8C">
            <w:pPr>
              <w:pStyle w:val="EndnoteText"/>
              <w:widowControl w:val="0"/>
              <w:tabs>
                <w:tab w:val="clear" w:pos="567"/>
              </w:tabs>
              <w:ind w:left="469" w:hanging="469"/>
              <w:rPr>
                <w:color w:val="000000"/>
                <w:szCs w:val="22"/>
              </w:rPr>
            </w:pPr>
            <w:r w:rsidRPr="00654EF1">
              <w:rPr>
                <w:color w:val="000000"/>
                <w:szCs w:val="22"/>
              </w:rPr>
              <w:t>3.</w:t>
            </w:r>
            <w:r w:rsidRPr="00654EF1">
              <w:rPr>
                <w:color w:val="000000"/>
                <w:szCs w:val="22"/>
              </w:rPr>
              <w:tab/>
            </w:r>
            <w:r w:rsidR="008F1C56" w:rsidRPr="00654EF1">
              <w:rPr>
                <w:color w:val="000000"/>
                <w:szCs w:val="22"/>
              </w:rPr>
              <w:t>In the event of recurrence of ANC &lt; 1.0 x 10</w:t>
            </w:r>
            <w:r w:rsidR="008F1C56" w:rsidRPr="00654EF1">
              <w:rPr>
                <w:color w:val="000000"/>
                <w:szCs w:val="22"/>
                <w:vertAlign w:val="superscript"/>
              </w:rPr>
              <w:t>9</w:t>
            </w:r>
            <w:r w:rsidR="008F1C56" w:rsidRPr="00654EF1">
              <w:rPr>
                <w:color w:val="000000"/>
                <w:szCs w:val="22"/>
              </w:rPr>
              <w:t>/l and/or platelets &lt; 50 x 10</w:t>
            </w:r>
            <w:r w:rsidR="008F1C56" w:rsidRPr="00654EF1">
              <w:rPr>
                <w:color w:val="000000"/>
                <w:szCs w:val="22"/>
                <w:vertAlign w:val="superscript"/>
              </w:rPr>
              <w:t>9</w:t>
            </w:r>
            <w:r w:rsidR="008F1C56" w:rsidRPr="00654EF1">
              <w:rPr>
                <w:color w:val="000000"/>
                <w:szCs w:val="22"/>
              </w:rPr>
              <w:t>/l, repeat step 1 and resume Glivec at reduced dose of 300 mg.</w:t>
            </w:r>
          </w:p>
        </w:tc>
      </w:tr>
      <w:tr w:rsidR="008F1C56" w:rsidRPr="00654EF1" w14:paraId="1B67FEE2" w14:textId="77777777" w:rsidTr="006F3324">
        <w:trPr>
          <w:cantSplit/>
        </w:trPr>
        <w:tc>
          <w:tcPr>
            <w:tcW w:w="2376" w:type="dxa"/>
          </w:tcPr>
          <w:p w14:paraId="1B67FED9"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Paediatric chronic phase CML</w:t>
            </w:r>
          </w:p>
          <w:p w14:paraId="1B67FEDA"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(at dose 340 mg/m</w:t>
            </w:r>
            <w:r w:rsidRPr="00654EF1">
              <w:rPr>
                <w:color w:val="000000"/>
                <w:szCs w:val="22"/>
                <w:vertAlign w:val="superscript"/>
              </w:rPr>
              <w:t>2</w:t>
            </w:r>
            <w:r w:rsidRPr="00654EF1">
              <w:rPr>
                <w:color w:val="000000"/>
                <w:szCs w:val="22"/>
              </w:rPr>
              <w:t>)</w:t>
            </w:r>
          </w:p>
        </w:tc>
        <w:tc>
          <w:tcPr>
            <w:tcW w:w="2400" w:type="dxa"/>
          </w:tcPr>
          <w:p w14:paraId="1B67FEDB" w14:textId="77777777" w:rsidR="00BF47AA" w:rsidRPr="00654EF1" w:rsidRDefault="00BF47AA"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DC" w14:textId="77777777" w:rsidR="00BF47AA" w:rsidRPr="00654EF1" w:rsidRDefault="00BF47AA"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DD" w14:textId="77777777" w:rsidR="00BF47AA" w:rsidRPr="00654EF1" w:rsidRDefault="00BF47AA"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platelets &lt; 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DE"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p>
        </w:tc>
        <w:tc>
          <w:tcPr>
            <w:tcW w:w="4404" w:type="dxa"/>
          </w:tcPr>
          <w:p w14:paraId="1B67FEDF" w14:textId="77777777" w:rsidR="008F1C56"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 xml:space="preserve">Stop Glivec until ANC </w:t>
            </w:r>
            <w:r w:rsidR="008F1C56" w:rsidRPr="00654EF1">
              <w:rPr>
                <w:rFonts w:ascii="Times New Roman" w:hAnsi="Times New Roman"/>
                <w:color w:val="000000"/>
                <w:sz w:val="22"/>
                <w:szCs w:val="22"/>
                <w:lang w:val="en-GB"/>
              </w:rPr>
              <w:sym w:font="Symbol" w:char="F0B3"/>
            </w:r>
            <w:r w:rsidR="008F1C56" w:rsidRPr="00654EF1">
              <w:rPr>
                <w:rFonts w:ascii="Times New Roman" w:hAnsi="Times New Roman"/>
                <w:color w:val="000000"/>
                <w:sz w:val="22"/>
                <w:szCs w:val="22"/>
                <w:lang w:val="en-GB"/>
              </w:rPr>
              <w:t> 1.5 x 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 xml:space="preserve">/l and platelets </w:t>
            </w:r>
            <w:r w:rsidR="008F1C56" w:rsidRPr="00654EF1">
              <w:rPr>
                <w:rFonts w:ascii="Times New Roman" w:hAnsi="Times New Roman"/>
                <w:color w:val="000000"/>
                <w:sz w:val="22"/>
                <w:szCs w:val="22"/>
                <w:lang w:val="en-GB"/>
              </w:rPr>
              <w:sym w:font="Symbol" w:char="F0B3"/>
            </w:r>
            <w:r w:rsidR="008F1C56" w:rsidRPr="00654EF1">
              <w:rPr>
                <w:rFonts w:ascii="Times New Roman" w:hAnsi="Times New Roman"/>
                <w:color w:val="000000"/>
                <w:sz w:val="22"/>
                <w:szCs w:val="22"/>
                <w:lang w:val="en-GB"/>
              </w:rPr>
              <w:t> 75 x 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/l.</w:t>
            </w:r>
          </w:p>
          <w:p w14:paraId="1B67FEE0" w14:textId="77777777" w:rsidR="008F1C56"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Resume treatment with Glivec at previous dose (i.e. before severe adverse reaction).</w:t>
            </w:r>
          </w:p>
          <w:p w14:paraId="1B67FEE1" w14:textId="77777777" w:rsidR="008F1C56"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In the event of recurrence of ANC &lt; 1.0 x10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/l and/or platelets &lt; 50 x10</w:t>
            </w:r>
            <w:r w:rsidR="008F1C56" w:rsidRPr="00654EF1">
              <w:rPr>
                <w:rFonts w:ascii="Times New Roman" w:hAnsi="Times New Roman"/>
                <w:color w:val="000000"/>
                <w:sz w:val="22"/>
                <w:szCs w:val="22"/>
                <w:vertAlign w:val="superscript"/>
                <w:lang w:val="en-GB"/>
              </w:rPr>
              <w:t>9</w:t>
            </w:r>
            <w:r w:rsidR="008F1C56" w:rsidRPr="00654EF1">
              <w:rPr>
                <w:rFonts w:ascii="Times New Roman" w:hAnsi="Times New Roman"/>
                <w:color w:val="000000"/>
                <w:sz w:val="22"/>
                <w:szCs w:val="22"/>
                <w:lang w:val="en-GB"/>
              </w:rPr>
              <w:t>/l, repeat step 1 and resume Glivec at reduced dose of 260 mg/m</w:t>
            </w:r>
            <w:r w:rsidR="008F1C56" w:rsidRPr="00654EF1">
              <w:rPr>
                <w:rFonts w:ascii="Times New Roman" w:hAnsi="Times New Roman"/>
                <w:color w:val="000000"/>
                <w:sz w:val="22"/>
                <w:szCs w:val="22"/>
                <w:vertAlign w:val="superscript"/>
                <w:lang w:val="en-GB"/>
              </w:rPr>
              <w:t>2</w:t>
            </w:r>
            <w:r w:rsidR="008F1C56" w:rsidRPr="00654EF1">
              <w:rPr>
                <w:rFonts w:ascii="Times New Roman" w:hAnsi="Times New Roman"/>
                <w:color w:val="000000"/>
                <w:sz w:val="22"/>
                <w:szCs w:val="22"/>
                <w:lang w:val="en-GB"/>
              </w:rPr>
              <w:t>.</w:t>
            </w:r>
          </w:p>
        </w:tc>
      </w:tr>
      <w:tr w:rsidR="008F1C56" w:rsidRPr="00654EF1" w14:paraId="1B67FEEB" w14:textId="77777777" w:rsidTr="006F3324">
        <w:trPr>
          <w:cantSplit/>
        </w:trPr>
        <w:tc>
          <w:tcPr>
            <w:tcW w:w="2376" w:type="dxa"/>
            <w:tcBorders>
              <w:bottom w:val="nil"/>
            </w:tcBorders>
          </w:tcPr>
          <w:p w14:paraId="1B67FEE3"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 xml:space="preserve">Accelerated phase CML and blast crisis </w:t>
            </w:r>
            <w:r w:rsidR="00482352" w:rsidRPr="00654EF1">
              <w:rPr>
                <w:color w:val="000000"/>
                <w:szCs w:val="22"/>
              </w:rPr>
              <w:t xml:space="preserve">and Ph+ </w:t>
            </w:r>
            <w:smartTag w:uri="urn:schemas-microsoft-com:office:smarttags" w:element="stockticker">
              <w:r w:rsidR="00482352" w:rsidRPr="00654EF1">
                <w:rPr>
                  <w:color w:val="000000"/>
                  <w:szCs w:val="22"/>
                </w:rPr>
                <w:t>ALL</w:t>
              </w:r>
            </w:smartTag>
            <w:r w:rsidR="00482352" w:rsidRPr="00654EF1">
              <w:rPr>
                <w:color w:val="000000"/>
                <w:szCs w:val="22"/>
              </w:rPr>
              <w:t xml:space="preserve"> </w:t>
            </w:r>
            <w:r w:rsidRPr="00654EF1">
              <w:rPr>
                <w:color w:val="000000"/>
                <w:szCs w:val="22"/>
              </w:rPr>
              <w:t>(starting dose 600 mg)</w:t>
            </w:r>
          </w:p>
        </w:tc>
        <w:tc>
          <w:tcPr>
            <w:tcW w:w="2400" w:type="dxa"/>
            <w:tcBorders>
              <w:bottom w:val="nil"/>
            </w:tcBorders>
          </w:tcPr>
          <w:p w14:paraId="1B67FEE4"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vertAlign w:val="superscript"/>
                <w:lang w:val="en-GB"/>
              </w:rPr>
              <w:t>a</w:t>
            </w:r>
            <w:r w:rsidRPr="00654EF1">
              <w:rPr>
                <w:rFonts w:ascii="Times New Roman" w:hAnsi="Times New Roman"/>
                <w:color w:val="000000"/>
                <w:sz w:val="22"/>
                <w:szCs w:val="22"/>
                <w:lang w:val="en-GB"/>
              </w:rPr>
              <w:t>ANC &lt; 0.5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E5"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E6"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t>platelets &lt; 10 x 10</w:t>
            </w:r>
            <w:r w:rsidRPr="00654EF1">
              <w:rPr>
                <w:color w:val="000000"/>
                <w:szCs w:val="22"/>
                <w:vertAlign w:val="superscript"/>
              </w:rPr>
              <w:t>9</w:t>
            </w:r>
            <w:r w:rsidRPr="00654EF1">
              <w:rPr>
                <w:color w:val="000000"/>
                <w:szCs w:val="22"/>
              </w:rPr>
              <w:t>/l</w:t>
            </w:r>
          </w:p>
        </w:tc>
        <w:tc>
          <w:tcPr>
            <w:tcW w:w="4404" w:type="dxa"/>
            <w:tcBorders>
              <w:bottom w:val="nil"/>
            </w:tcBorders>
          </w:tcPr>
          <w:p w14:paraId="1B67FEE7"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Check whether cytopenia is related to leukaemia (marrow aspirate or biopsy).</w:t>
            </w:r>
          </w:p>
          <w:p w14:paraId="1B67FEE8"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If cytopenia is unrelated to leukaemia, reduce dose of Glivec to 400 mg.</w:t>
            </w:r>
          </w:p>
          <w:p w14:paraId="1B67FEE9"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If cytopenia persists for 2 weeks, reduce further to 300 mg.</w:t>
            </w:r>
          </w:p>
          <w:p w14:paraId="1B67FEEA" w14:textId="77777777" w:rsidR="008F1C56" w:rsidRPr="00654EF1" w:rsidRDefault="008A1B05" w:rsidP="001D5C8C">
            <w:pPr>
              <w:pStyle w:val="EndnoteText"/>
              <w:widowControl w:val="0"/>
              <w:tabs>
                <w:tab w:val="clear" w:pos="567"/>
              </w:tabs>
              <w:ind w:left="469" w:hanging="469"/>
              <w:rPr>
                <w:color w:val="000000"/>
                <w:szCs w:val="22"/>
              </w:rPr>
            </w:pPr>
            <w:r w:rsidRPr="00654EF1">
              <w:rPr>
                <w:color w:val="000000"/>
                <w:szCs w:val="22"/>
              </w:rPr>
              <w:t>4.</w:t>
            </w:r>
            <w:r w:rsidRPr="00654EF1">
              <w:rPr>
                <w:color w:val="000000"/>
                <w:szCs w:val="22"/>
              </w:rPr>
              <w:tab/>
            </w:r>
            <w:r w:rsidR="008F1C56" w:rsidRPr="00654EF1">
              <w:rPr>
                <w:color w:val="000000"/>
                <w:szCs w:val="22"/>
              </w:rPr>
              <w:t xml:space="preserve">If cytopenia persists for 4 weeks and is still unrelated to leukaemia, stop Glivec until ANC </w:t>
            </w:r>
            <w:r w:rsidR="008F1C56" w:rsidRPr="00654EF1">
              <w:rPr>
                <w:color w:val="000000"/>
                <w:szCs w:val="22"/>
              </w:rPr>
              <w:sym w:font="Symbol" w:char="F0B3"/>
            </w:r>
            <w:r w:rsidR="008F1C56" w:rsidRPr="00654EF1">
              <w:rPr>
                <w:color w:val="000000"/>
                <w:szCs w:val="22"/>
              </w:rPr>
              <w:t> 1 x 10</w:t>
            </w:r>
            <w:r w:rsidR="008F1C56" w:rsidRPr="00654EF1">
              <w:rPr>
                <w:color w:val="000000"/>
                <w:szCs w:val="22"/>
                <w:vertAlign w:val="superscript"/>
              </w:rPr>
              <w:t>9</w:t>
            </w:r>
            <w:r w:rsidR="008F1C56" w:rsidRPr="00654EF1">
              <w:rPr>
                <w:color w:val="000000"/>
                <w:szCs w:val="22"/>
              </w:rPr>
              <w:t xml:space="preserve">/l and platelets </w:t>
            </w:r>
            <w:r w:rsidR="008F1C56" w:rsidRPr="00654EF1">
              <w:rPr>
                <w:color w:val="000000"/>
                <w:szCs w:val="22"/>
              </w:rPr>
              <w:sym w:font="Symbol" w:char="F0B3"/>
            </w:r>
            <w:r w:rsidR="008F1C56" w:rsidRPr="00654EF1">
              <w:rPr>
                <w:color w:val="000000"/>
                <w:szCs w:val="22"/>
              </w:rPr>
              <w:t> 20 x 10</w:t>
            </w:r>
            <w:r w:rsidR="008F1C56" w:rsidRPr="00654EF1">
              <w:rPr>
                <w:color w:val="000000"/>
                <w:szCs w:val="22"/>
                <w:vertAlign w:val="superscript"/>
              </w:rPr>
              <w:t>9</w:t>
            </w:r>
            <w:r w:rsidR="008F1C56" w:rsidRPr="00654EF1">
              <w:rPr>
                <w:color w:val="000000"/>
                <w:szCs w:val="22"/>
              </w:rPr>
              <w:t>/l, then resume treatment at 300 mg.</w:t>
            </w:r>
          </w:p>
        </w:tc>
      </w:tr>
      <w:tr w:rsidR="008F1C56" w:rsidRPr="00654EF1" w14:paraId="1B67FEF4" w14:textId="77777777" w:rsidTr="006F3324">
        <w:trPr>
          <w:cantSplit/>
        </w:trPr>
        <w:tc>
          <w:tcPr>
            <w:tcW w:w="2376" w:type="dxa"/>
            <w:tcBorders>
              <w:bottom w:val="nil"/>
            </w:tcBorders>
          </w:tcPr>
          <w:p w14:paraId="1B67FEEC" w14:textId="77777777" w:rsidR="008F1C56" w:rsidRPr="00654EF1" w:rsidRDefault="008F1C56" w:rsidP="001D5C8C">
            <w:pPr>
              <w:pStyle w:val="EndnoteText"/>
              <w:widowControl w:val="0"/>
              <w:tabs>
                <w:tab w:val="clear" w:pos="567"/>
              </w:tabs>
              <w:rPr>
                <w:color w:val="000000"/>
                <w:szCs w:val="22"/>
              </w:rPr>
            </w:pPr>
            <w:r w:rsidRPr="00654EF1">
              <w:rPr>
                <w:color w:val="000000"/>
                <w:szCs w:val="22"/>
              </w:rPr>
              <w:lastRenderedPageBreak/>
              <w:t>Paediatric accelerated phase CML and blast crisis (starting dose 340 mg/m</w:t>
            </w:r>
            <w:r w:rsidRPr="00654EF1">
              <w:rPr>
                <w:color w:val="000000"/>
                <w:szCs w:val="22"/>
                <w:vertAlign w:val="superscript"/>
              </w:rPr>
              <w:t>2</w:t>
            </w:r>
            <w:r w:rsidRPr="00654EF1">
              <w:rPr>
                <w:color w:val="000000"/>
                <w:szCs w:val="22"/>
              </w:rPr>
              <w:t>)</w:t>
            </w:r>
          </w:p>
        </w:tc>
        <w:tc>
          <w:tcPr>
            <w:tcW w:w="2400" w:type="dxa"/>
            <w:tcBorders>
              <w:bottom w:val="nil"/>
            </w:tcBorders>
          </w:tcPr>
          <w:p w14:paraId="1B67FEED"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vertAlign w:val="superscript"/>
                <w:lang w:val="en-GB"/>
              </w:rPr>
              <w:t>a</w:t>
            </w:r>
            <w:r w:rsidRPr="00654EF1">
              <w:rPr>
                <w:rFonts w:ascii="Times New Roman" w:hAnsi="Times New Roman"/>
                <w:color w:val="000000"/>
                <w:sz w:val="22"/>
                <w:szCs w:val="22"/>
                <w:lang w:val="en-GB"/>
              </w:rPr>
              <w:t>ANC &lt; 0.5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EE" w14:textId="77777777" w:rsidR="008F1C56" w:rsidRPr="00654EF1" w:rsidRDefault="008F1C56"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EF" w14:textId="77777777" w:rsidR="008F1C56" w:rsidRPr="00654EF1" w:rsidDel="000659A8" w:rsidRDefault="008F1C56" w:rsidP="001D5C8C">
            <w:pPr>
              <w:pStyle w:val="Table"/>
              <w:keepNext w:val="0"/>
              <w:keepLines w:val="0"/>
              <w:widowControl w:val="0"/>
              <w:suppressLineNumbers/>
              <w:spacing w:before="0" w:after="0"/>
              <w:rPr>
                <w:rFonts w:ascii="Times New Roman" w:hAnsi="Times New Roman"/>
                <w:color w:val="000000"/>
                <w:sz w:val="22"/>
                <w:szCs w:val="22"/>
                <w:vertAlign w:val="superscript"/>
                <w:lang w:val="en-GB"/>
              </w:rPr>
            </w:pPr>
            <w:r w:rsidRPr="00654EF1">
              <w:rPr>
                <w:rFonts w:ascii="Times New Roman" w:hAnsi="Times New Roman"/>
                <w:color w:val="000000"/>
                <w:sz w:val="22"/>
                <w:szCs w:val="22"/>
              </w:rPr>
              <w:t>platelets &lt; 10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w:t>
            </w:r>
          </w:p>
        </w:tc>
        <w:tc>
          <w:tcPr>
            <w:tcW w:w="4404" w:type="dxa"/>
            <w:tcBorders>
              <w:bottom w:val="nil"/>
            </w:tcBorders>
          </w:tcPr>
          <w:p w14:paraId="1B67FEF0"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Check whether cytopenia is related to leukaemia (marrow aspirate or biopsy).</w:t>
            </w:r>
          </w:p>
          <w:p w14:paraId="1B67FEF1"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If cytopenia is unrelated to leukaemia, reduce dose of Glivec to 260 mg/m</w:t>
            </w:r>
            <w:r w:rsidR="008F1C56" w:rsidRPr="00654EF1">
              <w:rPr>
                <w:rFonts w:ascii="Times New Roman" w:hAnsi="Times New Roman"/>
                <w:color w:val="000000"/>
                <w:sz w:val="22"/>
                <w:szCs w:val="22"/>
                <w:vertAlign w:val="superscript"/>
                <w:lang w:val="en-GB"/>
              </w:rPr>
              <w:t>2</w:t>
            </w:r>
            <w:r w:rsidR="008F1C56" w:rsidRPr="00654EF1">
              <w:rPr>
                <w:rFonts w:ascii="Times New Roman" w:hAnsi="Times New Roman"/>
                <w:color w:val="000000"/>
                <w:sz w:val="22"/>
                <w:szCs w:val="22"/>
                <w:lang w:val="en-GB"/>
              </w:rPr>
              <w:t>.</w:t>
            </w:r>
          </w:p>
          <w:p w14:paraId="1B67FEF2"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lang w:val="en-GB"/>
              </w:rPr>
              <w:t>If cytopenia persists for 2 weeks, reduce further to 200 mg/m</w:t>
            </w:r>
            <w:r w:rsidR="008F1C56" w:rsidRPr="00654EF1">
              <w:rPr>
                <w:rFonts w:ascii="Times New Roman" w:hAnsi="Times New Roman"/>
                <w:color w:val="000000"/>
                <w:sz w:val="22"/>
                <w:szCs w:val="22"/>
                <w:vertAlign w:val="superscript"/>
                <w:lang w:val="en-GB"/>
              </w:rPr>
              <w:t>2</w:t>
            </w:r>
            <w:r w:rsidR="008F1C56" w:rsidRPr="00654EF1">
              <w:rPr>
                <w:rFonts w:ascii="Times New Roman" w:hAnsi="Times New Roman"/>
                <w:color w:val="000000"/>
                <w:sz w:val="22"/>
                <w:szCs w:val="22"/>
                <w:lang w:val="en-GB"/>
              </w:rPr>
              <w:t>.</w:t>
            </w:r>
          </w:p>
          <w:p w14:paraId="1B67FEF3" w14:textId="77777777" w:rsidR="008F1C56"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4.</w:t>
            </w:r>
            <w:r w:rsidRPr="00654EF1">
              <w:rPr>
                <w:rFonts w:ascii="Times New Roman" w:hAnsi="Times New Roman"/>
                <w:color w:val="000000"/>
                <w:sz w:val="22"/>
                <w:szCs w:val="22"/>
                <w:lang w:val="en-GB"/>
              </w:rPr>
              <w:tab/>
            </w:r>
            <w:r w:rsidR="008F1C56" w:rsidRPr="00654EF1">
              <w:rPr>
                <w:rFonts w:ascii="Times New Roman" w:hAnsi="Times New Roman"/>
                <w:color w:val="000000"/>
                <w:sz w:val="22"/>
                <w:szCs w:val="22"/>
              </w:rPr>
              <w:t xml:space="preserve">If cytopenia persists for 4 weeks and is still unrelated to leukaemia, stop Glivec until ANC </w:t>
            </w:r>
            <w:r w:rsidR="008F1C56" w:rsidRPr="00654EF1">
              <w:rPr>
                <w:rFonts w:ascii="Times New Roman" w:hAnsi="Times New Roman"/>
                <w:color w:val="000000"/>
                <w:sz w:val="22"/>
                <w:szCs w:val="22"/>
              </w:rPr>
              <w:sym w:font="Symbol" w:char="F0B3"/>
            </w:r>
            <w:r w:rsidR="008F1C56" w:rsidRPr="00654EF1">
              <w:rPr>
                <w:rFonts w:ascii="Times New Roman" w:hAnsi="Times New Roman"/>
                <w:color w:val="000000"/>
                <w:sz w:val="22"/>
                <w:szCs w:val="22"/>
              </w:rPr>
              <w:t> 1 x 10</w:t>
            </w:r>
            <w:r w:rsidR="008F1C56" w:rsidRPr="00654EF1">
              <w:rPr>
                <w:rFonts w:ascii="Times New Roman" w:hAnsi="Times New Roman"/>
                <w:color w:val="000000"/>
                <w:sz w:val="22"/>
                <w:szCs w:val="22"/>
                <w:vertAlign w:val="superscript"/>
              </w:rPr>
              <w:t>9</w:t>
            </w:r>
            <w:r w:rsidR="008F1C56" w:rsidRPr="00654EF1">
              <w:rPr>
                <w:rFonts w:ascii="Times New Roman" w:hAnsi="Times New Roman"/>
                <w:color w:val="000000"/>
                <w:sz w:val="22"/>
                <w:szCs w:val="22"/>
              </w:rPr>
              <w:t xml:space="preserve">/l and platelets </w:t>
            </w:r>
            <w:r w:rsidR="008F1C56" w:rsidRPr="00654EF1">
              <w:rPr>
                <w:rFonts w:ascii="Times New Roman" w:hAnsi="Times New Roman"/>
                <w:color w:val="000000"/>
                <w:sz w:val="22"/>
                <w:szCs w:val="22"/>
              </w:rPr>
              <w:sym w:font="Symbol" w:char="F0B3"/>
            </w:r>
            <w:r w:rsidR="008F1C56" w:rsidRPr="00654EF1">
              <w:rPr>
                <w:rFonts w:ascii="Times New Roman" w:hAnsi="Times New Roman"/>
                <w:color w:val="000000"/>
                <w:sz w:val="22"/>
                <w:szCs w:val="22"/>
              </w:rPr>
              <w:t> 20 x 10</w:t>
            </w:r>
            <w:r w:rsidR="008F1C56" w:rsidRPr="00654EF1">
              <w:rPr>
                <w:rFonts w:ascii="Times New Roman" w:hAnsi="Times New Roman"/>
                <w:color w:val="000000"/>
                <w:sz w:val="22"/>
                <w:szCs w:val="22"/>
                <w:vertAlign w:val="superscript"/>
              </w:rPr>
              <w:t>9</w:t>
            </w:r>
            <w:r w:rsidR="008F1C56" w:rsidRPr="00654EF1">
              <w:rPr>
                <w:rFonts w:ascii="Times New Roman" w:hAnsi="Times New Roman"/>
                <w:color w:val="000000"/>
                <w:sz w:val="22"/>
                <w:szCs w:val="22"/>
              </w:rPr>
              <w:t xml:space="preserve">/l, then resume treatment at </w:t>
            </w:r>
            <w:r w:rsidR="008F1C56" w:rsidRPr="00654EF1">
              <w:rPr>
                <w:rFonts w:ascii="Times New Roman" w:hAnsi="Times New Roman"/>
                <w:color w:val="000000"/>
                <w:sz w:val="22"/>
                <w:szCs w:val="22"/>
                <w:lang w:val="en-GB"/>
              </w:rPr>
              <w:t>200 mg/m</w:t>
            </w:r>
            <w:r w:rsidR="008F1C56" w:rsidRPr="00654EF1">
              <w:rPr>
                <w:rFonts w:ascii="Times New Roman" w:hAnsi="Times New Roman"/>
                <w:color w:val="000000"/>
                <w:sz w:val="22"/>
                <w:szCs w:val="22"/>
                <w:vertAlign w:val="superscript"/>
                <w:lang w:val="en-GB"/>
              </w:rPr>
              <w:t>2</w:t>
            </w:r>
            <w:r w:rsidR="008F1C56" w:rsidRPr="00654EF1">
              <w:rPr>
                <w:rFonts w:ascii="Times New Roman" w:hAnsi="Times New Roman"/>
                <w:color w:val="000000"/>
                <w:sz w:val="22"/>
                <w:szCs w:val="22"/>
                <w:lang w:val="en-GB"/>
              </w:rPr>
              <w:t>.</w:t>
            </w:r>
          </w:p>
        </w:tc>
      </w:tr>
      <w:tr w:rsidR="00482352" w:rsidRPr="00654EF1" w14:paraId="1B67FEFD" w14:textId="77777777" w:rsidTr="006F3324">
        <w:trPr>
          <w:cantSplit/>
        </w:trPr>
        <w:tc>
          <w:tcPr>
            <w:tcW w:w="2376" w:type="dxa"/>
            <w:tcBorders>
              <w:bottom w:val="nil"/>
            </w:tcBorders>
          </w:tcPr>
          <w:p w14:paraId="1B67FEF5" w14:textId="77777777" w:rsidR="00482352" w:rsidRPr="00654EF1" w:rsidRDefault="00482352"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DFSP</w:t>
            </w:r>
          </w:p>
          <w:p w14:paraId="1B67FEF6" w14:textId="77777777" w:rsidR="00482352" w:rsidRPr="00654EF1" w:rsidRDefault="00482352" w:rsidP="001D5C8C">
            <w:pPr>
              <w:pStyle w:val="EndnoteText"/>
              <w:keepLines/>
              <w:widowControl w:val="0"/>
              <w:tabs>
                <w:tab w:val="clear" w:pos="567"/>
              </w:tabs>
              <w:rPr>
                <w:color w:val="000000"/>
                <w:szCs w:val="22"/>
              </w:rPr>
            </w:pPr>
            <w:r w:rsidRPr="00654EF1">
              <w:rPr>
                <w:color w:val="000000"/>
                <w:szCs w:val="22"/>
              </w:rPr>
              <w:t>(at dose 800 mg)</w:t>
            </w:r>
          </w:p>
        </w:tc>
        <w:tc>
          <w:tcPr>
            <w:tcW w:w="2400" w:type="dxa"/>
            <w:tcBorders>
              <w:bottom w:val="nil"/>
            </w:tcBorders>
          </w:tcPr>
          <w:p w14:paraId="1B67FEF7" w14:textId="77777777" w:rsidR="00482352" w:rsidRPr="00654EF1" w:rsidRDefault="00482352"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7FEF8" w14:textId="77777777" w:rsidR="00482352" w:rsidRPr="00654EF1" w:rsidRDefault="00482352"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7FEF9" w14:textId="77777777" w:rsidR="00482352" w:rsidRPr="00654EF1" w:rsidRDefault="00482352" w:rsidP="001D5C8C">
            <w:pPr>
              <w:pStyle w:val="Table"/>
              <w:keepNext w:val="0"/>
              <w:widowControl w:val="0"/>
              <w:suppressLineNumbers/>
              <w:spacing w:before="0" w:after="0"/>
              <w:rPr>
                <w:rFonts w:ascii="Times New Roman" w:hAnsi="Times New Roman"/>
                <w:color w:val="000000"/>
                <w:sz w:val="22"/>
                <w:szCs w:val="22"/>
                <w:vertAlign w:val="superscript"/>
                <w:lang w:val="en-GB"/>
              </w:rPr>
            </w:pPr>
            <w:r w:rsidRPr="00654EF1">
              <w:rPr>
                <w:rFonts w:ascii="Times New Roman" w:hAnsi="Times New Roman"/>
                <w:color w:val="000000"/>
                <w:sz w:val="22"/>
                <w:szCs w:val="22"/>
                <w:lang w:val="en-GB"/>
              </w:rPr>
              <w:t>platelets &lt; 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tc>
        <w:tc>
          <w:tcPr>
            <w:tcW w:w="4404" w:type="dxa"/>
            <w:tcBorders>
              <w:bottom w:val="nil"/>
            </w:tcBorders>
          </w:tcPr>
          <w:p w14:paraId="1B67FEFA" w14:textId="77777777" w:rsidR="00482352" w:rsidRPr="00654EF1" w:rsidRDefault="008A1B05" w:rsidP="001D5C8C">
            <w:pPr>
              <w:pStyle w:val="Table"/>
              <w:keepNext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r>
            <w:r w:rsidR="00482352" w:rsidRPr="00654EF1">
              <w:rPr>
                <w:rFonts w:ascii="Times New Roman" w:hAnsi="Times New Roman"/>
                <w:color w:val="000000"/>
                <w:sz w:val="22"/>
                <w:szCs w:val="22"/>
                <w:lang w:val="en-GB"/>
              </w:rPr>
              <w:t xml:space="preserve">Stop Glivec until ANC </w:t>
            </w:r>
            <w:r w:rsidR="00482352" w:rsidRPr="00654EF1">
              <w:rPr>
                <w:rFonts w:ascii="Times New Roman" w:hAnsi="Times New Roman"/>
                <w:color w:val="000000"/>
                <w:sz w:val="22"/>
                <w:szCs w:val="22"/>
                <w:lang w:val="en-GB"/>
              </w:rPr>
              <w:sym w:font="Symbol" w:char="F0B3"/>
            </w:r>
            <w:r w:rsidR="00482352" w:rsidRPr="00654EF1">
              <w:rPr>
                <w:rFonts w:ascii="Times New Roman" w:hAnsi="Times New Roman"/>
                <w:color w:val="000000"/>
                <w:sz w:val="22"/>
                <w:szCs w:val="22"/>
                <w:lang w:val="en-GB"/>
              </w:rPr>
              <w:t> 1.5 x 10</w:t>
            </w:r>
            <w:r w:rsidR="00482352" w:rsidRPr="00654EF1">
              <w:rPr>
                <w:rFonts w:ascii="Times New Roman" w:hAnsi="Times New Roman"/>
                <w:color w:val="000000"/>
                <w:sz w:val="22"/>
                <w:szCs w:val="22"/>
                <w:vertAlign w:val="superscript"/>
                <w:lang w:val="en-GB"/>
              </w:rPr>
              <w:t>9</w:t>
            </w:r>
            <w:r w:rsidR="00482352" w:rsidRPr="00654EF1">
              <w:rPr>
                <w:rFonts w:ascii="Times New Roman" w:hAnsi="Times New Roman"/>
                <w:color w:val="000000"/>
                <w:sz w:val="22"/>
                <w:szCs w:val="22"/>
                <w:lang w:val="en-GB"/>
              </w:rPr>
              <w:t xml:space="preserve">/l and platelets </w:t>
            </w:r>
            <w:r w:rsidR="00482352" w:rsidRPr="00654EF1">
              <w:rPr>
                <w:rFonts w:ascii="Times New Roman" w:hAnsi="Times New Roman"/>
                <w:color w:val="000000"/>
                <w:sz w:val="22"/>
                <w:szCs w:val="22"/>
                <w:lang w:val="en-GB"/>
              </w:rPr>
              <w:sym w:font="Symbol" w:char="F0B3"/>
            </w:r>
            <w:r w:rsidR="00482352" w:rsidRPr="00654EF1">
              <w:rPr>
                <w:rFonts w:ascii="Times New Roman" w:hAnsi="Times New Roman"/>
                <w:color w:val="000000"/>
                <w:sz w:val="22"/>
                <w:szCs w:val="22"/>
                <w:lang w:val="en-GB"/>
              </w:rPr>
              <w:t> 75 x 10</w:t>
            </w:r>
            <w:r w:rsidR="00482352" w:rsidRPr="00654EF1">
              <w:rPr>
                <w:rFonts w:ascii="Times New Roman" w:hAnsi="Times New Roman"/>
                <w:color w:val="000000"/>
                <w:sz w:val="22"/>
                <w:szCs w:val="22"/>
                <w:vertAlign w:val="superscript"/>
                <w:lang w:val="en-GB"/>
              </w:rPr>
              <w:t>9</w:t>
            </w:r>
            <w:r w:rsidR="00482352" w:rsidRPr="00654EF1">
              <w:rPr>
                <w:rFonts w:ascii="Times New Roman" w:hAnsi="Times New Roman"/>
                <w:color w:val="000000"/>
                <w:sz w:val="22"/>
                <w:szCs w:val="22"/>
                <w:lang w:val="en-GB"/>
              </w:rPr>
              <w:t>/l.</w:t>
            </w:r>
          </w:p>
          <w:p w14:paraId="1B67FEFB" w14:textId="77777777" w:rsidR="00482352" w:rsidRPr="00654EF1" w:rsidRDefault="008A1B05" w:rsidP="001D5C8C">
            <w:pPr>
              <w:pStyle w:val="Table"/>
              <w:keepNext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r>
            <w:r w:rsidR="00482352" w:rsidRPr="00654EF1">
              <w:rPr>
                <w:rFonts w:ascii="Times New Roman" w:hAnsi="Times New Roman"/>
                <w:color w:val="000000"/>
                <w:sz w:val="22"/>
                <w:szCs w:val="22"/>
                <w:lang w:val="en-GB"/>
              </w:rPr>
              <w:t>Resume treatment with Glivec at 600 mg.</w:t>
            </w:r>
          </w:p>
          <w:p w14:paraId="1B67FEFC" w14:textId="77777777" w:rsidR="00482352" w:rsidRPr="00654EF1" w:rsidRDefault="008A1B05" w:rsidP="001D5C8C">
            <w:pPr>
              <w:pStyle w:val="Table"/>
              <w:keepNext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r>
            <w:r w:rsidR="00482352" w:rsidRPr="00654EF1">
              <w:rPr>
                <w:rFonts w:ascii="Times New Roman" w:hAnsi="Times New Roman"/>
                <w:color w:val="000000"/>
                <w:sz w:val="22"/>
                <w:szCs w:val="22"/>
                <w:lang w:val="en-GB"/>
              </w:rPr>
              <w:t>In the event of recurrence of ANC &lt; 1.0 x 10</w:t>
            </w:r>
            <w:r w:rsidR="00482352" w:rsidRPr="00654EF1">
              <w:rPr>
                <w:rFonts w:ascii="Times New Roman" w:hAnsi="Times New Roman"/>
                <w:color w:val="000000"/>
                <w:sz w:val="22"/>
                <w:szCs w:val="22"/>
                <w:vertAlign w:val="superscript"/>
                <w:lang w:val="en-GB"/>
              </w:rPr>
              <w:t>9</w:t>
            </w:r>
            <w:r w:rsidR="00482352" w:rsidRPr="00654EF1">
              <w:rPr>
                <w:rFonts w:ascii="Times New Roman" w:hAnsi="Times New Roman"/>
                <w:color w:val="000000"/>
                <w:sz w:val="22"/>
                <w:szCs w:val="22"/>
                <w:lang w:val="en-GB"/>
              </w:rPr>
              <w:t>/l and/or platelets &lt; 50 x 10</w:t>
            </w:r>
            <w:r w:rsidR="00482352" w:rsidRPr="00654EF1">
              <w:rPr>
                <w:rFonts w:ascii="Times New Roman" w:hAnsi="Times New Roman"/>
                <w:color w:val="000000"/>
                <w:sz w:val="22"/>
                <w:szCs w:val="22"/>
                <w:vertAlign w:val="superscript"/>
                <w:lang w:val="en-GB"/>
              </w:rPr>
              <w:t>9</w:t>
            </w:r>
            <w:r w:rsidR="00482352" w:rsidRPr="00654EF1">
              <w:rPr>
                <w:rFonts w:ascii="Times New Roman" w:hAnsi="Times New Roman"/>
                <w:color w:val="000000"/>
                <w:sz w:val="22"/>
                <w:szCs w:val="22"/>
                <w:lang w:val="en-GB"/>
              </w:rPr>
              <w:t>/l, repeat step 1 and resume Glivec at reduced dose of 400 mg.</w:t>
            </w:r>
          </w:p>
        </w:tc>
      </w:tr>
      <w:tr w:rsidR="008F1C56" w:rsidRPr="00654EF1" w14:paraId="1B67FEFF" w14:textId="77777777" w:rsidTr="006F3324">
        <w:trPr>
          <w:cantSplit/>
        </w:trPr>
        <w:tc>
          <w:tcPr>
            <w:tcW w:w="9180" w:type="dxa"/>
            <w:gridSpan w:val="3"/>
            <w:tcBorders>
              <w:bottom w:val="nil"/>
            </w:tcBorders>
          </w:tcPr>
          <w:p w14:paraId="1B67FEFE" w14:textId="77777777" w:rsidR="008F1C56" w:rsidRPr="00654EF1" w:rsidRDefault="008F1C56" w:rsidP="005E7BE5">
            <w:pPr>
              <w:pStyle w:val="EndnoteText"/>
              <w:keepNext/>
              <w:widowControl w:val="0"/>
              <w:tabs>
                <w:tab w:val="clear" w:pos="567"/>
              </w:tabs>
              <w:rPr>
                <w:color w:val="000000"/>
                <w:szCs w:val="22"/>
              </w:rPr>
            </w:pPr>
            <w:r w:rsidRPr="00654EF1">
              <w:rPr>
                <w:color w:val="000000"/>
                <w:szCs w:val="22"/>
              </w:rPr>
              <w:t>ANC = absolute neutrophil count</w:t>
            </w:r>
          </w:p>
        </w:tc>
      </w:tr>
      <w:tr w:rsidR="008F1C56" w:rsidRPr="00654EF1" w14:paraId="1B67FF01" w14:textId="77777777" w:rsidTr="006F3324">
        <w:trPr>
          <w:cantSplit/>
        </w:trPr>
        <w:tc>
          <w:tcPr>
            <w:tcW w:w="9180" w:type="dxa"/>
            <w:gridSpan w:val="3"/>
            <w:tcBorders>
              <w:top w:val="nil"/>
            </w:tcBorders>
          </w:tcPr>
          <w:p w14:paraId="1B67FF00" w14:textId="77777777" w:rsidR="008F1C56" w:rsidRPr="00654EF1" w:rsidRDefault="008F1C56" w:rsidP="005E7BE5">
            <w:pPr>
              <w:pStyle w:val="EndnoteText"/>
              <w:widowControl w:val="0"/>
              <w:tabs>
                <w:tab w:val="clear" w:pos="567"/>
              </w:tabs>
              <w:rPr>
                <w:color w:val="000000"/>
                <w:szCs w:val="22"/>
              </w:rPr>
            </w:pPr>
            <w:r w:rsidRPr="00654EF1">
              <w:rPr>
                <w:color w:val="000000"/>
                <w:szCs w:val="22"/>
                <w:vertAlign w:val="superscript"/>
              </w:rPr>
              <w:t xml:space="preserve">a </w:t>
            </w:r>
            <w:r w:rsidRPr="00654EF1">
              <w:rPr>
                <w:color w:val="000000"/>
                <w:szCs w:val="22"/>
              </w:rPr>
              <w:t>occurring after at least 1 month of treatment</w:t>
            </w:r>
          </w:p>
        </w:tc>
      </w:tr>
    </w:tbl>
    <w:p w14:paraId="1B67FF02" w14:textId="77777777" w:rsidR="008F1C56" w:rsidRPr="00654EF1" w:rsidRDefault="008F1C56" w:rsidP="001D5C8C">
      <w:pPr>
        <w:pStyle w:val="EndnoteText"/>
        <w:widowControl w:val="0"/>
        <w:tabs>
          <w:tab w:val="clear" w:pos="567"/>
        </w:tabs>
        <w:rPr>
          <w:color w:val="000000"/>
          <w:szCs w:val="22"/>
        </w:rPr>
      </w:pPr>
    </w:p>
    <w:p w14:paraId="1B67FF03" w14:textId="77777777" w:rsidR="00E539BC" w:rsidRPr="00654EF1" w:rsidRDefault="00E539BC" w:rsidP="001D5C8C">
      <w:pPr>
        <w:pStyle w:val="EndnoteText"/>
        <w:keepNext/>
        <w:widowControl w:val="0"/>
        <w:tabs>
          <w:tab w:val="clear" w:pos="567"/>
        </w:tabs>
        <w:rPr>
          <w:color w:val="000000"/>
          <w:szCs w:val="22"/>
          <w:u w:val="single"/>
        </w:rPr>
      </w:pPr>
      <w:r w:rsidRPr="00654EF1">
        <w:rPr>
          <w:color w:val="000000"/>
          <w:szCs w:val="22"/>
          <w:u w:val="single"/>
        </w:rPr>
        <w:t>Special populations</w:t>
      </w:r>
    </w:p>
    <w:p w14:paraId="1B67FF04" w14:textId="77777777" w:rsidR="00E7584C" w:rsidRPr="00654EF1" w:rsidRDefault="009B57ED" w:rsidP="001D5C8C">
      <w:pPr>
        <w:widowControl w:val="0"/>
        <w:spacing w:line="240" w:lineRule="auto"/>
        <w:rPr>
          <w:color w:val="000000"/>
          <w:szCs w:val="22"/>
          <w:lang w:val="en-US"/>
        </w:rPr>
      </w:pPr>
      <w:r w:rsidRPr="00654EF1">
        <w:rPr>
          <w:i/>
          <w:color w:val="000000"/>
          <w:szCs w:val="22"/>
        </w:rPr>
        <w:t>Paediatric use:</w:t>
      </w:r>
      <w:r w:rsidRPr="00654EF1">
        <w:rPr>
          <w:color w:val="000000"/>
          <w:szCs w:val="22"/>
        </w:rPr>
        <w:t xml:space="preserve"> </w:t>
      </w:r>
      <w:r w:rsidR="00E7584C" w:rsidRPr="00654EF1">
        <w:rPr>
          <w:color w:val="000000"/>
          <w:szCs w:val="22"/>
          <w:lang w:val="en-US"/>
        </w:rPr>
        <w:t>There is no experience in children with CML below 2 years of age</w:t>
      </w:r>
      <w:r w:rsidR="00505F51" w:rsidRPr="00654EF1">
        <w:rPr>
          <w:color w:val="000000"/>
          <w:szCs w:val="22"/>
          <w:lang w:val="en-US"/>
        </w:rPr>
        <w:t xml:space="preserve"> and with Ph+ALL below 1 year of age</w:t>
      </w:r>
      <w:r w:rsidR="00E7584C" w:rsidRPr="00654EF1">
        <w:rPr>
          <w:color w:val="000000"/>
          <w:szCs w:val="22"/>
          <w:lang w:val="en-US"/>
        </w:rPr>
        <w:t xml:space="preserve"> (see section 5.1). There is </w:t>
      </w:r>
      <w:r w:rsidR="00254208" w:rsidRPr="00654EF1">
        <w:rPr>
          <w:color w:val="000000"/>
          <w:szCs w:val="22"/>
          <w:lang w:val="en-US"/>
        </w:rPr>
        <w:t xml:space="preserve">very limited experience in children with </w:t>
      </w:r>
      <w:smartTag w:uri="urn:schemas-microsoft-com:office:smarttags" w:element="stockticker">
        <w:r w:rsidR="00254208" w:rsidRPr="00654EF1">
          <w:rPr>
            <w:color w:val="000000"/>
            <w:szCs w:val="22"/>
            <w:lang w:val="en-US"/>
          </w:rPr>
          <w:t>MDS</w:t>
        </w:r>
      </w:smartTag>
      <w:r w:rsidR="00254208" w:rsidRPr="00654EF1">
        <w:rPr>
          <w:color w:val="000000"/>
          <w:szCs w:val="22"/>
          <w:lang w:val="en-US"/>
        </w:rPr>
        <w:t>/MPD</w:t>
      </w:r>
      <w:r w:rsidR="004D0467" w:rsidRPr="00654EF1">
        <w:rPr>
          <w:color w:val="000000"/>
          <w:szCs w:val="22"/>
          <w:lang w:val="en-US"/>
        </w:rPr>
        <w:t>,</w:t>
      </w:r>
      <w:r w:rsidR="00254208" w:rsidRPr="00654EF1">
        <w:rPr>
          <w:color w:val="000000"/>
          <w:szCs w:val="22"/>
          <w:lang w:val="en-US"/>
        </w:rPr>
        <w:t xml:space="preserve"> DFSP</w:t>
      </w:r>
      <w:r w:rsidR="004D0467" w:rsidRPr="00654EF1">
        <w:rPr>
          <w:color w:val="000000"/>
          <w:szCs w:val="22"/>
          <w:lang w:val="en-US"/>
        </w:rPr>
        <w:t>,</w:t>
      </w:r>
      <w:r w:rsidR="00E7584C" w:rsidRPr="00654EF1">
        <w:rPr>
          <w:color w:val="000000"/>
          <w:szCs w:val="22"/>
          <w:lang w:val="en-US"/>
        </w:rPr>
        <w:t xml:space="preserve"> GIST</w:t>
      </w:r>
      <w:r w:rsidR="004D0E4C" w:rsidRPr="00654EF1">
        <w:rPr>
          <w:color w:val="000000"/>
          <w:szCs w:val="22"/>
          <w:lang w:val="en-US"/>
        </w:rPr>
        <w:t xml:space="preserve"> and HES/</w:t>
      </w:r>
      <w:smartTag w:uri="urn:schemas-microsoft-com:office:smarttags" w:element="stockticker">
        <w:r w:rsidR="004D0E4C" w:rsidRPr="00654EF1">
          <w:rPr>
            <w:color w:val="000000"/>
            <w:szCs w:val="22"/>
            <w:lang w:val="en-US"/>
          </w:rPr>
          <w:t>CEL</w:t>
        </w:r>
      </w:smartTag>
      <w:r w:rsidR="00E7584C" w:rsidRPr="00654EF1">
        <w:rPr>
          <w:color w:val="000000"/>
          <w:szCs w:val="22"/>
          <w:lang w:val="en-US"/>
        </w:rPr>
        <w:t>.</w:t>
      </w:r>
    </w:p>
    <w:p w14:paraId="1B67FF05" w14:textId="77777777" w:rsidR="004D0467" w:rsidRPr="00654EF1" w:rsidRDefault="004D0467" w:rsidP="001D5C8C">
      <w:pPr>
        <w:widowControl w:val="0"/>
        <w:spacing w:line="240" w:lineRule="auto"/>
        <w:rPr>
          <w:color w:val="000000"/>
          <w:szCs w:val="22"/>
          <w:lang w:val="en-US"/>
        </w:rPr>
      </w:pPr>
    </w:p>
    <w:p w14:paraId="1B67FF06" w14:textId="77777777" w:rsidR="004D0467" w:rsidRPr="00654EF1" w:rsidRDefault="004D0467" w:rsidP="001D5C8C">
      <w:pPr>
        <w:widowControl w:val="0"/>
        <w:spacing w:line="240" w:lineRule="auto"/>
        <w:rPr>
          <w:color w:val="000000"/>
          <w:szCs w:val="22"/>
          <w:lang w:val="en-US"/>
        </w:rPr>
      </w:pPr>
      <w:r w:rsidRPr="00654EF1">
        <w:rPr>
          <w:color w:val="000000"/>
          <w:szCs w:val="22"/>
          <w:lang w:val="en-US"/>
        </w:rPr>
        <w:t>The safety and efficacy of imatinib in children with MDS/MPD, DFSP, GIST and HES/CEL aged less than 18</w:t>
      </w:r>
      <w:r w:rsidRPr="00654EF1">
        <w:t> </w:t>
      </w:r>
      <w:r w:rsidRPr="00654EF1">
        <w:rPr>
          <w:color w:val="000000"/>
          <w:szCs w:val="22"/>
          <w:lang w:val="en-US"/>
        </w:rPr>
        <w:t>years of age have not been established in clinical trials. Currently available publ</w:t>
      </w:r>
      <w:r w:rsidR="001F2B41" w:rsidRPr="00654EF1">
        <w:rPr>
          <w:color w:val="000000"/>
          <w:szCs w:val="22"/>
          <w:lang w:val="en-US"/>
        </w:rPr>
        <w:t>i</w:t>
      </w:r>
      <w:r w:rsidRPr="00654EF1">
        <w:rPr>
          <w:color w:val="000000"/>
          <w:szCs w:val="22"/>
          <w:lang w:val="en-US"/>
        </w:rPr>
        <w:t>shed data are summarised in section 5.1 but no recommendation on a posology can be made.</w:t>
      </w:r>
    </w:p>
    <w:p w14:paraId="1B67FF07" w14:textId="77777777" w:rsidR="00E7584C" w:rsidRPr="00654EF1" w:rsidRDefault="00E7584C" w:rsidP="001D5C8C">
      <w:pPr>
        <w:pStyle w:val="EndnoteText"/>
        <w:widowControl w:val="0"/>
        <w:tabs>
          <w:tab w:val="clear" w:pos="567"/>
        </w:tabs>
        <w:rPr>
          <w:color w:val="000000"/>
          <w:lang w:val="en-US"/>
        </w:rPr>
      </w:pPr>
    </w:p>
    <w:p w14:paraId="1B67FF08" w14:textId="77777777" w:rsidR="009B57ED" w:rsidRPr="00654EF1" w:rsidRDefault="009B57ED" w:rsidP="001D5C8C">
      <w:pPr>
        <w:pStyle w:val="EndnoteText"/>
        <w:widowControl w:val="0"/>
        <w:tabs>
          <w:tab w:val="clear" w:pos="567"/>
        </w:tabs>
        <w:rPr>
          <w:color w:val="000000"/>
          <w:szCs w:val="22"/>
        </w:rPr>
      </w:pPr>
      <w:r w:rsidRPr="00654EF1">
        <w:rPr>
          <w:i/>
          <w:color w:val="000000"/>
          <w:szCs w:val="22"/>
        </w:rPr>
        <w:t>Hepatic insufficiency:</w:t>
      </w:r>
      <w:r w:rsidRPr="00654EF1">
        <w:rPr>
          <w:color w:val="000000"/>
          <w:szCs w:val="22"/>
        </w:rPr>
        <w:t xml:space="preserve"> Imatinib is mainly metabolised through the liver. </w:t>
      </w:r>
      <w:r w:rsidRPr="00654EF1">
        <w:rPr>
          <w:color w:val="000000"/>
        </w:rPr>
        <w:t xml:space="preserve">Patients with mild, moderate or severe liver dysfunction should be given the minimum recommended dose of 400 mg daily. The dose can be reduced if </w:t>
      </w:r>
      <w:r w:rsidR="004D0E4C" w:rsidRPr="00654EF1">
        <w:rPr>
          <w:color w:val="000000"/>
        </w:rPr>
        <w:t>not tolerated</w:t>
      </w:r>
      <w:r w:rsidRPr="00654EF1">
        <w:rPr>
          <w:color w:val="000000"/>
        </w:rPr>
        <w:t xml:space="preserve"> </w:t>
      </w:r>
      <w:r w:rsidRPr="00654EF1">
        <w:rPr>
          <w:color w:val="000000"/>
          <w:szCs w:val="22"/>
        </w:rPr>
        <w:t>(see sections 4.4, 4.8 and 5.2).</w:t>
      </w:r>
    </w:p>
    <w:p w14:paraId="1B67FF09" w14:textId="77777777" w:rsidR="009B57ED" w:rsidRPr="00654EF1" w:rsidRDefault="009B57ED" w:rsidP="001D5C8C">
      <w:pPr>
        <w:pStyle w:val="EndnoteText"/>
        <w:widowControl w:val="0"/>
        <w:tabs>
          <w:tab w:val="clear" w:pos="567"/>
        </w:tabs>
        <w:rPr>
          <w:color w:val="000000"/>
          <w:szCs w:val="22"/>
        </w:rPr>
      </w:pPr>
    </w:p>
    <w:p w14:paraId="1B67FF0A" w14:textId="77777777" w:rsidR="009B57ED" w:rsidRPr="00654EF1" w:rsidRDefault="009B57ED" w:rsidP="001D5C8C">
      <w:pPr>
        <w:pStyle w:val="Text"/>
        <w:keepNext/>
        <w:keepLines/>
        <w:widowControl w:val="0"/>
        <w:spacing w:before="0"/>
        <w:jc w:val="left"/>
        <w:rPr>
          <w:color w:val="000000"/>
          <w:sz w:val="22"/>
          <w:szCs w:val="22"/>
        </w:rPr>
      </w:pPr>
      <w:r w:rsidRPr="00654EF1">
        <w:rPr>
          <w:color w:val="000000"/>
          <w:sz w:val="22"/>
          <w:szCs w:val="22"/>
        </w:rPr>
        <w:t>Liver dysfunction classification:</w:t>
      </w:r>
    </w:p>
    <w:p w14:paraId="1B67FF0B" w14:textId="77777777" w:rsidR="009B57ED" w:rsidRPr="00654EF1" w:rsidRDefault="009B57ED" w:rsidP="001D5C8C">
      <w:pPr>
        <w:pStyle w:val="Text"/>
        <w:keepNext/>
        <w:keepLines/>
        <w:widowControl w:val="0"/>
        <w:spacing w:before="0"/>
        <w:jc w:val="lef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1"/>
        <w:gridCol w:w="5760"/>
      </w:tblGrid>
      <w:tr w:rsidR="009B57ED" w:rsidRPr="00654EF1" w14:paraId="1B67FF0E" w14:textId="77777777" w:rsidTr="005E7BE5">
        <w:trPr>
          <w:cantSplit/>
        </w:trPr>
        <w:tc>
          <w:tcPr>
            <w:tcW w:w="3369" w:type="dxa"/>
          </w:tcPr>
          <w:p w14:paraId="1B67FF0C"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color w:val="000000"/>
                <w:sz w:val="22"/>
                <w:szCs w:val="22"/>
              </w:rPr>
              <w:t>Liver dysfunction</w:t>
            </w:r>
          </w:p>
        </w:tc>
        <w:tc>
          <w:tcPr>
            <w:tcW w:w="5918" w:type="dxa"/>
          </w:tcPr>
          <w:p w14:paraId="1B67FF0D"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color w:val="000000"/>
                <w:sz w:val="22"/>
                <w:szCs w:val="22"/>
              </w:rPr>
              <w:t>Liver function tests</w:t>
            </w:r>
          </w:p>
        </w:tc>
      </w:tr>
      <w:tr w:rsidR="009B57ED" w:rsidRPr="00654EF1" w14:paraId="1B67FF12" w14:textId="77777777" w:rsidTr="005E7BE5">
        <w:trPr>
          <w:cantSplit/>
        </w:trPr>
        <w:tc>
          <w:tcPr>
            <w:tcW w:w="3369" w:type="dxa"/>
          </w:tcPr>
          <w:p w14:paraId="1B67FF0F"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color w:val="000000"/>
                <w:sz w:val="22"/>
                <w:szCs w:val="22"/>
              </w:rPr>
              <w:t>Mild</w:t>
            </w:r>
          </w:p>
        </w:tc>
        <w:tc>
          <w:tcPr>
            <w:tcW w:w="5918" w:type="dxa"/>
          </w:tcPr>
          <w:p w14:paraId="1B67FF10" w14:textId="77777777" w:rsidR="009B57ED" w:rsidRPr="00654EF1" w:rsidRDefault="009B57ED" w:rsidP="001D5C8C">
            <w:pPr>
              <w:keepNext/>
              <w:keepLines/>
              <w:widowControl w:val="0"/>
              <w:spacing w:line="240" w:lineRule="auto"/>
              <w:rPr>
                <w:snapToGrid w:val="0"/>
                <w:color w:val="000000"/>
                <w:szCs w:val="22"/>
              </w:rPr>
            </w:pPr>
            <w:r w:rsidRPr="00654EF1">
              <w:rPr>
                <w:snapToGrid w:val="0"/>
                <w:color w:val="000000"/>
                <w:szCs w:val="22"/>
              </w:rPr>
              <w:t>Total bilirubin: = 1.5 ULN</w:t>
            </w:r>
          </w:p>
          <w:p w14:paraId="1B67FF11"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snapToGrid w:val="0"/>
                <w:color w:val="000000"/>
                <w:sz w:val="22"/>
                <w:szCs w:val="22"/>
                <w:lang w:val="en-GB"/>
              </w:rPr>
              <w:t>A</w:t>
            </w:r>
            <w:r w:rsidRPr="00654EF1">
              <w:rPr>
                <w:snapToGrid w:val="0"/>
                <w:color w:val="000000"/>
                <w:sz w:val="22"/>
                <w:szCs w:val="22"/>
              </w:rPr>
              <w:t>ST: &gt;ULN (can be normal or &lt;ULN if total bilirubin is &gt;ULN)</w:t>
            </w:r>
          </w:p>
        </w:tc>
      </w:tr>
      <w:tr w:rsidR="009B57ED" w:rsidRPr="00654EF1" w14:paraId="1B67FF16" w14:textId="77777777" w:rsidTr="005E7BE5">
        <w:trPr>
          <w:cantSplit/>
        </w:trPr>
        <w:tc>
          <w:tcPr>
            <w:tcW w:w="3369" w:type="dxa"/>
          </w:tcPr>
          <w:p w14:paraId="1B67FF13"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color w:val="000000"/>
                <w:sz w:val="22"/>
                <w:szCs w:val="22"/>
              </w:rPr>
              <w:t>Moderate</w:t>
            </w:r>
          </w:p>
        </w:tc>
        <w:tc>
          <w:tcPr>
            <w:tcW w:w="5918" w:type="dxa"/>
          </w:tcPr>
          <w:p w14:paraId="1B67FF14" w14:textId="77777777" w:rsidR="009B57ED" w:rsidRPr="00654EF1" w:rsidRDefault="009B57ED" w:rsidP="001D5C8C">
            <w:pPr>
              <w:keepNext/>
              <w:keepLines/>
              <w:widowControl w:val="0"/>
              <w:spacing w:line="240" w:lineRule="auto"/>
              <w:rPr>
                <w:snapToGrid w:val="0"/>
                <w:color w:val="000000"/>
                <w:szCs w:val="22"/>
              </w:rPr>
            </w:pPr>
            <w:r w:rsidRPr="00654EF1">
              <w:rPr>
                <w:snapToGrid w:val="0"/>
                <w:color w:val="000000"/>
                <w:szCs w:val="22"/>
              </w:rPr>
              <w:t>Total bilirubin: &gt;1.5</w:t>
            </w:r>
            <w:r w:rsidRPr="00654EF1">
              <w:rPr>
                <w:color w:val="000000"/>
                <w:szCs w:val="22"/>
              </w:rPr>
              <w:t>–</w:t>
            </w:r>
            <w:r w:rsidRPr="00654EF1">
              <w:rPr>
                <w:snapToGrid w:val="0"/>
                <w:color w:val="000000"/>
                <w:szCs w:val="22"/>
              </w:rPr>
              <w:t>3.0 ULN</w:t>
            </w:r>
          </w:p>
          <w:p w14:paraId="1B67FF15"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snapToGrid w:val="0"/>
                <w:color w:val="000000"/>
                <w:sz w:val="22"/>
                <w:szCs w:val="22"/>
              </w:rPr>
              <w:t xml:space="preserve">AST: any </w:t>
            </w:r>
          </w:p>
        </w:tc>
      </w:tr>
      <w:tr w:rsidR="009B57ED" w:rsidRPr="00654EF1" w14:paraId="1B67FF1A" w14:textId="77777777" w:rsidTr="005E7BE5">
        <w:trPr>
          <w:cantSplit/>
        </w:trPr>
        <w:tc>
          <w:tcPr>
            <w:tcW w:w="3369" w:type="dxa"/>
          </w:tcPr>
          <w:p w14:paraId="1B67FF17"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color w:val="000000"/>
                <w:sz w:val="22"/>
                <w:szCs w:val="22"/>
              </w:rPr>
              <w:t>Severe</w:t>
            </w:r>
          </w:p>
        </w:tc>
        <w:tc>
          <w:tcPr>
            <w:tcW w:w="5918" w:type="dxa"/>
          </w:tcPr>
          <w:p w14:paraId="1B67FF18" w14:textId="77777777" w:rsidR="009B57ED" w:rsidRPr="00654EF1" w:rsidRDefault="009B57ED" w:rsidP="001D5C8C">
            <w:pPr>
              <w:keepNext/>
              <w:keepLines/>
              <w:widowControl w:val="0"/>
              <w:spacing w:line="240" w:lineRule="auto"/>
              <w:rPr>
                <w:snapToGrid w:val="0"/>
                <w:color w:val="000000"/>
                <w:szCs w:val="22"/>
              </w:rPr>
            </w:pPr>
            <w:r w:rsidRPr="00654EF1">
              <w:rPr>
                <w:snapToGrid w:val="0"/>
                <w:color w:val="000000"/>
                <w:szCs w:val="22"/>
              </w:rPr>
              <w:t>Total bilirubin: &gt;3</w:t>
            </w:r>
            <w:r w:rsidRPr="00654EF1">
              <w:rPr>
                <w:color w:val="000000"/>
                <w:szCs w:val="22"/>
              </w:rPr>
              <w:t>–</w:t>
            </w:r>
            <w:r w:rsidRPr="00654EF1">
              <w:rPr>
                <w:snapToGrid w:val="0"/>
                <w:color w:val="000000"/>
                <w:szCs w:val="22"/>
              </w:rPr>
              <w:t>10 ULN</w:t>
            </w:r>
          </w:p>
          <w:p w14:paraId="1B67FF19" w14:textId="77777777" w:rsidR="009B57ED" w:rsidRPr="00654EF1" w:rsidRDefault="009B57ED" w:rsidP="001D5C8C">
            <w:pPr>
              <w:pStyle w:val="Text"/>
              <w:keepNext/>
              <w:keepLines/>
              <w:widowControl w:val="0"/>
              <w:spacing w:before="0"/>
              <w:jc w:val="left"/>
              <w:rPr>
                <w:color w:val="000000"/>
                <w:sz w:val="22"/>
                <w:szCs w:val="22"/>
                <w:lang w:val="en-GB"/>
              </w:rPr>
            </w:pPr>
            <w:r w:rsidRPr="00654EF1">
              <w:rPr>
                <w:snapToGrid w:val="0"/>
                <w:color w:val="000000"/>
                <w:sz w:val="22"/>
                <w:szCs w:val="22"/>
              </w:rPr>
              <w:t>AST: any</w:t>
            </w:r>
          </w:p>
        </w:tc>
      </w:tr>
    </w:tbl>
    <w:p w14:paraId="1B67FF1B" w14:textId="77777777" w:rsidR="009B57ED" w:rsidRPr="00654EF1" w:rsidRDefault="009B57ED" w:rsidP="005E7BE5">
      <w:pPr>
        <w:pStyle w:val="Text"/>
        <w:keepNext/>
        <w:widowControl w:val="0"/>
        <w:spacing w:before="0"/>
        <w:jc w:val="left"/>
        <w:rPr>
          <w:color w:val="000000"/>
          <w:sz w:val="22"/>
          <w:szCs w:val="22"/>
        </w:rPr>
      </w:pPr>
      <w:r w:rsidRPr="00654EF1">
        <w:rPr>
          <w:color w:val="000000"/>
          <w:sz w:val="22"/>
          <w:szCs w:val="22"/>
        </w:rPr>
        <w:t>ULN = upper limit of normal for the institution</w:t>
      </w:r>
    </w:p>
    <w:p w14:paraId="1B67FF1C" w14:textId="77777777" w:rsidR="009B57ED" w:rsidRPr="00654EF1" w:rsidRDefault="009B57ED" w:rsidP="005E7BE5">
      <w:pPr>
        <w:widowControl w:val="0"/>
        <w:autoSpaceDE w:val="0"/>
        <w:autoSpaceDN w:val="0"/>
        <w:adjustRightInd w:val="0"/>
        <w:spacing w:line="240" w:lineRule="auto"/>
        <w:ind w:left="992" w:hanging="992"/>
        <w:rPr>
          <w:rFonts w:eastAsia="MS Mincho"/>
          <w:bCs/>
          <w:color w:val="000000"/>
          <w:szCs w:val="22"/>
          <w:lang w:eastAsia="ja-JP"/>
        </w:rPr>
      </w:pPr>
      <w:r w:rsidRPr="00654EF1">
        <w:rPr>
          <w:rFonts w:eastAsia="MS Mincho"/>
          <w:bCs/>
          <w:color w:val="000000"/>
          <w:szCs w:val="22"/>
          <w:lang w:eastAsia="ja-JP"/>
        </w:rPr>
        <w:t xml:space="preserve">AST = </w:t>
      </w:r>
      <w:r w:rsidRPr="00654EF1">
        <w:rPr>
          <w:color w:val="000000"/>
          <w:szCs w:val="22"/>
        </w:rPr>
        <w:t>aspartate aminotransferase</w:t>
      </w:r>
    </w:p>
    <w:p w14:paraId="1B67FF1D" w14:textId="77777777" w:rsidR="009B57ED" w:rsidRPr="00654EF1" w:rsidRDefault="009B57ED" w:rsidP="001D5C8C">
      <w:pPr>
        <w:pStyle w:val="EndnoteText"/>
        <w:widowControl w:val="0"/>
        <w:tabs>
          <w:tab w:val="clear" w:pos="567"/>
        </w:tabs>
        <w:rPr>
          <w:color w:val="000000"/>
          <w:szCs w:val="22"/>
        </w:rPr>
      </w:pPr>
    </w:p>
    <w:p w14:paraId="1B67FF1E" w14:textId="77777777" w:rsidR="00E539BC" w:rsidRPr="00654EF1" w:rsidRDefault="00E539BC" w:rsidP="001D5C8C">
      <w:pPr>
        <w:pStyle w:val="EndnoteText"/>
        <w:widowControl w:val="0"/>
        <w:tabs>
          <w:tab w:val="clear" w:pos="567"/>
        </w:tabs>
        <w:rPr>
          <w:color w:val="000000"/>
          <w:szCs w:val="22"/>
        </w:rPr>
      </w:pPr>
      <w:r w:rsidRPr="00654EF1">
        <w:rPr>
          <w:i/>
          <w:color w:val="000000"/>
          <w:szCs w:val="22"/>
        </w:rPr>
        <w:t>Renal insufficiency:</w:t>
      </w:r>
      <w:r w:rsidRPr="00654EF1">
        <w:rPr>
          <w:color w:val="000000"/>
          <w:szCs w:val="22"/>
        </w:rPr>
        <w:t xml:space="preserve"> </w:t>
      </w:r>
      <w:r w:rsidRPr="00654EF1">
        <w:rPr>
          <w:color w:val="000000"/>
        </w:rPr>
        <w:t>Patients</w:t>
      </w:r>
      <w:r w:rsidRPr="00654EF1">
        <w:rPr>
          <w:rFonts w:eastAsia="SimSun"/>
          <w:color w:val="000000"/>
          <w:lang w:eastAsia="zh-CN"/>
        </w:rPr>
        <w:t xml:space="preserve"> with renal dysfunction </w:t>
      </w:r>
      <w:r w:rsidRPr="00654EF1">
        <w:rPr>
          <w:snapToGrid w:val="0"/>
          <w:color w:val="000000"/>
          <w:szCs w:val="22"/>
        </w:rPr>
        <w:t xml:space="preserve">or on dialysis </w:t>
      </w:r>
      <w:r w:rsidRPr="00654EF1">
        <w:rPr>
          <w:rFonts w:eastAsia="SimSun"/>
          <w:color w:val="000000"/>
          <w:lang w:eastAsia="zh-CN"/>
        </w:rPr>
        <w:t xml:space="preserve">should be given the minimum recommended dose of 400 mg daily as starting dose. </w:t>
      </w:r>
      <w:r w:rsidRPr="00654EF1">
        <w:rPr>
          <w:color w:val="000000"/>
          <w:szCs w:val="22"/>
        </w:rPr>
        <w:t xml:space="preserve">However, in these patients caution is recommended. </w:t>
      </w:r>
      <w:r w:rsidRPr="00654EF1">
        <w:rPr>
          <w:color w:val="000000"/>
        </w:rPr>
        <w:t>The dose can be reduced if not tolerated. If tolerated, the dose can be increased for lack of efficacy (see sections 4.4 and 5.2).</w:t>
      </w:r>
    </w:p>
    <w:p w14:paraId="1B67FF1F" w14:textId="77777777" w:rsidR="00E539BC" w:rsidRPr="00654EF1" w:rsidRDefault="00E539BC" w:rsidP="001D5C8C">
      <w:pPr>
        <w:pStyle w:val="EndnoteText"/>
        <w:widowControl w:val="0"/>
        <w:tabs>
          <w:tab w:val="clear" w:pos="567"/>
        </w:tabs>
        <w:rPr>
          <w:color w:val="000000"/>
          <w:szCs w:val="22"/>
        </w:rPr>
      </w:pPr>
    </w:p>
    <w:p w14:paraId="1B67FF20" w14:textId="77777777" w:rsidR="00E539BC" w:rsidRPr="00654EF1" w:rsidRDefault="00244ABD" w:rsidP="001D5C8C">
      <w:pPr>
        <w:pStyle w:val="EndnoteText"/>
        <w:widowControl w:val="0"/>
        <w:tabs>
          <w:tab w:val="clear" w:pos="567"/>
        </w:tabs>
        <w:rPr>
          <w:color w:val="000000"/>
          <w:szCs w:val="22"/>
        </w:rPr>
      </w:pPr>
      <w:r w:rsidRPr="00654EF1">
        <w:rPr>
          <w:i/>
          <w:color w:val="000000"/>
          <w:szCs w:val="22"/>
        </w:rPr>
        <w:t>Older people</w:t>
      </w:r>
      <w:r w:rsidR="00E539BC" w:rsidRPr="00654EF1">
        <w:rPr>
          <w:i/>
          <w:color w:val="000000"/>
          <w:szCs w:val="22"/>
        </w:rPr>
        <w:t>:</w:t>
      </w:r>
      <w:r w:rsidR="00E539BC" w:rsidRPr="00654EF1">
        <w:rPr>
          <w:color w:val="000000"/>
          <w:szCs w:val="22"/>
        </w:rPr>
        <w:t xml:space="preserve"> Imatinib pharmacokinetics have not been specifically studied in </w:t>
      </w:r>
      <w:r w:rsidRPr="00654EF1">
        <w:rPr>
          <w:color w:val="000000"/>
          <w:szCs w:val="22"/>
        </w:rPr>
        <w:t>older people</w:t>
      </w:r>
      <w:r w:rsidR="00E539BC" w:rsidRPr="00654EF1">
        <w:rPr>
          <w:color w:val="000000"/>
          <w:szCs w:val="22"/>
        </w:rPr>
        <w:t xml:space="preserve">. No significant age-related pharmacokinetic differences have been observed in adult patients in clinical trials which included over 20% of patients age 65 and older. No specific dose recommendation is necessary in </w:t>
      </w:r>
      <w:r w:rsidRPr="00654EF1">
        <w:rPr>
          <w:color w:val="000000"/>
          <w:szCs w:val="22"/>
        </w:rPr>
        <w:t>older people</w:t>
      </w:r>
      <w:r w:rsidR="00E539BC" w:rsidRPr="00654EF1">
        <w:rPr>
          <w:color w:val="000000"/>
          <w:szCs w:val="22"/>
        </w:rPr>
        <w:t>.</w:t>
      </w:r>
    </w:p>
    <w:p w14:paraId="1B67FF21" w14:textId="77777777" w:rsidR="009B57ED" w:rsidRPr="00654EF1" w:rsidRDefault="009B57ED" w:rsidP="001D5C8C">
      <w:pPr>
        <w:pStyle w:val="EndnoteText"/>
        <w:widowControl w:val="0"/>
        <w:tabs>
          <w:tab w:val="clear" w:pos="567"/>
        </w:tabs>
        <w:rPr>
          <w:color w:val="000000"/>
          <w:szCs w:val="22"/>
        </w:rPr>
      </w:pPr>
    </w:p>
    <w:p w14:paraId="1B67FF22"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4.3</w:t>
      </w:r>
      <w:r w:rsidRPr="00654EF1">
        <w:rPr>
          <w:b/>
          <w:color w:val="000000"/>
          <w:szCs w:val="22"/>
        </w:rPr>
        <w:tab/>
        <w:t>Contraindications</w:t>
      </w:r>
    </w:p>
    <w:p w14:paraId="1B67FF23" w14:textId="77777777" w:rsidR="009B57ED" w:rsidRPr="00654EF1" w:rsidRDefault="009B57ED" w:rsidP="001D5C8C">
      <w:pPr>
        <w:pStyle w:val="EndnoteText"/>
        <w:keepNext/>
        <w:widowControl w:val="0"/>
        <w:tabs>
          <w:tab w:val="clear" w:pos="567"/>
        </w:tabs>
        <w:rPr>
          <w:color w:val="000000"/>
          <w:szCs w:val="22"/>
        </w:rPr>
      </w:pPr>
    </w:p>
    <w:p w14:paraId="1B67FF24"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Hypersensitivity to the active substance or to any of the excipients</w:t>
      </w:r>
      <w:r w:rsidR="003865A6" w:rsidRPr="00654EF1">
        <w:rPr>
          <w:color w:val="000000"/>
          <w:szCs w:val="22"/>
        </w:rPr>
        <w:t xml:space="preserve"> listed in section 6.1</w:t>
      </w:r>
      <w:r w:rsidRPr="00654EF1">
        <w:rPr>
          <w:color w:val="000000"/>
          <w:szCs w:val="22"/>
        </w:rPr>
        <w:t>.</w:t>
      </w:r>
    </w:p>
    <w:p w14:paraId="1B67FF25" w14:textId="77777777" w:rsidR="009B57ED" w:rsidRPr="00654EF1" w:rsidRDefault="009B57ED" w:rsidP="001D5C8C">
      <w:pPr>
        <w:pStyle w:val="EndnoteText"/>
        <w:widowControl w:val="0"/>
        <w:tabs>
          <w:tab w:val="clear" w:pos="567"/>
        </w:tabs>
        <w:rPr>
          <w:color w:val="000000"/>
          <w:szCs w:val="22"/>
        </w:rPr>
      </w:pPr>
    </w:p>
    <w:p w14:paraId="1B67FF26"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4.4</w:t>
      </w:r>
      <w:r w:rsidRPr="00654EF1">
        <w:rPr>
          <w:b/>
          <w:color w:val="000000"/>
          <w:szCs w:val="22"/>
        </w:rPr>
        <w:tab/>
        <w:t>Special warnings and precautions for use</w:t>
      </w:r>
    </w:p>
    <w:p w14:paraId="1B67FF27" w14:textId="77777777" w:rsidR="009B57ED" w:rsidRPr="00654EF1" w:rsidRDefault="009B57ED" w:rsidP="001D5C8C">
      <w:pPr>
        <w:pStyle w:val="EndnoteText"/>
        <w:keepNext/>
        <w:widowControl w:val="0"/>
        <w:tabs>
          <w:tab w:val="clear" w:pos="567"/>
        </w:tabs>
        <w:rPr>
          <w:color w:val="000000"/>
          <w:szCs w:val="22"/>
        </w:rPr>
      </w:pPr>
    </w:p>
    <w:p w14:paraId="1B67FF28" w14:textId="77777777" w:rsidR="009B57ED" w:rsidRPr="00654EF1" w:rsidRDefault="009B57ED" w:rsidP="001D5C8C">
      <w:pPr>
        <w:pStyle w:val="EndnoteText"/>
        <w:widowControl w:val="0"/>
        <w:tabs>
          <w:tab w:val="clear" w:pos="567"/>
          <w:tab w:val="left" w:pos="7655"/>
        </w:tabs>
        <w:rPr>
          <w:color w:val="000000"/>
          <w:szCs w:val="22"/>
        </w:rPr>
      </w:pPr>
      <w:r w:rsidRPr="00654EF1">
        <w:rPr>
          <w:color w:val="000000"/>
          <w:szCs w:val="22"/>
        </w:rPr>
        <w:t>When Glivec is co-administered with other medicinal products, there is a potential for drug interactions.</w:t>
      </w:r>
      <w:r w:rsidR="00E539BC" w:rsidRPr="00654EF1">
        <w:rPr>
          <w:color w:val="000000"/>
          <w:szCs w:val="22"/>
        </w:rPr>
        <w:t xml:space="preserve"> </w:t>
      </w:r>
      <w:r w:rsidR="00E539BC" w:rsidRPr="00654EF1">
        <w:t xml:space="preserve">Caution should be used when taking Glivec with </w:t>
      </w:r>
      <w:r w:rsidR="00DC572A" w:rsidRPr="00654EF1">
        <w:t xml:space="preserve">protease inhibitors, azole antifungals, certain macrolides (see section 4.5), </w:t>
      </w:r>
      <w:r w:rsidR="00E539BC" w:rsidRPr="00654EF1">
        <w:t>CYP3A4 substrates with a narrow therapeutic window (e.g. cyclosporin</w:t>
      </w:r>
      <w:r w:rsidR="00DC572A" w:rsidRPr="00654EF1">
        <w:t xml:space="preserve">e, </w:t>
      </w:r>
      <w:r w:rsidR="00E539BC" w:rsidRPr="00654EF1">
        <w:t>pimozide</w:t>
      </w:r>
      <w:r w:rsidR="00DC572A" w:rsidRPr="00654EF1">
        <w:t xml:space="preserve">, </w:t>
      </w:r>
      <w:r w:rsidR="00DC572A" w:rsidRPr="00654EF1">
        <w:rPr>
          <w:color w:val="000000"/>
          <w:szCs w:val="22"/>
        </w:rPr>
        <w:t>tacrolimus, sirolimus, ergotamine, diergotamine, fentanyl, alfentanil, terfenadine, bortezomib, docetaxel, quinidine</w:t>
      </w:r>
      <w:r w:rsidR="00E539BC" w:rsidRPr="00654EF1">
        <w:t>) or warfarin and other coumarin derivatives (see section 4.5).</w:t>
      </w:r>
    </w:p>
    <w:p w14:paraId="1B67FF29" w14:textId="77777777" w:rsidR="009B57ED" w:rsidRPr="00654EF1" w:rsidRDefault="009B57ED" w:rsidP="001D5C8C">
      <w:pPr>
        <w:pStyle w:val="EndnoteText"/>
        <w:widowControl w:val="0"/>
        <w:tabs>
          <w:tab w:val="clear" w:pos="567"/>
          <w:tab w:val="left" w:pos="7655"/>
        </w:tabs>
        <w:rPr>
          <w:color w:val="000000"/>
          <w:szCs w:val="22"/>
        </w:rPr>
      </w:pPr>
    </w:p>
    <w:p w14:paraId="1B67FF2A" w14:textId="77777777" w:rsidR="009B57ED" w:rsidRPr="00654EF1" w:rsidRDefault="009B57ED" w:rsidP="001D5C8C">
      <w:pPr>
        <w:pStyle w:val="EndnoteText"/>
        <w:widowControl w:val="0"/>
        <w:tabs>
          <w:tab w:val="clear" w:pos="567"/>
          <w:tab w:val="left" w:pos="7655"/>
        </w:tabs>
        <w:rPr>
          <w:color w:val="000000"/>
          <w:szCs w:val="22"/>
        </w:rPr>
      </w:pPr>
      <w:r w:rsidRPr="00654EF1">
        <w:rPr>
          <w:color w:val="000000"/>
          <w:szCs w:val="22"/>
        </w:rPr>
        <w:t xml:space="preserve">Concomitant use of imatinib and medicinal products that induce CYP3A4 (e.g. dexamethasone, phenytoin, carbamazepine, rifampicin, phenobarbital or </w:t>
      </w:r>
      <w:r w:rsidRPr="00654EF1">
        <w:rPr>
          <w:i/>
          <w:color w:val="000000"/>
          <w:szCs w:val="22"/>
        </w:rPr>
        <w:t>Hypericum perforatum</w:t>
      </w:r>
      <w:r w:rsidRPr="00654EF1">
        <w:rPr>
          <w:color w:val="000000"/>
          <w:szCs w:val="22"/>
        </w:rPr>
        <w:t xml:space="preserve">, also known as </w:t>
      </w:r>
      <w:smartTag w:uri="urn:schemas-microsoft-com:office:smarttags" w:element="City">
        <w:smartTag w:uri="urn:schemas-microsoft-com:office:smarttags" w:element="place">
          <w:r w:rsidRPr="00654EF1">
            <w:rPr>
              <w:color w:val="000000"/>
              <w:szCs w:val="22"/>
            </w:rPr>
            <w:t>St. John’s</w:t>
          </w:r>
        </w:smartTag>
      </w:smartTag>
      <w:r w:rsidRPr="00654EF1">
        <w:rPr>
          <w:color w:val="000000"/>
          <w:szCs w:val="22"/>
        </w:rPr>
        <w:t xml:space="preserve"> Wort) may significantly reduce exposure to Glivec, potentially increasing the risk of therapeutic failure. Therefore, concomitant use of strong CYP3A4 inducers and imatinib should be avoided (see section 4.5).</w:t>
      </w:r>
    </w:p>
    <w:p w14:paraId="1B67FF2B" w14:textId="77777777" w:rsidR="00CF4A74" w:rsidRPr="00654EF1" w:rsidRDefault="00CF4A74" w:rsidP="001D5C8C">
      <w:pPr>
        <w:pStyle w:val="EndnoteText"/>
        <w:widowControl w:val="0"/>
        <w:tabs>
          <w:tab w:val="clear" w:pos="567"/>
          <w:tab w:val="left" w:pos="7655"/>
        </w:tabs>
        <w:rPr>
          <w:color w:val="000000"/>
          <w:szCs w:val="22"/>
        </w:rPr>
      </w:pPr>
    </w:p>
    <w:p w14:paraId="1B67FF2C" w14:textId="77777777" w:rsidR="00D75BB4" w:rsidRPr="00654EF1" w:rsidRDefault="00D75BB4" w:rsidP="001D5C8C">
      <w:pPr>
        <w:pStyle w:val="EndnoteText"/>
        <w:keepNext/>
        <w:widowControl w:val="0"/>
        <w:tabs>
          <w:tab w:val="clear" w:pos="567"/>
          <w:tab w:val="left" w:pos="7655"/>
        </w:tabs>
        <w:rPr>
          <w:color w:val="000000"/>
          <w:szCs w:val="22"/>
          <w:u w:val="single"/>
        </w:rPr>
      </w:pPr>
      <w:r w:rsidRPr="00654EF1">
        <w:rPr>
          <w:color w:val="000000"/>
          <w:szCs w:val="22"/>
          <w:u w:val="single"/>
        </w:rPr>
        <w:t>Hypothyroidism</w:t>
      </w:r>
    </w:p>
    <w:p w14:paraId="1B67FF2D" w14:textId="77777777" w:rsidR="009B57ED" w:rsidRPr="00654EF1" w:rsidRDefault="00CF4A74" w:rsidP="001D5C8C">
      <w:pPr>
        <w:pStyle w:val="EndnoteText"/>
        <w:widowControl w:val="0"/>
        <w:tabs>
          <w:tab w:val="clear" w:pos="567"/>
          <w:tab w:val="left" w:pos="7655"/>
        </w:tabs>
        <w:rPr>
          <w:iCs/>
          <w:color w:val="000000"/>
          <w:szCs w:val="24"/>
        </w:rPr>
      </w:pPr>
      <w:r w:rsidRPr="00654EF1">
        <w:rPr>
          <w:iCs/>
          <w:color w:val="000000"/>
          <w:szCs w:val="24"/>
        </w:rPr>
        <w:t>Clinical cases of hypothyroidism have been reported in thyroidectomy patients undergoing levothyroxine replacement during treatment with Glivec</w:t>
      </w:r>
      <w:r w:rsidR="003113B7" w:rsidRPr="00654EF1">
        <w:rPr>
          <w:iCs/>
          <w:color w:val="000000"/>
          <w:szCs w:val="24"/>
        </w:rPr>
        <w:t xml:space="preserve"> (see section 4.5)</w:t>
      </w:r>
      <w:r w:rsidRPr="00654EF1">
        <w:rPr>
          <w:iCs/>
          <w:color w:val="000000"/>
          <w:szCs w:val="24"/>
        </w:rPr>
        <w:t xml:space="preserve">. </w:t>
      </w:r>
      <w:r w:rsidR="00E539BC" w:rsidRPr="00654EF1">
        <w:rPr>
          <w:iCs/>
          <w:color w:val="000000"/>
          <w:szCs w:val="24"/>
        </w:rPr>
        <w:t>Thyroid-stimulating hormone (TSH)</w:t>
      </w:r>
      <w:r w:rsidRPr="00654EF1">
        <w:rPr>
          <w:iCs/>
          <w:color w:val="000000"/>
          <w:szCs w:val="24"/>
        </w:rPr>
        <w:t xml:space="preserve"> levels should be closely monitored in such patients.</w:t>
      </w:r>
    </w:p>
    <w:p w14:paraId="1B67FF2E" w14:textId="77777777" w:rsidR="00D75BB4" w:rsidRPr="00654EF1" w:rsidRDefault="00D75BB4" w:rsidP="001D5C8C">
      <w:pPr>
        <w:pStyle w:val="EndnoteText"/>
        <w:widowControl w:val="0"/>
        <w:tabs>
          <w:tab w:val="clear" w:pos="567"/>
          <w:tab w:val="left" w:pos="7655"/>
        </w:tabs>
        <w:rPr>
          <w:color w:val="000000"/>
          <w:szCs w:val="22"/>
          <w:u w:val="single"/>
        </w:rPr>
      </w:pPr>
    </w:p>
    <w:p w14:paraId="1B67FF2F" w14:textId="77777777" w:rsidR="00CF4A74" w:rsidRPr="00654EF1" w:rsidRDefault="00D75BB4" w:rsidP="001D5C8C">
      <w:pPr>
        <w:pStyle w:val="EndnoteText"/>
        <w:keepNext/>
        <w:widowControl w:val="0"/>
        <w:tabs>
          <w:tab w:val="clear" w:pos="567"/>
          <w:tab w:val="left" w:pos="7655"/>
        </w:tabs>
        <w:rPr>
          <w:color w:val="000000"/>
          <w:szCs w:val="22"/>
          <w:u w:val="single"/>
        </w:rPr>
      </w:pPr>
      <w:r w:rsidRPr="00654EF1">
        <w:rPr>
          <w:color w:val="000000"/>
          <w:szCs w:val="22"/>
          <w:u w:val="single"/>
        </w:rPr>
        <w:t>Hepatotoxicity</w:t>
      </w:r>
    </w:p>
    <w:p w14:paraId="1B67FF30"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Metabolism of Glivec is mainly hepatic, and only 13% of excretion is through the kidneys. In patients with hepatic dysfunction (mild, moderate or severe), peripheral blood counts and liver enzymes should be carefully monitored (see sections 4.2, 4.8 and 5.2). It should be noted that GIST patients may have hepatic metastases which could lead to hepatic impairment.</w:t>
      </w:r>
    </w:p>
    <w:p w14:paraId="1B67FF31" w14:textId="77777777" w:rsidR="00286082" w:rsidRPr="00654EF1" w:rsidRDefault="00286082" w:rsidP="001D5C8C">
      <w:pPr>
        <w:pStyle w:val="EndnoteText"/>
        <w:widowControl w:val="0"/>
        <w:tabs>
          <w:tab w:val="clear" w:pos="567"/>
        </w:tabs>
        <w:rPr>
          <w:color w:val="000000"/>
          <w:szCs w:val="22"/>
        </w:rPr>
      </w:pPr>
    </w:p>
    <w:p w14:paraId="1B67FF32" w14:textId="77777777" w:rsidR="00482352" w:rsidRPr="00654EF1" w:rsidRDefault="00286082" w:rsidP="001D5C8C">
      <w:pPr>
        <w:pStyle w:val="EndnoteText"/>
        <w:widowControl w:val="0"/>
        <w:tabs>
          <w:tab w:val="clear" w:pos="567"/>
        </w:tabs>
        <w:rPr>
          <w:color w:val="000000"/>
          <w:szCs w:val="22"/>
        </w:rPr>
      </w:pPr>
      <w:r w:rsidRPr="00654EF1">
        <w:rPr>
          <w:color w:val="000000"/>
          <w:szCs w:val="22"/>
          <w:lang w:eastAsia="es-ES"/>
        </w:rPr>
        <w:t>Cases of liver injury, including hepatic failure and hepatic necrosis</w:t>
      </w:r>
      <w:r w:rsidR="003346B2" w:rsidRPr="00654EF1">
        <w:rPr>
          <w:color w:val="000000"/>
          <w:szCs w:val="22"/>
          <w:lang w:eastAsia="es-ES"/>
        </w:rPr>
        <w:t>,</w:t>
      </w:r>
      <w:r w:rsidRPr="00654EF1">
        <w:rPr>
          <w:color w:val="000000"/>
          <w:szCs w:val="22"/>
          <w:lang w:eastAsia="es-ES"/>
        </w:rPr>
        <w:t xml:space="preserve"> have been observed with imatinib. </w:t>
      </w:r>
      <w:r w:rsidR="00482352" w:rsidRPr="00654EF1">
        <w:rPr>
          <w:color w:val="000000"/>
        </w:rPr>
        <w:t>When imatinib is combined with high dose chemotherapy regimens</w:t>
      </w:r>
      <w:r w:rsidRPr="00654EF1">
        <w:rPr>
          <w:color w:val="000000"/>
          <w:szCs w:val="22"/>
          <w:lang w:eastAsia="es-ES"/>
        </w:rPr>
        <w:t>, an increase in serious hepatic reactions has been detected. Hepatic function should be carefully monitored</w:t>
      </w:r>
      <w:r w:rsidR="00482352" w:rsidRPr="00654EF1">
        <w:rPr>
          <w:color w:val="000000"/>
        </w:rPr>
        <w:t xml:space="preserve"> in circumstances where imatinib is combined with chemotherapy regimens also known to be associated with hepatic dysfunction (see section 4.5 and 4.8).</w:t>
      </w:r>
    </w:p>
    <w:p w14:paraId="1B67FF33" w14:textId="77777777" w:rsidR="00D75BB4" w:rsidRPr="00654EF1" w:rsidRDefault="00D75BB4" w:rsidP="001D5C8C">
      <w:pPr>
        <w:pStyle w:val="EndnoteText"/>
        <w:widowControl w:val="0"/>
        <w:tabs>
          <w:tab w:val="clear" w:pos="567"/>
        </w:tabs>
        <w:rPr>
          <w:color w:val="000000"/>
          <w:szCs w:val="22"/>
        </w:rPr>
      </w:pPr>
    </w:p>
    <w:p w14:paraId="1B67FF34" w14:textId="77777777" w:rsidR="009B57ED" w:rsidRPr="00654EF1" w:rsidRDefault="00D75BB4" w:rsidP="001D5C8C">
      <w:pPr>
        <w:pStyle w:val="EndnoteText"/>
        <w:keepNext/>
        <w:widowControl w:val="0"/>
        <w:tabs>
          <w:tab w:val="clear" w:pos="567"/>
        </w:tabs>
        <w:rPr>
          <w:color w:val="000000"/>
          <w:szCs w:val="22"/>
        </w:rPr>
      </w:pPr>
      <w:r w:rsidRPr="00654EF1">
        <w:rPr>
          <w:color w:val="000000"/>
          <w:szCs w:val="22"/>
          <w:u w:val="single"/>
        </w:rPr>
        <w:t>Fluid retention</w:t>
      </w:r>
    </w:p>
    <w:p w14:paraId="1B67FF35"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Occurrences of severe fluid retention (pleural effusion, oedema, pulmonary oedema, ascites</w:t>
      </w:r>
      <w:r w:rsidR="003113B7" w:rsidRPr="00654EF1">
        <w:rPr>
          <w:color w:val="000000"/>
          <w:szCs w:val="22"/>
        </w:rPr>
        <w:t>, superficial oedema</w:t>
      </w:r>
      <w:r w:rsidRPr="00654EF1">
        <w:rPr>
          <w:color w:val="000000"/>
          <w:szCs w:val="22"/>
        </w:rPr>
        <w:t>) have been reported in approximately 2</w:t>
      </w:r>
      <w:r w:rsidR="00CF4A74" w:rsidRPr="00654EF1">
        <w:rPr>
          <w:color w:val="000000"/>
          <w:szCs w:val="22"/>
        </w:rPr>
        <w:t>.5</w:t>
      </w:r>
      <w:r w:rsidRPr="00654EF1">
        <w:rPr>
          <w:color w:val="000000"/>
          <w:szCs w:val="22"/>
        </w:rPr>
        <w:t xml:space="preserve">% of </w:t>
      </w:r>
      <w:r w:rsidR="00CF4A74" w:rsidRPr="00654EF1">
        <w:rPr>
          <w:color w:val="000000"/>
          <w:szCs w:val="22"/>
        </w:rPr>
        <w:t xml:space="preserve">newly diagnosed CML </w:t>
      </w:r>
      <w:r w:rsidRPr="00654EF1">
        <w:rPr>
          <w:color w:val="000000"/>
          <w:szCs w:val="22"/>
        </w:rPr>
        <w:t xml:space="preserve">patients taking Glivec. Therefore, it is highly recommended that patients be weighed regularly. An unexpected rapid weight gain should be carefully investigated and if necessary appropriate supportive care and therapeutic measures should be undertaken. In clinical trials, there was an increased incidence of these events in </w:t>
      </w:r>
      <w:r w:rsidR="00244ABD" w:rsidRPr="00654EF1">
        <w:rPr>
          <w:color w:val="000000"/>
          <w:szCs w:val="22"/>
        </w:rPr>
        <w:t>older people</w:t>
      </w:r>
      <w:r w:rsidRPr="00654EF1">
        <w:rPr>
          <w:color w:val="000000"/>
          <w:szCs w:val="22"/>
        </w:rPr>
        <w:t xml:space="preserve"> and those with a prior history of cardiac disease. Therefore, caution should be exercised in patients with cardiac dysfunction.</w:t>
      </w:r>
    </w:p>
    <w:p w14:paraId="1B67FF36" w14:textId="77777777" w:rsidR="00D75BB4" w:rsidRPr="00654EF1" w:rsidRDefault="00D75BB4" w:rsidP="001D5C8C">
      <w:pPr>
        <w:pStyle w:val="EndnoteText"/>
        <w:widowControl w:val="0"/>
        <w:tabs>
          <w:tab w:val="clear" w:pos="567"/>
        </w:tabs>
        <w:rPr>
          <w:color w:val="000000"/>
        </w:rPr>
      </w:pPr>
    </w:p>
    <w:p w14:paraId="1B67FF37" w14:textId="77777777" w:rsidR="00254208" w:rsidRPr="00654EF1" w:rsidRDefault="00D75BB4" w:rsidP="001D5C8C">
      <w:pPr>
        <w:pStyle w:val="EndnoteText"/>
        <w:keepNext/>
        <w:widowControl w:val="0"/>
        <w:tabs>
          <w:tab w:val="clear" w:pos="567"/>
        </w:tabs>
        <w:rPr>
          <w:color w:val="000000"/>
        </w:rPr>
      </w:pPr>
      <w:r w:rsidRPr="00654EF1">
        <w:rPr>
          <w:color w:val="000000"/>
          <w:u w:val="single"/>
        </w:rPr>
        <w:t>Patients with cardiac disease</w:t>
      </w:r>
    </w:p>
    <w:p w14:paraId="1B67FF38" w14:textId="77777777" w:rsidR="00254208" w:rsidRPr="00654EF1" w:rsidRDefault="00254208" w:rsidP="001D5C8C">
      <w:pPr>
        <w:pStyle w:val="EndnoteText"/>
        <w:widowControl w:val="0"/>
        <w:tabs>
          <w:tab w:val="clear" w:pos="567"/>
        </w:tabs>
        <w:rPr>
          <w:color w:val="000000"/>
        </w:rPr>
      </w:pPr>
      <w:r w:rsidRPr="00654EF1">
        <w:rPr>
          <w:color w:val="000000"/>
        </w:rPr>
        <w:t>Patients with cardiac disease</w:t>
      </w:r>
      <w:r w:rsidR="00EC14E0" w:rsidRPr="00654EF1">
        <w:rPr>
          <w:color w:val="000000"/>
        </w:rPr>
        <w:t>,</w:t>
      </w:r>
      <w:r w:rsidRPr="00654EF1">
        <w:rPr>
          <w:color w:val="000000"/>
        </w:rPr>
        <w:t xml:space="preserve"> risk factors for cardiac failure </w:t>
      </w:r>
      <w:r w:rsidR="00EC14E0" w:rsidRPr="00654EF1">
        <w:rPr>
          <w:color w:val="000000"/>
        </w:rPr>
        <w:t xml:space="preserve">or history of renal failure </w:t>
      </w:r>
      <w:r w:rsidRPr="00654EF1">
        <w:rPr>
          <w:color w:val="000000"/>
        </w:rPr>
        <w:t xml:space="preserve">should be monitored carefully, and any patient with signs or symptoms consistent with cardiac </w:t>
      </w:r>
      <w:r w:rsidR="00EC14E0" w:rsidRPr="00654EF1">
        <w:rPr>
          <w:color w:val="000000"/>
        </w:rPr>
        <w:t xml:space="preserve">or renal </w:t>
      </w:r>
      <w:r w:rsidRPr="00654EF1">
        <w:rPr>
          <w:color w:val="000000"/>
        </w:rPr>
        <w:t>failure should be evaluated and treated.</w:t>
      </w:r>
    </w:p>
    <w:p w14:paraId="1B67FF39" w14:textId="77777777" w:rsidR="00254208" w:rsidRPr="00654EF1" w:rsidRDefault="00254208" w:rsidP="001D5C8C">
      <w:pPr>
        <w:pStyle w:val="Text"/>
        <w:widowControl w:val="0"/>
        <w:spacing w:before="0"/>
        <w:jc w:val="left"/>
        <w:rPr>
          <w:color w:val="000000"/>
          <w:sz w:val="22"/>
          <w:szCs w:val="22"/>
          <w:lang w:val="en-GB"/>
        </w:rPr>
      </w:pPr>
    </w:p>
    <w:p w14:paraId="1B67FF3A" w14:textId="77777777" w:rsidR="00A10BEC" w:rsidRPr="00654EF1" w:rsidRDefault="00254208" w:rsidP="001D5C8C">
      <w:pPr>
        <w:pStyle w:val="Text"/>
        <w:widowControl w:val="0"/>
        <w:spacing w:before="0"/>
        <w:jc w:val="left"/>
        <w:rPr>
          <w:color w:val="000000"/>
          <w:sz w:val="22"/>
          <w:szCs w:val="22"/>
        </w:rPr>
      </w:pPr>
      <w:r w:rsidRPr="00654EF1">
        <w:rPr>
          <w:color w:val="000000"/>
          <w:sz w:val="22"/>
          <w:szCs w:val="22"/>
          <w:lang w:val="en-GB"/>
        </w:rPr>
        <w:t xml:space="preserve">In patients with </w:t>
      </w:r>
      <w:r w:rsidRPr="00654EF1">
        <w:rPr>
          <w:snapToGrid w:val="0"/>
          <w:color w:val="000000"/>
          <w:sz w:val="22"/>
          <w:szCs w:val="22"/>
          <w:lang w:val="en-GB" w:eastAsia="de-DE"/>
        </w:rPr>
        <w:t xml:space="preserve">hypereosinophilic syndrome (HES) </w:t>
      </w:r>
      <w:r w:rsidR="00BA4D84" w:rsidRPr="00654EF1">
        <w:rPr>
          <w:color w:val="000000"/>
          <w:sz w:val="22"/>
          <w:szCs w:val="22"/>
          <w:lang w:val="en-GB"/>
        </w:rPr>
        <w:t>with occult infiltration of HES cells within the myocardium</w:t>
      </w:r>
      <w:r w:rsidRPr="00654EF1">
        <w:rPr>
          <w:color w:val="000000"/>
          <w:sz w:val="22"/>
          <w:szCs w:val="22"/>
          <w:lang w:val="en-GB"/>
        </w:rPr>
        <w:t xml:space="preserve">, isolated cases of cardiogenic shock/left ventricular dysfunction have been associated with </w:t>
      </w:r>
      <w:r w:rsidR="00BA4D84" w:rsidRPr="00654EF1">
        <w:rPr>
          <w:color w:val="000000"/>
          <w:sz w:val="22"/>
          <w:szCs w:val="22"/>
          <w:lang w:val="en-GB"/>
        </w:rPr>
        <w:t xml:space="preserve">HES cell degranulation upon </w:t>
      </w:r>
      <w:r w:rsidRPr="00654EF1">
        <w:rPr>
          <w:color w:val="000000"/>
          <w:sz w:val="22"/>
          <w:szCs w:val="22"/>
          <w:lang w:val="en-GB"/>
        </w:rPr>
        <w:t xml:space="preserve">the initiation of imatinib therapy. The condition was reported to be reversible with the administration of systemic steroids, circulatory support measures and temporarily withholding imatinib. </w:t>
      </w:r>
      <w:r w:rsidRPr="00654EF1">
        <w:rPr>
          <w:color w:val="000000"/>
          <w:sz w:val="22"/>
          <w:szCs w:val="22"/>
        </w:rPr>
        <w:t>As cardiac adverse events have been reported uncommonly with imatinib, a careful assessment of the benefit/risk of imatinib therapy should be considered in the HES/</w:t>
      </w:r>
      <w:smartTag w:uri="urn:schemas-microsoft-com:office:smarttags" w:element="stockticker">
        <w:r w:rsidRPr="00654EF1">
          <w:rPr>
            <w:color w:val="000000"/>
            <w:sz w:val="22"/>
            <w:szCs w:val="22"/>
          </w:rPr>
          <w:t>CEL</w:t>
        </w:r>
      </w:smartTag>
      <w:r w:rsidRPr="00654EF1">
        <w:rPr>
          <w:color w:val="000000"/>
          <w:sz w:val="22"/>
          <w:szCs w:val="22"/>
        </w:rPr>
        <w:t xml:space="preserve"> </w:t>
      </w:r>
      <w:r w:rsidRPr="00654EF1">
        <w:rPr>
          <w:color w:val="000000"/>
          <w:sz w:val="22"/>
          <w:szCs w:val="22"/>
        </w:rPr>
        <w:lastRenderedPageBreak/>
        <w:t>population before treatment initiation.</w:t>
      </w:r>
    </w:p>
    <w:p w14:paraId="1B67FF3B" w14:textId="77777777" w:rsidR="00A10BEC" w:rsidRPr="00654EF1" w:rsidRDefault="00A10BEC" w:rsidP="001D5C8C">
      <w:pPr>
        <w:pStyle w:val="Text"/>
        <w:widowControl w:val="0"/>
        <w:spacing w:before="0"/>
        <w:jc w:val="left"/>
        <w:rPr>
          <w:color w:val="000000"/>
          <w:sz w:val="22"/>
          <w:szCs w:val="22"/>
        </w:rPr>
      </w:pPr>
    </w:p>
    <w:p w14:paraId="1B67FF3C" w14:textId="77777777" w:rsidR="00254208" w:rsidRPr="00654EF1" w:rsidRDefault="00254208" w:rsidP="001D5C8C">
      <w:pPr>
        <w:pStyle w:val="Text"/>
        <w:widowControl w:val="0"/>
        <w:spacing w:before="0"/>
        <w:jc w:val="left"/>
        <w:rPr>
          <w:color w:val="000000"/>
          <w:sz w:val="22"/>
          <w:szCs w:val="22"/>
          <w:lang w:val="en-GB"/>
        </w:rPr>
      </w:pPr>
      <w:r w:rsidRPr="00654EF1">
        <w:rPr>
          <w:snapToGrid w:val="0"/>
          <w:color w:val="000000"/>
          <w:sz w:val="22"/>
          <w:szCs w:val="22"/>
          <w:lang w:val="en-GB" w:eastAsia="de-DE"/>
        </w:rPr>
        <w:t>Myelodysplastic/myeloproliferative diseases with PDGFR gene re-arrangements could</w:t>
      </w:r>
      <w:r w:rsidRPr="00654EF1">
        <w:rPr>
          <w:color w:val="000000"/>
          <w:sz w:val="22"/>
          <w:szCs w:val="22"/>
          <w:lang w:val="en-GB"/>
        </w:rPr>
        <w:t xml:space="preserve"> be associated with high eosinophil levels. Evaluation by a cardiology specialist, performance of an echocardiogram and determination of serum troponin should therefore be considered in patients with HES/</w:t>
      </w:r>
      <w:smartTag w:uri="urn:schemas-microsoft-com:office:smarttags" w:element="stockticker">
        <w:r w:rsidRPr="00654EF1">
          <w:rPr>
            <w:color w:val="000000"/>
            <w:sz w:val="22"/>
            <w:szCs w:val="22"/>
            <w:lang w:val="en-GB"/>
          </w:rPr>
          <w:t>CEL</w:t>
        </w:r>
      </w:smartTag>
      <w:r w:rsidRPr="00654EF1">
        <w:rPr>
          <w:color w:val="000000"/>
          <w:sz w:val="22"/>
          <w:szCs w:val="22"/>
          <w:lang w:val="en-GB"/>
        </w:rPr>
        <w:t xml:space="preserve">, and in patients with </w:t>
      </w:r>
      <w:smartTag w:uri="urn:schemas-microsoft-com:office:smarttags" w:element="stockticker">
        <w:r w:rsidRPr="00654EF1">
          <w:rPr>
            <w:color w:val="000000"/>
            <w:sz w:val="22"/>
            <w:szCs w:val="22"/>
            <w:lang w:val="en-GB"/>
          </w:rPr>
          <w:t>MDS</w:t>
        </w:r>
      </w:smartTag>
      <w:r w:rsidRPr="00654EF1">
        <w:rPr>
          <w:color w:val="000000"/>
          <w:sz w:val="22"/>
          <w:szCs w:val="22"/>
          <w:lang w:val="en-GB"/>
        </w:rPr>
        <w:t>/MPD associated with high eosinophil levels before imatinib is administered. If either is abnormal, follow-up with a cardiology specialist and the prophylactic use of systemic steroids (1</w:t>
      </w:r>
      <w:r w:rsidRPr="00654EF1">
        <w:rPr>
          <w:color w:val="000000"/>
          <w:sz w:val="22"/>
          <w:szCs w:val="22"/>
        </w:rPr>
        <w:t>–</w:t>
      </w:r>
      <w:r w:rsidRPr="00654EF1">
        <w:rPr>
          <w:color w:val="000000"/>
          <w:sz w:val="22"/>
          <w:szCs w:val="22"/>
          <w:lang w:val="en-GB"/>
        </w:rPr>
        <w:t>2 mg/kg) for one to two weeks concomitantly with imatinib should be considered at the initiation of therapy</w:t>
      </w:r>
      <w:r w:rsidRPr="00654EF1">
        <w:rPr>
          <w:color w:val="000000"/>
          <w:sz w:val="22"/>
          <w:szCs w:val="22"/>
        </w:rPr>
        <w:t>.</w:t>
      </w:r>
    </w:p>
    <w:p w14:paraId="1B67FF3D" w14:textId="77777777" w:rsidR="00D75BB4" w:rsidRPr="00654EF1" w:rsidRDefault="00D75BB4" w:rsidP="001D5C8C">
      <w:pPr>
        <w:pStyle w:val="EndnoteText"/>
        <w:widowControl w:val="0"/>
        <w:tabs>
          <w:tab w:val="clear" w:pos="567"/>
        </w:tabs>
        <w:rPr>
          <w:color w:val="000000"/>
          <w:szCs w:val="22"/>
        </w:rPr>
      </w:pPr>
    </w:p>
    <w:p w14:paraId="1B67FF3E" w14:textId="77777777" w:rsidR="009B57ED" w:rsidRPr="00654EF1" w:rsidRDefault="00D75BB4" w:rsidP="001D5C8C">
      <w:pPr>
        <w:pStyle w:val="EndnoteText"/>
        <w:keepNext/>
        <w:widowControl w:val="0"/>
        <w:tabs>
          <w:tab w:val="clear" w:pos="567"/>
        </w:tabs>
        <w:rPr>
          <w:color w:val="000000"/>
          <w:szCs w:val="22"/>
        </w:rPr>
      </w:pPr>
      <w:r w:rsidRPr="00654EF1">
        <w:rPr>
          <w:color w:val="000000"/>
          <w:szCs w:val="22"/>
          <w:u w:val="single"/>
        </w:rPr>
        <w:t>Gastrointestinal haemorrhage</w:t>
      </w:r>
    </w:p>
    <w:p w14:paraId="1B67FF3F" w14:textId="77777777" w:rsidR="00586AD4" w:rsidRPr="00654EF1" w:rsidRDefault="000D2060" w:rsidP="001D5C8C">
      <w:pPr>
        <w:pStyle w:val="EndnoteText"/>
        <w:widowControl w:val="0"/>
        <w:tabs>
          <w:tab w:val="clear" w:pos="567"/>
        </w:tabs>
        <w:rPr>
          <w:snapToGrid w:val="0"/>
          <w:szCs w:val="22"/>
        </w:rPr>
      </w:pPr>
      <w:r w:rsidRPr="00654EF1">
        <w:rPr>
          <w:snapToGrid w:val="0"/>
          <w:color w:val="000000"/>
          <w:szCs w:val="22"/>
        </w:rPr>
        <w:t xml:space="preserve">In the study in patients with unresectable and/or metastatic GIST, both gastrointestinal and intra-tumoural haemorrhages were reported (see section 4.8). Based on the available data, no predisposing factors (e.g. tumour size, tumour location, coagulation disorders) have been identified that place </w:t>
      </w:r>
      <w:r w:rsidRPr="00654EF1">
        <w:rPr>
          <w:snapToGrid w:val="0"/>
          <w:szCs w:val="22"/>
        </w:rPr>
        <w:t>patients with GIST at a higher risk of either type of haemorrhage. Since increased vascularity and propensity for bleeding is a part of the nature and clinical course of GIST, standard practices and procedures for the monitoring and management of haemorrhage in all patients should be applied.</w:t>
      </w:r>
    </w:p>
    <w:p w14:paraId="1B67FF40" w14:textId="77777777" w:rsidR="00586AD4" w:rsidRPr="00654EF1" w:rsidRDefault="00586AD4" w:rsidP="001D5C8C">
      <w:pPr>
        <w:pStyle w:val="EndnoteText"/>
        <w:widowControl w:val="0"/>
        <w:tabs>
          <w:tab w:val="clear" w:pos="567"/>
        </w:tabs>
        <w:rPr>
          <w:snapToGrid w:val="0"/>
          <w:szCs w:val="22"/>
        </w:rPr>
      </w:pPr>
    </w:p>
    <w:p w14:paraId="1B67FF41" w14:textId="77777777" w:rsidR="000D2060" w:rsidRPr="00654EF1" w:rsidRDefault="00586AD4" w:rsidP="001D5C8C">
      <w:pPr>
        <w:pStyle w:val="EndnoteText"/>
        <w:widowControl w:val="0"/>
        <w:tabs>
          <w:tab w:val="clear" w:pos="567"/>
        </w:tabs>
        <w:rPr>
          <w:snapToGrid w:val="0"/>
          <w:szCs w:val="22"/>
        </w:rPr>
      </w:pPr>
      <w:r w:rsidRPr="00654EF1">
        <w:t>In addition, gastric antral vascular ectasia (GAVE), a rare cause of gastrointestinal haemorrhage, has been reported in post-marketing experience in patients with CML, ALL and other diseases (see section 4.8). When needed, discontinuation of Glivec treatment may be considered.</w:t>
      </w:r>
    </w:p>
    <w:p w14:paraId="1B67FF42" w14:textId="77777777" w:rsidR="00D75BB4" w:rsidRPr="00654EF1" w:rsidRDefault="00D75BB4" w:rsidP="001D5C8C">
      <w:pPr>
        <w:pStyle w:val="EndnoteText"/>
        <w:widowControl w:val="0"/>
        <w:tabs>
          <w:tab w:val="clear" w:pos="567"/>
        </w:tabs>
        <w:rPr>
          <w:snapToGrid w:val="0"/>
          <w:szCs w:val="22"/>
        </w:rPr>
      </w:pPr>
    </w:p>
    <w:p w14:paraId="1B67FF43" w14:textId="77777777" w:rsidR="00EB044B" w:rsidRPr="00654EF1" w:rsidRDefault="00D75BB4" w:rsidP="001D5C8C">
      <w:pPr>
        <w:pStyle w:val="EndnoteText"/>
        <w:keepNext/>
        <w:widowControl w:val="0"/>
        <w:tabs>
          <w:tab w:val="clear" w:pos="567"/>
        </w:tabs>
        <w:rPr>
          <w:snapToGrid w:val="0"/>
          <w:color w:val="000000"/>
          <w:szCs w:val="22"/>
        </w:rPr>
      </w:pPr>
      <w:r w:rsidRPr="00654EF1">
        <w:rPr>
          <w:snapToGrid w:val="0"/>
          <w:color w:val="000000"/>
          <w:szCs w:val="22"/>
          <w:u w:val="single"/>
        </w:rPr>
        <w:t>Tumo</w:t>
      </w:r>
      <w:r w:rsidR="00586AD4" w:rsidRPr="00654EF1">
        <w:rPr>
          <w:snapToGrid w:val="0"/>
          <w:color w:val="000000"/>
          <w:szCs w:val="22"/>
          <w:u w:val="single"/>
        </w:rPr>
        <w:t>u</w:t>
      </w:r>
      <w:r w:rsidRPr="00654EF1">
        <w:rPr>
          <w:snapToGrid w:val="0"/>
          <w:color w:val="000000"/>
          <w:szCs w:val="22"/>
          <w:u w:val="single"/>
        </w:rPr>
        <w:t>r lysis syndrome</w:t>
      </w:r>
    </w:p>
    <w:p w14:paraId="1B67FF44" w14:textId="77777777" w:rsidR="00EB044B" w:rsidRPr="00654EF1" w:rsidRDefault="009C1C87" w:rsidP="001D5C8C">
      <w:pPr>
        <w:pStyle w:val="EndnoteText"/>
        <w:widowControl w:val="0"/>
        <w:tabs>
          <w:tab w:val="clear" w:pos="567"/>
        </w:tabs>
        <w:rPr>
          <w:snapToGrid w:val="0"/>
          <w:color w:val="000000"/>
          <w:szCs w:val="22"/>
        </w:rPr>
      </w:pPr>
      <w:r w:rsidRPr="00654EF1">
        <w:rPr>
          <w:snapToGrid w:val="0"/>
          <w:color w:val="000000"/>
          <w:szCs w:val="22"/>
        </w:rPr>
        <w:t xml:space="preserve">Due to the possible occurrence of </w:t>
      </w:r>
      <w:r w:rsidRPr="00654EF1">
        <w:rPr>
          <w:color w:val="000000"/>
          <w:szCs w:val="22"/>
        </w:rPr>
        <w:t>tumour lysis syndrome</w:t>
      </w:r>
      <w:r w:rsidRPr="00654EF1">
        <w:rPr>
          <w:snapToGrid w:val="0"/>
          <w:color w:val="000000"/>
          <w:szCs w:val="22"/>
        </w:rPr>
        <w:t xml:space="preserve"> (TLS), correction of clinically significant dehydration and treatment of high uric acid levels are recommended prior to initiation of Glivec (see section 4.8).</w:t>
      </w:r>
    </w:p>
    <w:p w14:paraId="1B67FF45" w14:textId="77777777" w:rsidR="003F165F" w:rsidRPr="00654EF1" w:rsidRDefault="003F165F" w:rsidP="001D5C8C">
      <w:pPr>
        <w:pStyle w:val="EndnoteText"/>
        <w:widowControl w:val="0"/>
        <w:tabs>
          <w:tab w:val="clear" w:pos="567"/>
        </w:tabs>
        <w:rPr>
          <w:snapToGrid w:val="0"/>
          <w:color w:val="000000"/>
          <w:szCs w:val="22"/>
        </w:rPr>
      </w:pPr>
    </w:p>
    <w:p w14:paraId="1B67FF46" w14:textId="77777777" w:rsidR="003F165F" w:rsidRPr="00654EF1" w:rsidRDefault="003F165F"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Hepatitis B reactivation</w:t>
      </w:r>
    </w:p>
    <w:p w14:paraId="1B67FF47" w14:textId="77777777" w:rsidR="003F165F" w:rsidRPr="00654EF1" w:rsidRDefault="003F165F" w:rsidP="001D5C8C">
      <w:pPr>
        <w:pStyle w:val="EndnoteText"/>
        <w:widowControl w:val="0"/>
        <w:tabs>
          <w:tab w:val="clear" w:pos="567"/>
        </w:tabs>
        <w:rPr>
          <w:snapToGrid w:val="0"/>
          <w:color w:val="000000"/>
          <w:szCs w:val="22"/>
        </w:rPr>
      </w:pPr>
      <w:r w:rsidRPr="00654EF1">
        <w:rPr>
          <w:snapToGrid w:val="0"/>
          <w:color w:val="000000"/>
          <w:szCs w:val="22"/>
        </w:rPr>
        <w:t>Reactivation of hepatitis B in patients who are chronic carriers of this virus has occurred after these patients received BCR-ABL tyrosine kinase inhibitors. Some cases resulted in acute hepatic failure or fulminant hepatitis leading to liver transplantation or a fatal outcome.</w:t>
      </w:r>
    </w:p>
    <w:p w14:paraId="1B67FF48" w14:textId="77777777" w:rsidR="003F165F" w:rsidRPr="00654EF1" w:rsidRDefault="003F165F" w:rsidP="001D5C8C">
      <w:pPr>
        <w:pStyle w:val="EndnoteText"/>
        <w:widowControl w:val="0"/>
        <w:tabs>
          <w:tab w:val="clear" w:pos="567"/>
        </w:tabs>
        <w:rPr>
          <w:snapToGrid w:val="0"/>
          <w:color w:val="000000"/>
          <w:szCs w:val="22"/>
        </w:rPr>
      </w:pPr>
    </w:p>
    <w:p w14:paraId="1B67FF49" w14:textId="77777777" w:rsidR="007A0BD0" w:rsidRPr="00654EF1" w:rsidRDefault="003F165F" w:rsidP="001D5C8C">
      <w:pPr>
        <w:pStyle w:val="EndnoteText"/>
        <w:widowControl w:val="0"/>
        <w:tabs>
          <w:tab w:val="clear" w:pos="567"/>
        </w:tabs>
        <w:rPr>
          <w:snapToGrid w:val="0"/>
          <w:color w:val="000000"/>
          <w:szCs w:val="22"/>
        </w:rPr>
      </w:pPr>
      <w:r w:rsidRPr="00654EF1">
        <w:rPr>
          <w:snapToGrid w:val="0"/>
          <w:color w:val="000000"/>
          <w:szCs w:val="22"/>
        </w:rPr>
        <w:t>Patients should be tested for HBV infection before initiating treatment with Glivec. Experts in liver disease and in the treatment of hepatitis B should be consulted before treatment is initiated in pat</w:t>
      </w:r>
      <w:r w:rsidR="000A5179" w:rsidRPr="00654EF1">
        <w:rPr>
          <w:snapToGrid w:val="0"/>
          <w:color w:val="000000"/>
          <w:szCs w:val="22"/>
        </w:rPr>
        <w:t>i</w:t>
      </w:r>
      <w:r w:rsidRPr="00654EF1">
        <w:rPr>
          <w:snapToGrid w:val="0"/>
          <w:color w:val="000000"/>
          <w:szCs w:val="22"/>
        </w:rPr>
        <w:t>ents with positive hepatitis B serology (including those with active disease) and for patients who test positive for HBV infection during treatment. Carriers of HBV who require treatment with Glivec should be closely monitored for signs and symptoms of active HBV infection throughout therapy and for several months following termination of therapy (see section 4.8).</w:t>
      </w:r>
    </w:p>
    <w:p w14:paraId="1B67FF4A" w14:textId="77777777" w:rsidR="007A0BD0" w:rsidRPr="00654EF1" w:rsidRDefault="007A0BD0" w:rsidP="001D5C8C">
      <w:pPr>
        <w:pStyle w:val="EndnoteText"/>
        <w:widowControl w:val="0"/>
        <w:tabs>
          <w:tab w:val="clear" w:pos="567"/>
        </w:tabs>
        <w:rPr>
          <w:snapToGrid w:val="0"/>
          <w:color w:val="000000"/>
          <w:szCs w:val="22"/>
        </w:rPr>
      </w:pPr>
    </w:p>
    <w:p w14:paraId="1B67FF4B" w14:textId="77777777" w:rsidR="007A0BD0" w:rsidRPr="00654EF1" w:rsidRDefault="007A0BD0"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Phototoxicity</w:t>
      </w:r>
    </w:p>
    <w:p w14:paraId="1B67FF4C" w14:textId="77777777" w:rsidR="007A0BD0" w:rsidRPr="00654EF1" w:rsidRDefault="007A0BD0" w:rsidP="001D5C8C">
      <w:pPr>
        <w:pStyle w:val="EndnoteText"/>
        <w:widowControl w:val="0"/>
        <w:tabs>
          <w:tab w:val="clear" w:pos="567"/>
        </w:tabs>
        <w:rPr>
          <w:snapToGrid w:val="0"/>
          <w:color w:val="000000"/>
          <w:szCs w:val="22"/>
        </w:rPr>
      </w:pPr>
      <w:r w:rsidRPr="00654EF1">
        <w:rPr>
          <w:snapToGrid w:val="0"/>
          <w:color w:val="000000"/>
          <w:szCs w:val="22"/>
        </w:rPr>
        <w:t>Exposure to direct sunlight should be avoided or minimised due to the risk of phototoxicity associated with imatinib treatment. Patients should be instructed to use measures such as protective clothing and sunscreen with high sun protection factor (SPF).</w:t>
      </w:r>
    </w:p>
    <w:p w14:paraId="1B67FF4D" w14:textId="77777777" w:rsidR="00D40523" w:rsidRPr="00654EF1" w:rsidRDefault="00D40523" w:rsidP="001D5C8C">
      <w:pPr>
        <w:pStyle w:val="EndnoteText"/>
        <w:widowControl w:val="0"/>
        <w:tabs>
          <w:tab w:val="clear" w:pos="567"/>
        </w:tabs>
        <w:rPr>
          <w:snapToGrid w:val="0"/>
          <w:color w:val="000000"/>
          <w:szCs w:val="22"/>
        </w:rPr>
      </w:pPr>
    </w:p>
    <w:p w14:paraId="1B67FF4E" w14:textId="77777777" w:rsidR="00D40523" w:rsidRPr="00654EF1" w:rsidRDefault="00D40523"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 xml:space="preserve">Thrombotic </w:t>
      </w:r>
      <w:r w:rsidR="0031400B" w:rsidRPr="00654EF1">
        <w:rPr>
          <w:snapToGrid w:val="0"/>
          <w:color w:val="000000"/>
          <w:szCs w:val="22"/>
          <w:u w:val="single"/>
        </w:rPr>
        <w:t>m</w:t>
      </w:r>
      <w:r w:rsidRPr="00654EF1">
        <w:rPr>
          <w:snapToGrid w:val="0"/>
          <w:color w:val="000000"/>
          <w:szCs w:val="22"/>
          <w:u w:val="single"/>
        </w:rPr>
        <w:t>icroangiopathy</w:t>
      </w:r>
    </w:p>
    <w:p w14:paraId="1B67FF4F" w14:textId="77777777" w:rsidR="00D40523" w:rsidRPr="00654EF1" w:rsidRDefault="008146C1" w:rsidP="001D5C8C">
      <w:pPr>
        <w:pStyle w:val="EndnoteText"/>
        <w:widowControl w:val="0"/>
        <w:tabs>
          <w:tab w:val="clear" w:pos="567"/>
        </w:tabs>
        <w:rPr>
          <w:color w:val="000000"/>
          <w:szCs w:val="22"/>
        </w:rPr>
      </w:pPr>
      <w:r w:rsidRPr="00654EF1">
        <w:rPr>
          <w:color w:val="000000"/>
          <w:szCs w:val="22"/>
        </w:rPr>
        <w:t xml:space="preserve">BCR-ABL tyrosine kinase inhibitors (TKIs) have been associated with thrombotic microangiopathy (TMA), including individual case reports for Glivec </w:t>
      </w:r>
      <w:r w:rsidR="001F31D9" w:rsidRPr="00654EF1">
        <w:rPr>
          <w:color w:val="000000"/>
          <w:szCs w:val="22"/>
        </w:rPr>
        <w:t>(see section</w:t>
      </w:r>
      <w:r w:rsidR="00E429AA" w:rsidRPr="00654EF1">
        <w:rPr>
          <w:color w:val="000000"/>
          <w:szCs w:val="22"/>
        </w:rPr>
        <w:t> </w:t>
      </w:r>
      <w:r w:rsidR="001F31D9" w:rsidRPr="00654EF1">
        <w:rPr>
          <w:color w:val="000000"/>
          <w:szCs w:val="22"/>
        </w:rPr>
        <w:t>4.8)</w:t>
      </w:r>
      <w:r w:rsidR="00D40523" w:rsidRPr="00654EF1">
        <w:rPr>
          <w:color w:val="000000"/>
          <w:szCs w:val="22"/>
        </w:rPr>
        <w:t>. If laboratory or clinical findings associated with TMA occur in a patient receiving Glivec, treatment should be discontinued and thorough evaluation for TMA, including ADAMTS13 activity and anti-ADAMTS13-antibody determination, should be completed. If anti-ADAMTS13-antibody is elevated in conjunction with low ADAMTS13 activity, treatment with Glivec should not be resumed.</w:t>
      </w:r>
    </w:p>
    <w:p w14:paraId="1B67FF50" w14:textId="77777777" w:rsidR="00C22CC0" w:rsidRPr="00654EF1" w:rsidRDefault="00C22CC0" w:rsidP="001D5C8C">
      <w:pPr>
        <w:pStyle w:val="EndnoteText"/>
        <w:widowControl w:val="0"/>
        <w:tabs>
          <w:tab w:val="clear" w:pos="567"/>
        </w:tabs>
        <w:rPr>
          <w:color w:val="000000"/>
          <w:szCs w:val="22"/>
        </w:rPr>
      </w:pPr>
    </w:p>
    <w:p w14:paraId="1B67FF51"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Laboratory tests</w:t>
      </w:r>
    </w:p>
    <w:p w14:paraId="1B67FF52"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Complete blood counts must be performed regularly during therapy with Glivec. Treatment of CML patients with Glivec has been associated with neutropenia or thrombocytopenia. However, the occurrence of these cytopenias is likely to be related to the stage of the disease being treated and they were more frequent in patients with accelerated phase CML or blast crisis as compared to patients with </w:t>
      </w:r>
      <w:r w:rsidRPr="00654EF1">
        <w:rPr>
          <w:color w:val="000000"/>
          <w:szCs w:val="22"/>
        </w:rPr>
        <w:lastRenderedPageBreak/>
        <w:t>chronic phase CML. Treatment with Glivec may be interrupted or the dose may be reduced, as recommended in section 4.2.</w:t>
      </w:r>
    </w:p>
    <w:p w14:paraId="1B67FF53" w14:textId="77777777" w:rsidR="009B57ED" w:rsidRPr="00654EF1" w:rsidRDefault="009B57ED" w:rsidP="001D5C8C">
      <w:pPr>
        <w:pStyle w:val="EndnoteText"/>
        <w:widowControl w:val="0"/>
        <w:tabs>
          <w:tab w:val="clear" w:pos="567"/>
        </w:tabs>
        <w:rPr>
          <w:color w:val="000000"/>
          <w:szCs w:val="22"/>
        </w:rPr>
      </w:pPr>
    </w:p>
    <w:p w14:paraId="1B67FF54"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Liver function (transaminases, bilirubin, alkaline phosphatase) should be monitored regularly in patients receiving Glivec.</w:t>
      </w:r>
    </w:p>
    <w:p w14:paraId="1B67FF55" w14:textId="77777777" w:rsidR="009B57ED" w:rsidRPr="00654EF1" w:rsidRDefault="009B57ED" w:rsidP="001D5C8C">
      <w:pPr>
        <w:pStyle w:val="EndnoteText"/>
        <w:widowControl w:val="0"/>
        <w:tabs>
          <w:tab w:val="clear" w:pos="567"/>
        </w:tabs>
        <w:rPr>
          <w:color w:val="000000"/>
          <w:szCs w:val="22"/>
        </w:rPr>
      </w:pPr>
    </w:p>
    <w:p w14:paraId="1B67FF56" w14:textId="77777777" w:rsidR="009B57ED" w:rsidRPr="00654EF1" w:rsidRDefault="00E25F3F" w:rsidP="001D5C8C">
      <w:pPr>
        <w:pStyle w:val="EndnoteText"/>
        <w:widowControl w:val="0"/>
        <w:tabs>
          <w:tab w:val="clear" w:pos="567"/>
        </w:tabs>
        <w:rPr>
          <w:color w:val="000000"/>
          <w:szCs w:val="22"/>
        </w:rPr>
      </w:pPr>
      <w:r w:rsidRPr="00654EF1">
        <w:rPr>
          <w:color w:val="000000"/>
        </w:rPr>
        <w:t xml:space="preserve">In patients with impaired renal function, imatinib plasma exposure seems to be higher than that in patients with normal renal function, probably due to an elevated </w:t>
      </w:r>
      <w:r w:rsidR="004E3104" w:rsidRPr="00654EF1">
        <w:rPr>
          <w:color w:val="000000"/>
        </w:rPr>
        <w:t xml:space="preserve">plasma level of </w:t>
      </w:r>
      <w:r w:rsidRPr="00654EF1">
        <w:rPr>
          <w:snapToGrid w:val="0"/>
          <w:color w:val="000000"/>
        </w:rPr>
        <w:t>alpha-acid glycoprotein</w:t>
      </w:r>
      <w:r w:rsidRPr="00654EF1">
        <w:rPr>
          <w:color w:val="000000"/>
        </w:rPr>
        <w:t xml:space="preserve"> (AGP), an imatinib-binding protein, in </w:t>
      </w:r>
      <w:r w:rsidR="002B0D5C" w:rsidRPr="00654EF1">
        <w:rPr>
          <w:color w:val="000000"/>
        </w:rPr>
        <w:t xml:space="preserve">these </w:t>
      </w:r>
      <w:r w:rsidRPr="00654EF1">
        <w:rPr>
          <w:color w:val="000000"/>
        </w:rPr>
        <w:t xml:space="preserve">patients. </w:t>
      </w:r>
      <w:r w:rsidR="002B0D5C" w:rsidRPr="00654EF1">
        <w:rPr>
          <w:color w:val="000000"/>
        </w:rPr>
        <w:t>Patients with renal impairment should be given the minimum starting dose. Patients with severe renal impairment should be treated with caution. The dose can be reduced if not tolerated (see section 4.2 and 5.2).</w:t>
      </w:r>
    </w:p>
    <w:p w14:paraId="1B67FF57" w14:textId="77777777" w:rsidR="00FF7AE4" w:rsidRPr="00654EF1" w:rsidRDefault="00FF7AE4" w:rsidP="001D5C8C">
      <w:pPr>
        <w:pStyle w:val="EndnoteText"/>
        <w:widowControl w:val="0"/>
        <w:tabs>
          <w:tab w:val="clear" w:pos="567"/>
        </w:tabs>
        <w:rPr>
          <w:color w:val="000000"/>
          <w:szCs w:val="22"/>
        </w:rPr>
      </w:pPr>
    </w:p>
    <w:p w14:paraId="1B67FF58" w14:textId="77777777" w:rsidR="00633EAB" w:rsidRPr="00654EF1" w:rsidRDefault="00633EAB" w:rsidP="001D5C8C">
      <w:pPr>
        <w:pStyle w:val="EndnoteText"/>
        <w:widowControl w:val="0"/>
        <w:tabs>
          <w:tab w:val="clear" w:pos="567"/>
        </w:tabs>
        <w:rPr>
          <w:color w:val="000000"/>
          <w:szCs w:val="22"/>
        </w:rPr>
      </w:pPr>
      <w:r w:rsidRPr="00654EF1">
        <w:rPr>
          <w:color w:val="000000"/>
          <w:szCs w:val="22"/>
        </w:rPr>
        <w:t>Long-term treatment with imatinib may be associated with a clinically significant decline in renal function. Renal function should, therefore, be evaluated prior to the start of imatinib therapy and closely monitored during therapy, with particular attention to those patients exhibiting risk factors for renal dysfunction. If renal dysfunction is observed, appropriate management and treatment should be prescribed in accordance with standard treatment guidelines.</w:t>
      </w:r>
    </w:p>
    <w:p w14:paraId="1B67FF59" w14:textId="77777777" w:rsidR="00BC2A87" w:rsidRPr="00654EF1" w:rsidRDefault="00BC2A87" w:rsidP="001D5C8C">
      <w:pPr>
        <w:pStyle w:val="EndnoteText"/>
        <w:widowControl w:val="0"/>
        <w:tabs>
          <w:tab w:val="clear" w:pos="567"/>
        </w:tabs>
        <w:rPr>
          <w:color w:val="000000"/>
          <w:szCs w:val="22"/>
        </w:rPr>
      </w:pPr>
    </w:p>
    <w:p w14:paraId="1B67FF5A" w14:textId="77777777" w:rsidR="00BC2A87" w:rsidRPr="00654EF1" w:rsidRDefault="00AD1C4E" w:rsidP="001D5C8C">
      <w:pPr>
        <w:pStyle w:val="EndnoteText"/>
        <w:keepNext/>
        <w:widowControl w:val="0"/>
        <w:tabs>
          <w:tab w:val="clear" w:pos="567"/>
        </w:tabs>
        <w:rPr>
          <w:color w:val="000000"/>
          <w:szCs w:val="22"/>
          <w:u w:val="single"/>
        </w:rPr>
      </w:pPr>
      <w:r w:rsidRPr="00654EF1">
        <w:rPr>
          <w:color w:val="000000"/>
          <w:szCs w:val="22"/>
          <w:u w:val="single"/>
        </w:rPr>
        <w:t>Paediatric population</w:t>
      </w:r>
    </w:p>
    <w:p w14:paraId="1B67FF5B" w14:textId="77777777" w:rsidR="00BC2A87" w:rsidRPr="00654EF1" w:rsidRDefault="00BC2A87" w:rsidP="001D5C8C">
      <w:pPr>
        <w:pStyle w:val="EndnoteText"/>
        <w:widowControl w:val="0"/>
        <w:tabs>
          <w:tab w:val="clear" w:pos="567"/>
        </w:tabs>
        <w:rPr>
          <w:color w:val="000000"/>
          <w:szCs w:val="22"/>
        </w:rPr>
      </w:pPr>
      <w:r w:rsidRPr="00654EF1">
        <w:rPr>
          <w:szCs w:val="22"/>
          <w:lang w:bidi="kn-IN"/>
        </w:rPr>
        <w:t xml:space="preserve">There have been case reports of growth retardation occurring in children and pre-adolescents receiving imatinib. </w:t>
      </w:r>
      <w:r w:rsidR="00C268BE" w:rsidRPr="00654EF1">
        <w:rPr>
          <w:szCs w:val="22"/>
          <w:lang w:bidi="kn-IN"/>
        </w:rPr>
        <w:t>In an observational study in</w:t>
      </w:r>
      <w:r w:rsidR="0045095E" w:rsidRPr="00654EF1">
        <w:rPr>
          <w:szCs w:val="22"/>
          <w:lang w:bidi="kn-IN"/>
        </w:rPr>
        <w:t xml:space="preserve"> the</w:t>
      </w:r>
      <w:r w:rsidR="00C268BE" w:rsidRPr="00654EF1">
        <w:rPr>
          <w:szCs w:val="22"/>
          <w:lang w:bidi="kn-IN"/>
        </w:rPr>
        <w:t xml:space="preserve"> CML paediatric population, a </w:t>
      </w:r>
      <w:r w:rsidR="004F3612" w:rsidRPr="00654EF1">
        <w:rPr>
          <w:szCs w:val="22"/>
          <w:lang w:bidi="kn-IN"/>
        </w:rPr>
        <w:t>statistically significant decrease (but of uncertain clinical relevance)</w:t>
      </w:r>
      <w:r w:rsidR="00C268BE" w:rsidRPr="00654EF1">
        <w:rPr>
          <w:szCs w:val="22"/>
          <w:lang w:bidi="kn-IN"/>
        </w:rPr>
        <w:t xml:space="preserve"> in median height standar</w:t>
      </w:r>
      <w:r w:rsidR="0002416F" w:rsidRPr="00654EF1">
        <w:rPr>
          <w:szCs w:val="22"/>
          <w:lang w:bidi="kn-IN"/>
        </w:rPr>
        <w:t>d</w:t>
      </w:r>
      <w:r w:rsidR="00C268BE" w:rsidRPr="00654EF1">
        <w:rPr>
          <w:szCs w:val="22"/>
          <w:lang w:bidi="kn-IN"/>
        </w:rPr>
        <w:t xml:space="preserve"> deviation scor</w:t>
      </w:r>
      <w:r w:rsidR="0002416F" w:rsidRPr="00654EF1">
        <w:rPr>
          <w:szCs w:val="22"/>
          <w:lang w:bidi="kn-IN"/>
        </w:rPr>
        <w:t>e</w:t>
      </w:r>
      <w:r w:rsidR="00C268BE" w:rsidRPr="00654EF1">
        <w:rPr>
          <w:szCs w:val="22"/>
          <w:lang w:bidi="kn-IN"/>
        </w:rPr>
        <w:t>s after 12 and 24</w:t>
      </w:r>
      <w:r w:rsidR="0045095E" w:rsidRPr="00654EF1">
        <w:rPr>
          <w:szCs w:val="22"/>
          <w:lang w:bidi="kn-IN"/>
        </w:rPr>
        <w:t> </w:t>
      </w:r>
      <w:r w:rsidR="00C268BE" w:rsidRPr="00654EF1">
        <w:rPr>
          <w:szCs w:val="22"/>
          <w:lang w:bidi="kn-IN"/>
        </w:rPr>
        <w:t>months of treatment was reported in two small subsets irrespective of pubertal status or gender.</w:t>
      </w:r>
      <w:r w:rsidRPr="00654EF1">
        <w:rPr>
          <w:szCs w:val="22"/>
          <w:lang w:bidi="kn-IN"/>
        </w:rPr>
        <w:t xml:space="preserve"> </w:t>
      </w:r>
      <w:r w:rsidR="00C268BE" w:rsidRPr="00654EF1">
        <w:rPr>
          <w:szCs w:val="22"/>
          <w:lang w:bidi="kn-IN"/>
        </w:rPr>
        <w:t xml:space="preserve">Close </w:t>
      </w:r>
      <w:r w:rsidRPr="00654EF1">
        <w:rPr>
          <w:szCs w:val="22"/>
          <w:lang w:bidi="kn-IN"/>
        </w:rPr>
        <w:t xml:space="preserve">monitoring of growth in children under imatinib treatment is recommended </w:t>
      </w:r>
      <w:r w:rsidRPr="00654EF1">
        <w:rPr>
          <w:szCs w:val="22"/>
        </w:rPr>
        <w:t>(see section 4.8).</w:t>
      </w:r>
    </w:p>
    <w:p w14:paraId="1B67FF5C" w14:textId="77777777" w:rsidR="009B57ED" w:rsidRPr="00654EF1" w:rsidRDefault="009B57ED" w:rsidP="001D5C8C">
      <w:pPr>
        <w:pStyle w:val="EndnoteText"/>
        <w:widowControl w:val="0"/>
        <w:tabs>
          <w:tab w:val="clear" w:pos="567"/>
        </w:tabs>
        <w:rPr>
          <w:color w:val="000000"/>
          <w:szCs w:val="22"/>
        </w:rPr>
      </w:pPr>
    </w:p>
    <w:p w14:paraId="1B67FF5D"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4.5</w:t>
      </w:r>
      <w:r w:rsidRPr="00654EF1">
        <w:rPr>
          <w:b/>
          <w:color w:val="000000"/>
          <w:szCs w:val="22"/>
        </w:rPr>
        <w:tab/>
        <w:t>Interaction with other medicinal products and other forms of interaction</w:t>
      </w:r>
    </w:p>
    <w:p w14:paraId="1B67FF5E" w14:textId="77777777" w:rsidR="009B57ED" w:rsidRPr="00654EF1" w:rsidRDefault="009B57ED" w:rsidP="001D5C8C">
      <w:pPr>
        <w:pStyle w:val="EndnoteText"/>
        <w:keepNext/>
        <w:widowControl w:val="0"/>
        <w:tabs>
          <w:tab w:val="clear" w:pos="567"/>
        </w:tabs>
        <w:rPr>
          <w:color w:val="000000"/>
          <w:szCs w:val="22"/>
        </w:rPr>
      </w:pPr>
    </w:p>
    <w:p w14:paraId="1B67FF5F"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t>Active substances that may increase imatinib plasma concentrations:</w:t>
      </w:r>
    </w:p>
    <w:p w14:paraId="1B67FF60"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Substances that inhibit the cytochrome P450 isoenzyme CYP3A4 activity (e.g. </w:t>
      </w:r>
      <w:r w:rsidR="00DC572A" w:rsidRPr="00654EF1">
        <w:rPr>
          <w:color w:val="000000"/>
          <w:sz w:val="22"/>
          <w:szCs w:val="22"/>
          <w:lang w:val="en-GB"/>
        </w:rPr>
        <w:t xml:space="preserve">protease inhibitors such as indinavir, lopinavir/ritonavir, ritonavir, saquinavir, telaprevir, nelfinavir, boceprevir; azole antifungals including </w:t>
      </w:r>
      <w:r w:rsidRPr="00654EF1">
        <w:rPr>
          <w:color w:val="000000"/>
          <w:sz w:val="22"/>
          <w:szCs w:val="22"/>
          <w:lang w:val="en-GB"/>
        </w:rPr>
        <w:t xml:space="preserve">ketoconazole, itraconazole, </w:t>
      </w:r>
      <w:r w:rsidR="00DC572A" w:rsidRPr="00654EF1">
        <w:rPr>
          <w:color w:val="000000"/>
          <w:sz w:val="22"/>
          <w:szCs w:val="22"/>
          <w:lang w:val="en-GB"/>
        </w:rPr>
        <w:t xml:space="preserve">posaconazole, voriconazole; certain macrolides such as </w:t>
      </w:r>
      <w:r w:rsidRPr="00654EF1">
        <w:rPr>
          <w:color w:val="000000"/>
          <w:sz w:val="22"/>
          <w:szCs w:val="22"/>
          <w:lang w:val="en-GB"/>
        </w:rPr>
        <w:t>erythromycin, clarithromycin</w:t>
      </w:r>
      <w:r w:rsidR="00DC572A" w:rsidRPr="00654EF1">
        <w:rPr>
          <w:color w:val="000000"/>
          <w:sz w:val="22"/>
          <w:szCs w:val="22"/>
          <w:lang w:val="en-GB"/>
        </w:rPr>
        <w:t xml:space="preserve"> and telithromycin</w:t>
      </w:r>
      <w:r w:rsidRPr="00654EF1">
        <w:rPr>
          <w:color w:val="000000"/>
          <w:sz w:val="22"/>
          <w:szCs w:val="22"/>
          <w:lang w:val="en-GB"/>
        </w:rPr>
        <w:t>) could decrease metabolism and increase imatinib concentrations. There was a significant increase in exposure to imatinib (the mean C</w:t>
      </w:r>
      <w:r w:rsidRPr="00654EF1">
        <w:rPr>
          <w:color w:val="000000"/>
          <w:sz w:val="22"/>
          <w:szCs w:val="22"/>
          <w:vertAlign w:val="subscript"/>
          <w:lang w:val="en-GB"/>
        </w:rPr>
        <w:t>max</w:t>
      </w:r>
      <w:r w:rsidRPr="00654EF1">
        <w:rPr>
          <w:color w:val="000000"/>
          <w:sz w:val="22"/>
          <w:szCs w:val="22"/>
          <w:lang w:val="en-GB"/>
        </w:rPr>
        <w:t xml:space="preserve"> and AUC of imatinib rose by 26% and 40%, respectively) in healthy subjects when it was co-administered with a single dose of ketoconazole (a CYP3A4 inhibitor). Caution should be taken when administering Glivec with inhibitors of the CYP3A4 family.</w:t>
      </w:r>
    </w:p>
    <w:p w14:paraId="1B67FF61" w14:textId="77777777" w:rsidR="009B57ED" w:rsidRPr="00654EF1" w:rsidRDefault="009B57ED" w:rsidP="001D5C8C">
      <w:pPr>
        <w:pStyle w:val="Text"/>
        <w:widowControl w:val="0"/>
        <w:spacing w:before="0"/>
        <w:jc w:val="left"/>
        <w:rPr>
          <w:color w:val="000000"/>
          <w:sz w:val="22"/>
          <w:szCs w:val="22"/>
          <w:lang w:val="en-GB"/>
        </w:rPr>
      </w:pPr>
    </w:p>
    <w:p w14:paraId="1B67FF62" w14:textId="77777777" w:rsidR="009B57ED" w:rsidRPr="00654EF1" w:rsidRDefault="009B57ED" w:rsidP="001D5C8C">
      <w:pPr>
        <w:pStyle w:val="Text"/>
        <w:keepNext/>
        <w:widowControl w:val="0"/>
        <w:spacing w:before="0"/>
        <w:jc w:val="left"/>
        <w:rPr>
          <w:color w:val="000000"/>
          <w:sz w:val="22"/>
          <w:szCs w:val="22"/>
          <w:u w:val="single"/>
          <w:lang w:val="en-GB"/>
        </w:rPr>
      </w:pPr>
      <w:r w:rsidRPr="00654EF1">
        <w:rPr>
          <w:color w:val="000000"/>
          <w:sz w:val="22"/>
          <w:szCs w:val="22"/>
          <w:u w:val="single"/>
          <w:lang w:val="en-GB"/>
        </w:rPr>
        <w:t xml:space="preserve">Active substances that may </w:t>
      </w:r>
      <w:r w:rsidRPr="00654EF1">
        <w:rPr>
          <w:b/>
          <w:color w:val="000000"/>
          <w:sz w:val="22"/>
          <w:szCs w:val="22"/>
          <w:u w:val="single"/>
          <w:lang w:val="en-GB"/>
        </w:rPr>
        <w:t xml:space="preserve">decrease </w:t>
      </w:r>
      <w:r w:rsidRPr="00654EF1">
        <w:rPr>
          <w:color w:val="000000"/>
          <w:sz w:val="22"/>
          <w:szCs w:val="22"/>
          <w:u w:val="single"/>
          <w:lang w:val="en-GB"/>
        </w:rPr>
        <w:t>imatinib plasma concentrations:</w:t>
      </w:r>
    </w:p>
    <w:p w14:paraId="1B67FF63"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Substances that are inducers of CYP3A4 activity (e.g. dexamethasone, phenytoin, carbamazepine, rifampicin, phenobarbital</w:t>
      </w:r>
      <w:r w:rsidR="003C6A7B" w:rsidRPr="00654EF1">
        <w:rPr>
          <w:color w:val="000000"/>
          <w:sz w:val="22"/>
          <w:szCs w:val="22"/>
          <w:lang w:val="en-GB"/>
        </w:rPr>
        <w:t>, fosphenytoin, primidone</w:t>
      </w:r>
      <w:r w:rsidRPr="00654EF1">
        <w:rPr>
          <w:color w:val="000000"/>
          <w:sz w:val="22"/>
          <w:szCs w:val="22"/>
          <w:lang w:val="en-GB"/>
        </w:rPr>
        <w:t xml:space="preserve"> or </w:t>
      </w:r>
      <w:r w:rsidRPr="00654EF1">
        <w:rPr>
          <w:i/>
          <w:color w:val="000000"/>
          <w:sz w:val="22"/>
          <w:szCs w:val="22"/>
          <w:lang w:val="en-GB"/>
        </w:rPr>
        <w:t>Hypericum perforatum</w:t>
      </w:r>
      <w:r w:rsidRPr="00654EF1">
        <w:rPr>
          <w:color w:val="000000"/>
          <w:sz w:val="22"/>
          <w:szCs w:val="22"/>
          <w:lang w:val="en-GB"/>
        </w:rPr>
        <w:t xml:space="preserve">, also known as St. John’s Wort) may significantly reduce exposure to Glivec, potentially increasing the risk of therapeutic failure. </w:t>
      </w:r>
      <w:r w:rsidRPr="00654EF1">
        <w:rPr>
          <w:color w:val="000000"/>
          <w:sz w:val="22"/>
          <w:szCs w:val="22"/>
        </w:rPr>
        <w:t>Pretreatment with multiple doses of rifampicin 600 mg followed by a single 400 mg dose of Glivec resulted in decrease in C</w:t>
      </w:r>
      <w:r w:rsidRPr="00654EF1">
        <w:rPr>
          <w:color w:val="000000"/>
          <w:sz w:val="22"/>
          <w:szCs w:val="22"/>
          <w:vertAlign w:val="subscript"/>
        </w:rPr>
        <w:t>max</w:t>
      </w:r>
      <w:r w:rsidRPr="00654EF1">
        <w:rPr>
          <w:color w:val="000000"/>
          <w:sz w:val="22"/>
          <w:szCs w:val="22"/>
        </w:rPr>
        <w:t xml:space="preserve"> and AUC</w:t>
      </w:r>
      <w:r w:rsidRPr="00654EF1">
        <w:rPr>
          <w:color w:val="000000"/>
          <w:sz w:val="22"/>
          <w:szCs w:val="22"/>
          <w:vertAlign w:val="subscript"/>
        </w:rPr>
        <w:t>(0-∞)</w:t>
      </w:r>
      <w:r w:rsidRPr="00654EF1">
        <w:rPr>
          <w:color w:val="000000"/>
          <w:sz w:val="22"/>
          <w:szCs w:val="22"/>
        </w:rPr>
        <w:t xml:space="preserve"> by at least 54% and 74%, of </w:t>
      </w:r>
      <w:r w:rsidRPr="00654EF1">
        <w:rPr>
          <w:snapToGrid w:val="0"/>
          <w:color w:val="000000"/>
          <w:sz w:val="22"/>
          <w:szCs w:val="22"/>
          <w:lang w:val="en-GB"/>
        </w:rPr>
        <w:t xml:space="preserve">the respective values without rifampicin treatment. </w:t>
      </w:r>
      <w:r w:rsidR="00DE0B6D" w:rsidRPr="00654EF1">
        <w:rPr>
          <w:snapToGrid w:val="0"/>
          <w:color w:val="000000"/>
          <w:sz w:val="22"/>
          <w:szCs w:val="22"/>
          <w:lang w:val="en-GB"/>
        </w:rPr>
        <w:t xml:space="preserve">Similar results were observed in patients with malignant gliomas treated with Glivec while taking enzyme-inducing anti-epileptic drugs (EIAEDs) such as carbamazepine, oxcarbazepine </w:t>
      </w:r>
      <w:r w:rsidR="00117F49" w:rsidRPr="00654EF1">
        <w:rPr>
          <w:snapToGrid w:val="0"/>
          <w:color w:val="000000"/>
          <w:sz w:val="22"/>
          <w:szCs w:val="22"/>
          <w:lang w:val="en-GB"/>
        </w:rPr>
        <w:t xml:space="preserve">and </w:t>
      </w:r>
      <w:r w:rsidR="00DE0B6D" w:rsidRPr="00654EF1">
        <w:rPr>
          <w:snapToGrid w:val="0"/>
          <w:color w:val="000000"/>
          <w:sz w:val="22"/>
          <w:szCs w:val="22"/>
          <w:lang w:val="en-GB"/>
        </w:rPr>
        <w:t>phenytoin</w:t>
      </w:r>
      <w:r w:rsidR="00117F49" w:rsidRPr="00654EF1">
        <w:rPr>
          <w:snapToGrid w:val="0"/>
          <w:color w:val="000000"/>
          <w:sz w:val="22"/>
          <w:szCs w:val="22"/>
          <w:lang w:val="en-GB"/>
        </w:rPr>
        <w:t xml:space="preserve">. </w:t>
      </w:r>
      <w:r w:rsidR="00DE0B6D" w:rsidRPr="00654EF1">
        <w:rPr>
          <w:snapToGrid w:val="0"/>
          <w:color w:val="000000"/>
          <w:sz w:val="22"/>
          <w:szCs w:val="22"/>
          <w:lang w:val="en-GB"/>
        </w:rPr>
        <w:t xml:space="preserve">The plasma AUC for imatinib decreased by 73% compared to patients not on EIAEDs. </w:t>
      </w:r>
      <w:r w:rsidRPr="00654EF1">
        <w:rPr>
          <w:color w:val="000000"/>
          <w:sz w:val="22"/>
          <w:szCs w:val="22"/>
        </w:rPr>
        <w:t>Concomitant use of rifampicin or other strong CYP3A4 inducers and imatinib should be avoided.</w:t>
      </w:r>
    </w:p>
    <w:p w14:paraId="1B67FF64" w14:textId="77777777" w:rsidR="009B57ED" w:rsidRPr="00654EF1" w:rsidRDefault="009B57ED" w:rsidP="001D5C8C">
      <w:pPr>
        <w:pStyle w:val="Text"/>
        <w:widowControl w:val="0"/>
        <w:spacing w:before="0"/>
        <w:jc w:val="left"/>
        <w:rPr>
          <w:color w:val="000000"/>
          <w:sz w:val="22"/>
          <w:szCs w:val="22"/>
          <w:lang w:val="en-GB"/>
        </w:rPr>
      </w:pPr>
    </w:p>
    <w:p w14:paraId="1B67FF65" w14:textId="77777777" w:rsidR="009B57ED" w:rsidRPr="00654EF1" w:rsidRDefault="009B57ED" w:rsidP="001D5C8C">
      <w:pPr>
        <w:pStyle w:val="Text"/>
        <w:keepNext/>
        <w:widowControl w:val="0"/>
        <w:spacing w:before="0"/>
        <w:jc w:val="left"/>
        <w:rPr>
          <w:b/>
          <w:color w:val="000000"/>
          <w:sz w:val="22"/>
          <w:szCs w:val="22"/>
          <w:lang w:val="en-GB"/>
        </w:rPr>
      </w:pPr>
      <w:r w:rsidRPr="00654EF1">
        <w:rPr>
          <w:b/>
          <w:color w:val="000000"/>
          <w:sz w:val="22"/>
          <w:szCs w:val="22"/>
          <w:lang w:val="en-GB"/>
        </w:rPr>
        <w:t>Active substances that may have their plasma concentration altered by Glivec</w:t>
      </w:r>
    </w:p>
    <w:p w14:paraId="1B67FF66"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Imatinib increases the mean C</w:t>
      </w:r>
      <w:r w:rsidRPr="00654EF1">
        <w:rPr>
          <w:color w:val="000000"/>
          <w:sz w:val="22"/>
          <w:szCs w:val="22"/>
          <w:vertAlign w:val="subscript"/>
          <w:lang w:val="en-GB"/>
        </w:rPr>
        <w:t>max</w:t>
      </w:r>
      <w:r w:rsidRPr="00654EF1">
        <w:rPr>
          <w:color w:val="000000"/>
          <w:sz w:val="22"/>
          <w:szCs w:val="22"/>
          <w:lang w:val="en-GB"/>
        </w:rPr>
        <w:t xml:space="preserve"> and AUC of simvastatin (CYP3A4 substrate) 2- and 3.5-fold, respectively, indicating an inhibition of the CYP3A4 by imatinib. Therefore, caution is recommended when administering Glivec with CYP3A4 substrates with a narrow therapeutic window (e.g. cyclosporin</w:t>
      </w:r>
      <w:r w:rsidR="00DC572A" w:rsidRPr="00654EF1">
        <w:rPr>
          <w:color w:val="000000"/>
          <w:sz w:val="22"/>
          <w:szCs w:val="22"/>
          <w:lang w:val="en-GB"/>
        </w:rPr>
        <w:t xml:space="preserve">e, </w:t>
      </w:r>
      <w:r w:rsidRPr="00654EF1">
        <w:rPr>
          <w:color w:val="000000"/>
          <w:sz w:val="22"/>
          <w:szCs w:val="22"/>
          <w:lang w:val="en-GB"/>
        </w:rPr>
        <w:t>pimozide</w:t>
      </w:r>
      <w:r w:rsidR="00DC572A" w:rsidRPr="00654EF1">
        <w:rPr>
          <w:color w:val="000000"/>
          <w:sz w:val="22"/>
          <w:szCs w:val="22"/>
          <w:lang w:val="en-GB"/>
        </w:rPr>
        <w:t>, tacrolimus, sirolimus, ergotamine, diergotamine, fentanyl, alfentanil, terfenadine, bortezomib, docetaxel and quinidine</w:t>
      </w:r>
      <w:r w:rsidRPr="00654EF1">
        <w:rPr>
          <w:color w:val="000000"/>
          <w:sz w:val="22"/>
          <w:szCs w:val="22"/>
          <w:lang w:val="en-GB"/>
        </w:rPr>
        <w:t xml:space="preserve">). Glivec may increase plasma concentration of other CYP3A4 metabolised drugs (e.g. triazolo-benzodiazepines, dihydropyridine calcium channel blockers, certain </w:t>
      </w:r>
      <w:smartTag w:uri="urn:schemas-microsoft-com:office:smarttags" w:element="stockticker">
        <w:r w:rsidRPr="00654EF1">
          <w:rPr>
            <w:color w:val="000000"/>
            <w:sz w:val="22"/>
            <w:szCs w:val="22"/>
            <w:lang w:val="en-GB"/>
          </w:rPr>
          <w:t>HMG</w:t>
        </w:r>
      </w:smartTag>
      <w:r w:rsidRPr="00654EF1">
        <w:rPr>
          <w:color w:val="000000"/>
          <w:sz w:val="22"/>
          <w:szCs w:val="22"/>
          <w:lang w:val="en-GB"/>
        </w:rPr>
        <w:t>-CoA reductase inhibitors, i.e. statins, etc.).</w:t>
      </w:r>
    </w:p>
    <w:p w14:paraId="1B67FF67" w14:textId="77777777" w:rsidR="009B57ED" w:rsidRPr="00654EF1" w:rsidRDefault="009B57ED" w:rsidP="001D5C8C">
      <w:pPr>
        <w:pStyle w:val="Text"/>
        <w:widowControl w:val="0"/>
        <w:spacing w:before="0"/>
        <w:jc w:val="left"/>
        <w:rPr>
          <w:color w:val="000000"/>
          <w:sz w:val="22"/>
          <w:szCs w:val="22"/>
          <w:lang w:val="en-GB"/>
        </w:rPr>
      </w:pPr>
    </w:p>
    <w:p w14:paraId="1B67FF68" w14:textId="77777777" w:rsidR="009B57ED" w:rsidRPr="00654EF1" w:rsidRDefault="00DC572A" w:rsidP="001D5C8C">
      <w:pPr>
        <w:pStyle w:val="Text"/>
        <w:widowControl w:val="0"/>
        <w:spacing w:before="0"/>
        <w:jc w:val="left"/>
        <w:rPr>
          <w:color w:val="000000"/>
          <w:sz w:val="22"/>
          <w:szCs w:val="22"/>
          <w:lang w:val="en-GB"/>
        </w:rPr>
      </w:pPr>
      <w:r w:rsidRPr="00654EF1">
        <w:rPr>
          <w:color w:val="000000"/>
          <w:sz w:val="22"/>
          <w:szCs w:val="22"/>
        </w:rPr>
        <w:t>Because of known increased risks of bleeding in conjunction with the use of imatinib (</w:t>
      </w:r>
      <w:r w:rsidR="009D72DD" w:rsidRPr="00654EF1">
        <w:rPr>
          <w:color w:val="000000"/>
          <w:sz w:val="22"/>
          <w:szCs w:val="22"/>
        </w:rPr>
        <w:t xml:space="preserve">e.g. </w:t>
      </w:r>
      <w:r w:rsidRPr="00654EF1">
        <w:rPr>
          <w:color w:val="000000"/>
          <w:sz w:val="22"/>
          <w:szCs w:val="22"/>
        </w:rPr>
        <w:t xml:space="preserve">haemorrhage), </w:t>
      </w:r>
      <w:r w:rsidR="009B57ED" w:rsidRPr="00654EF1">
        <w:rPr>
          <w:color w:val="000000"/>
          <w:sz w:val="22"/>
          <w:szCs w:val="22"/>
          <w:lang w:val="en-GB"/>
        </w:rPr>
        <w:t>patients who require anticoagulation should receive low-molecular-weight or standard heparin</w:t>
      </w:r>
      <w:r w:rsidRPr="00654EF1">
        <w:rPr>
          <w:color w:val="000000"/>
          <w:sz w:val="22"/>
          <w:szCs w:val="22"/>
          <w:lang w:val="en-GB"/>
        </w:rPr>
        <w:t xml:space="preserve">, </w:t>
      </w:r>
      <w:r w:rsidRPr="00654EF1">
        <w:rPr>
          <w:color w:val="000000"/>
          <w:sz w:val="22"/>
          <w:szCs w:val="22"/>
        </w:rPr>
        <w:t>instead of coumarin derivatives such as warfarin.</w:t>
      </w:r>
    </w:p>
    <w:p w14:paraId="1B67FF69" w14:textId="77777777" w:rsidR="008E2475" w:rsidRPr="00654EF1" w:rsidRDefault="008E2475" w:rsidP="001D5C8C">
      <w:pPr>
        <w:pStyle w:val="Text"/>
        <w:widowControl w:val="0"/>
        <w:spacing w:before="0"/>
        <w:rPr>
          <w:color w:val="000000"/>
          <w:sz w:val="22"/>
          <w:szCs w:val="22"/>
          <w:lang w:val="en-GB"/>
        </w:rPr>
      </w:pPr>
    </w:p>
    <w:p w14:paraId="1B67FF6A" w14:textId="77777777" w:rsidR="008E2475" w:rsidRPr="00654EF1" w:rsidRDefault="008E2475" w:rsidP="001D5C8C">
      <w:pPr>
        <w:pStyle w:val="Text"/>
        <w:widowControl w:val="0"/>
        <w:spacing w:before="0"/>
        <w:jc w:val="left"/>
        <w:rPr>
          <w:color w:val="000000"/>
          <w:sz w:val="22"/>
          <w:szCs w:val="22"/>
          <w:lang w:val="en-GB"/>
        </w:rPr>
      </w:pPr>
      <w:r w:rsidRPr="00654EF1">
        <w:rPr>
          <w:i/>
          <w:color w:val="000000"/>
          <w:sz w:val="22"/>
          <w:szCs w:val="22"/>
          <w:lang w:val="en-GB"/>
        </w:rPr>
        <w:t>In vitro</w:t>
      </w:r>
      <w:r w:rsidRPr="00654EF1">
        <w:rPr>
          <w:color w:val="000000"/>
          <w:sz w:val="22"/>
          <w:szCs w:val="22"/>
          <w:lang w:val="en-GB"/>
        </w:rPr>
        <w:t xml:space="preserve"> Glivec inhibits the cytochrome P450 isoenzyme CYP2D6 activity at concentrations similar to those that affect CYP3A4 activity. Imatinib at 400 mg twice daily had an inhibitory effect on CYP2D6-mediated metoprolol metabolism, with metoprolol C</w:t>
      </w:r>
      <w:r w:rsidRPr="00654EF1">
        <w:rPr>
          <w:color w:val="000000"/>
          <w:sz w:val="22"/>
          <w:szCs w:val="22"/>
          <w:vertAlign w:val="subscript"/>
          <w:lang w:val="en-GB"/>
        </w:rPr>
        <w:t>max</w:t>
      </w:r>
      <w:r w:rsidRPr="00654EF1">
        <w:rPr>
          <w:color w:val="000000"/>
          <w:sz w:val="22"/>
          <w:szCs w:val="22"/>
          <w:lang w:val="en-GB"/>
        </w:rPr>
        <w:t xml:space="preserve"> and AUC being increased by approximately 23%</w:t>
      </w:r>
      <w:r w:rsidR="003C6A7B" w:rsidRPr="00654EF1">
        <w:rPr>
          <w:color w:val="000000"/>
          <w:sz w:val="22"/>
          <w:szCs w:val="22"/>
          <w:lang w:val="en-GB"/>
        </w:rPr>
        <w:t xml:space="preserve"> (90%CI [1.16</w:t>
      </w:r>
      <w:r w:rsidR="00391717" w:rsidRPr="00654EF1">
        <w:rPr>
          <w:color w:val="000000"/>
          <w:sz w:val="22"/>
          <w:szCs w:val="22"/>
          <w:lang w:val="en-GB"/>
        </w:rPr>
        <w:noBreakHyphen/>
      </w:r>
      <w:r w:rsidR="003C6A7B" w:rsidRPr="00654EF1">
        <w:rPr>
          <w:color w:val="000000"/>
          <w:sz w:val="22"/>
          <w:szCs w:val="22"/>
          <w:lang w:val="en-GB"/>
        </w:rPr>
        <w:t xml:space="preserve">1.30]). Dose adjustments do not seem to be necessary </w:t>
      </w:r>
      <w:r w:rsidR="00841EE8" w:rsidRPr="00654EF1">
        <w:rPr>
          <w:color w:val="000000"/>
          <w:sz w:val="22"/>
          <w:szCs w:val="22"/>
          <w:lang w:val="en-GB"/>
        </w:rPr>
        <w:t xml:space="preserve">when imatinib is co-administrated </w:t>
      </w:r>
      <w:r w:rsidR="003C6A7B" w:rsidRPr="00654EF1">
        <w:rPr>
          <w:color w:val="000000"/>
          <w:sz w:val="22"/>
          <w:szCs w:val="22"/>
          <w:lang w:val="en-GB"/>
        </w:rPr>
        <w:t>with CYP2D6 substrates, however caution is advised for CYP2D6 substrates with a narrow therapeutic window such as metoprolol. In patients treated with metoprolol clinical monitoring should be considered.</w:t>
      </w:r>
    </w:p>
    <w:p w14:paraId="1B67FF6B" w14:textId="77777777" w:rsidR="008E2475" w:rsidRPr="00654EF1" w:rsidRDefault="008E2475" w:rsidP="001D5C8C">
      <w:pPr>
        <w:pStyle w:val="Text"/>
        <w:widowControl w:val="0"/>
        <w:spacing w:before="0"/>
        <w:jc w:val="left"/>
        <w:rPr>
          <w:color w:val="000000"/>
          <w:sz w:val="22"/>
          <w:szCs w:val="22"/>
          <w:lang w:val="en-GB"/>
        </w:rPr>
      </w:pPr>
    </w:p>
    <w:p w14:paraId="1B67FF6C" w14:textId="77777777" w:rsidR="009B57ED" w:rsidRPr="00654EF1" w:rsidRDefault="009B57ED" w:rsidP="001D5C8C">
      <w:pPr>
        <w:pStyle w:val="Text"/>
        <w:widowControl w:val="0"/>
        <w:spacing w:before="0"/>
        <w:jc w:val="left"/>
        <w:rPr>
          <w:color w:val="000000"/>
          <w:sz w:val="22"/>
          <w:szCs w:val="22"/>
          <w:lang w:val="en-GB"/>
        </w:rPr>
      </w:pPr>
      <w:r w:rsidRPr="00654EF1">
        <w:rPr>
          <w:i/>
          <w:color w:val="000000"/>
          <w:sz w:val="22"/>
          <w:szCs w:val="22"/>
          <w:lang w:val="en-GB"/>
        </w:rPr>
        <w:t>In vitro</w:t>
      </w:r>
      <w:r w:rsidRPr="00654EF1">
        <w:rPr>
          <w:color w:val="000000"/>
          <w:sz w:val="22"/>
          <w:szCs w:val="22"/>
          <w:lang w:val="en-GB"/>
        </w:rPr>
        <w:t xml:space="preserve">, Glivec inhibits paracetamol O-glucuronidation </w:t>
      </w:r>
      <w:r w:rsidR="00A76839" w:rsidRPr="00654EF1">
        <w:rPr>
          <w:color w:val="000000"/>
          <w:sz w:val="22"/>
          <w:szCs w:val="22"/>
          <w:lang w:val="en-GB"/>
        </w:rPr>
        <w:t xml:space="preserve">with </w:t>
      </w:r>
      <w:r w:rsidRPr="00654EF1">
        <w:rPr>
          <w:color w:val="000000"/>
          <w:sz w:val="22"/>
          <w:szCs w:val="22"/>
          <w:lang w:val="en-GB"/>
        </w:rPr>
        <w:t>Ki value of 58.5 micromol/l</w:t>
      </w:r>
      <w:r w:rsidRPr="00654EF1">
        <w:rPr>
          <w:color w:val="000000"/>
          <w:sz w:val="22"/>
          <w:szCs w:val="22"/>
        </w:rPr>
        <w:t>.</w:t>
      </w:r>
      <w:r w:rsidR="00A76839" w:rsidRPr="00654EF1">
        <w:rPr>
          <w:iCs/>
          <w:color w:val="000000"/>
          <w:sz w:val="22"/>
          <w:szCs w:val="22"/>
        </w:rPr>
        <w:t xml:space="preserve"> This</w:t>
      </w:r>
      <w:r w:rsidR="00A76839" w:rsidRPr="00654EF1">
        <w:rPr>
          <w:iCs/>
          <w:color w:val="000000"/>
          <w:sz w:val="22"/>
          <w:szCs w:val="22"/>
          <w:u w:val="single"/>
        </w:rPr>
        <w:t xml:space="preserve"> </w:t>
      </w:r>
      <w:r w:rsidR="00A76839" w:rsidRPr="00654EF1">
        <w:rPr>
          <w:iCs/>
          <w:color w:val="000000"/>
          <w:sz w:val="22"/>
          <w:szCs w:val="22"/>
        </w:rPr>
        <w:t xml:space="preserve">inhibition has not been observed </w:t>
      </w:r>
      <w:r w:rsidR="00A76839" w:rsidRPr="00654EF1">
        <w:rPr>
          <w:i/>
          <w:iCs/>
          <w:color w:val="000000"/>
          <w:sz w:val="22"/>
          <w:szCs w:val="22"/>
        </w:rPr>
        <w:t>in vivo</w:t>
      </w:r>
      <w:r w:rsidR="00A76839" w:rsidRPr="00654EF1">
        <w:rPr>
          <w:iCs/>
          <w:color w:val="000000"/>
          <w:sz w:val="22"/>
          <w:szCs w:val="22"/>
        </w:rPr>
        <w:t xml:space="preserve"> after the administration of Glivec 400 mg and paracetamol 1000 mg. Higher doses of Glivec and paracetamol have not been studied.</w:t>
      </w:r>
    </w:p>
    <w:p w14:paraId="1B67FF6D" w14:textId="77777777" w:rsidR="009B57ED" w:rsidRPr="00654EF1" w:rsidRDefault="009B57ED" w:rsidP="001D5C8C">
      <w:pPr>
        <w:pStyle w:val="Text"/>
        <w:widowControl w:val="0"/>
        <w:spacing w:before="0"/>
        <w:jc w:val="left"/>
        <w:rPr>
          <w:color w:val="000000"/>
          <w:sz w:val="22"/>
          <w:szCs w:val="22"/>
        </w:rPr>
      </w:pPr>
    </w:p>
    <w:p w14:paraId="1B67FF6E"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rPr>
        <w:t xml:space="preserve">Caution should therefore be exercised when using </w:t>
      </w:r>
      <w:r w:rsidR="00A76839" w:rsidRPr="00654EF1">
        <w:rPr>
          <w:color w:val="000000"/>
          <w:sz w:val="22"/>
          <w:szCs w:val="22"/>
        </w:rPr>
        <w:t xml:space="preserve">high doses of </w:t>
      </w:r>
      <w:r w:rsidRPr="00654EF1">
        <w:rPr>
          <w:color w:val="000000"/>
          <w:sz w:val="22"/>
          <w:szCs w:val="22"/>
        </w:rPr>
        <w:t>Glivec and paracetamol concomitantly.</w:t>
      </w:r>
    </w:p>
    <w:p w14:paraId="1B67FF6F" w14:textId="77777777" w:rsidR="00CF5273" w:rsidRPr="00654EF1" w:rsidRDefault="00CF5273" w:rsidP="001D5C8C">
      <w:pPr>
        <w:pStyle w:val="EndnoteText"/>
        <w:widowControl w:val="0"/>
        <w:tabs>
          <w:tab w:val="clear" w:pos="567"/>
        </w:tabs>
        <w:rPr>
          <w:color w:val="000000"/>
          <w:szCs w:val="22"/>
        </w:rPr>
      </w:pPr>
    </w:p>
    <w:p w14:paraId="1B67FF70" w14:textId="77777777" w:rsidR="00CF5273" w:rsidRPr="00654EF1" w:rsidRDefault="00CF5273" w:rsidP="001D5C8C">
      <w:pPr>
        <w:widowControl w:val="0"/>
        <w:spacing w:line="240" w:lineRule="auto"/>
        <w:rPr>
          <w:color w:val="000000"/>
          <w:szCs w:val="22"/>
        </w:rPr>
      </w:pPr>
      <w:r w:rsidRPr="00654EF1">
        <w:rPr>
          <w:color w:val="000000"/>
          <w:szCs w:val="22"/>
        </w:rPr>
        <w:t>In thyroidectomy patients receiving levothyroxine, the plasma exposure to levothyroxine may be decreased when Glivec is co-administered (see section 4.4). Caution is therefore recommended. However, the mechanism of the observed interaction is presently unknown.</w:t>
      </w:r>
    </w:p>
    <w:p w14:paraId="1B67FF71" w14:textId="77777777" w:rsidR="00482352" w:rsidRPr="00654EF1" w:rsidRDefault="00482352" w:rsidP="001D5C8C">
      <w:pPr>
        <w:pStyle w:val="EndnoteText"/>
        <w:widowControl w:val="0"/>
        <w:tabs>
          <w:tab w:val="clear" w:pos="567"/>
        </w:tabs>
        <w:rPr>
          <w:color w:val="000000"/>
          <w:szCs w:val="22"/>
        </w:rPr>
      </w:pPr>
    </w:p>
    <w:p w14:paraId="1B67FF72" w14:textId="77777777" w:rsidR="00482352" w:rsidRPr="00654EF1" w:rsidRDefault="00482352" w:rsidP="001D5C8C">
      <w:pPr>
        <w:pStyle w:val="EndnoteText"/>
        <w:widowControl w:val="0"/>
        <w:tabs>
          <w:tab w:val="clear" w:pos="567"/>
        </w:tabs>
        <w:rPr>
          <w:color w:val="000000"/>
          <w:szCs w:val="22"/>
        </w:rPr>
      </w:pPr>
      <w:r w:rsidRPr="00654EF1">
        <w:rPr>
          <w:color w:val="000000"/>
          <w:szCs w:val="22"/>
        </w:rPr>
        <w:t xml:space="preserve">In Ph+ </w:t>
      </w:r>
      <w:smartTag w:uri="urn:schemas-microsoft-com:office:smarttags" w:element="stockticker">
        <w:r w:rsidRPr="00654EF1">
          <w:rPr>
            <w:color w:val="000000"/>
            <w:szCs w:val="22"/>
          </w:rPr>
          <w:t>ALL</w:t>
        </w:r>
      </w:smartTag>
      <w:r w:rsidRPr="00654EF1">
        <w:rPr>
          <w:color w:val="000000"/>
          <w:szCs w:val="22"/>
        </w:rPr>
        <w:t xml:space="preserve"> patients, there is clinical experience of co-administering Glivec with chemotherapy (see section 5.1), but drug-drug interactions between imatinib and chemotherapy regimens are not well characterised. Imatinib adverse events, i.e. hepatotoxicity, myelosuppression or others, may increase and it has been reported that concomitant use with L-asparaginase could be associated with increased hepatotoxicity (see section 4.8). Therefore, the use of Glivec in combination requires special precaution.</w:t>
      </w:r>
    </w:p>
    <w:p w14:paraId="1B67FF73" w14:textId="77777777" w:rsidR="009B57ED" w:rsidRPr="00654EF1" w:rsidRDefault="009B57ED" w:rsidP="001D5C8C">
      <w:pPr>
        <w:pStyle w:val="EndnoteText"/>
        <w:widowControl w:val="0"/>
        <w:tabs>
          <w:tab w:val="clear" w:pos="567"/>
        </w:tabs>
        <w:rPr>
          <w:color w:val="000000"/>
          <w:szCs w:val="22"/>
        </w:rPr>
      </w:pPr>
    </w:p>
    <w:p w14:paraId="1B67FF74"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4.6</w:t>
      </w:r>
      <w:r w:rsidRPr="00654EF1">
        <w:rPr>
          <w:b/>
          <w:color w:val="000000"/>
          <w:szCs w:val="22"/>
        </w:rPr>
        <w:tab/>
      </w:r>
      <w:r w:rsidR="00267D64" w:rsidRPr="00654EF1">
        <w:rPr>
          <w:b/>
          <w:color w:val="000000"/>
          <w:szCs w:val="22"/>
        </w:rPr>
        <w:t>Fertility, p</w:t>
      </w:r>
      <w:r w:rsidRPr="00654EF1">
        <w:rPr>
          <w:b/>
          <w:color w:val="000000"/>
          <w:szCs w:val="22"/>
        </w:rPr>
        <w:t>regnancy and lactation</w:t>
      </w:r>
    </w:p>
    <w:p w14:paraId="1B67FF75" w14:textId="77777777" w:rsidR="009B57ED" w:rsidRPr="00654EF1" w:rsidRDefault="009B57ED" w:rsidP="001D5C8C">
      <w:pPr>
        <w:pStyle w:val="EndnoteText"/>
        <w:keepNext/>
        <w:widowControl w:val="0"/>
        <w:rPr>
          <w:color w:val="000000"/>
          <w:szCs w:val="22"/>
        </w:rPr>
      </w:pPr>
    </w:p>
    <w:p w14:paraId="1B67FF76" w14:textId="77777777" w:rsidR="00244ABD" w:rsidRPr="00654EF1" w:rsidRDefault="00244ABD" w:rsidP="001D5C8C">
      <w:pPr>
        <w:pStyle w:val="EndnoteText"/>
        <w:keepNext/>
        <w:widowControl w:val="0"/>
        <w:rPr>
          <w:color w:val="000000"/>
          <w:szCs w:val="22"/>
          <w:u w:val="single"/>
        </w:rPr>
      </w:pPr>
      <w:r w:rsidRPr="00654EF1">
        <w:rPr>
          <w:color w:val="000000"/>
          <w:szCs w:val="22"/>
          <w:u w:val="single"/>
        </w:rPr>
        <w:t>Women of childbearing potential</w:t>
      </w:r>
    </w:p>
    <w:p w14:paraId="1B67FF77" w14:textId="77777777" w:rsidR="00244ABD" w:rsidRPr="00654EF1" w:rsidRDefault="00244ABD" w:rsidP="001D5C8C">
      <w:pPr>
        <w:pStyle w:val="EndnoteText"/>
        <w:widowControl w:val="0"/>
        <w:rPr>
          <w:color w:val="000000"/>
          <w:szCs w:val="22"/>
        </w:rPr>
      </w:pPr>
      <w:r w:rsidRPr="00654EF1">
        <w:rPr>
          <w:color w:val="000000"/>
          <w:szCs w:val="22"/>
        </w:rPr>
        <w:t>Women of childbearing potential must be advised to use effective contraception during treatment</w:t>
      </w:r>
      <w:r w:rsidR="002E6D66" w:rsidRPr="002E6D66">
        <w:rPr>
          <w:color w:val="000000"/>
          <w:szCs w:val="22"/>
        </w:rPr>
        <w:t xml:space="preserve"> </w:t>
      </w:r>
      <w:r w:rsidR="002E6D66" w:rsidRPr="009161E2">
        <w:rPr>
          <w:color w:val="000000"/>
          <w:szCs w:val="22"/>
        </w:rPr>
        <w:t>and for at least 15</w:t>
      </w:r>
      <w:r w:rsidR="002E6D66">
        <w:rPr>
          <w:color w:val="000000"/>
          <w:szCs w:val="22"/>
        </w:rPr>
        <w:t> </w:t>
      </w:r>
      <w:r w:rsidR="002E6D66" w:rsidRPr="009161E2">
        <w:rPr>
          <w:color w:val="000000"/>
          <w:szCs w:val="22"/>
        </w:rPr>
        <w:t>days after stopping treatment with Glivec</w:t>
      </w:r>
      <w:r w:rsidRPr="00654EF1">
        <w:rPr>
          <w:color w:val="000000"/>
          <w:szCs w:val="22"/>
        </w:rPr>
        <w:t>.</w:t>
      </w:r>
    </w:p>
    <w:p w14:paraId="1B67FF78" w14:textId="77777777" w:rsidR="00244ABD" w:rsidRPr="00654EF1" w:rsidRDefault="00244ABD" w:rsidP="001D5C8C">
      <w:pPr>
        <w:pStyle w:val="EndnoteText"/>
        <w:widowControl w:val="0"/>
        <w:rPr>
          <w:color w:val="000000"/>
          <w:szCs w:val="22"/>
          <w:u w:val="single"/>
        </w:rPr>
      </w:pPr>
    </w:p>
    <w:p w14:paraId="1B67FF79" w14:textId="77777777" w:rsidR="009B57ED" w:rsidRPr="00654EF1" w:rsidRDefault="009B57ED" w:rsidP="001D5C8C">
      <w:pPr>
        <w:pStyle w:val="EndnoteText"/>
        <w:keepNext/>
        <w:widowControl w:val="0"/>
        <w:rPr>
          <w:color w:val="000000"/>
          <w:szCs w:val="22"/>
          <w:u w:val="single"/>
        </w:rPr>
      </w:pPr>
      <w:r w:rsidRPr="00654EF1">
        <w:rPr>
          <w:color w:val="000000"/>
          <w:szCs w:val="22"/>
          <w:u w:val="single"/>
        </w:rPr>
        <w:t>Pregnancy</w:t>
      </w:r>
    </w:p>
    <w:p w14:paraId="1B67FF7A" w14:textId="77777777" w:rsidR="009D7F9F" w:rsidRPr="00654EF1" w:rsidRDefault="009B57ED" w:rsidP="001D5C8C">
      <w:pPr>
        <w:pStyle w:val="EndnoteText"/>
        <w:widowControl w:val="0"/>
        <w:rPr>
          <w:color w:val="000000"/>
          <w:szCs w:val="22"/>
        </w:rPr>
      </w:pPr>
      <w:r w:rsidRPr="00654EF1">
        <w:rPr>
          <w:color w:val="000000"/>
          <w:szCs w:val="22"/>
        </w:rPr>
        <w:t xml:space="preserve">There are </w:t>
      </w:r>
      <w:r w:rsidR="000C48CC" w:rsidRPr="00654EF1">
        <w:rPr>
          <w:color w:val="000000"/>
          <w:szCs w:val="22"/>
        </w:rPr>
        <w:t>limited</w:t>
      </w:r>
      <w:r w:rsidRPr="00654EF1">
        <w:rPr>
          <w:color w:val="000000"/>
          <w:szCs w:val="22"/>
        </w:rPr>
        <w:t xml:space="preserve"> data on the use of imatinib in pregnant women. </w:t>
      </w:r>
      <w:r w:rsidR="001F16AB" w:rsidRPr="00654EF1">
        <w:t>There have been post-marketing reports of spontaneous abortions and infant congenital anomalies from women who have taken Glivec.</w:t>
      </w:r>
      <w:r w:rsidR="001F16AB" w:rsidRPr="00654EF1">
        <w:rPr>
          <w:color w:val="FF0000"/>
        </w:rPr>
        <w:t xml:space="preserve"> </w:t>
      </w:r>
      <w:r w:rsidRPr="00654EF1">
        <w:rPr>
          <w:color w:val="000000"/>
          <w:szCs w:val="22"/>
        </w:rPr>
        <w:t>Studies in animals have however shown reproductive toxicity (see section 5.3) and the potential risk for the foetus is unknown. Glivec should not be used during pregnancy unless clearly necessary. If it is used during pregnancy, the patient must be informed of the potential risk to the foetus.</w:t>
      </w:r>
    </w:p>
    <w:p w14:paraId="1B67FF7B" w14:textId="77777777" w:rsidR="009B57ED" w:rsidRPr="00654EF1" w:rsidRDefault="009B57ED" w:rsidP="001D5C8C">
      <w:pPr>
        <w:pStyle w:val="EndnoteText"/>
        <w:widowControl w:val="0"/>
        <w:rPr>
          <w:color w:val="000000"/>
          <w:szCs w:val="22"/>
        </w:rPr>
      </w:pPr>
    </w:p>
    <w:p w14:paraId="1B67FF7C" w14:textId="77777777" w:rsidR="009B57ED" w:rsidRPr="00654EF1" w:rsidRDefault="00982EF9" w:rsidP="001D5C8C">
      <w:pPr>
        <w:pStyle w:val="EndnoteText"/>
        <w:keepNext/>
        <w:widowControl w:val="0"/>
        <w:rPr>
          <w:color w:val="000000"/>
          <w:szCs w:val="22"/>
        </w:rPr>
      </w:pPr>
      <w:r w:rsidRPr="00654EF1">
        <w:rPr>
          <w:color w:val="000000"/>
          <w:szCs w:val="22"/>
          <w:u w:val="single"/>
        </w:rPr>
        <w:t>Breast</w:t>
      </w:r>
      <w:r w:rsidR="00183AD9" w:rsidRPr="00654EF1">
        <w:rPr>
          <w:color w:val="000000"/>
          <w:szCs w:val="22"/>
          <w:u w:val="single"/>
        </w:rPr>
        <w:t>-</w:t>
      </w:r>
      <w:r w:rsidRPr="00654EF1">
        <w:rPr>
          <w:color w:val="000000"/>
          <w:szCs w:val="22"/>
          <w:u w:val="single"/>
        </w:rPr>
        <w:t>feeding</w:t>
      </w:r>
    </w:p>
    <w:p w14:paraId="1B67FF7D" w14:textId="57C810DB" w:rsidR="009B57ED" w:rsidRPr="00654EF1" w:rsidRDefault="00456A2C" w:rsidP="001D5C8C">
      <w:pPr>
        <w:pStyle w:val="EndnoteText"/>
        <w:widowControl w:val="0"/>
        <w:rPr>
          <w:color w:val="000000"/>
        </w:rPr>
      </w:pPr>
      <w:r w:rsidRPr="00654EF1">
        <w:rPr>
          <w:color w:val="000000"/>
          <w:szCs w:val="22"/>
        </w:rPr>
        <w:t>There is limited information on imatinib distribution on human milk. Studies in two breast-feeding women revealed that b</w:t>
      </w:r>
      <w:r w:rsidR="00241B33" w:rsidRPr="00654EF1">
        <w:rPr>
          <w:color w:val="000000"/>
        </w:rPr>
        <w:t xml:space="preserve">oth imatinib and its active metabolite can be distributed into human milk. The milk plasma ratio </w:t>
      </w:r>
      <w:r w:rsidRPr="00654EF1">
        <w:rPr>
          <w:color w:val="000000"/>
        </w:rPr>
        <w:t xml:space="preserve">studied in a single patient </w:t>
      </w:r>
      <w:r w:rsidR="00241B33" w:rsidRPr="00654EF1">
        <w:rPr>
          <w:color w:val="000000"/>
        </w:rPr>
        <w:t>was determined to be 0.5 for imatinib and 0.9 for the metabolite, suggesting greater distribution of the metabolite</w:t>
      </w:r>
      <w:r w:rsidR="00944752" w:rsidRPr="00654EF1">
        <w:rPr>
          <w:color w:val="000000"/>
        </w:rPr>
        <w:t xml:space="preserve"> into the milk</w:t>
      </w:r>
      <w:r w:rsidR="00241B33" w:rsidRPr="00654EF1">
        <w:rPr>
          <w:color w:val="000000"/>
        </w:rPr>
        <w:t>. Considering the combined concentration of imatinib and the metabolite and the maximum daily milk intake by infants</w:t>
      </w:r>
      <w:r w:rsidR="00AE1D76" w:rsidRPr="00654EF1">
        <w:rPr>
          <w:color w:val="000000"/>
        </w:rPr>
        <w:t>,</w:t>
      </w:r>
      <w:r w:rsidR="00241B33" w:rsidRPr="00654EF1">
        <w:rPr>
          <w:color w:val="000000"/>
        </w:rPr>
        <w:t xml:space="preserve"> the total exposure would be expected to be low (~10% of a therapeutic dose). However, since the effects of low-dose exposure of the infant to imatinib are unknown, women should not breast</w:t>
      </w:r>
      <w:r w:rsidR="00AE1D76" w:rsidRPr="00654EF1">
        <w:rPr>
          <w:color w:val="000000"/>
        </w:rPr>
        <w:t>-</w:t>
      </w:r>
      <w:r w:rsidR="00241B33" w:rsidRPr="00654EF1">
        <w:rPr>
          <w:color w:val="000000"/>
        </w:rPr>
        <w:t>feed</w:t>
      </w:r>
      <w:r w:rsidR="002E6D66" w:rsidRPr="002E6D66">
        <w:t xml:space="preserve"> </w:t>
      </w:r>
      <w:r w:rsidR="002E6D66" w:rsidRPr="00381C41">
        <w:t>during treatment and for at least 15 days after stopping treatment with Glivec</w:t>
      </w:r>
      <w:r w:rsidR="00241B33" w:rsidRPr="00654EF1">
        <w:rPr>
          <w:color w:val="000000"/>
        </w:rPr>
        <w:t>.</w:t>
      </w:r>
    </w:p>
    <w:p w14:paraId="1B67FF7E" w14:textId="77777777" w:rsidR="00196B07" w:rsidRPr="00654EF1" w:rsidRDefault="00196B07" w:rsidP="001D5C8C">
      <w:pPr>
        <w:pStyle w:val="EndnoteText"/>
        <w:widowControl w:val="0"/>
        <w:rPr>
          <w:color w:val="000000"/>
        </w:rPr>
      </w:pPr>
    </w:p>
    <w:p w14:paraId="1B67FF7F" w14:textId="77777777" w:rsidR="00196B07" w:rsidRPr="00654EF1" w:rsidRDefault="00196B07" w:rsidP="00EF4CFC">
      <w:pPr>
        <w:pStyle w:val="EndnoteText"/>
        <w:keepNext/>
        <w:widowControl w:val="0"/>
        <w:rPr>
          <w:color w:val="000000"/>
          <w:u w:val="single"/>
        </w:rPr>
      </w:pPr>
      <w:r w:rsidRPr="00654EF1">
        <w:rPr>
          <w:color w:val="000000"/>
          <w:u w:val="single"/>
        </w:rPr>
        <w:t>Fertility</w:t>
      </w:r>
    </w:p>
    <w:p w14:paraId="1B67FF80" w14:textId="77777777" w:rsidR="00196B07" w:rsidRPr="00654EF1" w:rsidRDefault="00AB7A8B" w:rsidP="00EF4CFC">
      <w:pPr>
        <w:widowControl w:val="0"/>
        <w:tabs>
          <w:tab w:val="clear" w:pos="567"/>
        </w:tabs>
        <w:autoSpaceDE w:val="0"/>
        <w:autoSpaceDN w:val="0"/>
        <w:adjustRightInd w:val="0"/>
        <w:spacing w:line="240" w:lineRule="auto"/>
      </w:pPr>
      <w:r w:rsidRPr="00654EF1">
        <w:t>In non-clinical studies, the fertility of male and female rats was not affected</w:t>
      </w:r>
      <w:r w:rsidR="007102A9">
        <w:t xml:space="preserve">, </w:t>
      </w:r>
      <w:r w:rsidR="007102A9" w:rsidRPr="007102A9">
        <w:t>although effects on reproductive parameters were observed</w:t>
      </w:r>
      <w:r w:rsidRPr="00654EF1">
        <w:t xml:space="preserve"> (see section 5.3).</w:t>
      </w:r>
      <w:r w:rsidRPr="00654EF1">
        <w:rPr>
          <w:color w:val="000000"/>
        </w:rPr>
        <w:t xml:space="preserve"> </w:t>
      </w:r>
      <w:r w:rsidRPr="00654EF1">
        <w:t xml:space="preserve">Studies on patients receiving </w:t>
      </w:r>
      <w:r w:rsidRPr="00654EF1">
        <w:rPr>
          <w:color w:val="000000"/>
          <w:szCs w:val="24"/>
        </w:rPr>
        <w:t>Glivec</w:t>
      </w:r>
      <w:r w:rsidRPr="00654EF1">
        <w:t xml:space="preserve"> and its </w:t>
      </w:r>
      <w:r w:rsidRPr="00654EF1">
        <w:lastRenderedPageBreak/>
        <w:t xml:space="preserve">effect on fertility and gametogenesis have not been performed. Patients concerned about their fertility on </w:t>
      </w:r>
      <w:r w:rsidRPr="00654EF1">
        <w:rPr>
          <w:color w:val="000000"/>
          <w:szCs w:val="24"/>
        </w:rPr>
        <w:t>Glivec</w:t>
      </w:r>
      <w:r w:rsidRPr="00654EF1">
        <w:t xml:space="preserve"> treatment should consult with their physician.</w:t>
      </w:r>
    </w:p>
    <w:p w14:paraId="1B67FF81" w14:textId="77777777" w:rsidR="009B57ED" w:rsidRPr="00654EF1" w:rsidRDefault="009B57ED" w:rsidP="00EF4CFC">
      <w:pPr>
        <w:pStyle w:val="EndnoteText"/>
        <w:widowControl w:val="0"/>
        <w:rPr>
          <w:color w:val="000000"/>
          <w:szCs w:val="22"/>
        </w:rPr>
      </w:pPr>
    </w:p>
    <w:p w14:paraId="1B67FF82"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4.7</w:t>
      </w:r>
      <w:r w:rsidRPr="00654EF1">
        <w:rPr>
          <w:b/>
          <w:color w:val="000000"/>
          <w:szCs w:val="22"/>
        </w:rPr>
        <w:tab/>
        <w:t>Effects on ability to drive and use machines</w:t>
      </w:r>
    </w:p>
    <w:p w14:paraId="1B67FF83" w14:textId="77777777" w:rsidR="009B57ED" w:rsidRPr="00654EF1" w:rsidRDefault="009B57ED" w:rsidP="001D5C8C">
      <w:pPr>
        <w:pStyle w:val="EndnoteText"/>
        <w:keepNext/>
        <w:widowControl w:val="0"/>
        <w:tabs>
          <w:tab w:val="clear" w:pos="567"/>
        </w:tabs>
        <w:rPr>
          <w:color w:val="000000"/>
          <w:szCs w:val="22"/>
        </w:rPr>
      </w:pPr>
    </w:p>
    <w:p w14:paraId="1B67FF84" w14:textId="77777777" w:rsidR="009B57ED" w:rsidRPr="00654EF1" w:rsidRDefault="00AB7A8B" w:rsidP="001D5C8C">
      <w:pPr>
        <w:pStyle w:val="EndnoteText"/>
        <w:widowControl w:val="0"/>
        <w:tabs>
          <w:tab w:val="clear" w:pos="567"/>
        </w:tabs>
        <w:rPr>
          <w:snapToGrid w:val="0"/>
          <w:color w:val="000000"/>
          <w:szCs w:val="22"/>
        </w:rPr>
      </w:pPr>
      <w:r w:rsidRPr="00654EF1">
        <w:rPr>
          <w:snapToGrid w:val="0"/>
          <w:color w:val="000000"/>
          <w:szCs w:val="22"/>
        </w:rPr>
        <w:t>P</w:t>
      </w:r>
      <w:r w:rsidR="009B57ED" w:rsidRPr="00654EF1">
        <w:rPr>
          <w:snapToGrid w:val="0"/>
          <w:color w:val="000000"/>
          <w:szCs w:val="22"/>
        </w:rPr>
        <w:t>atients should be advised that they may experience undesirable effects such as dizziness</w:t>
      </w:r>
      <w:r w:rsidR="00196B07" w:rsidRPr="00654EF1">
        <w:rPr>
          <w:snapToGrid w:val="0"/>
          <w:color w:val="000000"/>
          <w:szCs w:val="22"/>
        </w:rPr>
        <w:t>,</w:t>
      </w:r>
      <w:r w:rsidR="009B57ED" w:rsidRPr="00654EF1">
        <w:rPr>
          <w:snapToGrid w:val="0"/>
          <w:color w:val="000000"/>
          <w:szCs w:val="22"/>
        </w:rPr>
        <w:t xml:space="preserve"> blurred vision </w:t>
      </w:r>
      <w:r w:rsidR="00196B07" w:rsidRPr="00654EF1">
        <w:rPr>
          <w:snapToGrid w:val="0"/>
          <w:color w:val="000000"/>
          <w:szCs w:val="22"/>
        </w:rPr>
        <w:t xml:space="preserve">or somnolence </w:t>
      </w:r>
      <w:r w:rsidR="009B57ED" w:rsidRPr="00654EF1">
        <w:rPr>
          <w:snapToGrid w:val="0"/>
          <w:color w:val="000000"/>
          <w:szCs w:val="22"/>
        </w:rPr>
        <w:t>during treatment with imatinib. Therefore, caution should be recommended when driving a car or operating machinery.</w:t>
      </w:r>
    </w:p>
    <w:p w14:paraId="1B67FF85" w14:textId="77777777" w:rsidR="009B57ED" w:rsidRPr="00654EF1" w:rsidRDefault="009B57ED" w:rsidP="001D5C8C">
      <w:pPr>
        <w:pStyle w:val="EndnoteText"/>
        <w:widowControl w:val="0"/>
        <w:tabs>
          <w:tab w:val="clear" w:pos="567"/>
        </w:tabs>
        <w:rPr>
          <w:color w:val="000000"/>
          <w:szCs w:val="22"/>
        </w:rPr>
      </w:pPr>
    </w:p>
    <w:p w14:paraId="1B67FF86" w14:textId="77777777" w:rsidR="009B57ED" w:rsidRPr="00654EF1" w:rsidRDefault="009B57ED" w:rsidP="001D5C8C">
      <w:pPr>
        <w:keepNext/>
        <w:widowControl w:val="0"/>
        <w:tabs>
          <w:tab w:val="clear" w:pos="567"/>
        </w:tabs>
        <w:spacing w:line="240" w:lineRule="auto"/>
        <w:ind w:left="567" w:hanging="567"/>
        <w:rPr>
          <w:b/>
          <w:color w:val="000000"/>
          <w:szCs w:val="22"/>
        </w:rPr>
      </w:pPr>
      <w:r w:rsidRPr="00654EF1">
        <w:rPr>
          <w:b/>
          <w:color w:val="000000"/>
          <w:szCs w:val="22"/>
        </w:rPr>
        <w:t>4.8</w:t>
      </w:r>
      <w:r w:rsidRPr="00654EF1">
        <w:rPr>
          <w:b/>
          <w:color w:val="000000"/>
          <w:szCs w:val="22"/>
        </w:rPr>
        <w:tab/>
        <w:t>Undesirable effects</w:t>
      </w:r>
    </w:p>
    <w:p w14:paraId="1B67FF87" w14:textId="77777777" w:rsidR="009B57ED" w:rsidRPr="00654EF1" w:rsidRDefault="009B57ED" w:rsidP="001D5C8C">
      <w:pPr>
        <w:keepNext/>
        <w:widowControl w:val="0"/>
        <w:tabs>
          <w:tab w:val="clear" w:pos="567"/>
        </w:tabs>
        <w:spacing w:line="240" w:lineRule="auto"/>
        <w:rPr>
          <w:color w:val="000000"/>
          <w:szCs w:val="22"/>
        </w:rPr>
      </w:pPr>
    </w:p>
    <w:p w14:paraId="1B67FF88" w14:textId="77777777" w:rsidR="00482352" w:rsidRPr="00654EF1" w:rsidRDefault="00482352" w:rsidP="001D5C8C">
      <w:pPr>
        <w:pStyle w:val="Text"/>
        <w:widowControl w:val="0"/>
        <w:spacing w:before="0"/>
        <w:jc w:val="left"/>
        <w:rPr>
          <w:color w:val="000000"/>
          <w:sz w:val="22"/>
          <w:szCs w:val="22"/>
          <w:lang w:val="en-GB"/>
        </w:rPr>
      </w:pPr>
      <w:r w:rsidRPr="00654EF1">
        <w:rPr>
          <w:color w:val="000000"/>
          <w:sz w:val="22"/>
          <w:szCs w:val="22"/>
          <w:lang w:val="en-GB"/>
        </w:rPr>
        <w:t>Patients with advanced stages of malignancies may have numerous confounding medical conditions that make causality of adverse reactions difficult to assess due to the variety of symptoms related to the underlying disease, its progression, and the co-administration of numerous medicinal products.</w:t>
      </w:r>
    </w:p>
    <w:p w14:paraId="1B67FF89" w14:textId="77777777" w:rsidR="009B57ED" w:rsidRPr="00654EF1" w:rsidRDefault="009B57ED" w:rsidP="001D5C8C">
      <w:pPr>
        <w:pStyle w:val="Text"/>
        <w:widowControl w:val="0"/>
        <w:spacing w:before="0"/>
        <w:jc w:val="left"/>
        <w:rPr>
          <w:color w:val="000000"/>
          <w:sz w:val="22"/>
          <w:szCs w:val="22"/>
          <w:lang w:val="en-GB"/>
        </w:rPr>
      </w:pPr>
    </w:p>
    <w:p w14:paraId="1B67FF8A"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In clinical trials in CML, drug discontinuation for drug-related adverse reactions was observed in 2</w:t>
      </w:r>
      <w:r w:rsidR="002C67C5" w:rsidRPr="00654EF1">
        <w:rPr>
          <w:color w:val="000000"/>
          <w:sz w:val="22"/>
          <w:szCs w:val="22"/>
          <w:lang w:val="en-GB"/>
        </w:rPr>
        <w:t>.4</w:t>
      </w:r>
      <w:r w:rsidRPr="00654EF1">
        <w:rPr>
          <w:color w:val="000000"/>
          <w:sz w:val="22"/>
          <w:szCs w:val="22"/>
          <w:lang w:val="en-GB"/>
        </w:rPr>
        <w:t>% of newly diagnosed patients, 4% of patients in late chronic phase after failure of interferon therapy, 4% of patients in accelerated phase after failure of interferon therapy and 5% of blast crisis patients after failure of interferon therapy. In GIST the study drug was discontinued for drug-related adverse reactions in 4% of patients.</w:t>
      </w:r>
    </w:p>
    <w:p w14:paraId="1B67FF8B" w14:textId="77777777" w:rsidR="009B57ED" w:rsidRPr="00654EF1" w:rsidRDefault="009B57ED" w:rsidP="001D5C8C">
      <w:pPr>
        <w:pStyle w:val="Text"/>
        <w:widowControl w:val="0"/>
        <w:spacing w:before="0"/>
        <w:jc w:val="left"/>
        <w:rPr>
          <w:color w:val="000000"/>
          <w:sz w:val="22"/>
          <w:szCs w:val="22"/>
          <w:lang w:val="en-GB"/>
        </w:rPr>
      </w:pPr>
    </w:p>
    <w:p w14:paraId="1B67FF8C" w14:textId="77777777" w:rsidR="00291227" w:rsidRPr="00654EF1" w:rsidRDefault="00482352" w:rsidP="001D5C8C">
      <w:pPr>
        <w:pStyle w:val="Text"/>
        <w:widowControl w:val="0"/>
        <w:spacing w:before="0"/>
        <w:jc w:val="left"/>
        <w:rPr>
          <w:color w:val="000000"/>
          <w:sz w:val="22"/>
          <w:szCs w:val="22"/>
          <w:lang w:val="en-GB"/>
        </w:rPr>
      </w:pPr>
      <w:r w:rsidRPr="00654EF1">
        <w:rPr>
          <w:color w:val="000000"/>
          <w:sz w:val="22"/>
          <w:szCs w:val="22"/>
          <w:lang w:val="en-GB"/>
        </w:rPr>
        <w:t xml:space="preserve">The adverse reactions were similar in all indications, with two exceptions. There was more myelosuppression seen in CML patients than in GIST, which is probably due to the underlying disease. </w:t>
      </w:r>
      <w:r w:rsidR="000D2060" w:rsidRPr="00654EF1">
        <w:rPr>
          <w:snapToGrid w:val="0"/>
          <w:color w:val="000000"/>
          <w:sz w:val="22"/>
          <w:szCs w:val="22"/>
        </w:rPr>
        <w:t>In the study in patients with unresectable and/or metastatic GIST, 7 (5%)</w:t>
      </w:r>
      <w:r w:rsidRPr="00654EF1">
        <w:rPr>
          <w:snapToGrid w:val="0"/>
          <w:color w:val="000000"/>
          <w:sz w:val="22"/>
          <w:szCs w:val="22"/>
        </w:rPr>
        <w:t xml:space="preserve"> patients experienced </w:t>
      </w:r>
      <w:smartTag w:uri="urn:schemas-microsoft-com:office:smarttags" w:element="stockticker">
        <w:r w:rsidRPr="00654EF1">
          <w:rPr>
            <w:snapToGrid w:val="0"/>
            <w:color w:val="000000"/>
            <w:sz w:val="22"/>
            <w:szCs w:val="22"/>
          </w:rPr>
          <w:t>CTC</w:t>
        </w:r>
      </w:smartTag>
      <w:r w:rsidRPr="00654EF1">
        <w:rPr>
          <w:snapToGrid w:val="0"/>
          <w:color w:val="000000"/>
          <w:sz w:val="22"/>
          <w:szCs w:val="22"/>
        </w:rPr>
        <w:t xml:space="preserve"> grade 3/4 GI bleeds (3 patients), intra-tumoural bleeds (3 patients) or both (1 patient). GI tumour sites may have been the source of the GI bleeds (see section 4.4). GI and tumoural bleeding may be serious and sometimes fatal. </w:t>
      </w:r>
      <w:r w:rsidRPr="00654EF1">
        <w:rPr>
          <w:color w:val="000000"/>
          <w:sz w:val="22"/>
          <w:szCs w:val="22"/>
          <w:lang w:val="en-GB"/>
        </w:rPr>
        <w:t>The most commonly reported (</w:t>
      </w:r>
      <w:r w:rsidRPr="00654EF1">
        <w:rPr>
          <w:color w:val="000000"/>
          <w:sz w:val="22"/>
          <w:szCs w:val="22"/>
          <w:lang w:val="en-GB"/>
        </w:rPr>
        <w:sym w:font="Symbol" w:char="F0B3"/>
      </w:r>
      <w:r w:rsidRPr="00654EF1">
        <w:rPr>
          <w:color w:val="000000"/>
          <w:sz w:val="22"/>
          <w:szCs w:val="22"/>
          <w:lang w:val="en-GB"/>
        </w:rPr>
        <w:t> 10%) drug-related adverse reactions in both settings were mild nausea, vomiting, diarrhoea, abdominal pain, fatigue, myalgia, muscle cramps and rash. Superficial oedemas were a common finding in all studies and were described primarily as periorbital or lower limb oedemas. However, these oedemas were rarely severe and may be managed with diuretics, other supportive measures, or by reducing the dose of Glivec.</w:t>
      </w:r>
    </w:p>
    <w:p w14:paraId="1B67FF8D" w14:textId="77777777" w:rsidR="00482352" w:rsidRPr="00654EF1" w:rsidRDefault="00482352" w:rsidP="001D5C8C">
      <w:pPr>
        <w:pStyle w:val="Text"/>
        <w:widowControl w:val="0"/>
        <w:spacing w:before="0"/>
        <w:jc w:val="left"/>
        <w:rPr>
          <w:color w:val="000000"/>
          <w:sz w:val="22"/>
          <w:szCs w:val="22"/>
          <w:lang w:val="en-GB"/>
        </w:rPr>
      </w:pPr>
    </w:p>
    <w:p w14:paraId="1B67FF8E" w14:textId="77777777" w:rsidR="00482352" w:rsidRPr="00654EF1" w:rsidRDefault="00482352" w:rsidP="001D5C8C">
      <w:pPr>
        <w:pStyle w:val="Text"/>
        <w:widowControl w:val="0"/>
        <w:spacing w:before="0"/>
        <w:jc w:val="left"/>
        <w:rPr>
          <w:color w:val="000000"/>
          <w:sz w:val="22"/>
          <w:szCs w:val="22"/>
          <w:lang w:val="en-GB"/>
        </w:rPr>
      </w:pPr>
      <w:r w:rsidRPr="00654EF1">
        <w:rPr>
          <w:color w:val="000000"/>
          <w:sz w:val="22"/>
          <w:szCs w:val="22"/>
          <w:lang w:val="en-GB"/>
        </w:rPr>
        <w:t xml:space="preserve">When imatinib was combined with high dose chemotherapy in Ph+ </w:t>
      </w:r>
      <w:smartTag w:uri="urn:schemas-microsoft-com:office:smarttags" w:element="stockticker">
        <w:r w:rsidRPr="00654EF1">
          <w:rPr>
            <w:color w:val="000000"/>
            <w:sz w:val="22"/>
            <w:szCs w:val="22"/>
            <w:lang w:val="en-GB"/>
          </w:rPr>
          <w:t>ALL</w:t>
        </w:r>
      </w:smartTag>
      <w:r w:rsidRPr="00654EF1">
        <w:rPr>
          <w:color w:val="000000"/>
          <w:sz w:val="22"/>
          <w:szCs w:val="22"/>
          <w:lang w:val="en-GB"/>
        </w:rPr>
        <w:t xml:space="preserve"> patients, transient liver toxicity in the form of transaminase elevation and hyperbilirubinaemia were observed.</w:t>
      </w:r>
      <w:r w:rsidR="00505F51" w:rsidRPr="00654EF1">
        <w:rPr>
          <w:color w:val="000000"/>
          <w:sz w:val="22"/>
          <w:szCs w:val="22"/>
          <w:lang w:val="en-GB"/>
        </w:rPr>
        <w:t xml:space="preserve"> Considering the limited safety database, the adverse events thus far reported in children are consistent with the known safety profile in adult patients with Ph+ ALL. </w:t>
      </w:r>
      <w:r w:rsidR="00025611" w:rsidRPr="00654EF1">
        <w:rPr>
          <w:color w:val="000000"/>
          <w:sz w:val="22"/>
          <w:szCs w:val="22"/>
        </w:rPr>
        <w:t xml:space="preserve">The safety database </w:t>
      </w:r>
      <w:r w:rsidR="007A1B58" w:rsidRPr="00654EF1">
        <w:rPr>
          <w:color w:val="000000"/>
          <w:sz w:val="22"/>
          <w:szCs w:val="22"/>
        </w:rPr>
        <w:t>for</w:t>
      </w:r>
      <w:r w:rsidR="00025611" w:rsidRPr="00654EF1">
        <w:rPr>
          <w:color w:val="000000"/>
          <w:sz w:val="22"/>
          <w:szCs w:val="22"/>
        </w:rPr>
        <w:t xml:space="preserve"> children with Ph+ALL is very limited though no new safety concerns have been identified.</w:t>
      </w:r>
    </w:p>
    <w:p w14:paraId="1B67FF8F" w14:textId="77777777" w:rsidR="009B57ED" w:rsidRPr="00654EF1" w:rsidRDefault="009B57ED" w:rsidP="001D5C8C">
      <w:pPr>
        <w:pStyle w:val="Text"/>
        <w:widowControl w:val="0"/>
        <w:spacing w:before="0"/>
        <w:jc w:val="left"/>
        <w:rPr>
          <w:color w:val="000000"/>
          <w:sz w:val="22"/>
          <w:szCs w:val="22"/>
          <w:lang w:val="en-GB"/>
        </w:rPr>
      </w:pPr>
    </w:p>
    <w:p w14:paraId="1B67FF90"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Miscellaneous adverse reactions such as pleural effusion, ascites, pulmonary oedema and rapid weight gain with or without superficial oedema may be collectively described as “fluid retention”. These reactions can usually be managed by withholding Glivec temporarily and with diuretics and other appropriate supportive care measures. However, some of these reactions may be serious or life-threatening and several patients with blast crisis died with a complex clinical history of pleural effusion, congestive heart failure and renal failure. There were no special safety findings in paediatric clinical trials.</w:t>
      </w:r>
    </w:p>
    <w:p w14:paraId="1B67FF91" w14:textId="77777777" w:rsidR="009B57ED" w:rsidRPr="00654EF1" w:rsidRDefault="009B57ED" w:rsidP="001D5C8C">
      <w:pPr>
        <w:pStyle w:val="Text"/>
        <w:widowControl w:val="0"/>
        <w:spacing w:before="0"/>
        <w:jc w:val="left"/>
        <w:rPr>
          <w:color w:val="000000"/>
          <w:sz w:val="22"/>
          <w:szCs w:val="22"/>
          <w:lang w:val="en-GB"/>
        </w:rPr>
      </w:pPr>
    </w:p>
    <w:p w14:paraId="1B67FF92" w14:textId="77777777" w:rsidR="009B57ED" w:rsidRPr="00654EF1" w:rsidRDefault="009B57ED" w:rsidP="001D5C8C">
      <w:pPr>
        <w:pStyle w:val="Text"/>
        <w:keepNext/>
        <w:widowControl w:val="0"/>
        <w:spacing w:before="0"/>
        <w:jc w:val="left"/>
        <w:rPr>
          <w:b/>
          <w:color w:val="000000"/>
          <w:sz w:val="22"/>
          <w:szCs w:val="22"/>
          <w:lang w:val="en-GB"/>
        </w:rPr>
      </w:pPr>
      <w:r w:rsidRPr="00654EF1">
        <w:rPr>
          <w:b/>
          <w:color w:val="000000"/>
          <w:sz w:val="22"/>
          <w:szCs w:val="22"/>
          <w:lang w:val="en-GB"/>
        </w:rPr>
        <w:t>Adverse reactions</w:t>
      </w:r>
    </w:p>
    <w:p w14:paraId="1B67FF93"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Adverse reactions reported as more than an isolated case are listed below, by system organ class and by frequency. </w:t>
      </w:r>
      <w:r w:rsidR="00D50367" w:rsidRPr="00654EF1">
        <w:rPr>
          <w:color w:val="000000"/>
          <w:sz w:val="22"/>
          <w:szCs w:val="22"/>
        </w:rPr>
        <w:t>Frequency categories</w:t>
      </w:r>
      <w:r w:rsidRPr="00654EF1">
        <w:rPr>
          <w:color w:val="000000"/>
          <w:sz w:val="22"/>
          <w:szCs w:val="22"/>
          <w:lang w:val="en-GB"/>
        </w:rPr>
        <w:t xml:space="preserve"> are defined </w:t>
      </w:r>
      <w:r w:rsidR="00D50367" w:rsidRPr="00654EF1">
        <w:rPr>
          <w:color w:val="000000"/>
          <w:sz w:val="22"/>
          <w:szCs w:val="22"/>
        </w:rPr>
        <w:t>using the following convention</w:t>
      </w:r>
      <w:r w:rsidRPr="00654EF1">
        <w:rPr>
          <w:color w:val="000000"/>
          <w:sz w:val="22"/>
          <w:szCs w:val="22"/>
          <w:lang w:val="en-GB"/>
        </w:rPr>
        <w:t>: very common (</w:t>
      </w:r>
      <w:r w:rsidR="00D50367" w:rsidRPr="00654EF1">
        <w:rPr>
          <w:color w:val="000000"/>
          <w:sz w:val="22"/>
          <w:szCs w:val="22"/>
        </w:rPr>
        <w:t>≥</w:t>
      </w:r>
      <w:r w:rsidRPr="00654EF1">
        <w:rPr>
          <w:color w:val="000000"/>
          <w:sz w:val="22"/>
          <w:szCs w:val="22"/>
          <w:lang w:val="en-GB"/>
        </w:rPr>
        <w:t>1/10), common (</w:t>
      </w:r>
      <w:r w:rsidR="00D50367" w:rsidRPr="00654EF1">
        <w:rPr>
          <w:color w:val="000000"/>
          <w:sz w:val="22"/>
          <w:szCs w:val="22"/>
        </w:rPr>
        <w:t>≥</w:t>
      </w:r>
      <w:r w:rsidRPr="00654EF1">
        <w:rPr>
          <w:color w:val="000000"/>
          <w:sz w:val="22"/>
          <w:szCs w:val="22"/>
          <w:lang w:val="en-GB"/>
        </w:rPr>
        <w:t>1/100</w:t>
      </w:r>
      <w:r w:rsidR="00D50367" w:rsidRPr="00654EF1">
        <w:rPr>
          <w:color w:val="000000"/>
          <w:sz w:val="22"/>
          <w:szCs w:val="22"/>
          <w:lang w:val="en-GB"/>
        </w:rPr>
        <w:t xml:space="preserve"> to</w:t>
      </w:r>
      <w:r w:rsidRPr="00654EF1">
        <w:rPr>
          <w:color w:val="000000"/>
          <w:sz w:val="22"/>
          <w:szCs w:val="22"/>
          <w:lang w:val="en-GB"/>
        </w:rPr>
        <w:t xml:space="preserve"> </w:t>
      </w:r>
      <w:r w:rsidR="00D50367" w:rsidRPr="00654EF1">
        <w:rPr>
          <w:color w:val="000000"/>
          <w:sz w:val="22"/>
          <w:szCs w:val="22"/>
        </w:rPr>
        <w:t>&lt;</w:t>
      </w:r>
      <w:r w:rsidRPr="00654EF1">
        <w:rPr>
          <w:color w:val="000000"/>
          <w:sz w:val="22"/>
          <w:szCs w:val="22"/>
          <w:lang w:val="en-GB"/>
        </w:rPr>
        <w:t>1/10), uncommon (</w:t>
      </w:r>
      <w:r w:rsidR="00D50367" w:rsidRPr="00654EF1">
        <w:rPr>
          <w:color w:val="000000"/>
          <w:sz w:val="22"/>
          <w:szCs w:val="22"/>
        </w:rPr>
        <w:t>≥</w:t>
      </w:r>
      <w:r w:rsidRPr="00654EF1">
        <w:rPr>
          <w:color w:val="000000"/>
          <w:sz w:val="22"/>
          <w:szCs w:val="22"/>
          <w:lang w:val="en-GB"/>
        </w:rPr>
        <w:t>1/1,000</w:t>
      </w:r>
      <w:r w:rsidR="00D50367" w:rsidRPr="00654EF1">
        <w:rPr>
          <w:color w:val="000000"/>
          <w:sz w:val="22"/>
          <w:szCs w:val="22"/>
          <w:lang w:val="en-GB"/>
        </w:rPr>
        <w:t xml:space="preserve"> to</w:t>
      </w:r>
      <w:r w:rsidRPr="00654EF1">
        <w:rPr>
          <w:color w:val="000000"/>
          <w:sz w:val="22"/>
          <w:szCs w:val="22"/>
          <w:lang w:val="en-GB"/>
        </w:rPr>
        <w:t xml:space="preserve"> </w:t>
      </w:r>
      <w:r w:rsidR="00D50367" w:rsidRPr="00654EF1">
        <w:rPr>
          <w:color w:val="000000"/>
          <w:sz w:val="22"/>
          <w:szCs w:val="22"/>
        </w:rPr>
        <w:t>&lt;</w:t>
      </w:r>
      <w:r w:rsidRPr="00654EF1">
        <w:rPr>
          <w:color w:val="000000"/>
          <w:sz w:val="22"/>
          <w:szCs w:val="22"/>
          <w:lang w:val="en-GB"/>
        </w:rPr>
        <w:t>1/100), rare (</w:t>
      </w:r>
      <w:r w:rsidR="00D50367" w:rsidRPr="00654EF1">
        <w:rPr>
          <w:color w:val="000000"/>
          <w:sz w:val="22"/>
          <w:szCs w:val="22"/>
        </w:rPr>
        <w:t>≥1/10,000 to &lt;</w:t>
      </w:r>
      <w:r w:rsidRPr="00654EF1">
        <w:rPr>
          <w:color w:val="000000"/>
          <w:sz w:val="22"/>
          <w:szCs w:val="22"/>
          <w:lang w:val="en-GB"/>
        </w:rPr>
        <w:t>1/1,000)</w:t>
      </w:r>
      <w:r w:rsidR="00205B08" w:rsidRPr="00654EF1">
        <w:rPr>
          <w:color w:val="000000"/>
          <w:sz w:val="22"/>
          <w:szCs w:val="22"/>
          <w:lang w:val="en-GB"/>
        </w:rPr>
        <w:t xml:space="preserve">, </w:t>
      </w:r>
      <w:r w:rsidR="00D50367" w:rsidRPr="00654EF1">
        <w:rPr>
          <w:color w:val="000000"/>
          <w:sz w:val="22"/>
          <w:szCs w:val="22"/>
        </w:rPr>
        <w:t xml:space="preserve">very rare (&lt;1/10,000), </w:t>
      </w:r>
      <w:r w:rsidR="002B0D5C" w:rsidRPr="00654EF1">
        <w:rPr>
          <w:color w:val="000000"/>
          <w:sz w:val="22"/>
          <w:szCs w:val="22"/>
          <w:lang w:val="en-GB"/>
        </w:rPr>
        <w:t>not known (cannot be estimated from the available data)</w:t>
      </w:r>
      <w:r w:rsidR="002E608B" w:rsidRPr="00654EF1">
        <w:rPr>
          <w:color w:val="000000"/>
          <w:sz w:val="22"/>
          <w:szCs w:val="22"/>
          <w:lang w:val="en-GB"/>
        </w:rPr>
        <w:t>.</w:t>
      </w:r>
    </w:p>
    <w:p w14:paraId="1B67FF94" w14:textId="77777777" w:rsidR="009B57ED" w:rsidRPr="00654EF1" w:rsidRDefault="009B57ED" w:rsidP="001D5C8C">
      <w:pPr>
        <w:pStyle w:val="Text"/>
        <w:widowControl w:val="0"/>
        <w:spacing w:before="0"/>
        <w:jc w:val="left"/>
        <w:rPr>
          <w:color w:val="000000"/>
          <w:sz w:val="22"/>
          <w:szCs w:val="22"/>
          <w:lang w:val="en-GB"/>
        </w:rPr>
      </w:pPr>
    </w:p>
    <w:p w14:paraId="1B67FF95"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rPr>
        <w:t xml:space="preserve">Within each frequency grouping, undesirable effects are presented in order of </w:t>
      </w:r>
      <w:r w:rsidR="00CC7787" w:rsidRPr="00654EF1">
        <w:rPr>
          <w:color w:val="000000"/>
          <w:sz w:val="22"/>
          <w:szCs w:val="22"/>
        </w:rPr>
        <w:t>frequency, the most frequent first</w:t>
      </w:r>
      <w:r w:rsidRPr="00654EF1">
        <w:rPr>
          <w:color w:val="000000"/>
          <w:sz w:val="22"/>
          <w:szCs w:val="22"/>
        </w:rPr>
        <w:t>.</w:t>
      </w:r>
    </w:p>
    <w:p w14:paraId="1B67FF96" w14:textId="77777777" w:rsidR="00CC7787" w:rsidRPr="00654EF1" w:rsidRDefault="00CC7787" w:rsidP="001D5C8C">
      <w:pPr>
        <w:widowControl w:val="0"/>
        <w:spacing w:line="240" w:lineRule="auto"/>
        <w:rPr>
          <w:color w:val="000000"/>
          <w:szCs w:val="24"/>
          <w:lang w:eastAsia="ja-JP"/>
        </w:rPr>
      </w:pPr>
      <w:bookmarkStart w:id="1" w:name="_Toc411838883"/>
      <w:bookmarkStart w:id="2" w:name="_Toc450641613"/>
    </w:p>
    <w:p w14:paraId="1B67FF97" w14:textId="77777777" w:rsidR="006A5BD3" w:rsidRPr="00654EF1" w:rsidRDefault="00A84AFD" w:rsidP="001D5C8C">
      <w:pPr>
        <w:keepNext/>
        <w:widowControl w:val="0"/>
        <w:spacing w:line="240" w:lineRule="auto"/>
        <w:rPr>
          <w:color w:val="000000"/>
          <w:szCs w:val="24"/>
          <w:lang w:eastAsia="ja-JP"/>
        </w:rPr>
      </w:pPr>
      <w:r w:rsidRPr="00654EF1">
        <w:rPr>
          <w:color w:val="000000"/>
          <w:szCs w:val="24"/>
          <w:lang w:eastAsia="ja-JP"/>
        </w:rPr>
        <w:lastRenderedPageBreak/>
        <w:t xml:space="preserve">Adverse reactions and their frequencies </w:t>
      </w:r>
      <w:r w:rsidR="005C3486" w:rsidRPr="00654EF1">
        <w:rPr>
          <w:color w:val="000000"/>
          <w:szCs w:val="24"/>
          <w:lang w:eastAsia="ja-JP"/>
        </w:rPr>
        <w:t xml:space="preserve">are </w:t>
      </w:r>
      <w:r w:rsidRPr="00654EF1">
        <w:rPr>
          <w:color w:val="000000"/>
          <w:szCs w:val="24"/>
          <w:lang w:eastAsia="ja-JP"/>
        </w:rPr>
        <w:t>reported in Table</w:t>
      </w:r>
      <w:r w:rsidR="00CC7787" w:rsidRPr="00654EF1">
        <w:rPr>
          <w:color w:val="000000"/>
          <w:szCs w:val="24"/>
          <w:lang w:eastAsia="ja-JP"/>
        </w:rPr>
        <w:t> </w:t>
      </w:r>
      <w:r w:rsidRPr="00654EF1">
        <w:rPr>
          <w:color w:val="000000"/>
          <w:szCs w:val="24"/>
          <w:lang w:eastAsia="ja-JP"/>
        </w:rPr>
        <w:t>1</w:t>
      </w:r>
      <w:r w:rsidR="005C3486" w:rsidRPr="00654EF1">
        <w:rPr>
          <w:color w:val="000000"/>
          <w:szCs w:val="24"/>
          <w:lang w:eastAsia="ja-JP"/>
        </w:rPr>
        <w:t>.</w:t>
      </w:r>
    </w:p>
    <w:p w14:paraId="1B67FF98" w14:textId="77777777" w:rsidR="00A84AFD" w:rsidRPr="00654EF1" w:rsidRDefault="00A84AFD" w:rsidP="001D5C8C">
      <w:pPr>
        <w:keepNext/>
        <w:widowControl w:val="0"/>
        <w:spacing w:line="240" w:lineRule="auto"/>
        <w:rPr>
          <w:color w:val="000000"/>
        </w:rPr>
      </w:pPr>
    </w:p>
    <w:p w14:paraId="1B67FF99" w14:textId="77777777" w:rsidR="00A84AFD" w:rsidRPr="00654EF1" w:rsidRDefault="00A84AFD" w:rsidP="001D5C8C">
      <w:pPr>
        <w:keepNext/>
        <w:widowControl w:val="0"/>
        <w:tabs>
          <w:tab w:val="clear" w:pos="567"/>
          <w:tab w:val="left" w:pos="1134"/>
        </w:tabs>
        <w:spacing w:line="240" w:lineRule="auto"/>
        <w:rPr>
          <w:b/>
          <w:color w:val="000000"/>
        </w:rPr>
      </w:pPr>
      <w:r w:rsidRPr="00654EF1">
        <w:rPr>
          <w:b/>
          <w:color w:val="000000"/>
        </w:rPr>
        <w:t>Table</w:t>
      </w:r>
      <w:r w:rsidR="007A7041" w:rsidRPr="00654EF1">
        <w:rPr>
          <w:b/>
          <w:color w:val="000000"/>
        </w:rPr>
        <w:t> </w:t>
      </w:r>
      <w:r w:rsidRPr="00654EF1">
        <w:rPr>
          <w:b/>
          <w:color w:val="000000"/>
        </w:rPr>
        <w:t>1</w:t>
      </w:r>
      <w:r w:rsidR="007A7041" w:rsidRPr="00654EF1">
        <w:rPr>
          <w:b/>
          <w:color w:val="000000"/>
        </w:rPr>
        <w:tab/>
      </w:r>
      <w:r w:rsidR="00185515" w:rsidRPr="00654EF1">
        <w:rPr>
          <w:b/>
          <w:color w:val="000000"/>
        </w:rPr>
        <w:t>Tabulated summary of a</w:t>
      </w:r>
      <w:r w:rsidRPr="00654EF1">
        <w:rPr>
          <w:b/>
          <w:color w:val="000000"/>
        </w:rPr>
        <w:t>dverse reactions</w:t>
      </w:r>
    </w:p>
    <w:p w14:paraId="1B67FF9A" w14:textId="77777777" w:rsidR="00A84AFD" w:rsidRPr="00654EF1" w:rsidRDefault="00A84AFD" w:rsidP="001D5C8C">
      <w:pPr>
        <w:keepNext/>
        <w:widowControl w:val="0"/>
        <w:spacing w:line="240" w:lineRule="auto"/>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46775" w:rsidRPr="00654EF1" w14:paraId="1B67FF9C" w14:textId="77777777" w:rsidTr="009F0509">
        <w:trPr>
          <w:cantSplit/>
        </w:trPr>
        <w:tc>
          <w:tcPr>
            <w:tcW w:w="9322" w:type="dxa"/>
            <w:gridSpan w:val="2"/>
          </w:tcPr>
          <w:p w14:paraId="1B67FF9B" w14:textId="77777777" w:rsidR="00D46775" w:rsidRPr="00654EF1" w:rsidRDefault="00D46775" w:rsidP="001D5C8C">
            <w:pPr>
              <w:keepNext/>
              <w:widowControl w:val="0"/>
              <w:spacing w:line="240" w:lineRule="auto"/>
              <w:rPr>
                <w:b/>
                <w:color w:val="000000"/>
                <w:szCs w:val="22"/>
              </w:rPr>
            </w:pPr>
            <w:r w:rsidRPr="00654EF1">
              <w:rPr>
                <w:b/>
                <w:color w:val="000000"/>
                <w:szCs w:val="22"/>
              </w:rPr>
              <w:t>Infections and infestations</w:t>
            </w:r>
          </w:p>
        </w:tc>
      </w:tr>
      <w:tr w:rsidR="00D46775" w:rsidRPr="00654EF1" w14:paraId="1B67FF9F" w14:textId="77777777" w:rsidTr="009F0509">
        <w:trPr>
          <w:cantSplit/>
        </w:trPr>
        <w:tc>
          <w:tcPr>
            <w:tcW w:w="2235" w:type="dxa"/>
          </w:tcPr>
          <w:p w14:paraId="1B67FF9D" w14:textId="77777777" w:rsidR="00D46775" w:rsidRPr="00654EF1"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7FF9E" w14:textId="77777777" w:rsidR="00D46775" w:rsidRPr="00280050" w:rsidRDefault="00D46775" w:rsidP="001D5C8C">
            <w:pPr>
              <w:keepNext/>
              <w:widowControl w:val="0"/>
              <w:spacing w:line="240" w:lineRule="auto"/>
              <w:rPr>
                <w:color w:val="000000"/>
                <w:szCs w:val="22"/>
              </w:rPr>
            </w:pPr>
            <w:r w:rsidRPr="00654EF1">
              <w:rPr>
                <w:color w:val="000000"/>
                <w:szCs w:val="22"/>
              </w:rPr>
              <w:t>Herpes zoster, herpes simplex, nasopharyngitis, pneumonia</w:t>
            </w:r>
            <w:r w:rsidR="008B6A91" w:rsidRPr="00654EF1">
              <w:rPr>
                <w:color w:val="000000"/>
                <w:szCs w:val="22"/>
                <w:vertAlign w:val="superscript"/>
              </w:rPr>
              <w:t>1</w:t>
            </w:r>
            <w:r w:rsidRPr="00654EF1">
              <w:rPr>
                <w:color w:val="000000"/>
                <w:szCs w:val="22"/>
              </w:rPr>
              <w:t>, sinusitis, cellulitis, upper respiratory tract infection, influenza, urinary tract infection, gastroenteritis, sepsis</w:t>
            </w:r>
          </w:p>
        </w:tc>
      </w:tr>
      <w:tr w:rsidR="00D46775" w:rsidRPr="00654EF1" w14:paraId="1B67FFA2" w14:textId="77777777" w:rsidTr="009F0509">
        <w:trPr>
          <w:cantSplit/>
        </w:trPr>
        <w:tc>
          <w:tcPr>
            <w:tcW w:w="2235" w:type="dxa"/>
          </w:tcPr>
          <w:p w14:paraId="1B67FFA0" w14:textId="77777777" w:rsidR="00D46775" w:rsidRPr="00654EF1" w:rsidRDefault="00D46775" w:rsidP="001D5C8C">
            <w:pPr>
              <w:keepNext/>
              <w:widowControl w:val="0"/>
              <w:spacing w:line="240" w:lineRule="auto"/>
              <w:rPr>
                <w:i/>
                <w:color w:val="000000"/>
                <w:szCs w:val="22"/>
              </w:rPr>
            </w:pPr>
            <w:r w:rsidRPr="00654EF1">
              <w:rPr>
                <w:i/>
                <w:color w:val="000000"/>
                <w:szCs w:val="22"/>
              </w:rPr>
              <w:t>Rare:</w:t>
            </w:r>
          </w:p>
        </w:tc>
        <w:tc>
          <w:tcPr>
            <w:tcW w:w="7087" w:type="dxa"/>
          </w:tcPr>
          <w:p w14:paraId="1B67FFA1" w14:textId="77777777" w:rsidR="00D46775" w:rsidRPr="00654EF1" w:rsidRDefault="00D46775" w:rsidP="001D5C8C">
            <w:pPr>
              <w:keepNext/>
              <w:widowControl w:val="0"/>
              <w:spacing w:line="240" w:lineRule="auto"/>
              <w:rPr>
                <w:color w:val="000000"/>
                <w:szCs w:val="22"/>
              </w:rPr>
            </w:pPr>
            <w:r w:rsidRPr="00654EF1">
              <w:rPr>
                <w:color w:val="000000"/>
                <w:szCs w:val="22"/>
              </w:rPr>
              <w:t>Fungal infection</w:t>
            </w:r>
          </w:p>
        </w:tc>
      </w:tr>
      <w:tr w:rsidR="009C3524" w:rsidRPr="00654EF1" w14:paraId="1B67FFA5" w14:textId="77777777" w:rsidTr="009F0509">
        <w:trPr>
          <w:cantSplit/>
        </w:trPr>
        <w:tc>
          <w:tcPr>
            <w:tcW w:w="2235" w:type="dxa"/>
          </w:tcPr>
          <w:p w14:paraId="1B67FFA3" w14:textId="77777777" w:rsidR="009C3524" w:rsidRPr="00654EF1" w:rsidRDefault="009C3524" w:rsidP="001D5C8C">
            <w:pPr>
              <w:widowControl w:val="0"/>
              <w:spacing w:line="240" w:lineRule="auto"/>
              <w:rPr>
                <w:i/>
                <w:color w:val="000000"/>
                <w:szCs w:val="22"/>
              </w:rPr>
            </w:pPr>
            <w:r w:rsidRPr="00654EF1">
              <w:rPr>
                <w:i/>
                <w:color w:val="000000"/>
                <w:szCs w:val="22"/>
              </w:rPr>
              <w:t>Not known:</w:t>
            </w:r>
          </w:p>
        </w:tc>
        <w:tc>
          <w:tcPr>
            <w:tcW w:w="7087" w:type="dxa"/>
          </w:tcPr>
          <w:p w14:paraId="1B67FFA4" w14:textId="77777777" w:rsidR="009C3524" w:rsidRPr="00654EF1" w:rsidRDefault="009C3524" w:rsidP="001D5C8C">
            <w:pPr>
              <w:widowControl w:val="0"/>
              <w:spacing w:line="240" w:lineRule="auto"/>
              <w:rPr>
                <w:color w:val="000000"/>
                <w:szCs w:val="22"/>
              </w:rPr>
            </w:pPr>
            <w:r w:rsidRPr="00654EF1">
              <w:rPr>
                <w:color w:val="000000"/>
              </w:rPr>
              <w:t>Hepatitis B reactivation</w:t>
            </w:r>
            <w:r w:rsidRPr="00654EF1">
              <w:rPr>
                <w:color w:val="000000"/>
                <w:szCs w:val="22"/>
              </w:rPr>
              <w:t>*</w:t>
            </w:r>
          </w:p>
        </w:tc>
      </w:tr>
      <w:tr w:rsidR="00D974BB" w:rsidRPr="00654EF1" w14:paraId="1B67FFA7" w14:textId="77777777" w:rsidTr="009F0509">
        <w:trPr>
          <w:cantSplit/>
        </w:trPr>
        <w:tc>
          <w:tcPr>
            <w:tcW w:w="9322" w:type="dxa"/>
            <w:gridSpan w:val="2"/>
          </w:tcPr>
          <w:p w14:paraId="1B67FFA6" w14:textId="77777777" w:rsidR="00D974BB" w:rsidRPr="00654EF1" w:rsidRDefault="00D974BB" w:rsidP="001D5C8C">
            <w:pPr>
              <w:keepNext/>
              <w:widowControl w:val="0"/>
              <w:spacing w:line="240" w:lineRule="auto"/>
              <w:rPr>
                <w:color w:val="000000"/>
                <w:szCs w:val="22"/>
              </w:rPr>
            </w:pPr>
            <w:r w:rsidRPr="00654EF1">
              <w:rPr>
                <w:b/>
                <w:color w:val="000000"/>
                <w:szCs w:val="22"/>
              </w:rPr>
              <w:t>Neoplasm benign, malignant and unspecified (including cysts and polyps)</w:t>
            </w:r>
          </w:p>
        </w:tc>
      </w:tr>
      <w:tr w:rsidR="00D974BB" w:rsidRPr="00654EF1" w14:paraId="1B67FFAA" w14:textId="77777777" w:rsidTr="009F0509">
        <w:trPr>
          <w:cantSplit/>
        </w:trPr>
        <w:tc>
          <w:tcPr>
            <w:tcW w:w="2235" w:type="dxa"/>
          </w:tcPr>
          <w:p w14:paraId="1B67FFA8" w14:textId="77777777" w:rsidR="00D974BB" w:rsidRPr="00654EF1" w:rsidRDefault="00D974BB" w:rsidP="001D5C8C">
            <w:pPr>
              <w:keepNext/>
              <w:widowControl w:val="0"/>
              <w:spacing w:line="240" w:lineRule="auto"/>
              <w:rPr>
                <w:i/>
                <w:color w:val="000000"/>
                <w:szCs w:val="22"/>
              </w:rPr>
            </w:pPr>
            <w:r w:rsidRPr="00654EF1">
              <w:rPr>
                <w:i/>
                <w:color w:val="000000"/>
                <w:szCs w:val="22"/>
              </w:rPr>
              <w:t>Rare:</w:t>
            </w:r>
          </w:p>
        </w:tc>
        <w:tc>
          <w:tcPr>
            <w:tcW w:w="7087" w:type="dxa"/>
          </w:tcPr>
          <w:p w14:paraId="1B67FFA9" w14:textId="77777777" w:rsidR="00D974BB" w:rsidRPr="00654EF1" w:rsidRDefault="00D974BB" w:rsidP="001D5C8C">
            <w:pPr>
              <w:keepNext/>
              <w:widowControl w:val="0"/>
              <w:spacing w:line="240" w:lineRule="auto"/>
              <w:rPr>
                <w:color w:val="000000"/>
                <w:szCs w:val="22"/>
              </w:rPr>
            </w:pPr>
            <w:r w:rsidRPr="00654EF1">
              <w:rPr>
                <w:color w:val="000000"/>
                <w:szCs w:val="22"/>
              </w:rPr>
              <w:t>Tumour lysis syndrome</w:t>
            </w:r>
          </w:p>
        </w:tc>
      </w:tr>
      <w:tr w:rsidR="008F2DE5" w:rsidRPr="00654EF1" w14:paraId="1B67FFAD" w14:textId="77777777" w:rsidTr="009F0509">
        <w:trPr>
          <w:cantSplit/>
        </w:trPr>
        <w:tc>
          <w:tcPr>
            <w:tcW w:w="2235" w:type="dxa"/>
          </w:tcPr>
          <w:p w14:paraId="1B67FFAB" w14:textId="77777777" w:rsidR="008F2DE5" w:rsidRPr="00654EF1" w:rsidRDefault="008F2DE5" w:rsidP="001D5C8C">
            <w:pPr>
              <w:widowControl w:val="0"/>
              <w:spacing w:line="240" w:lineRule="auto"/>
              <w:rPr>
                <w:i/>
                <w:color w:val="000000"/>
                <w:szCs w:val="22"/>
              </w:rPr>
            </w:pPr>
            <w:r w:rsidRPr="00654EF1">
              <w:rPr>
                <w:i/>
                <w:color w:val="000000"/>
                <w:szCs w:val="22"/>
              </w:rPr>
              <w:t>Not known:</w:t>
            </w:r>
          </w:p>
        </w:tc>
        <w:tc>
          <w:tcPr>
            <w:tcW w:w="7087" w:type="dxa"/>
          </w:tcPr>
          <w:p w14:paraId="1B67FFAC" w14:textId="77777777" w:rsidR="008F2DE5" w:rsidRPr="00654EF1" w:rsidRDefault="008F2DE5" w:rsidP="001D5C8C">
            <w:pPr>
              <w:widowControl w:val="0"/>
              <w:spacing w:line="240" w:lineRule="auto"/>
              <w:rPr>
                <w:color w:val="000000"/>
                <w:szCs w:val="22"/>
              </w:rPr>
            </w:pPr>
            <w:r w:rsidRPr="00654EF1">
              <w:rPr>
                <w:color w:val="000000"/>
                <w:szCs w:val="22"/>
              </w:rPr>
              <w:t>Tumour haemorrhage/tumour necrosis*</w:t>
            </w:r>
          </w:p>
        </w:tc>
      </w:tr>
      <w:tr w:rsidR="00185515" w:rsidRPr="00654EF1" w14:paraId="1B67FFAF" w14:textId="77777777" w:rsidTr="009F0509">
        <w:trPr>
          <w:cantSplit/>
        </w:trPr>
        <w:tc>
          <w:tcPr>
            <w:tcW w:w="9322" w:type="dxa"/>
            <w:gridSpan w:val="2"/>
          </w:tcPr>
          <w:p w14:paraId="1B67FFAE" w14:textId="77777777" w:rsidR="00185515" w:rsidRPr="00654EF1" w:rsidRDefault="00185515" w:rsidP="001D5C8C">
            <w:pPr>
              <w:keepNext/>
              <w:widowControl w:val="0"/>
              <w:spacing w:line="240" w:lineRule="auto"/>
              <w:rPr>
                <w:b/>
                <w:color w:val="000000"/>
                <w:szCs w:val="22"/>
              </w:rPr>
            </w:pPr>
            <w:r w:rsidRPr="00654EF1">
              <w:rPr>
                <w:b/>
                <w:color w:val="000000"/>
                <w:szCs w:val="22"/>
              </w:rPr>
              <w:t xml:space="preserve">Immune </w:t>
            </w:r>
            <w:r w:rsidR="006A5BD3" w:rsidRPr="00654EF1">
              <w:rPr>
                <w:b/>
                <w:color w:val="000000"/>
                <w:szCs w:val="22"/>
              </w:rPr>
              <w:t>s</w:t>
            </w:r>
            <w:r w:rsidRPr="00654EF1">
              <w:rPr>
                <w:b/>
                <w:color w:val="000000"/>
                <w:szCs w:val="22"/>
              </w:rPr>
              <w:t>ystem disorders</w:t>
            </w:r>
          </w:p>
        </w:tc>
      </w:tr>
      <w:tr w:rsidR="00185515" w:rsidRPr="00654EF1" w14:paraId="1B67FFB2" w14:textId="77777777" w:rsidTr="009F0509">
        <w:trPr>
          <w:cantSplit/>
        </w:trPr>
        <w:tc>
          <w:tcPr>
            <w:tcW w:w="2235" w:type="dxa"/>
          </w:tcPr>
          <w:p w14:paraId="1B67FFB0" w14:textId="77777777" w:rsidR="00185515" w:rsidRPr="00654EF1" w:rsidRDefault="004103BD" w:rsidP="001D5C8C">
            <w:pPr>
              <w:widowControl w:val="0"/>
              <w:spacing w:line="240" w:lineRule="auto"/>
              <w:rPr>
                <w:i/>
                <w:color w:val="000000"/>
                <w:szCs w:val="22"/>
              </w:rPr>
            </w:pPr>
            <w:r w:rsidRPr="00654EF1">
              <w:rPr>
                <w:i/>
                <w:color w:val="000000"/>
                <w:szCs w:val="22"/>
              </w:rPr>
              <w:t>Not known:</w:t>
            </w:r>
          </w:p>
        </w:tc>
        <w:tc>
          <w:tcPr>
            <w:tcW w:w="7087" w:type="dxa"/>
          </w:tcPr>
          <w:p w14:paraId="1B67FFB1" w14:textId="77777777" w:rsidR="00185515" w:rsidRPr="00654EF1" w:rsidRDefault="00185515" w:rsidP="001D5C8C">
            <w:pPr>
              <w:widowControl w:val="0"/>
              <w:spacing w:line="240" w:lineRule="auto"/>
              <w:rPr>
                <w:color w:val="000000"/>
                <w:szCs w:val="22"/>
              </w:rPr>
            </w:pPr>
            <w:r w:rsidRPr="00654EF1">
              <w:rPr>
                <w:color w:val="000000"/>
                <w:szCs w:val="22"/>
              </w:rPr>
              <w:t>Anaphylactic shock*</w:t>
            </w:r>
          </w:p>
        </w:tc>
      </w:tr>
      <w:tr w:rsidR="00D87646" w:rsidRPr="00654EF1" w14:paraId="1B67FFB4" w14:textId="77777777" w:rsidTr="009F0509">
        <w:trPr>
          <w:cantSplit/>
        </w:trPr>
        <w:tc>
          <w:tcPr>
            <w:tcW w:w="9322" w:type="dxa"/>
            <w:gridSpan w:val="2"/>
          </w:tcPr>
          <w:p w14:paraId="1B67FFB3" w14:textId="77777777" w:rsidR="00D87646" w:rsidRPr="00654EF1" w:rsidRDefault="00D87646" w:rsidP="001D5C8C">
            <w:pPr>
              <w:keepNext/>
              <w:widowControl w:val="0"/>
              <w:spacing w:line="240" w:lineRule="auto"/>
              <w:rPr>
                <w:color w:val="000000"/>
              </w:rPr>
            </w:pPr>
            <w:r w:rsidRPr="00654EF1">
              <w:rPr>
                <w:b/>
                <w:color w:val="000000"/>
                <w:szCs w:val="22"/>
                <w:lang w:val="en-US"/>
              </w:rPr>
              <w:t>Blood and lymphatic system disorders</w:t>
            </w:r>
          </w:p>
        </w:tc>
      </w:tr>
      <w:tr w:rsidR="00D87646" w:rsidRPr="00654EF1" w14:paraId="1B67FFB7" w14:textId="77777777" w:rsidTr="009F0509">
        <w:trPr>
          <w:cantSplit/>
        </w:trPr>
        <w:tc>
          <w:tcPr>
            <w:tcW w:w="2235" w:type="dxa"/>
          </w:tcPr>
          <w:p w14:paraId="1B67FFB5" w14:textId="77777777" w:rsidR="00D87646" w:rsidRPr="00654EF1" w:rsidRDefault="00D87646" w:rsidP="001D5C8C">
            <w:pPr>
              <w:keepNext/>
              <w:widowControl w:val="0"/>
              <w:spacing w:line="240" w:lineRule="auto"/>
              <w:rPr>
                <w:color w:val="000000"/>
              </w:rPr>
            </w:pPr>
            <w:r w:rsidRPr="00654EF1">
              <w:rPr>
                <w:i/>
                <w:color w:val="000000"/>
                <w:szCs w:val="22"/>
              </w:rPr>
              <w:t>Very common:</w:t>
            </w:r>
          </w:p>
        </w:tc>
        <w:tc>
          <w:tcPr>
            <w:tcW w:w="7087" w:type="dxa"/>
          </w:tcPr>
          <w:p w14:paraId="1B67FFB6" w14:textId="77777777" w:rsidR="00D87646" w:rsidRPr="00654EF1" w:rsidRDefault="00D87646" w:rsidP="001D5C8C">
            <w:pPr>
              <w:keepNext/>
              <w:widowControl w:val="0"/>
              <w:spacing w:line="240" w:lineRule="auto"/>
              <w:rPr>
                <w:color w:val="000000"/>
              </w:rPr>
            </w:pPr>
            <w:r w:rsidRPr="00654EF1">
              <w:rPr>
                <w:color w:val="000000"/>
                <w:szCs w:val="22"/>
              </w:rPr>
              <w:t>Neutropenia, thrombocytopenia, anaemia</w:t>
            </w:r>
          </w:p>
        </w:tc>
      </w:tr>
      <w:tr w:rsidR="00D87646" w:rsidRPr="00654EF1" w14:paraId="1B67FFBA" w14:textId="77777777" w:rsidTr="009F0509">
        <w:trPr>
          <w:cantSplit/>
        </w:trPr>
        <w:tc>
          <w:tcPr>
            <w:tcW w:w="2235" w:type="dxa"/>
          </w:tcPr>
          <w:p w14:paraId="1B67FFB8"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7FFB9" w14:textId="77777777" w:rsidR="00D87646" w:rsidRPr="00654EF1" w:rsidRDefault="00D87646" w:rsidP="001D5C8C">
            <w:pPr>
              <w:keepNext/>
              <w:widowControl w:val="0"/>
              <w:spacing w:line="240" w:lineRule="auto"/>
              <w:rPr>
                <w:color w:val="000000"/>
              </w:rPr>
            </w:pPr>
            <w:r w:rsidRPr="00654EF1">
              <w:rPr>
                <w:color w:val="000000"/>
                <w:szCs w:val="22"/>
              </w:rPr>
              <w:t>Pancytopenia, febrile neutropenia</w:t>
            </w:r>
          </w:p>
        </w:tc>
      </w:tr>
      <w:tr w:rsidR="00D87646" w:rsidRPr="00654EF1" w14:paraId="1B67FFBD" w14:textId="77777777" w:rsidTr="009F0509">
        <w:trPr>
          <w:cantSplit/>
        </w:trPr>
        <w:tc>
          <w:tcPr>
            <w:tcW w:w="2235" w:type="dxa"/>
          </w:tcPr>
          <w:p w14:paraId="1B67FFBB"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7FFBC" w14:textId="77777777" w:rsidR="00D87646" w:rsidRPr="00654EF1" w:rsidRDefault="00D87646" w:rsidP="001D5C8C">
            <w:pPr>
              <w:keepNext/>
              <w:widowControl w:val="0"/>
              <w:spacing w:line="240" w:lineRule="auto"/>
              <w:rPr>
                <w:color w:val="000000"/>
              </w:rPr>
            </w:pPr>
            <w:r w:rsidRPr="00654EF1">
              <w:rPr>
                <w:color w:val="000000"/>
                <w:szCs w:val="22"/>
              </w:rPr>
              <w:t>Thrombocythaemia, lymphopenia, bone marrow depression, eosinophilia, lymphadenopathy</w:t>
            </w:r>
          </w:p>
        </w:tc>
      </w:tr>
      <w:tr w:rsidR="00D87646" w:rsidRPr="00654EF1" w14:paraId="1B67FFC0" w14:textId="77777777" w:rsidTr="009F0509">
        <w:trPr>
          <w:cantSplit/>
        </w:trPr>
        <w:tc>
          <w:tcPr>
            <w:tcW w:w="2235" w:type="dxa"/>
          </w:tcPr>
          <w:p w14:paraId="1B67FFBE" w14:textId="77777777" w:rsidR="00D87646" w:rsidRPr="00654EF1" w:rsidRDefault="00D87646" w:rsidP="001D5C8C">
            <w:pPr>
              <w:widowControl w:val="0"/>
              <w:spacing w:line="240" w:lineRule="auto"/>
              <w:rPr>
                <w:i/>
                <w:color w:val="000000"/>
              </w:rPr>
            </w:pPr>
            <w:r w:rsidRPr="00654EF1">
              <w:rPr>
                <w:i/>
                <w:color w:val="000000"/>
              </w:rPr>
              <w:t>Rare:</w:t>
            </w:r>
          </w:p>
        </w:tc>
        <w:tc>
          <w:tcPr>
            <w:tcW w:w="7087" w:type="dxa"/>
          </w:tcPr>
          <w:p w14:paraId="1B67FFBF" w14:textId="77777777" w:rsidR="00D87646" w:rsidRPr="00654EF1" w:rsidRDefault="00D87646" w:rsidP="001D5C8C">
            <w:pPr>
              <w:widowControl w:val="0"/>
              <w:spacing w:line="240" w:lineRule="auto"/>
              <w:rPr>
                <w:color w:val="000000"/>
              </w:rPr>
            </w:pPr>
            <w:r w:rsidRPr="00654EF1">
              <w:rPr>
                <w:color w:val="000000"/>
              </w:rPr>
              <w:t>Haemolytic anaemia</w:t>
            </w:r>
            <w:r w:rsidR="00846274" w:rsidRPr="00654EF1">
              <w:rPr>
                <w:color w:val="000000"/>
              </w:rPr>
              <w:t xml:space="preserve">, </w:t>
            </w:r>
            <w:r w:rsidR="0020074E" w:rsidRPr="00654EF1">
              <w:rPr>
                <w:color w:val="000000"/>
              </w:rPr>
              <w:t>t</w:t>
            </w:r>
            <w:r w:rsidR="00846274" w:rsidRPr="00654EF1">
              <w:rPr>
                <w:color w:val="000000"/>
              </w:rPr>
              <w:t>hrombotic microangiopathy</w:t>
            </w:r>
          </w:p>
        </w:tc>
      </w:tr>
      <w:tr w:rsidR="00D46775" w:rsidRPr="00654EF1" w14:paraId="1B67FFC2" w14:textId="77777777" w:rsidTr="009F0509">
        <w:trPr>
          <w:cantSplit/>
        </w:trPr>
        <w:tc>
          <w:tcPr>
            <w:tcW w:w="9322" w:type="dxa"/>
            <w:gridSpan w:val="2"/>
          </w:tcPr>
          <w:p w14:paraId="1B67FFC1" w14:textId="77777777" w:rsidR="00D46775" w:rsidRPr="00654EF1" w:rsidRDefault="00D46775" w:rsidP="001D5C8C">
            <w:pPr>
              <w:keepNext/>
              <w:widowControl w:val="0"/>
              <w:spacing w:line="240" w:lineRule="auto"/>
              <w:rPr>
                <w:color w:val="000000"/>
                <w:szCs w:val="22"/>
              </w:rPr>
            </w:pPr>
            <w:r w:rsidRPr="00654EF1">
              <w:rPr>
                <w:b/>
                <w:color w:val="000000"/>
                <w:szCs w:val="22"/>
              </w:rPr>
              <w:t>Metabolism and nutrition disorders</w:t>
            </w:r>
          </w:p>
        </w:tc>
      </w:tr>
      <w:tr w:rsidR="00D46775" w:rsidRPr="00654EF1" w14:paraId="1B67FFC5" w14:textId="77777777" w:rsidTr="009F0509">
        <w:trPr>
          <w:cantSplit/>
        </w:trPr>
        <w:tc>
          <w:tcPr>
            <w:tcW w:w="2235" w:type="dxa"/>
          </w:tcPr>
          <w:p w14:paraId="1B67FFC3" w14:textId="77777777" w:rsidR="00D46775" w:rsidRPr="00654EF1" w:rsidRDefault="00D46775" w:rsidP="001D5C8C">
            <w:pPr>
              <w:keepNext/>
              <w:widowControl w:val="0"/>
              <w:spacing w:line="240" w:lineRule="auto"/>
              <w:rPr>
                <w:i/>
                <w:color w:val="000000"/>
                <w:szCs w:val="22"/>
              </w:rPr>
            </w:pPr>
            <w:r w:rsidRPr="00654EF1">
              <w:rPr>
                <w:i/>
                <w:color w:val="000000"/>
                <w:szCs w:val="22"/>
              </w:rPr>
              <w:t>Common:</w:t>
            </w:r>
          </w:p>
        </w:tc>
        <w:tc>
          <w:tcPr>
            <w:tcW w:w="7087" w:type="dxa"/>
          </w:tcPr>
          <w:p w14:paraId="1B67FFC4" w14:textId="77777777" w:rsidR="00D46775" w:rsidRPr="00654EF1" w:rsidRDefault="00D46775" w:rsidP="001D5C8C">
            <w:pPr>
              <w:keepNext/>
              <w:widowControl w:val="0"/>
              <w:spacing w:line="240" w:lineRule="auto"/>
              <w:rPr>
                <w:color w:val="000000"/>
                <w:szCs w:val="22"/>
              </w:rPr>
            </w:pPr>
            <w:r w:rsidRPr="00654EF1">
              <w:rPr>
                <w:color w:val="000000"/>
                <w:szCs w:val="22"/>
              </w:rPr>
              <w:t>Anorexia</w:t>
            </w:r>
          </w:p>
        </w:tc>
      </w:tr>
      <w:tr w:rsidR="00D46775" w:rsidRPr="00654EF1" w14:paraId="1B67FFC8" w14:textId="77777777" w:rsidTr="009F0509">
        <w:trPr>
          <w:cantSplit/>
        </w:trPr>
        <w:tc>
          <w:tcPr>
            <w:tcW w:w="2235" w:type="dxa"/>
          </w:tcPr>
          <w:p w14:paraId="1B67FFC6" w14:textId="77777777" w:rsidR="00D46775" w:rsidRPr="00654EF1"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7FFC7" w14:textId="77777777" w:rsidR="00D46775" w:rsidRPr="00654EF1" w:rsidRDefault="00D46775" w:rsidP="001D5C8C">
            <w:pPr>
              <w:keepNext/>
              <w:widowControl w:val="0"/>
              <w:spacing w:line="240" w:lineRule="auto"/>
              <w:rPr>
                <w:color w:val="000000"/>
                <w:szCs w:val="22"/>
              </w:rPr>
            </w:pPr>
            <w:r w:rsidRPr="00654EF1">
              <w:rPr>
                <w:color w:val="000000"/>
                <w:szCs w:val="22"/>
              </w:rPr>
              <w:t>Hypokalaemia, increased appetite, hypophosphataemia, decreased appetite, dehydration, gout, hyperuricaemia, hypercalcaemia, hyperglycaemia, hyponatraemia</w:t>
            </w:r>
          </w:p>
        </w:tc>
      </w:tr>
      <w:tr w:rsidR="00D46775" w:rsidRPr="00654EF1" w14:paraId="1B67FFCB" w14:textId="77777777" w:rsidTr="009F0509">
        <w:trPr>
          <w:cantSplit/>
        </w:trPr>
        <w:tc>
          <w:tcPr>
            <w:tcW w:w="2235" w:type="dxa"/>
          </w:tcPr>
          <w:p w14:paraId="1B67FFC9" w14:textId="77777777" w:rsidR="00D46775" w:rsidRPr="00654EF1" w:rsidRDefault="00D46775" w:rsidP="001D5C8C">
            <w:pPr>
              <w:widowControl w:val="0"/>
              <w:spacing w:line="240" w:lineRule="auto"/>
              <w:rPr>
                <w:i/>
                <w:color w:val="000000"/>
                <w:szCs w:val="22"/>
              </w:rPr>
            </w:pPr>
            <w:r w:rsidRPr="00654EF1">
              <w:rPr>
                <w:i/>
                <w:color w:val="000000"/>
                <w:szCs w:val="22"/>
              </w:rPr>
              <w:t>Rare:</w:t>
            </w:r>
          </w:p>
        </w:tc>
        <w:tc>
          <w:tcPr>
            <w:tcW w:w="7087" w:type="dxa"/>
          </w:tcPr>
          <w:p w14:paraId="1B67FFCA" w14:textId="77777777" w:rsidR="00D46775" w:rsidRPr="00654EF1" w:rsidRDefault="00D46775" w:rsidP="001D5C8C">
            <w:pPr>
              <w:widowControl w:val="0"/>
              <w:spacing w:line="240" w:lineRule="auto"/>
              <w:rPr>
                <w:color w:val="000000"/>
                <w:szCs w:val="22"/>
                <w:lang w:val="pt-PT"/>
              </w:rPr>
            </w:pPr>
            <w:r w:rsidRPr="00654EF1">
              <w:rPr>
                <w:color w:val="000000"/>
                <w:szCs w:val="22"/>
              </w:rPr>
              <w:t>Hyperkalaemia, hypomagnesaemia</w:t>
            </w:r>
          </w:p>
        </w:tc>
      </w:tr>
      <w:tr w:rsidR="00D46775" w:rsidRPr="00654EF1" w14:paraId="1B67FFCD" w14:textId="77777777" w:rsidTr="009F0509">
        <w:trPr>
          <w:cantSplit/>
        </w:trPr>
        <w:tc>
          <w:tcPr>
            <w:tcW w:w="9322" w:type="dxa"/>
            <w:gridSpan w:val="2"/>
          </w:tcPr>
          <w:p w14:paraId="1B67FFCC" w14:textId="77777777" w:rsidR="00D46775" w:rsidRPr="00654EF1" w:rsidRDefault="00D46775" w:rsidP="001D5C8C">
            <w:pPr>
              <w:keepNext/>
              <w:widowControl w:val="0"/>
              <w:spacing w:line="240" w:lineRule="auto"/>
              <w:rPr>
                <w:color w:val="000000"/>
                <w:szCs w:val="22"/>
              </w:rPr>
            </w:pPr>
            <w:r w:rsidRPr="00654EF1">
              <w:rPr>
                <w:b/>
                <w:color w:val="000000"/>
                <w:szCs w:val="22"/>
              </w:rPr>
              <w:t>Psychiatric disorders</w:t>
            </w:r>
          </w:p>
        </w:tc>
      </w:tr>
      <w:tr w:rsidR="00D46775" w:rsidRPr="00654EF1" w14:paraId="1B67FFD0" w14:textId="77777777" w:rsidTr="009F0509">
        <w:trPr>
          <w:cantSplit/>
        </w:trPr>
        <w:tc>
          <w:tcPr>
            <w:tcW w:w="2235" w:type="dxa"/>
          </w:tcPr>
          <w:p w14:paraId="1B67FFCE" w14:textId="77777777" w:rsidR="00D46775" w:rsidRPr="00654EF1" w:rsidRDefault="00D46775" w:rsidP="001D5C8C">
            <w:pPr>
              <w:keepNext/>
              <w:widowControl w:val="0"/>
              <w:spacing w:line="240" w:lineRule="auto"/>
              <w:rPr>
                <w:i/>
                <w:color w:val="000000"/>
                <w:szCs w:val="22"/>
              </w:rPr>
            </w:pPr>
            <w:r w:rsidRPr="00654EF1">
              <w:rPr>
                <w:i/>
                <w:color w:val="000000"/>
                <w:szCs w:val="22"/>
              </w:rPr>
              <w:t>Common:</w:t>
            </w:r>
          </w:p>
        </w:tc>
        <w:tc>
          <w:tcPr>
            <w:tcW w:w="7087" w:type="dxa"/>
          </w:tcPr>
          <w:p w14:paraId="1B67FFCF" w14:textId="77777777" w:rsidR="00D46775" w:rsidRPr="00654EF1" w:rsidRDefault="00D46775" w:rsidP="001D5C8C">
            <w:pPr>
              <w:keepNext/>
              <w:widowControl w:val="0"/>
              <w:spacing w:line="240" w:lineRule="auto"/>
              <w:rPr>
                <w:color w:val="000000"/>
                <w:szCs w:val="22"/>
              </w:rPr>
            </w:pPr>
            <w:r w:rsidRPr="00654EF1">
              <w:rPr>
                <w:color w:val="000000"/>
                <w:szCs w:val="22"/>
              </w:rPr>
              <w:t>Insomnia</w:t>
            </w:r>
          </w:p>
        </w:tc>
      </w:tr>
      <w:tr w:rsidR="00D46775" w:rsidRPr="00654EF1" w14:paraId="1B67FFD3" w14:textId="77777777" w:rsidTr="009F0509">
        <w:trPr>
          <w:cantSplit/>
        </w:trPr>
        <w:tc>
          <w:tcPr>
            <w:tcW w:w="2235" w:type="dxa"/>
          </w:tcPr>
          <w:p w14:paraId="1B67FFD1" w14:textId="77777777" w:rsidR="00D46775" w:rsidRPr="00654EF1"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7FFD2" w14:textId="77777777" w:rsidR="00D46775" w:rsidRPr="00654EF1" w:rsidRDefault="00D46775" w:rsidP="001D5C8C">
            <w:pPr>
              <w:keepNext/>
              <w:widowControl w:val="0"/>
              <w:spacing w:line="240" w:lineRule="auto"/>
              <w:rPr>
                <w:color w:val="000000"/>
                <w:szCs w:val="22"/>
              </w:rPr>
            </w:pPr>
            <w:r w:rsidRPr="00654EF1">
              <w:rPr>
                <w:color w:val="000000"/>
                <w:szCs w:val="22"/>
              </w:rPr>
              <w:t>Depression, libido decreased, anxiety</w:t>
            </w:r>
          </w:p>
        </w:tc>
      </w:tr>
      <w:tr w:rsidR="00D46775" w:rsidRPr="00654EF1" w14:paraId="1B67FFD6" w14:textId="77777777" w:rsidTr="009F0509">
        <w:trPr>
          <w:cantSplit/>
        </w:trPr>
        <w:tc>
          <w:tcPr>
            <w:tcW w:w="2235" w:type="dxa"/>
          </w:tcPr>
          <w:p w14:paraId="1B67FFD4" w14:textId="77777777" w:rsidR="00D46775" w:rsidRPr="00654EF1" w:rsidRDefault="00D46775" w:rsidP="001D5C8C">
            <w:pPr>
              <w:widowControl w:val="0"/>
              <w:spacing w:line="240" w:lineRule="auto"/>
              <w:rPr>
                <w:i/>
                <w:color w:val="000000"/>
                <w:szCs w:val="22"/>
              </w:rPr>
            </w:pPr>
            <w:r w:rsidRPr="00654EF1">
              <w:rPr>
                <w:i/>
                <w:color w:val="000000"/>
                <w:szCs w:val="22"/>
              </w:rPr>
              <w:t>Rare:</w:t>
            </w:r>
          </w:p>
        </w:tc>
        <w:tc>
          <w:tcPr>
            <w:tcW w:w="7087" w:type="dxa"/>
          </w:tcPr>
          <w:p w14:paraId="1B67FFD5" w14:textId="77777777" w:rsidR="00D46775" w:rsidRPr="00654EF1" w:rsidRDefault="00D46775" w:rsidP="001D5C8C">
            <w:pPr>
              <w:widowControl w:val="0"/>
              <w:spacing w:line="240" w:lineRule="auto"/>
              <w:rPr>
                <w:color w:val="000000"/>
                <w:szCs w:val="22"/>
              </w:rPr>
            </w:pPr>
            <w:r w:rsidRPr="00654EF1">
              <w:rPr>
                <w:color w:val="000000"/>
                <w:szCs w:val="22"/>
              </w:rPr>
              <w:t>Confusional state</w:t>
            </w:r>
          </w:p>
        </w:tc>
      </w:tr>
      <w:tr w:rsidR="00D87646" w:rsidRPr="00654EF1" w14:paraId="1B67FFD8" w14:textId="77777777" w:rsidTr="009F0509">
        <w:trPr>
          <w:cantSplit/>
        </w:trPr>
        <w:tc>
          <w:tcPr>
            <w:tcW w:w="9322" w:type="dxa"/>
            <w:gridSpan w:val="2"/>
          </w:tcPr>
          <w:p w14:paraId="1B67FFD7" w14:textId="77777777" w:rsidR="00D87646" w:rsidRPr="00654EF1" w:rsidRDefault="00D87646" w:rsidP="001D5C8C">
            <w:pPr>
              <w:keepNext/>
              <w:widowControl w:val="0"/>
              <w:spacing w:line="240" w:lineRule="auto"/>
              <w:rPr>
                <w:color w:val="000000"/>
              </w:rPr>
            </w:pPr>
            <w:r w:rsidRPr="00654EF1">
              <w:rPr>
                <w:b/>
                <w:color w:val="000000"/>
                <w:szCs w:val="22"/>
                <w:lang w:val="fr-FR"/>
              </w:rPr>
              <w:t>Nervous system disorders</w:t>
            </w:r>
          </w:p>
        </w:tc>
      </w:tr>
      <w:tr w:rsidR="00D87646" w:rsidRPr="00654EF1" w14:paraId="1B67FFDB" w14:textId="77777777" w:rsidTr="009F0509">
        <w:trPr>
          <w:cantSplit/>
        </w:trPr>
        <w:tc>
          <w:tcPr>
            <w:tcW w:w="2235" w:type="dxa"/>
          </w:tcPr>
          <w:p w14:paraId="1B67FFD9" w14:textId="77777777" w:rsidR="00D87646" w:rsidRPr="00654EF1" w:rsidRDefault="00D87646" w:rsidP="001D5C8C">
            <w:pPr>
              <w:keepNext/>
              <w:widowControl w:val="0"/>
              <w:spacing w:line="240" w:lineRule="auto"/>
              <w:rPr>
                <w:color w:val="000000"/>
              </w:rPr>
            </w:pPr>
            <w:r w:rsidRPr="00654EF1">
              <w:rPr>
                <w:i/>
                <w:color w:val="000000"/>
                <w:szCs w:val="22"/>
              </w:rPr>
              <w:t>Very common:</w:t>
            </w:r>
          </w:p>
        </w:tc>
        <w:tc>
          <w:tcPr>
            <w:tcW w:w="7087" w:type="dxa"/>
          </w:tcPr>
          <w:p w14:paraId="1B67FFDA" w14:textId="77777777" w:rsidR="00D87646" w:rsidRPr="00654EF1" w:rsidRDefault="00D87646" w:rsidP="001D5C8C">
            <w:pPr>
              <w:keepNext/>
              <w:widowControl w:val="0"/>
              <w:spacing w:line="240" w:lineRule="auto"/>
              <w:rPr>
                <w:color w:val="000000"/>
              </w:rPr>
            </w:pPr>
            <w:r w:rsidRPr="00654EF1">
              <w:rPr>
                <w:color w:val="000000"/>
                <w:szCs w:val="22"/>
              </w:rPr>
              <w:t>Headache</w:t>
            </w:r>
            <w:r w:rsidR="00D61994" w:rsidRPr="00654EF1">
              <w:rPr>
                <w:color w:val="000000"/>
                <w:szCs w:val="22"/>
                <w:vertAlign w:val="superscript"/>
              </w:rPr>
              <w:t>2</w:t>
            </w:r>
          </w:p>
        </w:tc>
      </w:tr>
      <w:tr w:rsidR="00D87646" w:rsidRPr="00654EF1" w14:paraId="1B67FFDE" w14:textId="77777777" w:rsidTr="009F0509">
        <w:trPr>
          <w:cantSplit/>
        </w:trPr>
        <w:tc>
          <w:tcPr>
            <w:tcW w:w="2235" w:type="dxa"/>
          </w:tcPr>
          <w:p w14:paraId="1B67FFDC"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7FFDD" w14:textId="77777777" w:rsidR="00D87646" w:rsidRPr="00654EF1" w:rsidRDefault="00D87646" w:rsidP="001D5C8C">
            <w:pPr>
              <w:keepNext/>
              <w:widowControl w:val="0"/>
              <w:spacing w:line="240" w:lineRule="auto"/>
              <w:rPr>
                <w:color w:val="000000"/>
                <w:szCs w:val="22"/>
                <w:lang w:val="it-IT"/>
              </w:rPr>
            </w:pPr>
            <w:r w:rsidRPr="00654EF1">
              <w:rPr>
                <w:color w:val="000000"/>
                <w:szCs w:val="22"/>
                <w:lang w:val="it-IT"/>
              </w:rPr>
              <w:t>Dizziness, paraesthesia, taste disturbance, hypoaesthesia</w:t>
            </w:r>
          </w:p>
        </w:tc>
      </w:tr>
      <w:tr w:rsidR="00D87646" w:rsidRPr="00654EF1" w14:paraId="1B67FFE1" w14:textId="77777777" w:rsidTr="009F0509">
        <w:trPr>
          <w:cantSplit/>
        </w:trPr>
        <w:tc>
          <w:tcPr>
            <w:tcW w:w="2235" w:type="dxa"/>
          </w:tcPr>
          <w:p w14:paraId="1B67FFDF"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7FFE0" w14:textId="77777777" w:rsidR="00D87646" w:rsidRPr="00654EF1" w:rsidRDefault="00D87646" w:rsidP="001D5C8C">
            <w:pPr>
              <w:keepNext/>
              <w:widowControl w:val="0"/>
              <w:spacing w:line="240" w:lineRule="auto"/>
              <w:rPr>
                <w:color w:val="000000"/>
              </w:rPr>
            </w:pPr>
            <w:r w:rsidRPr="00654EF1">
              <w:rPr>
                <w:color w:val="000000"/>
                <w:szCs w:val="22"/>
              </w:rPr>
              <w:t>Migraine, somnolence, syncope, peripheral neuropathy, memory impairment, sciatica, restless leg syndrome, tremor, cerebral haemorrhage</w:t>
            </w:r>
            <w:r w:rsidR="00B17C8A" w:rsidRPr="00654EF1">
              <w:rPr>
                <w:color w:val="000000"/>
                <w:szCs w:val="22"/>
              </w:rPr>
              <w:t xml:space="preserve"> </w:t>
            </w:r>
          </w:p>
        </w:tc>
      </w:tr>
      <w:tr w:rsidR="00D87646" w:rsidRPr="00654EF1" w14:paraId="1B67FFE4" w14:textId="77777777" w:rsidTr="009F0509">
        <w:trPr>
          <w:cantSplit/>
        </w:trPr>
        <w:tc>
          <w:tcPr>
            <w:tcW w:w="2235" w:type="dxa"/>
          </w:tcPr>
          <w:p w14:paraId="1B67FFE2" w14:textId="77777777" w:rsidR="00D87646" w:rsidRPr="00654EF1" w:rsidRDefault="00D87646" w:rsidP="001D5C8C">
            <w:pPr>
              <w:keepNext/>
              <w:widowControl w:val="0"/>
              <w:spacing w:line="240" w:lineRule="auto"/>
              <w:rPr>
                <w:color w:val="000000"/>
              </w:rPr>
            </w:pPr>
            <w:r w:rsidRPr="00654EF1">
              <w:rPr>
                <w:i/>
                <w:color w:val="000000"/>
                <w:szCs w:val="22"/>
              </w:rPr>
              <w:t>Rare:</w:t>
            </w:r>
          </w:p>
        </w:tc>
        <w:tc>
          <w:tcPr>
            <w:tcW w:w="7087" w:type="dxa"/>
          </w:tcPr>
          <w:p w14:paraId="1B67FFE3" w14:textId="77777777" w:rsidR="00D87646" w:rsidRPr="00654EF1" w:rsidRDefault="00D87646" w:rsidP="001D5C8C">
            <w:pPr>
              <w:keepNext/>
              <w:widowControl w:val="0"/>
              <w:spacing w:line="240" w:lineRule="auto"/>
              <w:rPr>
                <w:color w:val="000000"/>
                <w:szCs w:val="22"/>
              </w:rPr>
            </w:pPr>
            <w:r w:rsidRPr="00654EF1">
              <w:rPr>
                <w:color w:val="000000"/>
                <w:szCs w:val="22"/>
              </w:rPr>
              <w:t>Increased intracranial pressure, convulsions, optic neuritis</w:t>
            </w:r>
          </w:p>
        </w:tc>
      </w:tr>
      <w:tr w:rsidR="004103BD" w:rsidRPr="00654EF1" w14:paraId="1B67FFE7" w14:textId="77777777" w:rsidTr="009F0509">
        <w:trPr>
          <w:cantSplit/>
        </w:trPr>
        <w:tc>
          <w:tcPr>
            <w:tcW w:w="2235" w:type="dxa"/>
          </w:tcPr>
          <w:p w14:paraId="1B67FFE5" w14:textId="77777777" w:rsidR="004103BD" w:rsidRPr="00654EF1" w:rsidRDefault="004103BD" w:rsidP="001D5C8C">
            <w:pPr>
              <w:widowControl w:val="0"/>
              <w:spacing w:line="240" w:lineRule="auto"/>
              <w:rPr>
                <w:i/>
                <w:color w:val="000000"/>
                <w:szCs w:val="22"/>
              </w:rPr>
            </w:pPr>
            <w:r w:rsidRPr="00654EF1">
              <w:rPr>
                <w:i/>
                <w:color w:val="000000"/>
                <w:szCs w:val="22"/>
              </w:rPr>
              <w:t>Not known:</w:t>
            </w:r>
          </w:p>
        </w:tc>
        <w:tc>
          <w:tcPr>
            <w:tcW w:w="7087" w:type="dxa"/>
          </w:tcPr>
          <w:p w14:paraId="1B67FFE6" w14:textId="77777777" w:rsidR="004103BD" w:rsidRPr="00654EF1" w:rsidRDefault="004103BD" w:rsidP="001D5C8C">
            <w:pPr>
              <w:widowControl w:val="0"/>
              <w:spacing w:line="240" w:lineRule="auto"/>
              <w:rPr>
                <w:color w:val="000000"/>
                <w:szCs w:val="22"/>
              </w:rPr>
            </w:pPr>
            <w:r w:rsidRPr="00654EF1">
              <w:rPr>
                <w:color w:val="000000"/>
                <w:szCs w:val="22"/>
              </w:rPr>
              <w:t>Cerebral oedema*</w:t>
            </w:r>
          </w:p>
        </w:tc>
      </w:tr>
      <w:tr w:rsidR="00D87646" w:rsidRPr="00654EF1" w14:paraId="1B67FFE9" w14:textId="77777777" w:rsidTr="009F0509">
        <w:trPr>
          <w:cantSplit/>
        </w:trPr>
        <w:tc>
          <w:tcPr>
            <w:tcW w:w="9322" w:type="dxa"/>
            <w:gridSpan w:val="2"/>
          </w:tcPr>
          <w:p w14:paraId="1B67FFE8" w14:textId="77777777" w:rsidR="00D87646" w:rsidRPr="00654EF1" w:rsidRDefault="00D87646" w:rsidP="001D5C8C">
            <w:pPr>
              <w:keepNext/>
              <w:widowControl w:val="0"/>
              <w:spacing w:line="240" w:lineRule="auto"/>
              <w:rPr>
                <w:color w:val="000000"/>
              </w:rPr>
            </w:pPr>
            <w:r w:rsidRPr="00654EF1">
              <w:rPr>
                <w:b/>
                <w:color w:val="000000"/>
                <w:szCs w:val="22"/>
                <w:lang w:val="fr-FR"/>
              </w:rPr>
              <w:t>Eye disorders</w:t>
            </w:r>
          </w:p>
        </w:tc>
      </w:tr>
      <w:tr w:rsidR="00D87646" w:rsidRPr="00654EF1" w14:paraId="1B67FFEC" w14:textId="77777777" w:rsidTr="009F0509">
        <w:trPr>
          <w:cantSplit/>
        </w:trPr>
        <w:tc>
          <w:tcPr>
            <w:tcW w:w="2235" w:type="dxa"/>
          </w:tcPr>
          <w:p w14:paraId="1B67FFEA"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7FFEB" w14:textId="77777777" w:rsidR="00D87646" w:rsidRPr="00654EF1" w:rsidRDefault="00D87646" w:rsidP="001D5C8C">
            <w:pPr>
              <w:keepNext/>
              <w:widowControl w:val="0"/>
              <w:spacing w:line="240" w:lineRule="auto"/>
              <w:rPr>
                <w:color w:val="000000"/>
              </w:rPr>
            </w:pPr>
            <w:r w:rsidRPr="00654EF1">
              <w:rPr>
                <w:color w:val="000000"/>
                <w:szCs w:val="22"/>
              </w:rPr>
              <w:t>Eyelid oedema, lacrimation increased, conjunctival haemorrhage, conjunctivitis, dry eye, blurred vision</w:t>
            </w:r>
          </w:p>
        </w:tc>
      </w:tr>
      <w:tr w:rsidR="00D87646" w:rsidRPr="00654EF1" w14:paraId="1B67FFEF" w14:textId="77777777" w:rsidTr="009F0509">
        <w:trPr>
          <w:cantSplit/>
        </w:trPr>
        <w:tc>
          <w:tcPr>
            <w:tcW w:w="2235" w:type="dxa"/>
          </w:tcPr>
          <w:p w14:paraId="1B67FFED"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7FFEE" w14:textId="77777777" w:rsidR="00D87646" w:rsidRPr="00654EF1" w:rsidRDefault="00D87646" w:rsidP="001D5C8C">
            <w:pPr>
              <w:keepNext/>
              <w:widowControl w:val="0"/>
              <w:spacing w:line="240" w:lineRule="auto"/>
              <w:rPr>
                <w:color w:val="000000"/>
              </w:rPr>
            </w:pPr>
            <w:r w:rsidRPr="00654EF1">
              <w:rPr>
                <w:color w:val="000000"/>
                <w:szCs w:val="22"/>
              </w:rPr>
              <w:t>Eye irritation, eye pain, orbital oedema, scleral haemorrhage, retinal haemorrhage, blepharitis, macular oedema</w:t>
            </w:r>
          </w:p>
        </w:tc>
      </w:tr>
      <w:tr w:rsidR="00D87646" w:rsidRPr="00654EF1" w14:paraId="1B67FFF2" w14:textId="77777777" w:rsidTr="009F0509">
        <w:trPr>
          <w:cantSplit/>
        </w:trPr>
        <w:tc>
          <w:tcPr>
            <w:tcW w:w="2235" w:type="dxa"/>
          </w:tcPr>
          <w:p w14:paraId="1B67FFF0" w14:textId="77777777" w:rsidR="00D87646" w:rsidRPr="00654EF1" w:rsidRDefault="00D87646" w:rsidP="001D5C8C">
            <w:pPr>
              <w:keepNext/>
              <w:widowControl w:val="0"/>
              <w:spacing w:line="240" w:lineRule="auto"/>
              <w:rPr>
                <w:color w:val="000000"/>
              </w:rPr>
            </w:pPr>
            <w:r w:rsidRPr="00654EF1">
              <w:rPr>
                <w:i/>
                <w:color w:val="000000"/>
                <w:szCs w:val="22"/>
              </w:rPr>
              <w:t>Rare:</w:t>
            </w:r>
          </w:p>
        </w:tc>
        <w:tc>
          <w:tcPr>
            <w:tcW w:w="7087" w:type="dxa"/>
          </w:tcPr>
          <w:p w14:paraId="1B67FFF1" w14:textId="77777777" w:rsidR="00D87646" w:rsidRPr="00654EF1" w:rsidRDefault="00D87646" w:rsidP="001D5C8C">
            <w:pPr>
              <w:keepNext/>
              <w:widowControl w:val="0"/>
              <w:spacing w:line="240" w:lineRule="auto"/>
              <w:rPr>
                <w:color w:val="000000"/>
              </w:rPr>
            </w:pPr>
            <w:r w:rsidRPr="00654EF1">
              <w:rPr>
                <w:color w:val="000000"/>
                <w:szCs w:val="22"/>
              </w:rPr>
              <w:t>Cataract, glaucoma, papilloedema</w:t>
            </w:r>
            <w:r w:rsidR="00B17C8A" w:rsidRPr="00654EF1">
              <w:rPr>
                <w:color w:val="000000"/>
                <w:szCs w:val="22"/>
              </w:rPr>
              <w:t xml:space="preserve"> </w:t>
            </w:r>
          </w:p>
        </w:tc>
      </w:tr>
      <w:tr w:rsidR="004103BD" w:rsidRPr="00654EF1" w14:paraId="1B67FFF5" w14:textId="77777777" w:rsidTr="009F0509">
        <w:trPr>
          <w:cantSplit/>
        </w:trPr>
        <w:tc>
          <w:tcPr>
            <w:tcW w:w="2235" w:type="dxa"/>
          </w:tcPr>
          <w:p w14:paraId="1B67FFF3" w14:textId="77777777" w:rsidR="004103BD" w:rsidRPr="00654EF1" w:rsidRDefault="004103BD" w:rsidP="001D5C8C">
            <w:pPr>
              <w:widowControl w:val="0"/>
              <w:spacing w:line="240" w:lineRule="auto"/>
              <w:rPr>
                <w:i/>
                <w:color w:val="000000"/>
                <w:szCs w:val="22"/>
              </w:rPr>
            </w:pPr>
            <w:r w:rsidRPr="00654EF1">
              <w:rPr>
                <w:i/>
                <w:color w:val="000000"/>
                <w:szCs w:val="22"/>
              </w:rPr>
              <w:t>Not known:</w:t>
            </w:r>
          </w:p>
        </w:tc>
        <w:tc>
          <w:tcPr>
            <w:tcW w:w="7087" w:type="dxa"/>
          </w:tcPr>
          <w:p w14:paraId="1B67FFF4" w14:textId="77777777" w:rsidR="004103BD" w:rsidRPr="00654EF1" w:rsidRDefault="008E0223" w:rsidP="001D5C8C">
            <w:pPr>
              <w:widowControl w:val="0"/>
              <w:spacing w:line="240" w:lineRule="auto"/>
              <w:rPr>
                <w:color w:val="000000"/>
                <w:szCs w:val="22"/>
              </w:rPr>
            </w:pPr>
            <w:r w:rsidRPr="00654EF1">
              <w:rPr>
                <w:color w:val="000000"/>
                <w:szCs w:val="22"/>
              </w:rPr>
              <w:t>Vitreous haemorrhage*</w:t>
            </w:r>
          </w:p>
        </w:tc>
      </w:tr>
      <w:tr w:rsidR="00D87646" w:rsidRPr="00654EF1" w14:paraId="1B67FFF7" w14:textId="77777777" w:rsidTr="009F0509">
        <w:trPr>
          <w:cantSplit/>
        </w:trPr>
        <w:tc>
          <w:tcPr>
            <w:tcW w:w="9322" w:type="dxa"/>
            <w:gridSpan w:val="2"/>
          </w:tcPr>
          <w:p w14:paraId="1B67FFF6" w14:textId="77777777" w:rsidR="00D87646" w:rsidRPr="00654EF1" w:rsidRDefault="00D87646" w:rsidP="001D5C8C">
            <w:pPr>
              <w:keepNext/>
              <w:widowControl w:val="0"/>
              <w:spacing w:line="240" w:lineRule="auto"/>
              <w:rPr>
                <w:color w:val="000000"/>
              </w:rPr>
            </w:pPr>
            <w:r w:rsidRPr="00654EF1">
              <w:rPr>
                <w:b/>
                <w:color w:val="000000"/>
                <w:szCs w:val="22"/>
                <w:lang w:val="fr-FR"/>
              </w:rPr>
              <w:t>Ear and labyrinth disorders</w:t>
            </w:r>
          </w:p>
        </w:tc>
      </w:tr>
      <w:tr w:rsidR="00D87646" w:rsidRPr="00654EF1" w14:paraId="1B67FFFA" w14:textId="77777777" w:rsidTr="009F0509">
        <w:trPr>
          <w:cantSplit/>
        </w:trPr>
        <w:tc>
          <w:tcPr>
            <w:tcW w:w="2235" w:type="dxa"/>
          </w:tcPr>
          <w:p w14:paraId="1B67FFF8" w14:textId="77777777" w:rsidR="00D87646" w:rsidRPr="00654EF1" w:rsidRDefault="00D87646" w:rsidP="001D5C8C">
            <w:pPr>
              <w:widowControl w:val="0"/>
              <w:spacing w:line="240" w:lineRule="auto"/>
              <w:rPr>
                <w:color w:val="000000"/>
              </w:rPr>
            </w:pPr>
            <w:r w:rsidRPr="00654EF1">
              <w:rPr>
                <w:i/>
                <w:color w:val="000000"/>
                <w:szCs w:val="22"/>
              </w:rPr>
              <w:t>Uncommon:</w:t>
            </w:r>
          </w:p>
        </w:tc>
        <w:tc>
          <w:tcPr>
            <w:tcW w:w="7087" w:type="dxa"/>
          </w:tcPr>
          <w:p w14:paraId="1B67FFF9" w14:textId="77777777" w:rsidR="00D87646" w:rsidRPr="00654EF1" w:rsidRDefault="00D87646" w:rsidP="001D5C8C">
            <w:pPr>
              <w:widowControl w:val="0"/>
              <w:spacing w:line="240" w:lineRule="auto"/>
              <w:rPr>
                <w:color w:val="000000"/>
              </w:rPr>
            </w:pPr>
            <w:r w:rsidRPr="00654EF1">
              <w:rPr>
                <w:color w:val="000000"/>
                <w:szCs w:val="22"/>
                <w:lang w:val="it-IT"/>
              </w:rPr>
              <w:t>Vertigo, tinnitus, hearing loss</w:t>
            </w:r>
          </w:p>
        </w:tc>
      </w:tr>
      <w:tr w:rsidR="00D46775" w:rsidRPr="00654EF1" w14:paraId="1B67FFFC" w14:textId="77777777" w:rsidTr="009F0509">
        <w:trPr>
          <w:cantSplit/>
        </w:trPr>
        <w:tc>
          <w:tcPr>
            <w:tcW w:w="9322" w:type="dxa"/>
            <w:gridSpan w:val="2"/>
          </w:tcPr>
          <w:p w14:paraId="1B67FFFB" w14:textId="77777777" w:rsidR="00D46775" w:rsidRPr="00654EF1" w:rsidRDefault="00D46775" w:rsidP="001D5C8C">
            <w:pPr>
              <w:keepNext/>
              <w:widowControl w:val="0"/>
              <w:spacing w:line="240" w:lineRule="auto"/>
              <w:rPr>
                <w:color w:val="000000"/>
              </w:rPr>
            </w:pPr>
            <w:r w:rsidRPr="00654EF1">
              <w:rPr>
                <w:b/>
                <w:color w:val="000000"/>
                <w:szCs w:val="22"/>
                <w:lang w:val="fr-FR"/>
              </w:rPr>
              <w:t>Cardiac disorders</w:t>
            </w:r>
          </w:p>
        </w:tc>
      </w:tr>
      <w:tr w:rsidR="00D46775" w:rsidRPr="00654EF1" w14:paraId="1B67FFFF" w14:textId="77777777" w:rsidTr="009F0509">
        <w:trPr>
          <w:cantSplit/>
        </w:trPr>
        <w:tc>
          <w:tcPr>
            <w:tcW w:w="2235" w:type="dxa"/>
          </w:tcPr>
          <w:p w14:paraId="1B67FFFD" w14:textId="77777777" w:rsidR="00D46775" w:rsidRPr="00654EF1" w:rsidRDefault="00D46775" w:rsidP="001D5C8C">
            <w:pPr>
              <w:keepNext/>
              <w:widowControl w:val="0"/>
              <w:spacing w:line="240" w:lineRule="auto"/>
              <w:rPr>
                <w:color w:val="000000"/>
              </w:rPr>
            </w:pPr>
            <w:r w:rsidRPr="00654EF1">
              <w:rPr>
                <w:i/>
                <w:color w:val="000000"/>
                <w:szCs w:val="22"/>
              </w:rPr>
              <w:t>Uncommon:</w:t>
            </w:r>
          </w:p>
        </w:tc>
        <w:tc>
          <w:tcPr>
            <w:tcW w:w="7087" w:type="dxa"/>
          </w:tcPr>
          <w:p w14:paraId="1B67FFFE" w14:textId="77777777" w:rsidR="00D46775" w:rsidRPr="00654EF1" w:rsidRDefault="00D46775" w:rsidP="001D5C8C">
            <w:pPr>
              <w:keepNext/>
              <w:widowControl w:val="0"/>
              <w:spacing w:line="240" w:lineRule="auto"/>
              <w:rPr>
                <w:color w:val="000000"/>
              </w:rPr>
            </w:pPr>
            <w:r w:rsidRPr="00654EF1">
              <w:rPr>
                <w:color w:val="000000"/>
                <w:szCs w:val="22"/>
              </w:rPr>
              <w:t>Palpitations, tachycardia, cardiac failure congestive</w:t>
            </w:r>
            <w:r w:rsidR="008B6A91" w:rsidRPr="00654EF1">
              <w:rPr>
                <w:color w:val="000000"/>
                <w:szCs w:val="22"/>
                <w:vertAlign w:val="superscript"/>
              </w:rPr>
              <w:t>3</w:t>
            </w:r>
            <w:r w:rsidRPr="00654EF1">
              <w:rPr>
                <w:color w:val="000000"/>
                <w:szCs w:val="22"/>
              </w:rPr>
              <w:t>, pulmonary oedema</w:t>
            </w:r>
          </w:p>
        </w:tc>
      </w:tr>
      <w:tr w:rsidR="00D46775" w:rsidRPr="00654EF1" w14:paraId="1B680002" w14:textId="77777777" w:rsidTr="009F0509">
        <w:trPr>
          <w:cantSplit/>
        </w:trPr>
        <w:tc>
          <w:tcPr>
            <w:tcW w:w="2235" w:type="dxa"/>
          </w:tcPr>
          <w:p w14:paraId="1B680000" w14:textId="77777777" w:rsidR="00D46775" w:rsidRPr="00654EF1" w:rsidRDefault="00D46775" w:rsidP="001D5C8C">
            <w:pPr>
              <w:keepNext/>
              <w:widowControl w:val="0"/>
              <w:spacing w:line="240" w:lineRule="auto"/>
              <w:rPr>
                <w:color w:val="000000"/>
              </w:rPr>
            </w:pPr>
            <w:r w:rsidRPr="00654EF1">
              <w:rPr>
                <w:i/>
                <w:color w:val="000000"/>
                <w:szCs w:val="22"/>
              </w:rPr>
              <w:t>Rare:</w:t>
            </w:r>
          </w:p>
        </w:tc>
        <w:tc>
          <w:tcPr>
            <w:tcW w:w="7087" w:type="dxa"/>
          </w:tcPr>
          <w:p w14:paraId="1B680001" w14:textId="77777777" w:rsidR="00D46775" w:rsidRPr="00654EF1" w:rsidRDefault="00D46775" w:rsidP="001D5C8C">
            <w:pPr>
              <w:keepNext/>
              <w:widowControl w:val="0"/>
              <w:spacing w:line="240" w:lineRule="auto"/>
              <w:rPr>
                <w:color w:val="000000"/>
              </w:rPr>
            </w:pPr>
            <w:r w:rsidRPr="00654EF1">
              <w:rPr>
                <w:color w:val="000000"/>
                <w:szCs w:val="22"/>
              </w:rPr>
              <w:t>Arrhythmia, atrial fibrillation, cardiac arrest, myocardial infarction, angina pectoris, pericardial effusion</w:t>
            </w:r>
          </w:p>
        </w:tc>
      </w:tr>
      <w:tr w:rsidR="008E0223" w:rsidRPr="00654EF1" w14:paraId="1B680005" w14:textId="77777777" w:rsidTr="009F0509">
        <w:trPr>
          <w:cantSplit/>
        </w:trPr>
        <w:tc>
          <w:tcPr>
            <w:tcW w:w="2235" w:type="dxa"/>
          </w:tcPr>
          <w:p w14:paraId="1B680003" w14:textId="77777777" w:rsidR="008E0223" w:rsidRPr="00654EF1" w:rsidRDefault="008E0223" w:rsidP="001D5C8C">
            <w:pPr>
              <w:widowControl w:val="0"/>
              <w:spacing w:line="240" w:lineRule="auto"/>
              <w:rPr>
                <w:i/>
                <w:color w:val="000000"/>
                <w:szCs w:val="22"/>
              </w:rPr>
            </w:pPr>
            <w:r w:rsidRPr="00654EF1">
              <w:rPr>
                <w:i/>
                <w:color w:val="000000"/>
                <w:szCs w:val="22"/>
              </w:rPr>
              <w:t>Not known:</w:t>
            </w:r>
          </w:p>
        </w:tc>
        <w:tc>
          <w:tcPr>
            <w:tcW w:w="7087" w:type="dxa"/>
          </w:tcPr>
          <w:p w14:paraId="1B680004" w14:textId="77777777" w:rsidR="008E0223" w:rsidRPr="00654EF1" w:rsidRDefault="008E0223" w:rsidP="001D5C8C">
            <w:pPr>
              <w:widowControl w:val="0"/>
              <w:spacing w:line="240" w:lineRule="auto"/>
              <w:rPr>
                <w:color w:val="000000"/>
                <w:szCs w:val="22"/>
              </w:rPr>
            </w:pPr>
            <w:r w:rsidRPr="00654EF1">
              <w:rPr>
                <w:color w:val="000000"/>
                <w:szCs w:val="22"/>
              </w:rPr>
              <w:t>Pericarditis*, cardiac tamponade*</w:t>
            </w:r>
          </w:p>
        </w:tc>
      </w:tr>
      <w:tr w:rsidR="00D46775" w:rsidRPr="00654EF1" w14:paraId="1B680007" w14:textId="77777777" w:rsidTr="009F0509">
        <w:trPr>
          <w:cantSplit/>
        </w:trPr>
        <w:tc>
          <w:tcPr>
            <w:tcW w:w="9322" w:type="dxa"/>
            <w:gridSpan w:val="2"/>
          </w:tcPr>
          <w:p w14:paraId="1B680006" w14:textId="77777777" w:rsidR="00D46775" w:rsidRPr="00654EF1" w:rsidRDefault="00D46775" w:rsidP="001D5C8C">
            <w:pPr>
              <w:keepNext/>
              <w:widowControl w:val="0"/>
              <w:spacing w:line="240" w:lineRule="auto"/>
              <w:rPr>
                <w:rFonts w:ascii="Times New Roman Bold" w:hAnsi="Times New Roman Bold"/>
                <w:color w:val="000000"/>
                <w:szCs w:val="22"/>
              </w:rPr>
            </w:pPr>
            <w:r w:rsidRPr="00654EF1">
              <w:rPr>
                <w:b/>
                <w:color w:val="000000"/>
                <w:szCs w:val="22"/>
              </w:rPr>
              <w:lastRenderedPageBreak/>
              <w:t>Vascular disorders</w:t>
            </w:r>
            <w:r w:rsidR="008B6A91" w:rsidRPr="00654EF1">
              <w:rPr>
                <w:b/>
                <w:color w:val="000000"/>
                <w:szCs w:val="22"/>
                <w:vertAlign w:val="superscript"/>
              </w:rPr>
              <w:t>4</w:t>
            </w:r>
          </w:p>
        </w:tc>
      </w:tr>
      <w:tr w:rsidR="00D46775" w:rsidRPr="00654EF1" w14:paraId="1B68000A" w14:textId="77777777" w:rsidTr="009F0509">
        <w:trPr>
          <w:cantSplit/>
        </w:trPr>
        <w:tc>
          <w:tcPr>
            <w:tcW w:w="2235" w:type="dxa"/>
          </w:tcPr>
          <w:p w14:paraId="1B680008" w14:textId="77777777" w:rsidR="00D46775" w:rsidRPr="00654EF1" w:rsidRDefault="00D46775" w:rsidP="001D5C8C">
            <w:pPr>
              <w:keepNext/>
              <w:widowControl w:val="0"/>
              <w:spacing w:line="240" w:lineRule="auto"/>
              <w:rPr>
                <w:i/>
                <w:color w:val="000000"/>
                <w:szCs w:val="22"/>
              </w:rPr>
            </w:pPr>
            <w:r w:rsidRPr="00654EF1">
              <w:rPr>
                <w:i/>
                <w:color w:val="000000"/>
                <w:szCs w:val="22"/>
              </w:rPr>
              <w:t>Common:</w:t>
            </w:r>
          </w:p>
        </w:tc>
        <w:tc>
          <w:tcPr>
            <w:tcW w:w="7087" w:type="dxa"/>
          </w:tcPr>
          <w:p w14:paraId="1B680009" w14:textId="77777777" w:rsidR="00D46775" w:rsidRPr="00654EF1" w:rsidRDefault="00D46775" w:rsidP="001D5C8C">
            <w:pPr>
              <w:keepNext/>
              <w:widowControl w:val="0"/>
              <w:spacing w:line="240" w:lineRule="auto"/>
              <w:rPr>
                <w:color w:val="000000"/>
                <w:szCs w:val="22"/>
              </w:rPr>
            </w:pPr>
            <w:smartTag w:uri="urn:schemas-microsoft-com:office:smarttags" w:element="place">
              <w:r w:rsidRPr="00654EF1">
                <w:rPr>
                  <w:color w:val="000000"/>
                  <w:szCs w:val="22"/>
                </w:rPr>
                <w:t>Flushing</w:t>
              </w:r>
            </w:smartTag>
            <w:r w:rsidRPr="00654EF1">
              <w:rPr>
                <w:color w:val="000000"/>
                <w:szCs w:val="22"/>
              </w:rPr>
              <w:t>, haemorrhage</w:t>
            </w:r>
          </w:p>
        </w:tc>
      </w:tr>
      <w:tr w:rsidR="00D46775" w:rsidRPr="00654EF1" w:rsidDel="00655175" w14:paraId="1B68000D" w14:textId="77777777" w:rsidTr="009F0509">
        <w:trPr>
          <w:cantSplit/>
        </w:trPr>
        <w:tc>
          <w:tcPr>
            <w:tcW w:w="2235" w:type="dxa"/>
          </w:tcPr>
          <w:p w14:paraId="1B68000B" w14:textId="77777777" w:rsidR="00D46775" w:rsidRPr="00654EF1" w:rsidDel="00655175"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8000C" w14:textId="77777777" w:rsidR="00D46775" w:rsidRPr="00654EF1" w:rsidDel="00655175" w:rsidRDefault="00D46775" w:rsidP="001D5C8C">
            <w:pPr>
              <w:keepNext/>
              <w:widowControl w:val="0"/>
              <w:spacing w:line="240" w:lineRule="auto"/>
              <w:rPr>
                <w:color w:val="000000"/>
                <w:szCs w:val="22"/>
              </w:rPr>
            </w:pPr>
            <w:r w:rsidRPr="00654EF1">
              <w:rPr>
                <w:color w:val="000000"/>
                <w:szCs w:val="22"/>
              </w:rPr>
              <w:t xml:space="preserve">Hypertension, haematoma, </w:t>
            </w:r>
            <w:r w:rsidR="006928B7" w:rsidRPr="00654EF1">
              <w:rPr>
                <w:color w:val="000000"/>
                <w:szCs w:val="22"/>
              </w:rPr>
              <w:t xml:space="preserve">subdural haematoma, </w:t>
            </w:r>
            <w:r w:rsidRPr="00654EF1">
              <w:rPr>
                <w:color w:val="000000"/>
                <w:szCs w:val="22"/>
              </w:rPr>
              <w:t>peripheral coldness, hypotension, Raynaud’s phenomenon</w:t>
            </w:r>
          </w:p>
        </w:tc>
      </w:tr>
      <w:tr w:rsidR="008E0223" w:rsidRPr="00654EF1" w:rsidDel="00655175" w14:paraId="1B680010" w14:textId="77777777" w:rsidTr="009F0509">
        <w:trPr>
          <w:cantSplit/>
        </w:trPr>
        <w:tc>
          <w:tcPr>
            <w:tcW w:w="2235" w:type="dxa"/>
          </w:tcPr>
          <w:p w14:paraId="1B68000E" w14:textId="77777777" w:rsidR="008E0223" w:rsidRPr="00654EF1" w:rsidRDefault="008E0223" w:rsidP="001D5C8C">
            <w:pPr>
              <w:widowControl w:val="0"/>
              <w:spacing w:line="240" w:lineRule="auto"/>
              <w:rPr>
                <w:i/>
                <w:color w:val="000000"/>
                <w:szCs w:val="22"/>
              </w:rPr>
            </w:pPr>
            <w:r w:rsidRPr="00654EF1">
              <w:rPr>
                <w:i/>
                <w:color w:val="000000"/>
                <w:szCs w:val="22"/>
              </w:rPr>
              <w:t>Not known:</w:t>
            </w:r>
          </w:p>
        </w:tc>
        <w:tc>
          <w:tcPr>
            <w:tcW w:w="7087" w:type="dxa"/>
          </w:tcPr>
          <w:p w14:paraId="1B68000F" w14:textId="77777777" w:rsidR="008E0223" w:rsidRPr="00654EF1" w:rsidRDefault="008E0223" w:rsidP="001D5C8C">
            <w:pPr>
              <w:widowControl w:val="0"/>
              <w:spacing w:line="240" w:lineRule="auto"/>
              <w:rPr>
                <w:color w:val="000000"/>
                <w:szCs w:val="22"/>
              </w:rPr>
            </w:pPr>
            <w:r w:rsidRPr="00654EF1">
              <w:rPr>
                <w:color w:val="000000"/>
                <w:szCs w:val="22"/>
              </w:rPr>
              <w:t>Thrombosis/embolism*</w:t>
            </w:r>
          </w:p>
        </w:tc>
      </w:tr>
      <w:tr w:rsidR="00D87646" w:rsidRPr="00654EF1" w14:paraId="1B680012" w14:textId="77777777" w:rsidTr="009F0509">
        <w:trPr>
          <w:cantSplit/>
        </w:trPr>
        <w:tc>
          <w:tcPr>
            <w:tcW w:w="9322" w:type="dxa"/>
            <w:gridSpan w:val="2"/>
          </w:tcPr>
          <w:p w14:paraId="1B680011" w14:textId="77777777" w:rsidR="00D87646" w:rsidRPr="00654EF1" w:rsidRDefault="00D87646" w:rsidP="001D5C8C">
            <w:pPr>
              <w:keepNext/>
              <w:widowControl w:val="0"/>
              <w:spacing w:line="240" w:lineRule="auto"/>
              <w:rPr>
                <w:color w:val="000000"/>
                <w:szCs w:val="22"/>
              </w:rPr>
            </w:pPr>
            <w:r w:rsidRPr="00654EF1">
              <w:rPr>
                <w:b/>
                <w:color w:val="000000"/>
                <w:szCs w:val="22"/>
              </w:rPr>
              <w:t>Respiratory, thoracic and mediastinal disorders</w:t>
            </w:r>
          </w:p>
        </w:tc>
      </w:tr>
      <w:tr w:rsidR="00D87646" w:rsidRPr="00654EF1" w14:paraId="1B680015" w14:textId="77777777" w:rsidTr="009F0509">
        <w:trPr>
          <w:cantSplit/>
        </w:trPr>
        <w:tc>
          <w:tcPr>
            <w:tcW w:w="2235" w:type="dxa"/>
          </w:tcPr>
          <w:p w14:paraId="1B680013"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80014" w14:textId="77777777" w:rsidR="00D87646" w:rsidRPr="00654EF1" w:rsidRDefault="00D87646" w:rsidP="001D5C8C">
            <w:pPr>
              <w:keepNext/>
              <w:widowControl w:val="0"/>
              <w:spacing w:line="240" w:lineRule="auto"/>
              <w:rPr>
                <w:color w:val="000000"/>
              </w:rPr>
            </w:pPr>
            <w:r w:rsidRPr="00654EF1">
              <w:rPr>
                <w:color w:val="000000"/>
                <w:szCs w:val="22"/>
                <w:lang w:val="fr-FR"/>
              </w:rPr>
              <w:t>Dyspnoea, epistaxis, cough</w:t>
            </w:r>
          </w:p>
        </w:tc>
      </w:tr>
      <w:tr w:rsidR="00D87646" w:rsidRPr="00654EF1" w14:paraId="1B680018" w14:textId="77777777" w:rsidTr="009F0509">
        <w:trPr>
          <w:cantSplit/>
        </w:trPr>
        <w:tc>
          <w:tcPr>
            <w:tcW w:w="2235" w:type="dxa"/>
          </w:tcPr>
          <w:p w14:paraId="1B680016"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80017" w14:textId="77777777" w:rsidR="00D87646" w:rsidRPr="00654EF1" w:rsidRDefault="00D87646" w:rsidP="001D5C8C">
            <w:pPr>
              <w:keepNext/>
              <w:widowControl w:val="0"/>
              <w:spacing w:line="240" w:lineRule="auto"/>
              <w:rPr>
                <w:color w:val="000000"/>
              </w:rPr>
            </w:pPr>
            <w:r w:rsidRPr="00654EF1">
              <w:rPr>
                <w:color w:val="000000"/>
                <w:szCs w:val="22"/>
              </w:rPr>
              <w:t>Pleural effusion</w:t>
            </w:r>
            <w:r w:rsidR="008B6A91" w:rsidRPr="00654EF1">
              <w:rPr>
                <w:color w:val="000000"/>
                <w:szCs w:val="22"/>
                <w:vertAlign w:val="superscript"/>
              </w:rPr>
              <w:t>5</w:t>
            </w:r>
            <w:r w:rsidRPr="00654EF1">
              <w:rPr>
                <w:color w:val="000000"/>
                <w:szCs w:val="22"/>
              </w:rPr>
              <w:t>, pharyngolaryngeal pain, pharyngitis</w:t>
            </w:r>
            <w:r w:rsidR="00B17C8A" w:rsidRPr="00654EF1">
              <w:rPr>
                <w:color w:val="000000"/>
                <w:szCs w:val="22"/>
              </w:rPr>
              <w:t xml:space="preserve"> </w:t>
            </w:r>
          </w:p>
        </w:tc>
      </w:tr>
      <w:tr w:rsidR="00D87646" w:rsidRPr="00654EF1" w14:paraId="1B68001B" w14:textId="77777777" w:rsidTr="009F0509">
        <w:trPr>
          <w:cantSplit/>
        </w:trPr>
        <w:tc>
          <w:tcPr>
            <w:tcW w:w="2235" w:type="dxa"/>
          </w:tcPr>
          <w:p w14:paraId="1B680019" w14:textId="77777777" w:rsidR="00D87646" w:rsidRPr="00654EF1" w:rsidRDefault="00D87646" w:rsidP="001D5C8C">
            <w:pPr>
              <w:keepNext/>
              <w:widowControl w:val="0"/>
              <w:spacing w:line="240" w:lineRule="auto"/>
              <w:rPr>
                <w:color w:val="000000"/>
              </w:rPr>
            </w:pPr>
            <w:r w:rsidRPr="00654EF1">
              <w:rPr>
                <w:i/>
                <w:color w:val="000000"/>
                <w:szCs w:val="22"/>
              </w:rPr>
              <w:t>Rare:</w:t>
            </w:r>
          </w:p>
        </w:tc>
        <w:tc>
          <w:tcPr>
            <w:tcW w:w="7087" w:type="dxa"/>
          </w:tcPr>
          <w:p w14:paraId="1B68001A" w14:textId="77777777" w:rsidR="00D87646" w:rsidRPr="00654EF1" w:rsidRDefault="00D87646" w:rsidP="001D5C8C">
            <w:pPr>
              <w:keepNext/>
              <w:widowControl w:val="0"/>
              <w:spacing w:line="240" w:lineRule="auto"/>
              <w:rPr>
                <w:color w:val="000000"/>
              </w:rPr>
            </w:pPr>
            <w:r w:rsidRPr="00654EF1">
              <w:rPr>
                <w:color w:val="000000"/>
                <w:szCs w:val="22"/>
              </w:rPr>
              <w:t>Pleuritic pain, pulmonary fibrosis, pulmonary hypertension, pulmonary haemorrhage</w:t>
            </w:r>
          </w:p>
        </w:tc>
      </w:tr>
      <w:tr w:rsidR="008E0223" w:rsidRPr="00654EF1" w14:paraId="1B68001E" w14:textId="77777777" w:rsidTr="009F0509">
        <w:trPr>
          <w:cantSplit/>
        </w:trPr>
        <w:tc>
          <w:tcPr>
            <w:tcW w:w="2235" w:type="dxa"/>
          </w:tcPr>
          <w:p w14:paraId="1B68001C" w14:textId="77777777" w:rsidR="008E0223" w:rsidRPr="00654EF1" w:rsidRDefault="008E0223" w:rsidP="001D5C8C">
            <w:pPr>
              <w:widowControl w:val="0"/>
              <w:spacing w:line="240" w:lineRule="auto"/>
              <w:rPr>
                <w:i/>
                <w:color w:val="000000"/>
                <w:szCs w:val="22"/>
              </w:rPr>
            </w:pPr>
            <w:r w:rsidRPr="00654EF1">
              <w:rPr>
                <w:i/>
                <w:color w:val="000000"/>
                <w:szCs w:val="22"/>
              </w:rPr>
              <w:t>Not known:</w:t>
            </w:r>
          </w:p>
        </w:tc>
        <w:tc>
          <w:tcPr>
            <w:tcW w:w="7087" w:type="dxa"/>
          </w:tcPr>
          <w:p w14:paraId="1B68001D" w14:textId="77777777" w:rsidR="008E0223" w:rsidRPr="00654EF1" w:rsidRDefault="008E0223" w:rsidP="001D5C8C">
            <w:pPr>
              <w:widowControl w:val="0"/>
              <w:spacing w:line="240" w:lineRule="auto"/>
              <w:rPr>
                <w:color w:val="000000"/>
                <w:szCs w:val="22"/>
              </w:rPr>
            </w:pPr>
            <w:r w:rsidRPr="00654EF1">
              <w:rPr>
                <w:color w:val="000000"/>
                <w:szCs w:val="22"/>
              </w:rPr>
              <w:t>Acute respiratory failure</w:t>
            </w:r>
            <w:r w:rsidR="003B03C5" w:rsidRPr="00654EF1">
              <w:rPr>
                <w:color w:val="000000"/>
                <w:szCs w:val="22"/>
                <w:vertAlign w:val="superscript"/>
              </w:rPr>
              <w:t>11</w:t>
            </w:r>
            <w:r w:rsidRPr="00654EF1">
              <w:rPr>
                <w:color w:val="000000"/>
                <w:szCs w:val="22"/>
              </w:rPr>
              <w:t>*, interstitial lung disease*</w:t>
            </w:r>
          </w:p>
        </w:tc>
      </w:tr>
      <w:tr w:rsidR="00D87646" w:rsidRPr="00654EF1" w14:paraId="1B680020" w14:textId="77777777" w:rsidTr="009F0509">
        <w:trPr>
          <w:cantSplit/>
        </w:trPr>
        <w:tc>
          <w:tcPr>
            <w:tcW w:w="9322" w:type="dxa"/>
            <w:gridSpan w:val="2"/>
          </w:tcPr>
          <w:p w14:paraId="1B68001F" w14:textId="77777777" w:rsidR="00D87646" w:rsidRPr="00654EF1" w:rsidRDefault="00D87646" w:rsidP="001D5C8C">
            <w:pPr>
              <w:keepNext/>
              <w:widowControl w:val="0"/>
              <w:spacing w:line="240" w:lineRule="auto"/>
              <w:rPr>
                <w:color w:val="000000"/>
                <w:lang w:val="fr-FR"/>
              </w:rPr>
            </w:pPr>
            <w:r w:rsidRPr="00654EF1">
              <w:rPr>
                <w:b/>
                <w:color w:val="000000"/>
                <w:szCs w:val="22"/>
              </w:rPr>
              <w:t>Gastrointestinal disorders</w:t>
            </w:r>
          </w:p>
        </w:tc>
      </w:tr>
      <w:tr w:rsidR="00D87646" w:rsidRPr="00654EF1" w14:paraId="1B680023" w14:textId="77777777" w:rsidTr="009F0509">
        <w:trPr>
          <w:cantSplit/>
        </w:trPr>
        <w:tc>
          <w:tcPr>
            <w:tcW w:w="2235" w:type="dxa"/>
          </w:tcPr>
          <w:p w14:paraId="1B680021" w14:textId="77777777" w:rsidR="00D87646" w:rsidRPr="00654EF1" w:rsidRDefault="00D87646" w:rsidP="001D5C8C">
            <w:pPr>
              <w:keepNext/>
              <w:widowControl w:val="0"/>
              <w:spacing w:line="240" w:lineRule="auto"/>
              <w:rPr>
                <w:color w:val="000000"/>
              </w:rPr>
            </w:pPr>
            <w:r w:rsidRPr="00654EF1">
              <w:rPr>
                <w:i/>
                <w:color w:val="000000"/>
                <w:szCs w:val="22"/>
              </w:rPr>
              <w:t>Very common:</w:t>
            </w:r>
          </w:p>
        </w:tc>
        <w:tc>
          <w:tcPr>
            <w:tcW w:w="7087" w:type="dxa"/>
          </w:tcPr>
          <w:p w14:paraId="1B680022" w14:textId="77777777" w:rsidR="00D87646" w:rsidRPr="00654EF1" w:rsidRDefault="00D87646" w:rsidP="001D5C8C">
            <w:pPr>
              <w:keepNext/>
              <w:widowControl w:val="0"/>
              <w:spacing w:line="240" w:lineRule="auto"/>
              <w:rPr>
                <w:color w:val="000000"/>
              </w:rPr>
            </w:pPr>
            <w:r w:rsidRPr="00654EF1">
              <w:rPr>
                <w:color w:val="000000"/>
                <w:szCs w:val="22"/>
              </w:rPr>
              <w:t>Nausea, diarrhoea, vomiting, dyspepsia, abdominal pain</w:t>
            </w:r>
            <w:r w:rsidR="008B6A91" w:rsidRPr="00654EF1">
              <w:rPr>
                <w:color w:val="000000"/>
                <w:szCs w:val="22"/>
                <w:vertAlign w:val="superscript"/>
              </w:rPr>
              <w:t>6</w:t>
            </w:r>
          </w:p>
        </w:tc>
      </w:tr>
      <w:tr w:rsidR="00D87646" w:rsidRPr="00654EF1" w14:paraId="1B680026" w14:textId="77777777" w:rsidTr="009F0509">
        <w:trPr>
          <w:cantSplit/>
        </w:trPr>
        <w:tc>
          <w:tcPr>
            <w:tcW w:w="2235" w:type="dxa"/>
          </w:tcPr>
          <w:p w14:paraId="1B680024"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80025" w14:textId="77777777" w:rsidR="00D87646" w:rsidRPr="00654EF1" w:rsidRDefault="00D87646" w:rsidP="001D5C8C">
            <w:pPr>
              <w:keepNext/>
              <w:widowControl w:val="0"/>
              <w:spacing w:line="240" w:lineRule="auto"/>
              <w:rPr>
                <w:color w:val="000000"/>
              </w:rPr>
            </w:pPr>
            <w:r w:rsidRPr="00654EF1">
              <w:rPr>
                <w:color w:val="000000"/>
                <w:szCs w:val="22"/>
              </w:rPr>
              <w:t>Flatulence, abdominal distension, gastro-oesophageal reflux, constipation, dry mouth, gastritis</w:t>
            </w:r>
          </w:p>
        </w:tc>
      </w:tr>
      <w:tr w:rsidR="00D87646" w:rsidRPr="00654EF1" w14:paraId="1B680029" w14:textId="77777777" w:rsidTr="009F0509">
        <w:trPr>
          <w:cantSplit/>
        </w:trPr>
        <w:tc>
          <w:tcPr>
            <w:tcW w:w="2235" w:type="dxa"/>
          </w:tcPr>
          <w:p w14:paraId="1B680027"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80028" w14:textId="77777777" w:rsidR="00D87646" w:rsidRPr="00654EF1" w:rsidRDefault="00D87646" w:rsidP="001D5C8C">
            <w:pPr>
              <w:keepNext/>
              <w:widowControl w:val="0"/>
              <w:spacing w:line="240" w:lineRule="auto"/>
              <w:rPr>
                <w:color w:val="000000"/>
              </w:rPr>
            </w:pPr>
            <w:r w:rsidRPr="00654EF1">
              <w:rPr>
                <w:color w:val="000000"/>
                <w:szCs w:val="22"/>
              </w:rPr>
              <w:t>Stomatitis, mouth ulceration, gastrointestinal haemorrhage</w:t>
            </w:r>
            <w:r w:rsidR="008B6A91" w:rsidRPr="00654EF1">
              <w:rPr>
                <w:color w:val="000000"/>
                <w:szCs w:val="22"/>
                <w:vertAlign w:val="superscript"/>
              </w:rPr>
              <w:t>7</w:t>
            </w:r>
            <w:r w:rsidRPr="00654EF1">
              <w:rPr>
                <w:color w:val="000000"/>
                <w:szCs w:val="22"/>
              </w:rPr>
              <w:t>, eructation, melaena, oesophagitis, ascites, gastric ulcer, haematemesis, cheilitis, dysphagia, pancreatitis</w:t>
            </w:r>
          </w:p>
        </w:tc>
      </w:tr>
      <w:tr w:rsidR="00D87646" w:rsidRPr="00654EF1" w14:paraId="1B68002C" w14:textId="77777777" w:rsidTr="009F0509">
        <w:trPr>
          <w:cantSplit/>
        </w:trPr>
        <w:tc>
          <w:tcPr>
            <w:tcW w:w="2235" w:type="dxa"/>
          </w:tcPr>
          <w:p w14:paraId="1B68002A" w14:textId="77777777" w:rsidR="00D87646" w:rsidRPr="00654EF1" w:rsidRDefault="00D87646" w:rsidP="001D5C8C">
            <w:pPr>
              <w:keepNext/>
              <w:widowControl w:val="0"/>
              <w:spacing w:line="240" w:lineRule="auto"/>
              <w:rPr>
                <w:color w:val="000000"/>
              </w:rPr>
            </w:pPr>
            <w:r w:rsidRPr="00654EF1">
              <w:rPr>
                <w:i/>
                <w:color w:val="000000"/>
                <w:szCs w:val="22"/>
              </w:rPr>
              <w:t>Rare:</w:t>
            </w:r>
          </w:p>
        </w:tc>
        <w:tc>
          <w:tcPr>
            <w:tcW w:w="7087" w:type="dxa"/>
          </w:tcPr>
          <w:p w14:paraId="1B68002B" w14:textId="77777777" w:rsidR="00D87646" w:rsidRPr="00654EF1" w:rsidRDefault="00D87646" w:rsidP="001D5C8C">
            <w:pPr>
              <w:keepNext/>
              <w:widowControl w:val="0"/>
              <w:spacing w:line="240" w:lineRule="auto"/>
              <w:rPr>
                <w:snapToGrid w:val="0"/>
                <w:color w:val="000000"/>
                <w:szCs w:val="22"/>
                <w:lang w:val="en-US"/>
              </w:rPr>
            </w:pPr>
            <w:r w:rsidRPr="00654EF1">
              <w:rPr>
                <w:color w:val="000000"/>
                <w:szCs w:val="22"/>
              </w:rPr>
              <w:t xml:space="preserve">Colitis, </w:t>
            </w:r>
            <w:r w:rsidRPr="00654EF1">
              <w:rPr>
                <w:snapToGrid w:val="0"/>
                <w:color w:val="000000"/>
                <w:szCs w:val="22"/>
              </w:rPr>
              <w:t>ileus, inflammatory bowel disease</w:t>
            </w:r>
          </w:p>
        </w:tc>
      </w:tr>
      <w:tr w:rsidR="008E0223" w:rsidRPr="00654EF1" w14:paraId="1B68002F" w14:textId="77777777" w:rsidTr="009F0509">
        <w:trPr>
          <w:cantSplit/>
        </w:trPr>
        <w:tc>
          <w:tcPr>
            <w:tcW w:w="2235" w:type="dxa"/>
          </w:tcPr>
          <w:p w14:paraId="1B68002D" w14:textId="77777777" w:rsidR="008E0223" w:rsidRPr="00654EF1" w:rsidRDefault="008E0223" w:rsidP="001D5C8C">
            <w:pPr>
              <w:widowControl w:val="0"/>
              <w:spacing w:line="240" w:lineRule="auto"/>
              <w:rPr>
                <w:i/>
                <w:color w:val="000000"/>
                <w:szCs w:val="22"/>
              </w:rPr>
            </w:pPr>
            <w:r w:rsidRPr="00654EF1">
              <w:rPr>
                <w:i/>
                <w:color w:val="000000"/>
                <w:szCs w:val="22"/>
              </w:rPr>
              <w:t>Not known:</w:t>
            </w:r>
          </w:p>
        </w:tc>
        <w:tc>
          <w:tcPr>
            <w:tcW w:w="7087" w:type="dxa"/>
          </w:tcPr>
          <w:p w14:paraId="1B68002E" w14:textId="77777777" w:rsidR="008E0223" w:rsidRPr="00280050" w:rsidRDefault="008E0223" w:rsidP="001D5C8C">
            <w:pPr>
              <w:widowControl w:val="0"/>
              <w:spacing w:line="240" w:lineRule="auto"/>
              <w:rPr>
                <w:color w:val="000000"/>
                <w:szCs w:val="22"/>
              </w:rPr>
            </w:pPr>
            <w:r w:rsidRPr="00280050">
              <w:rPr>
                <w:color w:val="000000"/>
                <w:szCs w:val="22"/>
              </w:rPr>
              <w:t>Ileus/intestinal obstruction</w:t>
            </w:r>
            <w:r w:rsidR="008F2DE5" w:rsidRPr="00280050">
              <w:rPr>
                <w:color w:val="000000"/>
                <w:szCs w:val="22"/>
              </w:rPr>
              <w:t>*</w:t>
            </w:r>
            <w:r w:rsidRPr="00280050">
              <w:rPr>
                <w:color w:val="000000"/>
                <w:szCs w:val="22"/>
              </w:rPr>
              <w:t>, gastrointestinal perforation*</w:t>
            </w:r>
            <w:r w:rsidRPr="00654EF1">
              <w:rPr>
                <w:snapToGrid w:val="0"/>
                <w:color w:val="000000"/>
                <w:szCs w:val="22"/>
              </w:rPr>
              <w:t>, diverticulitis*, gastric antral vascular ectasia (GAVE)*</w:t>
            </w:r>
          </w:p>
        </w:tc>
      </w:tr>
      <w:tr w:rsidR="00D46775" w:rsidRPr="00654EF1" w14:paraId="1B680031" w14:textId="77777777" w:rsidTr="009F0509">
        <w:trPr>
          <w:cantSplit/>
        </w:trPr>
        <w:tc>
          <w:tcPr>
            <w:tcW w:w="9322" w:type="dxa"/>
            <w:gridSpan w:val="2"/>
          </w:tcPr>
          <w:p w14:paraId="1B680030" w14:textId="77777777" w:rsidR="00D46775" w:rsidRPr="00654EF1" w:rsidRDefault="00D46775" w:rsidP="001D5C8C">
            <w:pPr>
              <w:keepNext/>
              <w:widowControl w:val="0"/>
              <w:spacing w:line="240" w:lineRule="auto"/>
              <w:rPr>
                <w:snapToGrid w:val="0"/>
                <w:color w:val="000000"/>
                <w:szCs w:val="22"/>
                <w:lang w:val="fr-FR"/>
              </w:rPr>
            </w:pPr>
            <w:r w:rsidRPr="00654EF1">
              <w:rPr>
                <w:b/>
                <w:color w:val="000000"/>
                <w:szCs w:val="22"/>
              </w:rPr>
              <w:t>Hepatobiliary disorders</w:t>
            </w:r>
          </w:p>
        </w:tc>
      </w:tr>
      <w:tr w:rsidR="00D46775" w:rsidRPr="00654EF1" w14:paraId="1B680034" w14:textId="77777777" w:rsidTr="009F0509">
        <w:trPr>
          <w:cantSplit/>
        </w:trPr>
        <w:tc>
          <w:tcPr>
            <w:tcW w:w="2235" w:type="dxa"/>
          </w:tcPr>
          <w:p w14:paraId="1B680032" w14:textId="77777777" w:rsidR="00D46775" w:rsidRPr="00654EF1" w:rsidRDefault="00D46775" w:rsidP="001D5C8C">
            <w:pPr>
              <w:keepNext/>
              <w:widowControl w:val="0"/>
              <w:spacing w:line="240" w:lineRule="auto"/>
              <w:rPr>
                <w:i/>
                <w:color w:val="000000"/>
                <w:szCs w:val="22"/>
              </w:rPr>
            </w:pPr>
            <w:r w:rsidRPr="00654EF1">
              <w:rPr>
                <w:i/>
                <w:color w:val="000000"/>
                <w:szCs w:val="22"/>
              </w:rPr>
              <w:t>Common:</w:t>
            </w:r>
          </w:p>
        </w:tc>
        <w:tc>
          <w:tcPr>
            <w:tcW w:w="7087" w:type="dxa"/>
          </w:tcPr>
          <w:p w14:paraId="1B680033" w14:textId="77777777" w:rsidR="00D46775" w:rsidRPr="00654EF1" w:rsidRDefault="00D46775" w:rsidP="001D5C8C">
            <w:pPr>
              <w:keepNext/>
              <w:widowControl w:val="0"/>
              <w:spacing w:line="240" w:lineRule="auto"/>
              <w:rPr>
                <w:color w:val="000000"/>
                <w:szCs w:val="22"/>
              </w:rPr>
            </w:pPr>
            <w:r w:rsidRPr="00654EF1">
              <w:rPr>
                <w:color w:val="000000"/>
                <w:szCs w:val="22"/>
              </w:rPr>
              <w:t>Increased hepatic enzymes</w:t>
            </w:r>
          </w:p>
        </w:tc>
      </w:tr>
      <w:tr w:rsidR="00D46775" w:rsidRPr="00654EF1" w14:paraId="1B680037" w14:textId="77777777" w:rsidTr="009F0509">
        <w:trPr>
          <w:cantSplit/>
        </w:trPr>
        <w:tc>
          <w:tcPr>
            <w:tcW w:w="2235" w:type="dxa"/>
          </w:tcPr>
          <w:p w14:paraId="1B680035" w14:textId="77777777" w:rsidR="00D46775" w:rsidRPr="00654EF1"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80036" w14:textId="77777777" w:rsidR="00D46775" w:rsidRPr="00654EF1" w:rsidRDefault="00D46775" w:rsidP="001D5C8C">
            <w:pPr>
              <w:keepNext/>
              <w:widowControl w:val="0"/>
              <w:spacing w:line="240" w:lineRule="auto"/>
              <w:rPr>
                <w:color w:val="000000"/>
                <w:szCs w:val="22"/>
              </w:rPr>
            </w:pPr>
            <w:r w:rsidRPr="00654EF1">
              <w:rPr>
                <w:color w:val="000000"/>
                <w:szCs w:val="22"/>
              </w:rPr>
              <w:t>Hyperbilirubinaemia, hepatitis, jaundice</w:t>
            </w:r>
          </w:p>
        </w:tc>
      </w:tr>
      <w:tr w:rsidR="00D46775" w:rsidRPr="00654EF1" w14:paraId="1B68003A" w14:textId="77777777" w:rsidTr="009F0509">
        <w:trPr>
          <w:cantSplit/>
        </w:trPr>
        <w:tc>
          <w:tcPr>
            <w:tcW w:w="2235" w:type="dxa"/>
          </w:tcPr>
          <w:p w14:paraId="1B680038" w14:textId="77777777" w:rsidR="00D46775" w:rsidRPr="00654EF1" w:rsidRDefault="00D46775" w:rsidP="001D5C8C">
            <w:pPr>
              <w:widowControl w:val="0"/>
              <w:spacing w:line="240" w:lineRule="auto"/>
              <w:rPr>
                <w:i/>
                <w:color w:val="000000"/>
                <w:szCs w:val="22"/>
              </w:rPr>
            </w:pPr>
            <w:r w:rsidRPr="00654EF1">
              <w:rPr>
                <w:i/>
                <w:color w:val="000000"/>
                <w:szCs w:val="22"/>
              </w:rPr>
              <w:t>Rare:</w:t>
            </w:r>
          </w:p>
        </w:tc>
        <w:tc>
          <w:tcPr>
            <w:tcW w:w="7087" w:type="dxa"/>
          </w:tcPr>
          <w:p w14:paraId="1B680039" w14:textId="77777777" w:rsidR="00D46775" w:rsidRPr="00654EF1" w:rsidRDefault="00D46775" w:rsidP="001D5C8C">
            <w:pPr>
              <w:widowControl w:val="0"/>
              <w:spacing w:line="240" w:lineRule="auto"/>
              <w:rPr>
                <w:color w:val="000000"/>
                <w:szCs w:val="22"/>
              </w:rPr>
            </w:pPr>
            <w:r w:rsidRPr="00654EF1">
              <w:rPr>
                <w:color w:val="000000"/>
                <w:szCs w:val="22"/>
              </w:rPr>
              <w:t>Hepatic failure</w:t>
            </w:r>
            <w:r w:rsidR="008B6A91" w:rsidRPr="00654EF1">
              <w:rPr>
                <w:color w:val="000000"/>
                <w:szCs w:val="22"/>
                <w:vertAlign w:val="superscript"/>
              </w:rPr>
              <w:t>8</w:t>
            </w:r>
            <w:r w:rsidRPr="00654EF1">
              <w:rPr>
                <w:color w:val="000000"/>
                <w:szCs w:val="22"/>
              </w:rPr>
              <w:t>, hepatic necrosis</w:t>
            </w:r>
          </w:p>
        </w:tc>
      </w:tr>
      <w:tr w:rsidR="00D87646" w:rsidRPr="00654EF1" w14:paraId="1B68003C" w14:textId="77777777" w:rsidTr="009F0509">
        <w:trPr>
          <w:cantSplit/>
        </w:trPr>
        <w:tc>
          <w:tcPr>
            <w:tcW w:w="9322" w:type="dxa"/>
            <w:gridSpan w:val="2"/>
          </w:tcPr>
          <w:p w14:paraId="1B68003B" w14:textId="77777777" w:rsidR="00D87646" w:rsidRPr="00654EF1" w:rsidRDefault="00D87646" w:rsidP="001D5C8C">
            <w:pPr>
              <w:keepNext/>
              <w:widowControl w:val="0"/>
              <w:spacing w:line="240" w:lineRule="auto"/>
              <w:rPr>
                <w:color w:val="000000"/>
              </w:rPr>
            </w:pPr>
            <w:r w:rsidRPr="00654EF1">
              <w:rPr>
                <w:b/>
                <w:color w:val="000000"/>
                <w:szCs w:val="22"/>
              </w:rPr>
              <w:t>Skin and subcutaneous tissue disorders</w:t>
            </w:r>
          </w:p>
        </w:tc>
      </w:tr>
      <w:tr w:rsidR="00D87646" w:rsidRPr="00280050" w14:paraId="1B68003F" w14:textId="77777777" w:rsidTr="009F0509">
        <w:trPr>
          <w:cantSplit/>
        </w:trPr>
        <w:tc>
          <w:tcPr>
            <w:tcW w:w="2235" w:type="dxa"/>
          </w:tcPr>
          <w:p w14:paraId="1B68003D" w14:textId="77777777" w:rsidR="00D87646" w:rsidRPr="00654EF1" w:rsidRDefault="00D87646" w:rsidP="001D5C8C">
            <w:pPr>
              <w:keepNext/>
              <w:widowControl w:val="0"/>
              <w:spacing w:line="240" w:lineRule="auto"/>
              <w:rPr>
                <w:color w:val="000000"/>
              </w:rPr>
            </w:pPr>
            <w:r w:rsidRPr="00654EF1">
              <w:rPr>
                <w:i/>
                <w:color w:val="000000"/>
                <w:szCs w:val="22"/>
              </w:rPr>
              <w:t>Very common:</w:t>
            </w:r>
          </w:p>
        </w:tc>
        <w:tc>
          <w:tcPr>
            <w:tcW w:w="7087" w:type="dxa"/>
          </w:tcPr>
          <w:p w14:paraId="1B68003E" w14:textId="77777777" w:rsidR="00D87646" w:rsidRPr="00280050" w:rsidRDefault="00D87646" w:rsidP="001D5C8C">
            <w:pPr>
              <w:keepNext/>
              <w:widowControl w:val="0"/>
              <w:spacing w:line="240" w:lineRule="auto"/>
              <w:rPr>
                <w:color w:val="000000"/>
                <w:lang w:val="pt-PT"/>
              </w:rPr>
            </w:pPr>
            <w:r w:rsidRPr="00654EF1">
              <w:rPr>
                <w:color w:val="000000"/>
                <w:szCs w:val="22"/>
                <w:lang w:val="pt-PT"/>
              </w:rPr>
              <w:t>Periorbital oedema, dermatitis/eczema/rash</w:t>
            </w:r>
          </w:p>
        </w:tc>
      </w:tr>
      <w:tr w:rsidR="00D87646" w:rsidRPr="00654EF1" w14:paraId="1B680042" w14:textId="77777777" w:rsidTr="009F0509">
        <w:trPr>
          <w:cantSplit/>
        </w:trPr>
        <w:tc>
          <w:tcPr>
            <w:tcW w:w="2235" w:type="dxa"/>
          </w:tcPr>
          <w:p w14:paraId="1B680040" w14:textId="77777777" w:rsidR="00D87646" w:rsidRPr="00654EF1" w:rsidRDefault="00D87646" w:rsidP="001D5C8C">
            <w:pPr>
              <w:keepNext/>
              <w:widowControl w:val="0"/>
              <w:spacing w:line="240" w:lineRule="auto"/>
              <w:rPr>
                <w:color w:val="000000"/>
              </w:rPr>
            </w:pPr>
            <w:r w:rsidRPr="00654EF1">
              <w:rPr>
                <w:i/>
                <w:color w:val="000000"/>
                <w:szCs w:val="22"/>
              </w:rPr>
              <w:t>Common:</w:t>
            </w:r>
          </w:p>
        </w:tc>
        <w:tc>
          <w:tcPr>
            <w:tcW w:w="7087" w:type="dxa"/>
          </w:tcPr>
          <w:p w14:paraId="1B680041" w14:textId="77777777" w:rsidR="00D87646" w:rsidRPr="00654EF1" w:rsidRDefault="00D87646" w:rsidP="001D5C8C">
            <w:pPr>
              <w:keepNext/>
              <w:widowControl w:val="0"/>
              <w:spacing w:line="240" w:lineRule="auto"/>
              <w:rPr>
                <w:color w:val="000000"/>
              </w:rPr>
            </w:pPr>
            <w:r w:rsidRPr="00280050">
              <w:rPr>
                <w:color w:val="000000"/>
                <w:szCs w:val="22"/>
              </w:rPr>
              <w:t>Pruritus, face oedema, dry skin, erythema, alopecia, night sweats, photosensitivity reaction</w:t>
            </w:r>
          </w:p>
        </w:tc>
      </w:tr>
      <w:tr w:rsidR="00D87646" w:rsidRPr="00654EF1" w14:paraId="1B680045" w14:textId="77777777" w:rsidTr="009F0509">
        <w:trPr>
          <w:cantSplit/>
        </w:trPr>
        <w:tc>
          <w:tcPr>
            <w:tcW w:w="2235" w:type="dxa"/>
          </w:tcPr>
          <w:p w14:paraId="1B680043" w14:textId="77777777" w:rsidR="00D87646" w:rsidRPr="00654EF1" w:rsidRDefault="00D87646" w:rsidP="001D5C8C">
            <w:pPr>
              <w:keepNext/>
              <w:widowControl w:val="0"/>
              <w:spacing w:line="240" w:lineRule="auto"/>
              <w:rPr>
                <w:color w:val="000000"/>
              </w:rPr>
            </w:pPr>
            <w:r w:rsidRPr="00654EF1">
              <w:rPr>
                <w:i/>
                <w:color w:val="000000"/>
                <w:szCs w:val="22"/>
              </w:rPr>
              <w:t>Uncommon:</w:t>
            </w:r>
          </w:p>
        </w:tc>
        <w:tc>
          <w:tcPr>
            <w:tcW w:w="7087" w:type="dxa"/>
          </w:tcPr>
          <w:p w14:paraId="1B680044" w14:textId="77777777" w:rsidR="00D87646" w:rsidRPr="00280050" w:rsidRDefault="00D87646" w:rsidP="001D5C8C">
            <w:pPr>
              <w:keepNext/>
              <w:widowControl w:val="0"/>
              <w:spacing w:line="240" w:lineRule="auto"/>
              <w:rPr>
                <w:color w:val="000000"/>
                <w:szCs w:val="22"/>
              </w:rPr>
            </w:pPr>
            <w:r w:rsidRPr="00280050">
              <w:rPr>
                <w:color w:val="000000"/>
                <w:szCs w:val="22"/>
              </w:rPr>
              <w:t>Rash pustular, contusion, sweating increased, urticaria, ecchymosis, increased tendency to bruise, hypotrichosis, skin hypopigmentation, dermatitis exfoliative, onychoclasis, folliculitis, petechiae, psoriasis, purpura, skin hyperpigmentation, bullous eruptions</w:t>
            </w:r>
          </w:p>
        </w:tc>
      </w:tr>
      <w:tr w:rsidR="00D87646" w:rsidRPr="00654EF1" w14:paraId="1B680048" w14:textId="77777777" w:rsidTr="009F0509">
        <w:trPr>
          <w:cantSplit/>
        </w:trPr>
        <w:tc>
          <w:tcPr>
            <w:tcW w:w="2235" w:type="dxa"/>
          </w:tcPr>
          <w:p w14:paraId="1B680046" w14:textId="77777777" w:rsidR="00D87646" w:rsidRPr="00654EF1" w:rsidRDefault="00D87646" w:rsidP="001D5C8C">
            <w:pPr>
              <w:keepNext/>
              <w:widowControl w:val="0"/>
              <w:spacing w:line="240" w:lineRule="auto"/>
              <w:rPr>
                <w:color w:val="000000"/>
              </w:rPr>
            </w:pPr>
            <w:r w:rsidRPr="00654EF1">
              <w:rPr>
                <w:i/>
                <w:color w:val="000000"/>
                <w:szCs w:val="22"/>
              </w:rPr>
              <w:t>Rare:</w:t>
            </w:r>
          </w:p>
        </w:tc>
        <w:tc>
          <w:tcPr>
            <w:tcW w:w="7087" w:type="dxa"/>
          </w:tcPr>
          <w:p w14:paraId="1B680047" w14:textId="77777777" w:rsidR="00D87646" w:rsidRPr="00280050" w:rsidRDefault="00D87646" w:rsidP="001D5C8C">
            <w:pPr>
              <w:keepNext/>
              <w:widowControl w:val="0"/>
              <w:spacing w:line="240" w:lineRule="auto"/>
              <w:rPr>
                <w:color w:val="000000"/>
              </w:rPr>
            </w:pPr>
            <w:r w:rsidRPr="00280050">
              <w:rPr>
                <w:color w:val="000000"/>
                <w:szCs w:val="22"/>
              </w:rPr>
              <w:t>Acute febrile neutrophilic dermatosis (Sweet’s syndrome), nail discolouration, angioneurotic oedema, rash vesicular, erythema multiform</w:t>
            </w:r>
            <w:r w:rsidR="00027466" w:rsidRPr="00280050">
              <w:rPr>
                <w:color w:val="000000"/>
                <w:szCs w:val="22"/>
              </w:rPr>
              <w:t>e</w:t>
            </w:r>
            <w:r w:rsidRPr="00280050">
              <w:rPr>
                <w:color w:val="000000"/>
                <w:szCs w:val="22"/>
              </w:rPr>
              <w:t>, leucocytoclastic vasculitis, Stevens-Johnson syndrome</w:t>
            </w:r>
            <w:r w:rsidR="004A4ACA" w:rsidRPr="00654EF1">
              <w:rPr>
                <w:color w:val="000000"/>
                <w:szCs w:val="22"/>
              </w:rPr>
              <w:t>, acute generali</w:t>
            </w:r>
            <w:r w:rsidR="008613F4" w:rsidRPr="00654EF1">
              <w:rPr>
                <w:color w:val="000000"/>
                <w:szCs w:val="22"/>
              </w:rPr>
              <w:t>s</w:t>
            </w:r>
            <w:r w:rsidR="004A4ACA" w:rsidRPr="00654EF1">
              <w:rPr>
                <w:color w:val="000000"/>
                <w:szCs w:val="22"/>
              </w:rPr>
              <w:t>ed exanthematous pustulosis</w:t>
            </w:r>
            <w:r w:rsidR="008613F4" w:rsidRPr="00654EF1">
              <w:rPr>
                <w:color w:val="000000"/>
                <w:szCs w:val="22"/>
              </w:rPr>
              <w:t xml:space="preserve"> (AGEP)</w:t>
            </w:r>
          </w:p>
        </w:tc>
      </w:tr>
      <w:tr w:rsidR="00B17C8A" w:rsidRPr="00654EF1" w14:paraId="1B68004B" w14:textId="77777777" w:rsidTr="009F0509">
        <w:trPr>
          <w:cantSplit/>
        </w:trPr>
        <w:tc>
          <w:tcPr>
            <w:tcW w:w="2235" w:type="dxa"/>
          </w:tcPr>
          <w:p w14:paraId="1B680049" w14:textId="77777777" w:rsidR="00B17C8A" w:rsidRPr="00654EF1" w:rsidRDefault="00B17C8A" w:rsidP="001D5C8C">
            <w:pPr>
              <w:widowControl w:val="0"/>
              <w:spacing w:line="240" w:lineRule="auto"/>
              <w:rPr>
                <w:i/>
                <w:color w:val="000000"/>
                <w:szCs w:val="22"/>
              </w:rPr>
            </w:pPr>
            <w:r w:rsidRPr="00654EF1">
              <w:rPr>
                <w:i/>
                <w:color w:val="000000"/>
                <w:szCs w:val="22"/>
              </w:rPr>
              <w:t>Not known:</w:t>
            </w:r>
          </w:p>
        </w:tc>
        <w:tc>
          <w:tcPr>
            <w:tcW w:w="7087" w:type="dxa"/>
          </w:tcPr>
          <w:p w14:paraId="1B68004A" w14:textId="77777777" w:rsidR="00B17C8A" w:rsidRPr="00280050" w:rsidRDefault="008E0223" w:rsidP="001D5C8C">
            <w:pPr>
              <w:widowControl w:val="0"/>
              <w:spacing w:line="240" w:lineRule="auto"/>
              <w:rPr>
                <w:color w:val="000000"/>
                <w:szCs w:val="22"/>
              </w:rPr>
            </w:pPr>
            <w:r w:rsidRPr="00654EF1">
              <w:rPr>
                <w:color w:val="000000"/>
                <w:szCs w:val="22"/>
              </w:rPr>
              <w:t>P</w:t>
            </w:r>
            <w:r w:rsidRPr="00280050">
              <w:rPr>
                <w:color w:val="000000"/>
                <w:szCs w:val="22"/>
              </w:rPr>
              <w:t xml:space="preserve">almoplantar erythrodysesthesia syndrome*, </w:t>
            </w:r>
            <w:r w:rsidRPr="00654EF1">
              <w:rPr>
                <w:color w:val="000000"/>
                <w:szCs w:val="22"/>
              </w:rPr>
              <w:t xml:space="preserve">lichenoid keratosis*, lichen planus*, </w:t>
            </w:r>
            <w:r w:rsidR="006A5BD3" w:rsidRPr="00654EF1">
              <w:rPr>
                <w:color w:val="000000"/>
                <w:szCs w:val="22"/>
              </w:rPr>
              <w:t>t</w:t>
            </w:r>
            <w:r w:rsidRPr="00280050">
              <w:rPr>
                <w:color w:val="000000"/>
                <w:szCs w:val="22"/>
              </w:rPr>
              <w:t>oxic epidermal necrolysis</w:t>
            </w:r>
            <w:r w:rsidRPr="00654EF1">
              <w:rPr>
                <w:color w:val="000000"/>
                <w:szCs w:val="22"/>
              </w:rPr>
              <w:t xml:space="preserve">*, </w:t>
            </w:r>
            <w:r w:rsidR="006A5BD3" w:rsidRPr="00280050">
              <w:rPr>
                <w:color w:val="000000"/>
                <w:szCs w:val="22"/>
              </w:rPr>
              <w:t>d</w:t>
            </w:r>
            <w:r w:rsidR="00B17C8A" w:rsidRPr="00280050">
              <w:rPr>
                <w:color w:val="000000"/>
                <w:szCs w:val="22"/>
              </w:rPr>
              <w:t>rug rash with eosinophilia and systemic symptoms (DRESS)</w:t>
            </w:r>
            <w:r w:rsidR="00B17C8A" w:rsidRPr="00654EF1">
              <w:rPr>
                <w:color w:val="000000"/>
                <w:szCs w:val="22"/>
              </w:rPr>
              <w:t>*</w:t>
            </w:r>
            <w:r w:rsidR="002E726C" w:rsidRPr="00654EF1">
              <w:rPr>
                <w:color w:val="000000"/>
                <w:szCs w:val="22"/>
              </w:rPr>
              <w:t>, pseudoporphyria*</w:t>
            </w:r>
          </w:p>
        </w:tc>
      </w:tr>
      <w:tr w:rsidR="00D87646" w:rsidRPr="00654EF1" w14:paraId="1B68004D" w14:textId="77777777" w:rsidTr="009F0509">
        <w:trPr>
          <w:cantSplit/>
        </w:trPr>
        <w:tc>
          <w:tcPr>
            <w:tcW w:w="9322" w:type="dxa"/>
            <w:gridSpan w:val="2"/>
          </w:tcPr>
          <w:p w14:paraId="1B68004C" w14:textId="77777777" w:rsidR="00D87646" w:rsidRPr="00280050" w:rsidRDefault="00D87646" w:rsidP="001D5C8C">
            <w:pPr>
              <w:keepNext/>
              <w:widowControl w:val="0"/>
              <w:spacing w:line="240" w:lineRule="auto"/>
              <w:rPr>
                <w:color w:val="000000"/>
                <w:szCs w:val="22"/>
              </w:rPr>
            </w:pPr>
            <w:r w:rsidRPr="00654EF1">
              <w:rPr>
                <w:b/>
                <w:color w:val="000000"/>
                <w:szCs w:val="22"/>
              </w:rPr>
              <w:t>Musculoskeletal and connective tissue disorders</w:t>
            </w:r>
          </w:p>
        </w:tc>
      </w:tr>
      <w:tr w:rsidR="00D87646" w:rsidRPr="00654EF1" w14:paraId="1B680050" w14:textId="77777777" w:rsidTr="009F0509">
        <w:trPr>
          <w:cantSplit/>
        </w:trPr>
        <w:tc>
          <w:tcPr>
            <w:tcW w:w="2235" w:type="dxa"/>
          </w:tcPr>
          <w:p w14:paraId="1B68004E" w14:textId="77777777" w:rsidR="00D87646" w:rsidRPr="00654EF1" w:rsidRDefault="00D87646" w:rsidP="001D5C8C">
            <w:pPr>
              <w:keepNext/>
              <w:widowControl w:val="0"/>
              <w:spacing w:line="240" w:lineRule="auto"/>
              <w:rPr>
                <w:i/>
                <w:color w:val="000000"/>
                <w:szCs w:val="22"/>
              </w:rPr>
            </w:pPr>
            <w:r w:rsidRPr="00654EF1">
              <w:rPr>
                <w:i/>
                <w:color w:val="000000"/>
                <w:szCs w:val="22"/>
              </w:rPr>
              <w:t>Very common:</w:t>
            </w:r>
          </w:p>
        </w:tc>
        <w:tc>
          <w:tcPr>
            <w:tcW w:w="7087" w:type="dxa"/>
          </w:tcPr>
          <w:p w14:paraId="1B68004F" w14:textId="77777777" w:rsidR="002823B9" w:rsidRPr="00280050" w:rsidRDefault="00D87646" w:rsidP="001D5C8C">
            <w:pPr>
              <w:keepNext/>
              <w:widowControl w:val="0"/>
              <w:spacing w:line="240" w:lineRule="auto"/>
              <w:rPr>
                <w:color w:val="000000"/>
                <w:szCs w:val="22"/>
              </w:rPr>
            </w:pPr>
            <w:r w:rsidRPr="00654EF1">
              <w:rPr>
                <w:color w:val="000000"/>
                <w:szCs w:val="22"/>
              </w:rPr>
              <w:t>Muscle spasm and cramps, musculoskeletal pain including myalgia</w:t>
            </w:r>
            <w:r w:rsidR="00E0240C" w:rsidRPr="00654EF1">
              <w:rPr>
                <w:color w:val="000000"/>
                <w:szCs w:val="22"/>
                <w:vertAlign w:val="superscript"/>
              </w:rPr>
              <w:t>9</w:t>
            </w:r>
            <w:r w:rsidRPr="00654EF1">
              <w:rPr>
                <w:color w:val="000000"/>
                <w:szCs w:val="22"/>
              </w:rPr>
              <w:t xml:space="preserve">, arthralgia, bone </w:t>
            </w:r>
            <w:r w:rsidR="00E0240C" w:rsidRPr="00654EF1">
              <w:rPr>
                <w:color w:val="000000"/>
                <w:szCs w:val="22"/>
              </w:rPr>
              <w:t>pain</w:t>
            </w:r>
            <w:r w:rsidR="00E0240C" w:rsidRPr="00654EF1">
              <w:rPr>
                <w:color w:val="000000"/>
                <w:szCs w:val="22"/>
                <w:vertAlign w:val="superscript"/>
              </w:rPr>
              <w:t>10</w:t>
            </w:r>
          </w:p>
        </w:tc>
      </w:tr>
      <w:tr w:rsidR="00D87646" w:rsidRPr="00654EF1" w14:paraId="1B680053" w14:textId="77777777" w:rsidTr="009F0509">
        <w:trPr>
          <w:cantSplit/>
        </w:trPr>
        <w:tc>
          <w:tcPr>
            <w:tcW w:w="2235" w:type="dxa"/>
          </w:tcPr>
          <w:p w14:paraId="1B680051" w14:textId="77777777" w:rsidR="00D87646" w:rsidRPr="00654EF1" w:rsidRDefault="00D87646" w:rsidP="001D5C8C">
            <w:pPr>
              <w:keepNext/>
              <w:widowControl w:val="0"/>
              <w:spacing w:line="240" w:lineRule="auto"/>
              <w:rPr>
                <w:i/>
                <w:color w:val="000000"/>
                <w:szCs w:val="22"/>
              </w:rPr>
            </w:pPr>
            <w:r w:rsidRPr="00654EF1">
              <w:rPr>
                <w:i/>
                <w:color w:val="000000"/>
                <w:szCs w:val="22"/>
              </w:rPr>
              <w:t>Common:</w:t>
            </w:r>
          </w:p>
        </w:tc>
        <w:tc>
          <w:tcPr>
            <w:tcW w:w="7087" w:type="dxa"/>
          </w:tcPr>
          <w:p w14:paraId="1B680052" w14:textId="77777777" w:rsidR="00D87646" w:rsidRPr="00654EF1" w:rsidRDefault="00D87646" w:rsidP="001D5C8C">
            <w:pPr>
              <w:keepNext/>
              <w:widowControl w:val="0"/>
              <w:spacing w:line="240" w:lineRule="auto"/>
              <w:rPr>
                <w:color w:val="000000"/>
                <w:szCs w:val="22"/>
                <w:lang w:val="pt-PT"/>
              </w:rPr>
            </w:pPr>
            <w:r w:rsidRPr="00654EF1">
              <w:rPr>
                <w:color w:val="000000"/>
                <w:szCs w:val="22"/>
              </w:rPr>
              <w:t>Joint swelling</w:t>
            </w:r>
          </w:p>
        </w:tc>
      </w:tr>
      <w:tr w:rsidR="00D87646" w:rsidRPr="00654EF1" w14:paraId="1B680056" w14:textId="77777777" w:rsidTr="009F0509">
        <w:trPr>
          <w:cantSplit/>
        </w:trPr>
        <w:tc>
          <w:tcPr>
            <w:tcW w:w="2235" w:type="dxa"/>
          </w:tcPr>
          <w:p w14:paraId="1B680054" w14:textId="77777777" w:rsidR="00D87646" w:rsidRPr="00654EF1" w:rsidRDefault="00D87646" w:rsidP="001D5C8C">
            <w:pPr>
              <w:keepNext/>
              <w:widowControl w:val="0"/>
              <w:spacing w:line="240" w:lineRule="auto"/>
              <w:rPr>
                <w:i/>
                <w:color w:val="000000"/>
                <w:szCs w:val="22"/>
              </w:rPr>
            </w:pPr>
            <w:r w:rsidRPr="00654EF1">
              <w:rPr>
                <w:i/>
                <w:color w:val="000000"/>
                <w:szCs w:val="22"/>
              </w:rPr>
              <w:t>Uncommon:</w:t>
            </w:r>
          </w:p>
        </w:tc>
        <w:tc>
          <w:tcPr>
            <w:tcW w:w="7087" w:type="dxa"/>
          </w:tcPr>
          <w:p w14:paraId="1B680055" w14:textId="77777777" w:rsidR="00D87646" w:rsidRPr="00654EF1" w:rsidRDefault="00D87646" w:rsidP="001D5C8C">
            <w:pPr>
              <w:keepNext/>
              <w:widowControl w:val="0"/>
              <w:spacing w:line="240" w:lineRule="auto"/>
              <w:rPr>
                <w:color w:val="000000"/>
                <w:szCs w:val="22"/>
                <w:lang w:val="pt-PT"/>
              </w:rPr>
            </w:pPr>
            <w:r w:rsidRPr="00654EF1">
              <w:rPr>
                <w:color w:val="000000"/>
                <w:szCs w:val="22"/>
              </w:rPr>
              <w:t>Joint and muscle stiffness</w:t>
            </w:r>
          </w:p>
        </w:tc>
      </w:tr>
      <w:tr w:rsidR="00D87646" w:rsidRPr="00654EF1" w14:paraId="1B680059" w14:textId="77777777" w:rsidTr="009F0509">
        <w:trPr>
          <w:cantSplit/>
        </w:trPr>
        <w:tc>
          <w:tcPr>
            <w:tcW w:w="2235" w:type="dxa"/>
          </w:tcPr>
          <w:p w14:paraId="1B680057" w14:textId="77777777" w:rsidR="00D87646" w:rsidRPr="00654EF1" w:rsidRDefault="00D87646" w:rsidP="001D5C8C">
            <w:pPr>
              <w:keepNext/>
              <w:widowControl w:val="0"/>
              <w:spacing w:line="240" w:lineRule="auto"/>
              <w:rPr>
                <w:i/>
                <w:color w:val="000000"/>
                <w:szCs w:val="22"/>
              </w:rPr>
            </w:pPr>
            <w:r w:rsidRPr="00654EF1">
              <w:rPr>
                <w:i/>
                <w:color w:val="000000"/>
                <w:szCs w:val="22"/>
              </w:rPr>
              <w:t>Rare:</w:t>
            </w:r>
          </w:p>
        </w:tc>
        <w:tc>
          <w:tcPr>
            <w:tcW w:w="7087" w:type="dxa"/>
          </w:tcPr>
          <w:p w14:paraId="1B680058" w14:textId="77777777" w:rsidR="00D87646" w:rsidRPr="00280050" w:rsidRDefault="00D87646" w:rsidP="001D5C8C">
            <w:pPr>
              <w:keepNext/>
              <w:widowControl w:val="0"/>
              <w:spacing w:line="240" w:lineRule="auto"/>
              <w:rPr>
                <w:color w:val="000000"/>
                <w:szCs w:val="22"/>
              </w:rPr>
            </w:pPr>
            <w:r w:rsidRPr="00654EF1">
              <w:rPr>
                <w:bCs/>
                <w:color w:val="000000"/>
                <w:szCs w:val="22"/>
              </w:rPr>
              <w:t>Muscular weakness, arthritis</w:t>
            </w:r>
            <w:r w:rsidR="004A4ACA" w:rsidRPr="00654EF1">
              <w:rPr>
                <w:bCs/>
                <w:color w:val="000000"/>
                <w:szCs w:val="22"/>
              </w:rPr>
              <w:t xml:space="preserve">, </w:t>
            </w:r>
            <w:r w:rsidR="004A4ACA" w:rsidRPr="00654EF1">
              <w:rPr>
                <w:color w:val="000000"/>
                <w:szCs w:val="22"/>
              </w:rPr>
              <w:t>rhabdomyolysis/myopathy</w:t>
            </w:r>
          </w:p>
        </w:tc>
      </w:tr>
      <w:tr w:rsidR="00B17C8A" w:rsidRPr="00654EF1" w14:paraId="1B68005C" w14:textId="77777777" w:rsidTr="009F0509">
        <w:trPr>
          <w:cantSplit/>
        </w:trPr>
        <w:tc>
          <w:tcPr>
            <w:tcW w:w="2235" w:type="dxa"/>
          </w:tcPr>
          <w:p w14:paraId="1B68005A" w14:textId="77777777" w:rsidR="00B17C8A" w:rsidRPr="00654EF1" w:rsidRDefault="00B17C8A" w:rsidP="001D5C8C">
            <w:pPr>
              <w:widowControl w:val="0"/>
              <w:spacing w:line="240" w:lineRule="auto"/>
              <w:rPr>
                <w:i/>
                <w:color w:val="000000"/>
                <w:szCs w:val="22"/>
              </w:rPr>
            </w:pPr>
            <w:r w:rsidRPr="00654EF1">
              <w:rPr>
                <w:i/>
                <w:color w:val="000000"/>
                <w:szCs w:val="22"/>
              </w:rPr>
              <w:t>Not known:</w:t>
            </w:r>
          </w:p>
        </w:tc>
        <w:tc>
          <w:tcPr>
            <w:tcW w:w="7087" w:type="dxa"/>
          </w:tcPr>
          <w:p w14:paraId="1B68005B" w14:textId="77777777" w:rsidR="00B17C8A" w:rsidRPr="00654EF1" w:rsidRDefault="008E0223" w:rsidP="001D5C8C">
            <w:pPr>
              <w:widowControl w:val="0"/>
              <w:spacing w:line="240" w:lineRule="auto"/>
              <w:rPr>
                <w:bCs/>
                <w:color w:val="000000"/>
                <w:szCs w:val="22"/>
              </w:rPr>
            </w:pPr>
            <w:r w:rsidRPr="00654EF1">
              <w:rPr>
                <w:color w:val="000000"/>
                <w:szCs w:val="22"/>
              </w:rPr>
              <w:t xml:space="preserve">Avascular necrosis/hip necrosis*, </w:t>
            </w:r>
            <w:r w:rsidR="006A5BD3" w:rsidRPr="00654EF1">
              <w:rPr>
                <w:color w:val="000000"/>
                <w:szCs w:val="22"/>
              </w:rPr>
              <w:t>g</w:t>
            </w:r>
            <w:r w:rsidR="00B17C8A" w:rsidRPr="00654EF1">
              <w:rPr>
                <w:bCs/>
                <w:color w:val="000000"/>
                <w:szCs w:val="22"/>
              </w:rPr>
              <w:t>rowth retardation in children</w:t>
            </w:r>
            <w:r w:rsidR="00B17C8A" w:rsidRPr="00654EF1">
              <w:rPr>
                <w:color w:val="000000"/>
                <w:szCs w:val="22"/>
              </w:rPr>
              <w:t>*</w:t>
            </w:r>
          </w:p>
        </w:tc>
      </w:tr>
      <w:tr w:rsidR="00D46775" w:rsidRPr="00654EF1" w14:paraId="1B68005E" w14:textId="77777777" w:rsidTr="009F0509">
        <w:trPr>
          <w:cantSplit/>
        </w:trPr>
        <w:tc>
          <w:tcPr>
            <w:tcW w:w="9322" w:type="dxa"/>
            <w:gridSpan w:val="2"/>
          </w:tcPr>
          <w:p w14:paraId="1B68005D" w14:textId="77777777" w:rsidR="00D46775" w:rsidRPr="00654EF1" w:rsidRDefault="00D46775" w:rsidP="001D5C8C">
            <w:pPr>
              <w:keepNext/>
              <w:widowControl w:val="0"/>
              <w:spacing w:line="240" w:lineRule="auto"/>
              <w:rPr>
                <w:b/>
                <w:color w:val="000000"/>
                <w:szCs w:val="22"/>
                <w:u w:val="single"/>
              </w:rPr>
            </w:pPr>
            <w:r w:rsidRPr="00654EF1">
              <w:rPr>
                <w:b/>
                <w:color w:val="000000"/>
                <w:szCs w:val="22"/>
              </w:rPr>
              <w:t>Renal and urinary disorders</w:t>
            </w:r>
          </w:p>
        </w:tc>
      </w:tr>
      <w:tr w:rsidR="00D46775" w:rsidRPr="00654EF1" w14:paraId="1B680061" w14:textId="77777777" w:rsidTr="009F0509">
        <w:trPr>
          <w:cantSplit/>
        </w:trPr>
        <w:tc>
          <w:tcPr>
            <w:tcW w:w="2235" w:type="dxa"/>
          </w:tcPr>
          <w:p w14:paraId="1B68005F" w14:textId="77777777" w:rsidR="00D46775" w:rsidRPr="00654EF1" w:rsidRDefault="00D46775" w:rsidP="001D5C8C">
            <w:pPr>
              <w:keepNext/>
              <w:widowControl w:val="0"/>
              <w:spacing w:line="240" w:lineRule="auto"/>
              <w:rPr>
                <w:color w:val="000000"/>
              </w:rPr>
            </w:pPr>
            <w:r w:rsidRPr="00654EF1">
              <w:rPr>
                <w:i/>
                <w:color w:val="000000"/>
                <w:szCs w:val="22"/>
              </w:rPr>
              <w:t>Uncommon:</w:t>
            </w:r>
          </w:p>
        </w:tc>
        <w:tc>
          <w:tcPr>
            <w:tcW w:w="7087" w:type="dxa"/>
          </w:tcPr>
          <w:p w14:paraId="1B680060" w14:textId="77777777" w:rsidR="00D46775" w:rsidRPr="00654EF1" w:rsidRDefault="00D46775" w:rsidP="001D5C8C">
            <w:pPr>
              <w:keepNext/>
              <w:widowControl w:val="0"/>
              <w:spacing w:line="240" w:lineRule="auto"/>
              <w:rPr>
                <w:color w:val="000000"/>
              </w:rPr>
            </w:pPr>
            <w:r w:rsidRPr="00654EF1">
              <w:rPr>
                <w:color w:val="000000"/>
                <w:szCs w:val="22"/>
              </w:rPr>
              <w:t>Renal pain, haematuria, renal failure acute, urinary frequency increased</w:t>
            </w:r>
          </w:p>
        </w:tc>
      </w:tr>
      <w:tr w:rsidR="00FF7AE4" w:rsidRPr="00654EF1" w14:paraId="1B680064" w14:textId="77777777" w:rsidTr="009F0509">
        <w:trPr>
          <w:cantSplit/>
        </w:trPr>
        <w:tc>
          <w:tcPr>
            <w:tcW w:w="2235" w:type="dxa"/>
          </w:tcPr>
          <w:p w14:paraId="1B680062" w14:textId="77777777" w:rsidR="00FF7AE4" w:rsidRPr="00654EF1" w:rsidRDefault="00FF7AE4" w:rsidP="001D5C8C">
            <w:pPr>
              <w:widowControl w:val="0"/>
              <w:spacing w:line="240" w:lineRule="auto"/>
              <w:rPr>
                <w:i/>
                <w:color w:val="000000"/>
                <w:szCs w:val="22"/>
              </w:rPr>
            </w:pPr>
            <w:r w:rsidRPr="00654EF1">
              <w:rPr>
                <w:i/>
                <w:color w:val="000000"/>
                <w:szCs w:val="22"/>
              </w:rPr>
              <w:t>Not known:</w:t>
            </w:r>
          </w:p>
        </w:tc>
        <w:tc>
          <w:tcPr>
            <w:tcW w:w="7087" w:type="dxa"/>
          </w:tcPr>
          <w:p w14:paraId="1B680063" w14:textId="77777777" w:rsidR="00FF7AE4" w:rsidRPr="00654EF1" w:rsidRDefault="00FF7AE4" w:rsidP="001D5C8C">
            <w:pPr>
              <w:widowControl w:val="0"/>
              <w:spacing w:line="240" w:lineRule="auto"/>
              <w:rPr>
                <w:color w:val="000000"/>
                <w:szCs w:val="22"/>
              </w:rPr>
            </w:pPr>
            <w:r w:rsidRPr="00654EF1">
              <w:rPr>
                <w:color w:val="000000"/>
                <w:szCs w:val="22"/>
              </w:rPr>
              <w:t>Renal failure chronic</w:t>
            </w:r>
          </w:p>
        </w:tc>
      </w:tr>
      <w:tr w:rsidR="00D46775" w:rsidRPr="00654EF1" w14:paraId="1B680066" w14:textId="77777777" w:rsidTr="009F0509">
        <w:trPr>
          <w:cantSplit/>
        </w:trPr>
        <w:tc>
          <w:tcPr>
            <w:tcW w:w="9322" w:type="dxa"/>
            <w:gridSpan w:val="2"/>
          </w:tcPr>
          <w:p w14:paraId="1B680065" w14:textId="77777777" w:rsidR="00D46775" w:rsidRPr="00654EF1" w:rsidRDefault="00D46775" w:rsidP="001D5C8C">
            <w:pPr>
              <w:keepNext/>
              <w:widowControl w:val="0"/>
              <w:spacing w:line="240" w:lineRule="auto"/>
              <w:rPr>
                <w:color w:val="000000"/>
                <w:szCs w:val="22"/>
              </w:rPr>
            </w:pPr>
            <w:r w:rsidRPr="00654EF1">
              <w:rPr>
                <w:b/>
                <w:color w:val="000000"/>
                <w:szCs w:val="22"/>
              </w:rPr>
              <w:t>Reproductive system and breast disorders</w:t>
            </w:r>
          </w:p>
        </w:tc>
      </w:tr>
      <w:tr w:rsidR="00D46775" w:rsidRPr="00654EF1" w14:paraId="1B680069" w14:textId="77777777" w:rsidTr="009F0509">
        <w:trPr>
          <w:cantSplit/>
        </w:trPr>
        <w:tc>
          <w:tcPr>
            <w:tcW w:w="2235" w:type="dxa"/>
          </w:tcPr>
          <w:p w14:paraId="1B680067" w14:textId="77777777" w:rsidR="00D46775" w:rsidRPr="00654EF1" w:rsidRDefault="00D46775" w:rsidP="001D5C8C">
            <w:pPr>
              <w:keepNext/>
              <w:widowControl w:val="0"/>
              <w:spacing w:line="240" w:lineRule="auto"/>
              <w:rPr>
                <w:i/>
                <w:color w:val="000000"/>
                <w:szCs w:val="22"/>
              </w:rPr>
            </w:pPr>
            <w:r w:rsidRPr="00654EF1">
              <w:rPr>
                <w:i/>
                <w:color w:val="000000"/>
                <w:szCs w:val="22"/>
              </w:rPr>
              <w:t>Uncommon:</w:t>
            </w:r>
          </w:p>
        </w:tc>
        <w:tc>
          <w:tcPr>
            <w:tcW w:w="7087" w:type="dxa"/>
          </w:tcPr>
          <w:p w14:paraId="1B680068" w14:textId="77777777" w:rsidR="00D46775" w:rsidRPr="00654EF1" w:rsidRDefault="00D46775" w:rsidP="001D5C8C">
            <w:pPr>
              <w:keepNext/>
              <w:widowControl w:val="0"/>
              <w:spacing w:line="240" w:lineRule="auto"/>
              <w:rPr>
                <w:color w:val="000000"/>
                <w:szCs w:val="22"/>
              </w:rPr>
            </w:pPr>
            <w:r w:rsidRPr="00654EF1">
              <w:rPr>
                <w:color w:val="000000"/>
                <w:szCs w:val="22"/>
              </w:rPr>
              <w:t>Gynaecomastia, erectile dysfunction, menorrhagia, menstruation irregular, sexual dysfunction, nipple pain, breast enlargement, scrotal oedema</w:t>
            </w:r>
          </w:p>
        </w:tc>
      </w:tr>
      <w:tr w:rsidR="00D46775" w:rsidRPr="00654EF1" w14:paraId="1B68006C" w14:textId="77777777" w:rsidTr="009F0509">
        <w:trPr>
          <w:cantSplit/>
        </w:trPr>
        <w:tc>
          <w:tcPr>
            <w:tcW w:w="2235" w:type="dxa"/>
          </w:tcPr>
          <w:p w14:paraId="1B68006A" w14:textId="77777777" w:rsidR="00D46775" w:rsidRPr="00654EF1" w:rsidRDefault="00D46775" w:rsidP="001D5C8C">
            <w:pPr>
              <w:widowControl w:val="0"/>
              <w:spacing w:line="240" w:lineRule="auto"/>
              <w:rPr>
                <w:i/>
                <w:color w:val="000000"/>
                <w:szCs w:val="22"/>
              </w:rPr>
            </w:pPr>
            <w:r w:rsidRPr="00654EF1">
              <w:rPr>
                <w:i/>
                <w:color w:val="000000"/>
                <w:szCs w:val="22"/>
              </w:rPr>
              <w:t>Rare:</w:t>
            </w:r>
          </w:p>
        </w:tc>
        <w:tc>
          <w:tcPr>
            <w:tcW w:w="7087" w:type="dxa"/>
          </w:tcPr>
          <w:p w14:paraId="1B68006B" w14:textId="77777777" w:rsidR="00D46775" w:rsidRPr="00654EF1" w:rsidRDefault="00D46775" w:rsidP="001D5C8C">
            <w:pPr>
              <w:widowControl w:val="0"/>
              <w:spacing w:line="240" w:lineRule="auto"/>
              <w:rPr>
                <w:color w:val="000000"/>
                <w:szCs w:val="22"/>
              </w:rPr>
            </w:pPr>
            <w:r w:rsidRPr="00654EF1">
              <w:rPr>
                <w:color w:val="000000"/>
                <w:szCs w:val="22"/>
              </w:rPr>
              <w:t>Haemorrhagic corpus luteum/haemorrhagic ovarian cyst</w:t>
            </w:r>
          </w:p>
        </w:tc>
      </w:tr>
      <w:tr w:rsidR="00D87646" w:rsidRPr="00654EF1" w14:paraId="1B68006E" w14:textId="77777777" w:rsidTr="009F0509">
        <w:trPr>
          <w:cantSplit/>
        </w:trPr>
        <w:tc>
          <w:tcPr>
            <w:tcW w:w="9322" w:type="dxa"/>
            <w:gridSpan w:val="2"/>
          </w:tcPr>
          <w:p w14:paraId="1B68006D" w14:textId="77777777" w:rsidR="00D87646" w:rsidRPr="00654EF1" w:rsidRDefault="00D87646" w:rsidP="001D5C8C">
            <w:pPr>
              <w:keepNext/>
              <w:widowControl w:val="0"/>
              <w:spacing w:line="240" w:lineRule="auto"/>
              <w:rPr>
                <w:color w:val="000000"/>
                <w:szCs w:val="22"/>
              </w:rPr>
            </w:pPr>
            <w:r w:rsidRPr="00654EF1">
              <w:rPr>
                <w:b/>
                <w:color w:val="000000"/>
                <w:szCs w:val="22"/>
              </w:rPr>
              <w:lastRenderedPageBreak/>
              <w:t>General disorders and administration site conditions</w:t>
            </w:r>
          </w:p>
        </w:tc>
      </w:tr>
      <w:tr w:rsidR="00D87646" w:rsidRPr="00654EF1" w14:paraId="1B680071" w14:textId="77777777" w:rsidTr="009F0509">
        <w:trPr>
          <w:cantSplit/>
        </w:trPr>
        <w:tc>
          <w:tcPr>
            <w:tcW w:w="2235" w:type="dxa"/>
          </w:tcPr>
          <w:p w14:paraId="1B68006F" w14:textId="77777777" w:rsidR="00D87646" w:rsidRPr="00654EF1" w:rsidRDefault="00D87646" w:rsidP="001D5C8C">
            <w:pPr>
              <w:keepNext/>
              <w:widowControl w:val="0"/>
              <w:spacing w:line="240" w:lineRule="auto"/>
              <w:rPr>
                <w:i/>
                <w:color w:val="000000"/>
                <w:szCs w:val="22"/>
              </w:rPr>
            </w:pPr>
            <w:r w:rsidRPr="00654EF1">
              <w:rPr>
                <w:i/>
                <w:color w:val="000000"/>
                <w:szCs w:val="22"/>
              </w:rPr>
              <w:t>Very common:</w:t>
            </w:r>
          </w:p>
        </w:tc>
        <w:tc>
          <w:tcPr>
            <w:tcW w:w="7087" w:type="dxa"/>
          </w:tcPr>
          <w:p w14:paraId="1B680070" w14:textId="77777777" w:rsidR="00D87646" w:rsidRPr="00654EF1" w:rsidRDefault="00D87646" w:rsidP="001D5C8C">
            <w:pPr>
              <w:keepNext/>
              <w:widowControl w:val="0"/>
              <w:spacing w:line="240" w:lineRule="auto"/>
              <w:rPr>
                <w:color w:val="000000"/>
                <w:szCs w:val="22"/>
              </w:rPr>
            </w:pPr>
            <w:r w:rsidRPr="00654EF1">
              <w:rPr>
                <w:color w:val="000000"/>
                <w:szCs w:val="22"/>
              </w:rPr>
              <w:t>Fluid retention and oedema, fatigue</w:t>
            </w:r>
          </w:p>
        </w:tc>
      </w:tr>
      <w:tr w:rsidR="00D87646" w:rsidRPr="00654EF1" w14:paraId="1B680074" w14:textId="77777777" w:rsidTr="009F0509">
        <w:trPr>
          <w:cantSplit/>
        </w:trPr>
        <w:tc>
          <w:tcPr>
            <w:tcW w:w="2235" w:type="dxa"/>
          </w:tcPr>
          <w:p w14:paraId="1B680072" w14:textId="77777777" w:rsidR="00D87646" w:rsidRPr="00654EF1" w:rsidRDefault="00D87646" w:rsidP="001D5C8C">
            <w:pPr>
              <w:keepNext/>
              <w:widowControl w:val="0"/>
              <w:spacing w:line="240" w:lineRule="auto"/>
              <w:rPr>
                <w:i/>
                <w:color w:val="000000"/>
                <w:szCs w:val="22"/>
              </w:rPr>
            </w:pPr>
            <w:r w:rsidRPr="00654EF1">
              <w:rPr>
                <w:i/>
                <w:color w:val="000000"/>
                <w:szCs w:val="22"/>
              </w:rPr>
              <w:t>Common:</w:t>
            </w:r>
          </w:p>
        </w:tc>
        <w:tc>
          <w:tcPr>
            <w:tcW w:w="7087" w:type="dxa"/>
          </w:tcPr>
          <w:p w14:paraId="1B680073" w14:textId="77777777" w:rsidR="00D87646" w:rsidRPr="00654EF1" w:rsidRDefault="00D87646" w:rsidP="001D5C8C">
            <w:pPr>
              <w:keepNext/>
              <w:widowControl w:val="0"/>
              <w:spacing w:line="240" w:lineRule="auto"/>
              <w:rPr>
                <w:color w:val="000000"/>
                <w:szCs w:val="22"/>
              </w:rPr>
            </w:pPr>
            <w:r w:rsidRPr="00654EF1">
              <w:rPr>
                <w:color w:val="000000"/>
                <w:szCs w:val="22"/>
              </w:rPr>
              <w:t>Weakness, pyrexia, anasarca, chills, rigors</w:t>
            </w:r>
          </w:p>
        </w:tc>
      </w:tr>
      <w:tr w:rsidR="00D87646" w:rsidRPr="00654EF1" w14:paraId="1B680077" w14:textId="77777777" w:rsidTr="009F0509">
        <w:trPr>
          <w:cantSplit/>
        </w:trPr>
        <w:tc>
          <w:tcPr>
            <w:tcW w:w="2235" w:type="dxa"/>
          </w:tcPr>
          <w:p w14:paraId="1B680075" w14:textId="77777777" w:rsidR="00D87646" w:rsidRPr="00654EF1" w:rsidRDefault="00D87646" w:rsidP="001D5C8C">
            <w:pPr>
              <w:widowControl w:val="0"/>
              <w:spacing w:line="240" w:lineRule="auto"/>
              <w:rPr>
                <w:i/>
                <w:color w:val="000000"/>
                <w:szCs w:val="22"/>
              </w:rPr>
            </w:pPr>
            <w:r w:rsidRPr="00654EF1">
              <w:rPr>
                <w:i/>
                <w:color w:val="000000"/>
                <w:szCs w:val="22"/>
              </w:rPr>
              <w:t>Uncommon:</w:t>
            </w:r>
          </w:p>
        </w:tc>
        <w:tc>
          <w:tcPr>
            <w:tcW w:w="7087" w:type="dxa"/>
          </w:tcPr>
          <w:p w14:paraId="1B680076" w14:textId="77777777" w:rsidR="00D87646" w:rsidRPr="00654EF1" w:rsidRDefault="00D87646" w:rsidP="001D5C8C">
            <w:pPr>
              <w:widowControl w:val="0"/>
              <w:spacing w:line="240" w:lineRule="auto"/>
              <w:rPr>
                <w:color w:val="000000"/>
                <w:szCs w:val="22"/>
              </w:rPr>
            </w:pPr>
            <w:r w:rsidRPr="00654EF1">
              <w:rPr>
                <w:color w:val="000000"/>
                <w:szCs w:val="22"/>
                <w:lang w:val="fr-FR"/>
              </w:rPr>
              <w:t>Chest pain, malaise</w:t>
            </w:r>
          </w:p>
        </w:tc>
      </w:tr>
      <w:tr w:rsidR="00D46775" w:rsidRPr="00654EF1" w14:paraId="1B680079" w14:textId="77777777" w:rsidTr="009F0509">
        <w:trPr>
          <w:cantSplit/>
        </w:trPr>
        <w:tc>
          <w:tcPr>
            <w:tcW w:w="9322" w:type="dxa"/>
            <w:gridSpan w:val="2"/>
          </w:tcPr>
          <w:p w14:paraId="1B680078" w14:textId="77777777" w:rsidR="00D46775" w:rsidRPr="00654EF1" w:rsidRDefault="00D46775" w:rsidP="001D5C8C">
            <w:pPr>
              <w:keepNext/>
              <w:widowControl w:val="0"/>
              <w:spacing w:line="240" w:lineRule="auto"/>
              <w:rPr>
                <w:color w:val="000000"/>
              </w:rPr>
            </w:pPr>
            <w:r w:rsidRPr="00654EF1">
              <w:rPr>
                <w:b/>
                <w:color w:val="000000"/>
                <w:szCs w:val="22"/>
                <w:lang w:val="fr-FR"/>
              </w:rPr>
              <w:t>Investigations</w:t>
            </w:r>
          </w:p>
        </w:tc>
      </w:tr>
      <w:tr w:rsidR="00D46775" w:rsidRPr="00654EF1" w14:paraId="1B68007C" w14:textId="77777777" w:rsidTr="009F0509">
        <w:trPr>
          <w:cantSplit/>
        </w:trPr>
        <w:tc>
          <w:tcPr>
            <w:tcW w:w="2235" w:type="dxa"/>
          </w:tcPr>
          <w:p w14:paraId="1B68007A" w14:textId="77777777" w:rsidR="00D46775" w:rsidRPr="00654EF1" w:rsidRDefault="00D46775" w:rsidP="001D5C8C">
            <w:pPr>
              <w:keepNext/>
              <w:widowControl w:val="0"/>
              <w:spacing w:line="240" w:lineRule="auto"/>
              <w:rPr>
                <w:color w:val="000000"/>
              </w:rPr>
            </w:pPr>
            <w:r w:rsidRPr="00654EF1">
              <w:rPr>
                <w:i/>
                <w:color w:val="000000"/>
                <w:szCs w:val="22"/>
              </w:rPr>
              <w:t>Very common:</w:t>
            </w:r>
          </w:p>
        </w:tc>
        <w:tc>
          <w:tcPr>
            <w:tcW w:w="7087" w:type="dxa"/>
          </w:tcPr>
          <w:p w14:paraId="1B68007B" w14:textId="77777777" w:rsidR="00D46775" w:rsidRPr="00654EF1" w:rsidRDefault="00D46775" w:rsidP="001D5C8C">
            <w:pPr>
              <w:keepNext/>
              <w:widowControl w:val="0"/>
              <w:spacing w:line="240" w:lineRule="auto"/>
              <w:rPr>
                <w:color w:val="000000"/>
              </w:rPr>
            </w:pPr>
            <w:r w:rsidRPr="00654EF1">
              <w:rPr>
                <w:color w:val="000000"/>
                <w:szCs w:val="22"/>
              </w:rPr>
              <w:t>Weight increased</w:t>
            </w:r>
          </w:p>
        </w:tc>
      </w:tr>
      <w:tr w:rsidR="00D46775" w:rsidRPr="00654EF1" w14:paraId="1B68007F" w14:textId="77777777" w:rsidTr="009F0509">
        <w:trPr>
          <w:cantSplit/>
        </w:trPr>
        <w:tc>
          <w:tcPr>
            <w:tcW w:w="2235" w:type="dxa"/>
          </w:tcPr>
          <w:p w14:paraId="1B68007D" w14:textId="77777777" w:rsidR="00D46775" w:rsidRPr="00654EF1" w:rsidRDefault="00D46775" w:rsidP="001D5C8C">
            <w:pPr>
              <w:keepNext/>
              <w:widowControl w:val="0"/>
              <w:spacing w:line="240" w:lineRule="auto"/>
              <w:rPr>
                <w:color w:val="000000"/>
              </w:rPr>
            </w:pPr>
            <w:r w:rsidRPr="00654EF1">
              <w:rPr>
                <w:i/>
                <w:color w:val="000000"/>
                <w:szCs w:val="22"/>
              </w:rPr>
              <w:t>Common</w:t>
            </w:r>
            <w:r w:rsidRPr="00654EF1">
              <w:rPr>
                <w:color w:val="000000"/>
                <w:szCs w:val="22"/>
              </w:rPr>
              <w:t>:</w:t>
            </w:r>
          </w:p>
        </w:tc>
        <w:tc>
          <w:tcPr>
            <w:tcW w:w="7087" w:type="dxa"/>
          </w:tcPr>
          <w:p w14:paraId="1B68007E" w14:textId="77777777" w:rsidR="00D46775" w:rsidRPr="00654EF1" w:rsidRDefault="00D46775" w:rsidP="001D5C8C">
            <w:pPr>
              <w:keepNext/>
              <w:widowControl w:val="0"/>
              <w:spacing w:line="240" w:lineRule="auto"/>
              <w:rPr>
                <w:color w:val="000000"/>
              </w:rPr>
            </w:pPr>
            <w:r w:rsidRPr="00654EF1">
              <w:rPr>
                <w:color w:val="000000"/>
                <w:szCs w:val="22"/>
              </w:rPr>
              <w:t>Weight decreased</w:t>
            </w:r>
          </w:p>
        </w:tc>
      </w:tr>
      <w:tr w:rsidR="00D46775" w:rsidRPr="00654EF1" w14:paraId="1B680082" w14:textId="77777777" w:rsidTr="009F0509">
        <w:trPr>
          <w:cantSplit/>
        </w:trPr>
        <w:tc>
          <w:tcPr>
            <w:tcW w:w="2235" w:type="dxa"/>
          </w:tcPr>
          <w:p w14:paraId="1B680080" w14:textId="77777777" w:rsidR="00D46775" w:rsidRPr="00654EF1" w:rsidRDefault="00D46775" w:rsidP="001D5C8C">
            <w:pPr>
              <w:keepNext/>
              <w:widowControl w:val="0"/>
              <w:spacing w:line="240" w:lineRule="auto"/>
              <w:rPr>
                <w:color w:val="000000"/>
              </w:rPr>
            </w:pPr>
            <w:r w:rsidRPr="00654EF1">
              <w:rPr>
                <w:i/>
                <w:color w:val="000000"/>
                <w:szCs w:val="22"/>
              </w:rPr>
              <w:t>Uncommon</w:t>
            </w:r>
            <w:r w:rsidRPr="00654EF1">
              <w:rPr>
                <w:color w:val="000000"/>
                <w:szCs w:val="22"/>
              </w:rPr>
              <w:t>:</w:t>
            </w:r>
          </w:p>
        </w:tc>
        <w:tc>
          <w:tcPr>
            <w:tcW w:w="7087" w:type="dxa"/>
          </w:tcPr>
          <w:p w14:paraId="1B680081" w14:textId="77777777" w:rsidR="00D46775" w:rsidRPr="00654EF1" w:rsidRDefault="00D46775" w:rsidP="001D5C8C">
            <w:pPr>
              <w:keepNext/>
              <w:widowControl w:val="0"/>
              <w:spacing w:line="240" w:lineRule="auto"/>
              <w:rPr>
                <w:color w:val="000000"/>
              </w:rPr>
            </w:pPr>
            <w:r w:rsidRPr="00654EF1">
              <w:rPr>
                <w:color w:val="000000"/>
                <w:szCs w:val="22"/>
              </w:rPr>
              <w:t>Blood creatinine increased, blood creatine phosphokinase increased, blood lactate dehydrogenase increased, blood alkaline phosphatase increased</w:t>
            </w:r>
          </w:p>
        </w:tc>
      </w:tr>
      <w:tr w:rsidR="00D46775" w:rsidRPr="00654EF1" w14:paraId="1B680085" w14:textId="77777777" w:rsidTr="009F0509">
        <w:trPr>
          <w:cantSplit/>
        </w:trPr>
        <w:tc>
          <w:tcPr>
            <w:tcW w:w="2235" w:type="dxa"/>
          </w:tcPr>
          <w:p w14:paraId="1B680083" w14:textId="77777777" w:rsidR="00D46775" w:rsidRPr="00654EF1" w:rsidRDefault="00D46775" w:rsidP="001D5C8C">
            <w:pPr>
              <w:keepNext/>
              <w:widowControl w:val="0"/>
              <w:spacing w:line="240" w:lineRule="auto"/>
              <w:rPr>
                <w:i/>
                <w:color w:val="000000"/>
                <w:szCs w:val="22"/>
              </w:rPr>
            </w:pPr>
            <w:r w:rsidRPr="00654EF1">
              <w:rPr>
                <w:i/>
                <w:color w:val="000000"/>
                <w:szCs w:val="22"/>
              </w:rPr>
              <w:t>Rare:</w:t>
            </w:r>
          </w:p>
        </w:tc>
        <w:tc>
          <w:tcPr>
            <w:tcW w:w="7087" w:type="dxa"/>
          </w:tcPr>
          <w:p w14:paraId="1B680084" w14:textId="77777777" w:rsidR="00D46775" w:rsidRPr="00654EF1" w:rsidRDefault="00D46775" w:rsidP="001D5C8C">
            <w:pPr>
              <w:keepNext/>
              <w:widowControl w:val="0"/>
              <w:spacing w:line="240" w:lineRule="auto"/>
              <w:rPr>
                <w:color w:val="000000"/>
                <w:szCs w:val="22"/>
              </w:rPr>
            </w:pPr>
            <w:r w:rsidRPr="00654EF1">
              <w:rPr>
                <w:color w:val="000000"/>
                <w:szCs w:val="22"/>
              </w:rPr>
              <w:t>Blood amylase increased</w:t>
            </w:r>
          </w:p>
        </w:tc>
      </w:tr>
    </w:tbl>
    <w:p w14:paraId="1B680086" w14:textId="77777777" w:rsidR="00142DE1" w:rsidRPr="00654EF1" w:rsidRDefault="00142DE1" w:rsidP="001D5C8C">
      <w:pPr>
        <w:keepNext/>
        <w:widowControl w:val="0"/>
        <w:spacing w:line="240" w:lineRule="auto"/>
        <w:rPr>
          <w:color w:val="000000"/>
          <w:szCs w:val="22"/>
        </w:rPr>
      </w:pPr>
    </w:p>
    <w:p w14:paraId="1B680087" w14:textId="77777777" w:rsidR="00B17C8A" w:rsidRPr="00654EF1" w:rsidRDefault="00B17C8A" w:rsidP="001D5C8C">
      <w:pPr>
        <w:keepNext/>
        <w:widowControl w:val="0"/>
        <w:spacing w:line="240" w:lineRule="auto"/>
        <w:ind w:left="567" w:hanging="567"/>
        <w:rPr>
          <w:color w:val="000000"/>
          <w:szCs w:val="22"/>
        </w:rPr>
      </w:pPr>
      <w:r w:rsidRPr="00654EF1">
        <w:rPr>
          <w:color w:val="000000"/>
          <w:szCs w:val="22"/>
        </w:rPr>
        <w:t>*</w:t>
      </w:r>
      <w:r w:rsidRPr="00654EF1">
        <w:rPr>
          <w:color w:val="000000"/>
          <w:szCs w:val="22"/>
        </w:rPr>
        <w:tab/>
      </w:r>
      <w:r w:rsidR="008E0223" w:rsidRPr="00654EF1">
        <w:rPr>
          <w:color w:val="000000"/>
          <w:szCs w:val="22"/>
        </w:rPr>
        <w:t>These types of reactions have been reported mainly from post-marketing experience with Glivec. This includes spontaneous case reports as well as serious adverse events from ongoing studies, the expanded access programmes, clinical pharmacology studies and exploratory studies in unapproved indications. Because these reactions are reported from a population of uncertain size, it is not always possible to reliably estimate their frequency or establish a causal relationship to imatinib exposure</w:t>
      </w:r>
      <w:r w:rsidR="006A5BD3" w:rsidRPr="00654EF1">
        <w:rPr>
          <w:color w:val="000000"/>
          <w:szCs w:val="22"/>
        </w:rPr>
        <w:t>.</w:t>
      </w:r>
    </w:p>
    <w:p w14:paraId="1B680088" w14:textId="77777777" w:rsidR="00D61994" w:rsidRPr="00654EF1" w:rsidRDefault="00D61994" w:rsidP="001D5C8C">
      <w:pPr>
        <w:keepNext/>
        <w:widowControl w:val="0"/>
        <w:tabs>
          <w:tab w:val="clear" w:pos="567"/>
        </w:tabs>
        <w:spacing w:line="240" w:lineRule="auto"/>
        <w:ind w:left="567" w:hanging="567"/>
        <w:rPr>
          <w:color w:val="000000"/>
          <w:szCs w:val="22"/>
        </w:rPr>
      </w:pPr>
      <w:r w:rsidRPr="00654EF1">
        <w:rPr>
          <w:color w:val="000000"/>
          <w:szCs w:val="22"/>
        </w:rPr>
        <w:t>1</w:t>
      </w:r>
      <w:r w:rsidRPr="00654EF1">
        <w:rPr>
          <w:color w:val="000000"/>
          <w:szCs w:val="22"/>
        </w:rPr>
        <w:tab/>
      </w:r>
      <w:r w:rsidR="008B6A91" w:rsidRPr="00654EF1">
        <w:rPr>
          <w:color w:val="000000"/>
          <w:szCs w:val="22"/>
        </w:rPr>
        <w:t>Pneumonia was reported most commonly in patients with transformed CML and in patients with GIST.</w:t>
      </w:r>
    </w:p>
    <w:p w14:paraId="1B680089" w14:textId="77777777" w:rsidR="00D61994" w:rsidRPr="00654EF1" w:rsidRDefault="00D61994" w:rsidP="001D5C8C">
      <w:pPr>
        <w:keepNext/>
        <w:widowControl w:val="0"/>
        <w:tabs>
          <w:tab w:val="clear" w:pos="567"/>
        </w:tabs>
        <w:spacing w:line="240" w:lineRule="auto"/>
        <w:ind w:left="567" w:hanging="567"/>
        <w:rPr>
          <w:color w:val="000000"/>
          <w:szCs w:val="22"/>
        </w:rPr>
      </w:pPr>
      <w:r w:rsidRPr="00654EF1">
        <w:rPr>
          <w:color w:val="000000"/>
          <w:szCs w:val="22"/>
        </w:rPr>
        <w:t>2</w:t>
      </w:r>
      <w:r w:rsidRPr="00654EF1">
        <w:rPr>
          <w:color w:val="000000"/>
          <w:szCs w:val="22"/>
        </w:rPr>
        <w:tab/>
        <w:t>Headache was the most common in GIST patients.</w:t>
      </w:r>
    </w:p>
    <w:p w14:paraId="1B68008A" w14:textId="77777777" w:rsidR="00D61994" w:rsidRPr="00654EF1" w:rsidRDefault="00D61994" w:rsidP="001D5C8C">
      <w:pPr>
        <w:keepNext/>
        <w:widowControl w:val="0"/>
        <w:tabs>
          <w:tab w:val="clear" w:pos="567"/>
        </w:tabs>
        <w:spacing w:line="240" w:lineRule="auto"/>
        <w:ind w:left="567" w:hanging="567"/>
        <w:rPr>
          <w:color w:val="000000"/>
          <w:szCs w:val="22"/>
        </w:rPr>
      </w:pPr>
      <w:r w:rsidRPr="00654EF1">
        <w:rPr>
          <w:color w:val="000000"/>
          <w:szCs w:val="22"/>
        </w:rPr>
        <w:t>3</w:t>
      </w:r>
      <w:r w:rsidRPr="00654EF1">
        <w:rPr>
          <w:color w:val="000000"/>
          <w:szCs w:val="22"/>
        </w:rPr>
        <w:tab/>
      </w:r>
      <w:r w:rsidR="008B6A91" w:rsidRPr="00654EF1">
        <w:rPr>
          <w:color w:val="000000"/>
          <w:szCs w:val="22"/>
        </w:rPr>
        <w:t>On a patient-year basis, cardiac events including congestive heart failure were more commonly observed in patients with transformed CML than in patients with chronic CML.</w:t>
      </w:r>
    </w:p>
    <w:p w14:paraId="1B68008B" w14:textId="77777777" w:rsidR="008B6A91" w:rsidRPr="00654EF1" w:rsidRDefault="008B6A91" w:rsidP="001D5C8C">
      <w:pPr>
        <w:keepNext/>
        <w:widowControl w:val="0"/>
        <w:tabs>
          <w:tab w:val="clear" w:pos="567"/>
        </w:tabs>
        <w:spacing w:line="240" w:lineRule="auto"/>
        <w:ind w:left="567" w:hanging="567"/>
        <w:rPr>
          <w:color w:val="000000"/>
          <w:szCs w:val="22"/>
        </w:rPr>
      </w:pPr>
      <w:r w:rsidRPr="00654EF1">
        <w:rPr>
          <w:color w:val="000000"/>
          <w:szCs w:val="22"/>
        </w:rPr>
        <w:t>4</w:t>
      </w:r>
      <w:r w:rsidRPr="00654EF1">
        <w:rPr>
          <w:color w:val="000000"/>
          <w:szCs w:val="22"/>
        </w:rPr>
        <w:tab/>
      </w:r>
      <w:smartTag w:uri="urn:schemas-microsoft-com:office:smarttags" w:element="place">
        <w:r w:rsidRPr="00654EF1">
          <w:rPr>
            <w:color w:val="000000"/>
            <w:szCs w:val="22"/>
          </w:rPr>
          <w:t>Flushing</w:t>
        </w:r>
      </w:smartTag>
      <w:r w:rsidRPr="00654EF1">
        <w:rPr>
          <w:color w:val="000000"/>
          <w:szCs w:val="22"/>
        </w:rPr>
        <w:t xml:space="preserve"> was most common in GIST patients and bleeding (haematoma, haemorrhage) was most common in patients with GIST and with transformed CML (CML-AP and CML-BC).</w:t>
      </w:r>
    </w:p>
    <w:p w14:paraId="1B68008C" w14:textId="77777777" w:rsidR="008B6A91" w:rsidRPr="00654EF1" w:rsidRDefault="008B6A91" w:rsidP="001D5C8C">
      <w:pPr>
        <w:keepNext/>
        <w:widowControl w:val="0"/>
        <w:tabs>
          <w:tab w:val="clear" w:pos="567"/>
        </w:tabs>
        <w:spacing w:line="240" w:lineRule="auto"/>
        <w:ind w:left="567" w:hanging="567"/>
        <w:rPr>
          <w:color w:val="000000"/>
          <w:szCs w:val="22"/>
        </w:rPr>
      </w:pPr>
      <w:r w:rsidRPr="00654EF1">
        <w:rPr>
          <w:color w:val="000000"/>
          <w:szCs w:val="22"/>
        </w:rPr>
        <w:t>5</w:t>
      </w:r>
      <w:r w:rsidRPr="00654EF1">
        <w:rPr>
          <w:color w:val="000000"/>
          <w:szCs w:val="22"/>
        </w:rPr>
        <w:tab/>
        <w:t>Pleural effusion was reported more commonly in patients with GIST and in patients with transformed CML (CML-AP and CML-BC) than in patients with chronic CML.</w:t>
      </w:r>
    </w:p>
    <w:p w14:paraId="1B68008D" w14:textId="77777777" w:rsidR="008B6A91" w:rsidRPr="00654EF1" w:rsidRDefault="008B6A91" w:rsidP="001D5C8C">
      <w:pPr>
        <w:keepNext/>
        <w:widowControl w:val="0"/>
        <w:tabs>
          <w:tab w:val="clear" w:pos="567"/>
        </w:tabs>
        <w:spacing w:line="240" w:lineRule="auto"/>
        <w:ind w:left="567" w:hanging="567"/>
        <w:rPr>
          <w:color w:val="000000"/>
          <w:szCs w:val="22"/>
        </w:rPr>
      </w:pPr>
      <w:r w:rsidRPr="00654EF1">
        <w:rPr>
          <w:color w:val="000000"/>
          <w:szCs w:val="22"/>
        </w:rPr>
        <w:t>6+7</w:t>
      </w:r>
      <w:r w:rsidRPr="00654EF1">
        <w:rPr>
          <w:color w:val="000000"/>
          <w:szCs w:val="22"/>
        </w:rPr>
        <w:tab/>
        <w:t>Abdominal pain and gastrointestinal haemorrhage were most commonly observed in GIST patients.</w:t>
      </w:r>
    </w:p>
    <w:p w14:paraId="1B68008E" w14:textId="77777777" w:rsidR="008B6A91" w:rsidRPr="00654EF1" w:rsidRDefault="008B6A91" w:rsidP="001D5C8C">
      <w:pPr>
        <w:keepNext/>
        <w:widowControl w:val="0"/>
        <w:tabs>
          <w:tab w:val="clear" w:pos="567"/>
        </w:tabs>
        <w:spacing w:line="240" w:lineRule="auto"/>
        <w:ind w:left="567" w:hanging="567"/>
        <w:rPr>
          <w:color w:val="000000"/>
          <w:szCs w:val="22"/>
        </w:rPr>
      </w:pPr>
      <w:r w:rsidRPr="00654EF1">
        <w:rPr>
          <w:color w:val="000000"/>
          <w:szCs w:val="22"/>
        </w:rPr>
        <w:t>8</w:t>
      </w:r>
      <w:r w:rsidRPr="00654EF1">
        <w:rPr>
          <w:color w:val="000000"/>
          <w:szCs w:val="22"/>
        </w:rPr>
        <w:tab/>
        <w:t>Some fatal cases of hepatic failure and of hepatic necrosis have been reported.</w:t>
      </w:r>
    </w:p>
    <w:p w14:paraId="1B68008F" w14:textId="77777777" w:rsidR="00E0240C" w:rsidRPr="00654EF1" w:rsidRDefault="00E0240C" w:rsidP="001D5C8C">
      <w:pPr>
        <w:keepNext/>
        <w:widowControl w:val="0"/>
        <w:tabs>
          <w:tab w:val="clear" w:pos="567"/>
        </w:tabs>
        <w:spacing w:line="240" w:lineRule="auto"/>
        <w:ind w:left="567" w:hanging="567"/>
        <w:rPr>
          <w:color w:val="000000"/>
          <w:szCs w:val="22"/>
        </w:rPr>
      </w:pPr>
      <w:r w:rsidRPr="00654EF1">
        <w:rPr>
          <w:color w:val="000000"/>
          <w:szCs w:val="22"/>
        </w:rPr>
        <w:t>9</w:t>
      </w:r>
      <w:r w:rsidRPr="00654EF1">
        <w:rPr>
          <w:color w:val="000000"/>
          <w:szCs w:val="22"/>
        </w:rPr>
        <w:tab/>
        <w:t>Musculoskeletal pain during treatment with imatinib or after discontinuation has been observed in post-marketing</w:t>
      </w:r>
    </w:p>
    <w:p w14:paraId="1B680090" w14:textId="77777777" w:rsidR="00306988" w:rsidRPr="00654EF1" w:rsidRDefault="00E0240C" w:rsidP="001D5C8C">
      <w:pPr>
        <w:keepNext/>
        <w:widowControl w:val="0"/>
        <w:tabs>
          <w:tab w:val="clear" w:pos="567"/>
        </w:tabs>
        <w:spacing w:line="240" w:lineRule="auto"/>
        <w:ind w:left="567" w:hanging="567"/>
        <w:rPr>
          <w:color w:val="000000"/>
          <w:szCs w:val="22"/>
        </w:rPr>
      </w:pPr>
      <w:r w:rsidRPr="00654EF1">
        <w:rPr>
          <w:color w:val="000000"/>
          <w:szCs w:val="22"/>
        </w:rPr>
        <w:t>10</w:t>
      </w:r>
      <w:r w:rsidR="008B6A91" w:rsidRPr="00654EF1">
        <w:rPr>
          <w:color w:val="000000"/>
          <w:szCs w:val="22"/>
        </w:rPr>
        <w:tab/>
        <w:t>Musculoskeletal pain and related events were more commonly observed in patients with CML than in GIST patients.</w:t>
      </w:r>
    </w:p>
    <w:p w14:paraId="1B680091" w14:textId="77777777" w:rsidR="00B17C8A" w:rsidRPr="00654EF1" w:rsidRDefault="00E0240C" w:rsidP="001D5C8C">
      <w:pPr>
        <w:widowControl w:val="0"/>
        <w:tabs>
          <w:tab w:val="clear" w:pos="567"/>
          <w:tab w:val="left" w:pos="720"/>
        </w:tabs>
        <w:spacing w:line="240" w:lineRule="auto"/>
        <w:ind w:left="567" w:hanging="567"/>
        <w:rPr>
          <w:color w:val="000000"/>
          <w:szCs w:val="22"/>
        </w:rPr>
      </w:pPr>
      <w:r w:rsidRPr="00654EF1">
        <w:rPr>
          <w:color w:val="000000"/>
          <w:szCs w:val="22"/>
        </w:rPr>
        <w:t>11</w:t>
      </w:r>
      <w:r w:rsidR="00B17C8A" w:rsidRPr="00654EF1">
        <w:rPr>
          <w:color w:val="000000"/>
          <w:szCs w:val="22"/>
        </w:rPr>
        <w:tab/>
        <w:t>Fatal cases have been reported in patients with advanced disease, severe infections, severe neutropenia and other serious concomitant conditions.</w:t>
      </w:r>
    </w:p>
    <w:p w14:paraId="1B680092" w14:textId="77777777" w:rsidR="00A87B81" w:rsidRPr="00654EF1" w:rsidRDefault="00A87B81" w:rsidP="001D5C8C">
      <w:pPr>
        <w:pStyle w:val="Text"/>
        <w:widowControl w:val="0"/>
        <w:spacing w:before="0"/>
        <w:jc w:val="left"/>
        <w:rPr>
          <w:color w:val="000000"/>
          <w:sz w:val="22"/>
          <w:szCs w:val="22"/>
          <w:lang w:val="en-GB"/>
        </w:rPr>
      </w:pPr>
    </w:p>
    <w:p w14:paraId="1B680093" w14:textId="77777777" w:rsidR="009B57ED" w:rsidRPr="00654EF1" w:rsidRDefault="009B57ED" w:rsidP="001D5C8C">
      <w:pPr>
        <w:pStyle w:val="Heading4"/>
        <w:widowControl w:val="0"/>
        <w:spacing w:line="240" w:lineRule="auto"/>
        <w:jc w:val="left"/>
        <w:rPr>
          <w:b w:val="0"/>
          <w:noProof w:val="0"/>
          <w:color w:val="000000"/>
          <w:szCs w:val="22"/>
          <w:u w:val="single"/>
        </w:rPr>
      </w:pPr>
      <w:r w:rsidRPr="00654EF1">
        <w:rPr>
          <w:b w:val="0"/>
          <w:noProof w:val="0"/>
          <w:color w:val="000000"/>
          <w:szCs w:val="22"/>
          <w:u w:val="single"/>
        </w:rPr>
        <w:t>Laboratory test abnormalities</w:t>
      </w:r>
    </w:p>
    <w:p w14:paraId="1B680094" w14:textId="77777777" w:rsidR="009B57ED" w:rsidRPr="00654EF1" w:rsidRDefault="009B57ED" w:rsidP="001D5C8C">
      <w:pPr>
        <w:pStyle w:val="Text"/>
        <w:keepNext/>
        <w:widowControl w:val="0"/>
        <w:spacing w:before="0"/>
        <w:jc w:val="left"/>
        <w:rPr>
          <w:i/>
          <w:color w:val="000000"/>
          <w:sz w:val="22"/>
          <w:szCs w:val="22"/>
          <w:lang w:val="en-GB"/>
        </w:rPr>
      </w:pPr>
      <w:r w:rsidRPr="00654EF1">
        <w:rPr>
          <w:i/>
          <w:color w:val="000000"/>
          <w:sz w:val="22"/>
          <w:szCs w:val="22"/>
          <w:lang w:val="en-GB"/>
        </w:rPr>
        <w:t>Haematology</w:t>
      </w:r>
    </w:p>
    <w:p w14:paraId="1B680095"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In CML, cytopenias, particularly neutropenia and thrombocytopenia, have been a consistent finding in all studies, with the suggestion of a higher frequency at high doses </w:t>
      </w:r>
      <w:r w:rsidRPr="00654EF1">
        <w:rPr>
          <w:color w:val="000000"/>
          <w:sz w:val="22"/>
          <w:szCs w:val="22"/>
          <w:lang w:val="en-GB"/>
        </w:rPr>
        <w:sym w:font="Symbol" w:char="F0B3"/>
      </w:r>
      <w:r w:rsidRPr="00654EF1">
        <w:rPr>
          <w:color w:val="000000"/>
          <w:sz w:val="22"/>
          <w:szCs w:val="22"/>
          <w:lang w:val="en-GB"/>
        </w:rPr>
        <w:t> 750 mg (phase I study). However, the occurrence of cytopenias was also clearly dependent on the stage of the disease, the frequency of grade 3 or 4 neutropenias (ANC &lt; 1.0 x 10</w:t>
      </w:r>
      <w:r w:rsidRPr="00654EF1">
        <w:rPr>
          <w:color w:val="000000"/>
          <w:sz w:val="22"/>
          <w:szCs w:val="22"/>
          <w:vertAlign w:val="superscript"/>
          <w:lang w:val="en-GB"/>
        </w:rPr>
        <w:t>9</w:t>
      </w:r>
      <w:r w:rsidRPr="00654EF1">
        <w:rPr>
          <w:color w:val="000000"/>
          <w:sz w:val="22"/>
          <w:szCs w:val="22"/>
          <w:lang w:val="en-GB"/>
        </w:rPr>
        <w:t>/l) and thrombocytopenias (platelet count &lt; 50 x 10</w:t>
      </w:r>
      <w:r w:rsidRPr="00654EF1">
        <w:rPr>
          <w:color w:val="000000"/>
          <w:sz w:val="22"/>
          <w:szCs w:val="22"/>
          <w:vertAlign w:val="superscript"/>
          <w:lang w:val="en-GB"/>
        </w:rPr>
        <w:t>9</w:t>
      </w:r>
      <w:r w:rsidRPr="00654EF1">
        <w:rPr>
          <w:color w:val="000000"/>
          <w:sz w:val="22"/>
          <w:szCs w:val="22"/>
          <w:lang w:val="en-GB"/>
        </w:rPr>
        <w:t>/l) being between 4 and 6 times higher in blast crisis and accelerated phase (59</w:t>
      </w:r>
      <w:r w:rsidRPr="00654EF1">
        <w:rPr>
          <w:color w:val="000000"/>
          <w:sz w:val="22"/>
          <w:szCs w:val="22"/>
        </w:rPr>
        <w:t>–</w:t>
      </w:r>
      <w:r w:rsidRPr="00654EF1">
        <w:rPr>
          <w:color w:val="000000"/>
          <w:sz w:val="22"/>
          <w:szCs w:val="22"/>
          <w:lang w:val="en-GB"/>
        </w:rPr>
        <w:t>64% and 44</w:t>
      </w:r>
      <w:r w:rsidRPr="00654EF1">
        <w:rPr>
          <w:color w:val="000000"/>
          <w:sz w:val="22"/>
          <w:szCs w:val="22"/>
        </w:rPr>
        <w:t>–63</w:t>
      </w:r>
      <w:r w:rsidRPr="00654EF1">
        <w:rPr>
          <w:color w:val="000000"/>
          <w:sz w:val="22"/>
          <w:szCs w:val="22"/>
          <w:lang w:val="en-GB"/>
        </w:rPr>
        <w:t>% for neutropenia and thrombocytopenia, respectively) as compared to newly diagnosed patients in chronic phase CML (1</w:t>
      </w:r>
      <w:r w:rsidR="00AA700A" w:rsidRPr="00654EF1">
        <w:rPr>
          <w:color w:val="000000"/>
          <w:sz w:val="22"/>
          <w:szCs w:val="22"/>
          <w:lang w:val="en-GB"/>
        </w:rPr>
        <w:t>6.7</w:t>
      </w:r>
      <w:r w:rsidRPr="00654EF1">
        <w:rPr>
          <w:color w:val="000000"/>
          <w:sz w:val="22"/>
          <w:szCs w:val="22"/>
          <w:lang w:val="en-GB"/>
        </w:rPr>
        <w:t>% neutropenia and 8.</w:t>
      </w:r>
      <w:r w:rsidR="00AA700A" w:rsidRPr="00654EF1">
        <w:rPr>
          <w:color w:val="000000"/>
          <w:sz w:val="22"/>
          <w:szCs w:val="22"/>
          <w:lang w:val="en-GB"/>
        </w:rPr>
        <w:t>9</w:t>
      </w:r>
      <w:r w:rsidRPr="00654EF1">
        <w:rPr>
          <w:color w:val="000000"/>
          <w:sz w:val="22"/>
          <w:szCs w:val="22"/>
          <w:lang w:val="en-GB"/>
        </w:rPr>
        <w:t>% thrombocytopenia). In newly diagnosed chronic phase CML grade 4 neutropenia (ANC &lt; 0.5 x 10</w:t>
      </w:r>
      <w:r w:rsidRPr="00654EF1">
        <w:rPr>
          <w:color w:val="000000"/>
          <w:sz w:val="22"/>
          <w:szCs w:val="22"/>
          <w:vertAlign w:val="superscript"/>
          <w:lang w:val="en-GB"/>
        </w:rPr>
        <w:t>9</w:t>
      </w:r>
      <w:r w:rsidRPr="00654EF1">
        <w:rPr>
          <w:color w:val="000000"/>
          <w:sz w:val="22"/>
          <w:szCs w:val="22"/>
          <w:lang w:val="en-GB"/>
        </w:rPr>
        <w:t>/l) and thrombocytopenia (platelet count &lt; 10 x 10</w:t>
      </w:r>
      <w:r w:rsidRPr="00654EF1">
        <w:rPr>
          <w:color w:val="000000"/>
          <w:sz w:val="22"/>
          <w:szCs w:val="22"/>
          <w:vertAlign w:val="superscript"/>
          <w:lang w:val="en-GB"/>
        </w:rPr>
        <w:t>9</w:t>
      </w:r>
      <w:r w:rsidRPr="00654EF1">
        <w:rPr>
          <w:color w:val="000000"/>
          <w:sz w:val="22"/>
          <w:szCs w:val="22"/>
          <w:lang w:val="en-GB"/>
        </w:rPr>
        <w:t>/l) were observed in 3</w:t>
      </w:r>
      <w:r w:rsidR="00A37F74" w:rsidRPr="00654EF1">
        <w:rPr>
          <w:color w:val="000000"/>
          <w:sz w:val="22"/>
          <w:szCs w:val="22"/>
          <w:lang w:val="en-GB"/>
        </w:rPr>
        <w:t>.6</w:t>
      </w:r>
      <w:r w:rsidRPr="00654EF1">
        <w:rPr>
          <w:color w:val="000000"/>
          <w:sz w:val="22"/>
          <w:szCs w:val="22"/>
          <w:lang w:val="en-GB"/>
        </w:rPr>
        <w:t xml:space="preserve">% and &lt; 1% of patients, respectively. The median duration of the neutropenic and thrombocytopenic episodes usually ranged from </w:t>
      </w:r>
      <w:smartTag w:uri="urn:schemas-microsoft-com:office:smarttags" w:element="time">
        <w:smartTagPr>
          <w:attr w:name="Minute" w:val="0"/>
          <w:attr w:name="Hour" w:val="2"/>
        </w:smartTagPr>
        <w:r w:rsidRPr="00654EF1">
          <w:rPr>
            <w:color w:val="000000"/>
            <w:sz w:val="22"/>
            <w:szCs w:val="22"/>
            <w:lang w:val="en-GB"/>
          </w:rPr>
          <w:t>2</w:t>
        </w:r>
      </w:smartTag>
      <w:r w:rsidRPr="00654EF1">
        <w:rPr>
          <w:color w:val="000000"/>
          <w:sz w:val="22"/>
          <w:szCs w:val="22"/>
          <w:lang w:val="en-GB"/>
        </w:rPr>
        <w:t xml:space="preserve"> to 3 weeks, and from </w:t>
      </w:r>
      <w:smartTag w:uri="urn:schemas-microsoft-com:office:smarttags" w:element="time">
        <w:smartTagPr>
          <w:attr w:name="Minute" w:val="0"/>
          <w:attr w:name="Hour" w:val="3"/>
        </w:smartTagPr>
        <w:r w:rsidRPr="00654EF1">
          <w:rPr>
            <w:color w:val="000000"/>
            <w:sz w:val="22"/>
            <w:szCs w:val="22"/>
            <w:lang w:val="en-GB"/>
          </w:rPr>
          <w:t>3</w:t>
        </w:r>
      </w:smartTag>
      <w:r w:rsidRPr="00654EF1">
        <w:rPr>
          <w:color w:val="000000"/>
          <w:sz w:val="22"/>
          <w:szCs w:val="22"/>
          <w:lang w:val="en-GB"/>
        </w:rPr>
        <w:t xml:space="preserve"> to 4 weeks, respectively. These events can usually be managed with either a reduction of the dose or an interruption of treatment with Glivec, but can in rare cases lead to permanent discontinuation of treatment.</w:t>
      </w:r>
      <w:r w:rsidR="008F1C56" w:rsidRPr="00654EF1">
        <w:rPr>
          <w:color w:val="000000"/>
          <w:sz w:val="22"/>
          <w:szCs w:val="22"/>
          <w:lang w:val="en-GB"/>
        </w:rPr>
        <w:t xml:space="preserve"> In paediatric CML patients the </w:t>
      </w:r>
      <w:r w:rsidR="008F1C56" w:rsidRPr="00654EF1">
        <w:rPr>
          <w:color w:val="000000"/>
          <w:sz w:val="22"/>
          <w:szCs w:val="22"/>
        </w:rPr>
        <w:t>most frequent toxicities observed were grade 3 or 4 cytopenias involving neutropenia, thrombocytopenia and anaemia. These generally occur within the first several months of therapy.</w:t>
      </w:r>
    </w:p>
    <w:p w14:paraId="1B680096" w14:textId="77777777" w:rsidR="009B57ED" w:rsidRPr="00654EF1" w:rsidRDefault="009B57ED" w:rsidP="001D5C8C">
      <w:pPr>
        <w:pStyle w:val="Text"/>
        <w:widowControl w:val="0"/>
        <w:spacing w:before="0"/>
        <w:jc w:val="left"/>
        <w:rPr>
          <w:color w:val="000000"/>
          <w:sz w:val="22"/>
          <w:szCs w:val="22"/>
          <w:lang w:val="en-GB"/>
        </w:rPr>
      </w:pPr>
    </w:p>
    <w:p w14:paraId="1B680097" w14:textId="77777777" w:rsidR="009B57ED" w:rsidRPr="00654EF1" w:rsidRDefault="000D2060" w:rsidP="001D5C8C">
      <w:pPr>
        <w:pStyle w:val="Text"/>
        <w:widowControl w:val="0"/>
        <w:spacing w:before="0"/>
        <w:jc w:val="left"/>
        <w:rPr>
          <w:color w:val="000000"/>
          <w:sz w:val="22"/>
          <w:szCs w:val="22"/>
          <w:lang w:val="en-GB"/>
        </w:rPr>
      </w:pPr>
      <w:r w:rsidRPr="00654EF1">
        <w:rPr>
          <w:color w:val="000000"/>
          <w:sz w:val="22"/>
          <w:szCs w:val="22"/>
          <w:lang w:val="en-GB"/>
        </w:rPr>
        <w:t xml:space="preserve">In the </w:t>
      </w:r>
      <w:r w:rsidRPr="00654EF1">
        <w:rPr>
          <w:snapToGrid w:val="0"/>
          <w:color w:val="000000"/>
          <w:sz w:val="22"/>
          <w:szCs w:val="22"/>
        </w:rPr>
        <w:t xml:space="preserve">study in patients with unresectable and/or metastatic </w:t>
      </w:r>
      <w:r w:rsidRPr="00654EF1">
        <w:rPr>
          <w:color w:val="000000"/>
          <w:sz w:val="22"/>
          <w:szCs w:val="22"/>
          <w:lang w:val="en-GB"/>
        </w:rPr>
        <w:t>GIST,</w:t>
      </w:r>
      <w:r w:rsidR="009B57ED" w:rsidRPr="00654EF1">
        <w:rPr>
          <w:color w:val="000000"/>
          <w:sz w:val="22"/>
          <w:szCs w:val="22"/>
          <w:lang w:val="en-GB"/>
        </w:rPr>
        <w:t xml:space="preserve"> grade 3 and 4 anaemia was reported in 5.4% and 0.7% of patients, respectively, and may have been related to gastrointestinal or intra-tumoural bleeding in at least some of these patients. Grade 3 and 4 neutropenia was seen in 7.5% and </w:t>
      </w:r>
      <w:r w:rsidR="009B57ED" w:rsidRPr="00654EF1">
        <w:rPr>
          <w:color w:val="000000"/>
          <w:sz w:val="22"/>
          <w:szCs w:val="22"/>
          <w:lang w:val="en-GB"/>
        </w:rPr>
        <w:lastRenderedPageBreak/>
        <w:t>2.7% of patients, respectively, and grade 3 thrombocytopenia in 0.7% of patients. No patient developed grade 4 thrombocytopenia. The decreases in white blood cell (WBC) and neutrophil counts occurred mainly during the first six weeks of therapy, with values remaining relatively stable thereafter.</w:t>
      </w:r>
    </w:p>
    <w:p w14:paraId="1B680098" w14:textId="77777777" w:rsidR="009B57ED" w:rsidRPr="00654EF1" w:rsidRDefault="009B57ED" w:rsidP="001D5C8C">
      <w:pPr>
        <w:pStyle w:val="Text"/>
        <w:widowControl w:val="0"/>
        <w:spacing w:before="0"/>
        <w:jc w:val="left"/>
        <w:rPr>
          <w:color w:val="000000"/>
          <w:sz w:val="22"/>
          <w:szCs w:val="22"/>
          <w:lang w:val="en-GB"/>
        </w:rPr>
      </w:pPr>
    </w:p>
    <w:p w14:paraId="1B680099" w14:textId="77777777" w:rsidR="009B57ED" w:rsidRPr="00654EF1" w:rsidRDefault="009B57ED" w:rsidP="001D5C8C">
      <w:pPr>
        <w:pStyle w:val="Text"/>
        <w:keepNext/>
        <w:widowControl w:val="0"/>
        <w:spacing w:before="0"/>
        <w:jc w:val="left"/>
        <w:rPr>
          <w:color w:val="000000"/>
          <w:sz w:val="22"/>
          <w:szCs w:val="22"/>
          <w:lang w:val="en-GB"/>
        </w:rPr>
      </w:pPr>
      <w:r w:rsidRPr="00654EF1">
        <w:rPr>
          <w:i/>
          <w:color w:val="000000"/>
          <w:sz w:val="22"/>
          <w:szCs w:val="22"/>
          <w:lang w:val="en-GB"/>
        </w:rPr>
        <w:t>Biochemistry</w:t>
      </w:r>
    </w:p>
    <w:p w14:paraId="1B68009A" w14:textId="77777777" w:rsidR="009B57ED" w:rsidRPr="00654EF1" w:rsidRDefault="009B57ED" w:rsidP="001D5C8C">
      <w:pPr>
        <w:pStyle w:val="Text"/>
        <w:widowControl w:val="0"/>
        <w:spacing w:before="0"/>
        <w:jc w:val="left"/>
        <w:rPr>
          <w:color w:val="000000"/>
          <w:sz w:val="22"/>
          <w:szCs w:val="22"/>
        </w:rPr>
      </w:pPr>
      <w:r w:rsidRPr="00654EF1">
        <w:rPr>
          <w:color w:val="000000"/>
          <w:sz w:val="22"/>
          <w:szCs w:val="22"/>
          <w:lang w:val="en-GB"/>
        </w:rPr>
        <w:t xml:space="preserve">Severe elevation of transaminases </w:t>
      </w:r>
      <w:r w:rsidR="002B0D5C" w:rsidRPr="00654EF1">
        <w:rPr>
          <w:color w:val="000000"/>
          <w:sz w:val="22"/>
          <w:szCs w:val="22"/>
          <w:lang w:val="en-GB"/>
        </w:rPr>
        <w:t xml:space="preserve">(&lt;5%) </w:t>
      </w:r>
      <w:r w:rsidRPr="00654EF1">
        <w:rPr>
          <w:color w:val="000000"/>
          <w:sz w:val="22"/>
          <w:szCs w:val="22"/>
          <w:lang w:val="en-GB"/>
        </w:rPr>
        <w:t xml:space="preserve">or bilirubin </w:t>
      </w:r>
      <w:r w:rsidR="002B0D5C" w:rsidRPr="00654EF1">
        <w:rPr>
          <w:color w:val="000000"/>
          <w:sz w:val="22"/>
          <w:szCs w:val="22"/>
          <w:lang w:val="en-GB"/>
        </w:rPr>
        <w:t xml:space="preserve">(&lt;1%) </w:t>
      </w:r>
      <w:r w:rsidRPr="00654EF1">
        <w:rPr>
          <w:color w:val="000000"/>
          <w:sz w:val="22"/>
          <w:szCs w:val="22"/>
          <w:lang w:val="en-GB"/>
        </w:rPr>
        <w:t xml:space="preserve">was </w:t>
      </w:r>
      <w:r w:rsidR="002B0D5C" w:rsidRPr="00654EF1">
        <w:rPr>
          <w:color w:val="000000"/>
          <w:sz w:val="22"/>
          <w:szCs w:val="22"/>
          <w:lang w:val="en-GB"/>
        </w:rPr>
        <w:t>seen</w:t>
      </w:r>
      <w:r w:rsidRPr="00654EF1">
        <w:rPr>
          <w:color w:val="000000"/>
          <w:sz w:val="22"/>
          <w:szCs w:val="22"/>
          <w:lang w:val="en-GB"/>
        </w:rPr>
        <w:t xml:space="preserve"> in CML patients and was usually managed with dose reduction or interruption (the median duration of these episodes was approximately one week). Treatment was discontinued permanently because of liver laboratory abnormalities in less than </w:t>
      </w:r>
      <w:r w:rsidR="00A37F74" w:rsidRPr="00654EF1">
        <w:rPr>
          <w:color w:val="000000"/>
          <w:sz w:val="22"/>
          <w:szCs w:val="22"/>
          <w:lang w:val="en-GB"/>
        </w:rPr>
        <w:t>1</w:t>
      </w:r>
      <w:r w:rsidRPr="00654EF1">
        <w:rPr>
          <w:color w:val="000000"/>
          <w:sz w:val="22"/>
          <w:szCs w:val="22"/>
          <w:lang w:val="en-GB"/>
        </w:rPr>
        <w:t xml:space="preserve">% of CML patients. In GIST patients </w:t>
      </w:r>
      <w:r w:rsidRPr="00654EF1">
        <w:rPr>
          <w:color w:val="000000"/>
          <w:sz w:val="22"/>
          <w:szCs w:val="22"/>
        </w:rPr>
        <w:t xml:space="preserve">(study B2222), 6.8% of grade 3 or 4 </w:t>
      </w:r>
      <w:smartTag w:uri="urn:schemas-microsoft-com:office:smarttags" w:element="stockticker">
        <w:r w:rsidRPr="00654EF1">
          <w:rPr>
            <w:color w:val="000000"/>
            <w:sz w:val="22"/>
            <w:szCs w:val="22"/>
          </w:rPr>
          <w:t>ALT</w:t>
        </w:r>
      </w:smartTag>
      <w:r w:rsidRPr="00654EF1">
        <w:rPr>
          <w:color w:val="000000"/>
          <w:sz w:val="22"/>
          <w:szCs w:val="22"/>
        </w:rPr>
        <w:t xml:space="preserve"> (alanine aminotransferase</w:t>
      </w:r>
      <w:r w:rsidRPr="00654EF1">
        <w:rPr>
          <w:rFonts w:eastAsia="MS Mincho"/>
          <w:color w:val="000000"/>
          <w:sz w:val="22"/>
          <w:szCs w:val="22"/>
        </w:rPr>
        <w:t>)</w:t>
      </w:r>
      <w:r w:rsidRPr="00654EF1">
        <w:rPr>
          <w:rFonts w:eastAsia="MS Mincho"/>
          <w:b/>
          <w:bCs/>
          <w:color w:val="000000"/>
          <w:sz w:val="22"/>
          <w:szCs w:val="22"/>
          <w:lang w:eastAsia="ja-JP"/>
        </w:rPr>
        <w:t xml:space="preserve"> </w:t>
      </w:r>
      <w:r w:rsidRPr="00654EF1">
        <w:rPr>
          <w:color w:val="000000"/>
          <w:sz w:val="22"/>
          <w:szCs w:val="22"/>
        </w:rPr>
        <w:t>elevations and 4.8% of grade 3 or 4 AST (aspartate aminotransferase</w:t>
      </w:r>
      <w:r w:rsidRPr="00654EF1">
        <w:rPr>
          <w:rFonts w:eastAsia="MS Mincho"/>
          <w:color w:val="000000"/>
          <w:sz w:val="22"/>
          <w:szCs w:val="22"/>
        </w:rPr>
        <w:t xml:space="preserve">) </w:t>
      </w:r>
      <w:r w:rsidRPr="00654EF1">
        <w:rPr>
          <w:color w:val="000000"/>
          <w:sz w:val="22"/>
          <w:szCs w:val="22"/>
        </w:rPr>
        <w:t>elevations were observed. Bilirubin elevation was below 3%.</w:t>
      </w:r>
    </w:p>
    <w:p w14:paraId="1B68009B" w14:textId="77777777" w:rsidR="009B57ED" w:rsidRPr="00654EF1" w:rsidRDefault="009B57ED" w:rsidP="001D5C8C">
      <w:pPr>
        <w:pStyle w:val="Text"/>
        <w:widowControl w:val="0"/>
        <w:spacing w:before="0"/>
        <w:jc w:val="left"/>
        <w:rPr>
          <w:rFonts w:eastAsia="MS Mincho"/>
          <w:color w:val="000000"/>
          <w:sz w:val="22"/>
          <w:szCs w:val="22"/>
        </w:rPr>
      </w:pPr>
    </w:p>
    <w:p w14:paraId="1B68009C" w14:textId="77777777" w:rsidR="009B57ED" w:rsidRPr="00654EF1" w:rsidRDefault="009B57ED" w:rsidP="001D5C8C">
      <w:pPr>
        <w:pStyle w:val="Text"/>
        <w:widowControl w:val="0"/>
        <w:spacing w:before="0"/>
        <w:jc w:val="left"/>
        <w:rPr>
          <w:color w:val="000000"/>
          <w:sz w:val="22"/>
          <w:szCs w:val="22"/>
        </w:rPr>
      </w:pPr>
      <w:r w:rsidRPr="00654EF1">
        <w:rPr>
          <w:color w:val="000000"/>
          <w:sz w:val="22"/>
          <w:szCs w:val="22"/>
        </w:rPr>
        <w:t>There have been cases of cytolytic and cholestatic hepatitis and hepatic failure; in some of them outcome was fatal, including one patient on high dose paracetamol.</w:t>
      </w:r>
      <w:bookmarkEnd w:id="1"/>
      <w:bookmarkEnd w:id="2"/>
    </w:p>
    <w:p w14:paraId="1B68009D" w14:textId="77777777" w:rsidR="009169F8" w:rsidRPr="00654EF1" w:rsidRDefault="009169F8" w:rsidP="001D5C8C">
      <w:pPr>
        <w:pStyle w:val="Text"/>
        <w:widowControl w:val="0"/>
        <w:spacing w:before="0"/>
        <w:jc w:val="left"/>
        <w:rPr>
          <w:color w:val="000000"/>
          <w:sz w:val="22"/>
          <w:szCs w:val="22"/>
        </w:rPr>
      </w:pPr>
    </w:p>
    <w:p w14:paraId="1B68009E" w14:textId="77777777" w:rsidR="000079FE" w:rsidRPr="00654EF1" w:rsidRDefault="000079FE" w:rsidP="001D5C8C">
      <w:pPr>
        <w:keepNext/>
        <w:widowControl w:val="0"/>
        <w:tabs>
          <w:tab w:val="clear" w:pos="567"/>
        </w:tabs>
        <w:spacing w:line="240" w:lineRule="auto"/>
        <w:rPr>
          <w:u w:val="single"/>
        </w:rPr>
      </w:pPr>
      <w:r w:rsidRPr="00654EF1">
        <w:rPr>
          <w:u w:val="single"/>
        </w:rPr>
        <w:t>Description of selected adverse reactions</w:t>
      </w:r>
    </w:p>
    <w:p w14:paraId="1B68009F" w14:textId="77777777" w:rsidR="009169F8" w:rsidRPr="00654EF1" w:rsidRDefault="009169F8" w:rsidP="001D5C8C">
      <w:pPr>
        <w:pStyle w:val="Text"/>
        <w:keepNext/>
        <w:widowControl w:val="0"/>
        <w:spacing w:before="0"/>
        <w:jc w:val="left"/>
        <w:rPr>
          <w:i/>
          <w:color w:val="000000"/>
          <w:sz w:val="22"/>
          <w:szCs w:val="22"/>
          <w:u w:val="single"/>
        </w:rPr>
      </w:pPr>
      <w:r w:rsidRPr="00654EF1">
        <w:rPr>
          <w:i/>
          <w:color w:val="000000"/>
          <w:sz w:val="22"/>
          <w:szCs w:val="22"/>
          <w:u w:val="single"/>
        </w:rPr>
        <w:t>Hepatitis B reactivatio</w:t>
      </w:r>
      <w:r w:rsidR="000A5179" w:rsidRPr="00654EF1">
        <w:rPr>
          <w:i/>
          <w:color w:val="000000"/>
          <w:sz w:val="22"/>
          <w:szCs w:val="22"/>
          <w:u w:val="single"/>
        </w:rPr>
        <w:t>n</w:t>
      </w:r>
    </w:p>
    <w:p w14:paraId="1B6800A0" w14:textId="77777777" w:rsidR="009169F8" w:rsidRPr="00654EF1" w:rsidRDefault="005236FD" w:rsidP="001D5C8C">
      <w:pPr>
        <w:pStyle w:val="Text"/>
        <w:widowControl w:val="0"/>
        <w:spacing w:before="0"/>
        <w:jc w:val="left"/>
        <w:rPr>
          <w:color w:val="000000"/>
          <w:sz w:val="22"/>
          <w:szCs w:val="22"/>
        </w:rPr>
      </w:pPr>
      <w:r w:rsidRPr="00654EF1">
        <w:rPr>
          <w:color w:val="000000"/>
          <w:sz w:val="22"/>
          <w:szCs w:val="22"/>
        </w:rPr>
        <w:t>Hepatitis B reactivation has been reported in association with BCR-ABL TKIs. Some cases resulted in acute hepatic failure or fulminant hepatitis leading to liver transplantation or a fatal outcome (see section 4.4).</w:t>
      </w:r>
    </w:p>
    <w:p w14:paraId="1B6800A1" w14:textId="77777777" w:rsidR="00244ABD" w:rsidRPr="00654EF1" w:rsidRDefault="00244ABD" w:rsidP="001D5C8C">
      <w:pPr>
        <w:pStyle w:val="Text"/>
        <w:widowControl w:val="0"/>
        <w:spacing w:before="0"/>
        <w:jc w:val="left"/>
        <w:rPr>
          <w:color w:val="000000"/>
          <w:sz w:val="22"/>
          <w:szCs w:val="22"/>
          <w:lang w:eastAsia="ja-JP"/>
        </w:rPr>
      </w:pPr>
    </w:p>
    <w:p w14:paraId="1B6800A2" w14:textId="77777777" w:rsidR="00244ABD" w:rsidRPr="00654EF1" w:rsidRDefault="00244ABD" w:rsidP="001D5C8C">
      <w:pPr>
        <w:pStyle w:val="Text"/>
        <w:keepNext/>
        <w:widowControl w:val="0"/>
        <w:spacing w:before="0"/>
        <w:jc w:val="left"/>
        <w:rPr>
          <w:color w:val="000000"/>
          <w:sz w:val="22"/>
          <w:szCs w:val="22"/>
          <w:u w:val="single"/>
          <w:lang w:eastAsia="ja-JP"/>
        </w:rPr>
      </w:pPr>
      <w:r w:rsidRPr="00654EF1">
        <w:rPr>
          <w:color w:val="000000"/>
          <w:sz w:val="22"/>
          <w:szCs w:val="22"/>
          <w:u w:val="single"/>
          <w:lang w:eastAsia="ja-JP"/>
        </w:rPr>
        <w:t>Reporting of suspected adverse reactions</w:t>
      </w:r>
    </w:p>
    <w:p w14:paraId="1B6800A3" w14:textId="77777777" w:rsidR="00244ABD" w:rsidRPr="00654EF1" w:rsidRDefault="00244ABD" w:rsidP="001D5C8C">
      <w:pPr>
        <w:pStyle w:val="Text"/>
        <w:widowControl w:val="0"/>
        <w:spacing w:before="0"/>
        <w:jc w:val="left"/>
        <w:rPr>
          <w:color w:val="000000"/>
          <w:sz w:val="22"/>
          <w:szCs w:val="22"/>
          <w:lang w:eastAsia="ja-JP"/>
        </w:rPr>
      </w:pPr>
      <w:r w:rsidRPr="00654EF1">
        <w:rPr>
          <w:color w:val="000000"/>
          <w:sz w:val="22"/>
          <w:szCs w:val="22"/>
          <w:lang w:eastAsia="ja-JP"/>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Pr="00654EF1">
        <w:rPr>
          <w:color w:val="000000"/>
          <w:sz w:val="22"/>
          <w:szCs w:val="22"/>
          <w:shd w:val="clear" w:color="auto" w:fill="D9D9D9"/>
          <w:lang w:eastAsia="ja-JP"/>
        </w:rPr>
        <w:t xml:space="preserve">via the national reporting system. listed in </w:t>
      </w:r>
      <w:hyperlink r:id="rId12" w:history="1">
        <w:r w:rsidRPr="00654EF1">
          <w:rPr>
            <w:rStyle w:val="Hyperlink"/>
            <w:sz w:val="22"/>
            <w:szCs w:val="22"/>
            <w:shd w:val="clear" w:color="auto" w:fill="D9D9D9"/>
            <w:lang w:eastAsia="ja-JP"/>
          </w:rPr>
          <w:t>Appendix V</w:t>
        </w:r>
      </w:hyperlink>
      <w:r w:rsidRPr="00654EF1">
        <w:rPr>
          <w:color w:val="000000"/>
          <w:sz w:val="22"/>
          <w:szCs w:val="22"/>
          <w:lang w:eastAsia="ja-JP"/>
        </w:rPr>
        <w:t>.</w:t>
      </w:r>
    </w:p>
    <w:p w14:paraId="1B6800A4" w14:textId="77777777" w:rsidR="009B57ED" w:rsidRPr="00654EF1" w:rsidRDefault="009B57ED" w:rsidP="001D5C8C">
      <w:pPr>
        <w:pStyle w:val="Text"/>
        <w:widowControl w:val="0"/>
        <w:spacing w:before="0"/>
        <w:jc w:val="left"/>
        <w:rPr>
          <w:color w:val="000000"/>
          <w:sz w:val="22"/>
          <w:szCs w:val="22"/>
        </w:rPr>
      </w:pPr>
    </w:p>
    <w:p w14:paraId="1B6800A5"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4.9</w:t>
      </w:r>
      <w:r w:rsidRPr="00654EF1">
        <w:rPr>
          <w:b/>
          <w:color w:val="000000"/>
          <w:szCs w:val="22"/>
        </w:rPr>
        <w:tab/>
        <w:t>Overdose</w:t>
      </w:r>
    </w:p>
    <w:p w14:paraId="1B6800A6" w14:textId="77777777" w:rsidR="009B57ED" w:rsidRPr="00654EF1" w:rsidRDefault="009B57ED" w:rsidP="001D5C8C">
      <w:pPr>
        <w:keepNext/>
        <w:widowControl w:val="0"/>
        <w:tabs>
          <w:tab w:val="clear" w:pos="567"/>
        </w:tabs>
        <w:spacing w:line="240" w:lineRule="auto"/>
        <w:rPr>
          <w:color w:val="000000"/>
          <w:szCs w:val="22"/>
        </w:rPr>
      </w:pPr>
    </w:p>
    <w:p w14:paraId="1B6800A7" w14:textId="77777777" w:rsidR="008613F4" w:rsidRPr="00654EF1" w:rsidRDefault="008613F4" w:rsidP="001D5C8C">
      <w:pPr>
        <w:widowControl w:val="0"/>
        <w:tabs>
          <w:tab w:val="clear" w:pos="567"/>
        </w:tabs>
        <w:spacing w:line="240" w:lineRule="auto"/>
        <w:rPr>
          <w:color w:val="000000"/>
          <w:szCs w:val="22"/>
        </w:rPr>
      </w:pPr>
      <w:r w:rsidRPr="00654EF1">
        <w:rPr>
          <w:color w:val="000000"/>
          <w:szCs w:val="22"/>
        </w:rPr>
        <w:t xml:space="preserve">Experience with </w:t>
      </w:r>
      <w:r w:rsidR="00226B5C" w:rsidRPr="00654EF1">
        <w:rPr>
          <w:color w:val="000000"/>
          <w:szCs w:val="22"/>
        </w:rPr>
        <w:t xml:space="preserve">doses </w:t>
      </w:r>
      <w:r w:rsidRPr="00654EF1">
        <w:rPr>
          <w:color w:val="000000"/>
          <w:szCs w:val="22"/>
        </w:rPr>
        <w:t xml:space="preserve">higher than </w:t>
      </w:r>
      <w:r w:rsidR="00226B5C" w:rsidRPr="00654EF1">
        <w:rPr>
          <w:color w:val="000000"/>
          <w:szCs w:val="22"/>
        </w:rPr>
        <w:t xml:space="preserve">the recommended </w:t>
      </w:r>
      <w:r w:rsidRPr="00654EF1">
        <w:rPr>
          <w:color w:val="000000"/>
          <w:szCs w:val="22"/>
        </w:rPr>
        <w:t xml:space="preserve">therapeutic dose is limited. Isolated cases of Glivec overdose have been reported spontaneously and in the literature. In the event of overdose the patient should be observed and appropriate symptomatic treatment given. Generally the reported outcome in these cases was </w:t>
      </w:r>
      <w:r w:rsidR="00FB43A8" w:rsidRPr="00654EF1">
        <w:rPr>
          <w:color w:val="000000"/>
          <w:szCs w:val="22"/>
        </w:rPr>
        <w:t>“</w:t>
      </w:r>
      <w:r w:rsidRPr="00654EF1">
        <w:rPr>
          <w:color w:val="000000"/>
          <w:szCs w:val="22"/>
        </w:rPr>
        <w:t>improved</w:t>
      </w:r>
      <w:r w:rsidR="00FB43A8" w:rsidRPr="00654EF1">
        <w:rPr>
          <w:color w:val="000000"/>
          <w:szCs w:val="22"/>
        </w:rPr>
        <w:t>”</w:t>
      </w:r>
      <w:r w:rsidRPr="00654EF1">
        <w:rPr>
          <w:color w:val="000000"/>
          <w:szCs w:val="22"/>
        </w:rPr>
        <w:t xml:space="preserve"> or </w:t>
      </w:r>
      <w:r w:rsidR="00FB43A8" w:rsidRPr="00654EF1">
        <w:rPr>
          <w:color w:val="000000"/>
          <w:szCs w:val="22"/>
        </w:rPr>
        <w:t>“</w:t>
      </w:r>
      <w:r w:rsidRPr="00654EF1">
        <w:rPr>
          <w:color w:val="000000"/>
          <w:szCs w:val="22"/>
        </w:rPr>
        <w:t>recovered</w:t>
      </w:r>
      <w:r w:rsidR="00FB43A8" w:rsidRPr="00654EF1">
        <w:rPr>
          <w:color w:val="000000"/>
          <w:szCs w:val="22"/>
        </w:rPr>
        <w:t>”</w:t>
      </w:r>
      <w:r w:rsidRPr="00654EF1">
        <w:rPr>
          <w:color w:val="000000"/>
          <w:szCs w:val="22"/>
        </w:rPr>
        <w:t>. Events that have been reported at different dose ranges are as follows:</w:t>
      </w:r>
    </w:p>
    <w:p w14:paraId="1B6800A8" w14:textId="77777777" w:rsidR="00C759DD" w:rsidRPr="00654EF1" w:rsidRDefault="00C759DD" w:rsidP="001D5C8C">
      <w:pPr>
        <w:widowControl w:val="0"/>
        <w:tabs>
          <w:tab w:val="clear" w:pos="567"/>
        </w:tabs>
        <w:spacing w:line="240" w:lineRule="auto"/>
        <w:rPr>
          <w:color w:val="000000"/>
          <w:szCs w:val="22"/>
        </w:rPr>
      </w:pPr>
    </w:p>
    <w:p w14:paraId="1B6800A9" w14:textId="77777777" w:rsidR="00B84DE1" w:rsidRPr="00654EF1" w:rsidRDefault="00B84DE1" w:rsidP="001D5C8C">
      <w:pPr>
        <w:keepNext/>
        <w:widowControl w:val="0"/>
        <w:tabs>
          <w:tab w:val="clear" w:pos="567"/>
        </w:tabs>
        <w:spacing w:line="240" w:lineRule="auto"/>
        <w:rPr>
          <w:color w:val="000000"/>
          <w:szCs w:val="22"/>
        </w:rPr>
      </w:pPr>
      <w:r w:rsidRPr="00654EF1">
        <w:rPr>
          <w:i/>
          <w:iCs/>
          <w:color w:val="000000"/>
          <w:szCs w:val="22"/>
        </w:rPr>
        <w:t>Adult population</w:t>
      </w:r>
    </w:p>
    <w:p w14:paraId="1B6800AA" w14:textId="77777777" w:rsidR="00AE1D76" w:rsidRPr="00654EF1" w:rsidRDefault="008613F4" w:rsidP="001D5C8C">
      <w:pPr>
        <w:pStyle w:val="Text"/>
        <w:widowControl w:val="0"/>
        <w:spacing w:before="0"/>
        <w:jc w:val="left"/>
        <w:rPr>
          <w:color w:val="000000"/>
          <w:sz w:val="22"/>
          <w:szCs w:val="22"/>
        </w:rPr>
      </w:pPr>
      <w:r w:rsidRPr="00654EF1">
        <w:rPr>
          <w:color w:val="000000"/>
          <w:sz w:val="22"/>
          <w:szCs w:val="22"/>
        </w:rPr>
        <w:t>1200 to 1600</w:t>
      </w:r>
      <w:r w:rsidR="00AE1D76" w:rsidRPr="00654EF1">
        <w:rPr>
          <w:color w:val="000000"/>
          <w:sz w:val="22"/>
          <w:szCs w:val="22"/>
        </w:rPr>
        <w:t> </w:t>
      </w:r>
      <w:r w:rsidRPr="00654EF1">
        <w:rPr>
          <w:color w:val="000000"/>
          <w:sz w:val="22"/>
          <w:szCs w:val="22"/>
        </w:rPr>
        <w:t>mg (duration varying between 1 to 10</w:t>
      </w:r>
      <w:r w:rsidR="00AE1D76" w:rsidRPr="00654EF1">
        <w:rPr>
          <w:color w:val="000000"/>
          <w:sz w:val="22"/>
          <w:szCs w:val="22"/>
        </w:rPr>
        <w:t> </w:t>
      </w:r>
      <w:r w:rsidRPr="00654EF1">
        <w:rPr>
          <w:color w:val="000000"/>
          <w:sz w:val="22"/>
          <w:szCs w:val="22"/>
        </w:rPr>
        <w:t>days): Nausea, vomiting, diarrhoea, rash, erythema, oedema, swelling, fatigue, muscle spasms, thrombocytopenia, pancytopenia, abdominal pain, headache, decreased appetite.</w:t>
      </w:r>
    </w:p>
    <w:p w14:paraId="1B6800AB" w14:textId="77777777" w:rsidR="00AE1D76" w:rsidRPr="00654EF1" w:rsidRDefault="008613F4" w:rsidP="001D5C8C">
      <w:pPr>
        <w:pStyle w:val="Text"/>
        <w:widowControl w:val="0"/>
        <w:spacing w:before="0"/>
        <w:jc w:val="left"/>
        <w:rPr>
          <w:color w:val="000000"/>
          <w:sz w:val="22"/>
          <w:szCs w:val="22"/>
        </w:rPr>
      </w:pPr>
      <w:r w:rsidRPr="00654EF1">
        <w:rPr>
          <w:color w:val="000000"/>
          <w:sz w:val="22"/>
          <w:szCs w:val="22"/>
        </w:rPr>
        <w:t>1800 to 3200</w:t>
      </w:r>
      <w:r w:rsidR="00AE1D76" w:rsidRPr="00654EF1">
        <w:rPr>
          <w:color w:val="000000"/>
          <w:sz w:val="22"/>
          <w:szCs w:val="22"/>
        </w:rPr>
        <w:t> </w:t>
      </w:r>
      <w:r w:rsidRPr="00654EF1">
        <w:rPr>
          <w:color w:val="000000"/>
          <w:sz w:val="22"/>
          <w:szCs w:val="22"/>
        </w:rPr>
        <w:t>mg (as high as 3200</w:t>
      </w:r>
      <w:r w:rsidR="00AE1D76" w:rsidRPr="00654EF1">
        <w:rPr>
          <w:color w:val="000000"/>
          <w:sz w:val="22"/>
          <w:szCs w:val="22"/>
        </w:rPr>
        <w:t> </w:t>
      </w:r>
      <w:r w:rsidRPr="00654EF1">
        <w:rPr>
          <w:color w:val="000000"/>
          <w:sz w:val="22"/>
          <w:szCs w:val="22"/>
        </w:rPr>
        <w:t>mg daily for 6</w:t>
      </w:r>
      <w:r w:rsidR="00AE1D76" w:rsidRPr="00654EF1">
        <w:rPr>
          <w:color w:val="000000"/>
          <w:sz w:val="22"/>
          <w:szCs w:val="22"/>
        </w:rPr>
        <w:t> </w:t>
      </w:r>
      <w:r w:rsidRPr="00654EF1">
        <w:rPr>
          <w:color w:val="000000"/>
          <w:sz w:val="22"/>
          <w:szCs w:val="22"/>
        </w:rPr>
        <w:t xml:space="preserve">days): Weakness, myalgia, increased </w:t>
      </w:r>
      <w:r w:rsidR="0084505D" w:rsidRPr="00654EF1">
        <w:rPr>
          <w:color w:val="000000"/>
          <w:sz w:val="22"/>
          <w:szCs w:val="22"/>
        </w:rPr>
        <w:t>creatine phosphokinase</w:t>
      </w:r>
      <w:r w:rsidRPr="00654EF1">
        <w:rPr>
          <w:color w:val="000000"/>
          <w:sz w:val="22"/>
          <w:szCs w:val="22"/>
        </w:rPr>
        <w:t>, increased bilirubin, gastrointestinal pain.</w:t>
      </w:r>
    </w:p>
    <w:p w14:paraId="1B6800AC" w14:textId="77777777" w:rsidR="008613F4" w:rsidRPr="00654EF1" w:rsidRDefault="008613F4" w:rsidP="001D5C8C">
      <w:pPr>
        <w:pStyle w:val="Text"/>
        <w:widowControl w:val="0"/>
        <w:spacing w:before="0"/>
        <w:jc w:val="left"/>
        <w:rPr>
          <w:color w:val="000000"/>
          <w:sz w:val="22"/>
          <w:szCs w:val="22"/>
        </w:rPr>
      </w:pPr>
      <w:r w:rsidRPr="00654EF1">
        <w:rPr>
          <w:color w:val="000000"/>
          <w:sz w:val="22"/>
          <w:szCs w:val="22"/>
        </w:rPr>
        <w:t>6400</w:t>
      </w:r>
      <w:r w:rsidR="00AE1D76" w:rsidRPr="00654EF1">
        <w:rPr>
          <w:color w:val="000000"/>
          <w:sz w:val="22"/>
          <w:szCs w:val="22"/>
        </w:rPr>
        <w:t> </w:t>
      </w:r>
      <w:r w:rsidRPr="00654EF1">
        <w:rPr>
          <w:color w:val="000000"/>
          <w:sz w:val="22"/>
          <w:szCs w:val="22"/>
        </w:rPr>
        <w:t xml:space="preserve">mg (single dose): One case reported in the literature </w:t>
      </w:r>
      <w:r w:rsidR="0084505D" w:rsidRPr="00654EF1">
        <w:rPr>
          <w:color w:val="000000"/>
          <w:sz w:val="22"/>
          <w:szCs w:val="22"/>
        </w:rPr>
        <w:t>of</w:t>
      </w:r>
      <w:r w:rsidRPr="00654EF1">
        <w:rPr>
          <w:color w:val="000000"/>
          <w:sz w:val="22"/>
          <w:szCs w:val="22"/>
        </w:rPr>
        <w:t xml:space="preserve"> one patient who experienced nausea, vomiting, abdominal pain, pyrexia, facial swelling, </w:t>
      </w:r>
      <w:r w:rsidR="0084505D" w:rsidRPr="00654EF1">
        <w:rPr>
          <w:color w:val="000000"/>
          <w:sz w:val="22"/>
          <w:szCs w:val="22"/>
        </w:rPr>
        <w:t xml:space="preserve">decreased </w:t>
      </w:r>
      <w:r w:rsidRPr="00654EF1">
        <w:rPr>
          <w:color w:val="000000"/>
          <w:sz w:val="22"/>
          <w:szCs w:val="22"/>
        </w:rPr>
        <w:t>neutrophil count, increased transaminases.</w:t>
      </w:r>
    </w:p>
    <w:p w14:paraId="1B6800AD" w14:textId="77777777" w:rsidR="008613F4" w:rsidRPr="00654EF1" w:rsidRDefault="008613F4" w:rsidP="001D5C8C">
      <w:pPr>
        <w:pStyle w:val="Text"/>
        <w:widowControl w:val="0"/>
        <w:spacing w:before="0"/>
        <w:jc w:val="left"/>
        <w:rPr>
          <w:color w:val="000000"/>
          <w:sz w:val="22"/>
          <w:szCs w:val="22"/>
        </w:rPr>
      </w:pPr>
      <w:r w:rsidRPr="00654EF1">
        <w:rPr>
          <w:color w:val="000000"/>
          <w:sz w:val="22"/>
          <w:szCs w:val="22"/>
        </w:rPr>
        <w:t>8 to 10</w:t>
      </w:r>
      <w:r w:rsidR="0084505D" w:rsidRPr="00654EF1">
        <w:rPr>
          <w:color w:val="000000"/>
          <w:sz w:val="22"/>
          <w:szCs w:val="22"/>
        </w:rPr>
        <w:t> </w:t>
      </w:r>
      <w:r w:rsidRPr="00654EF1">
        <w:rPr>
          <w:color w:val="000000"/>
          <w:sz w:val="22"/>
          <w:szCs w:val="22"/>
        </w:rPr>
        <w:t>g (single dose): Vomiting and gastrointestinal pain have been reported.</w:t>
      </w:r>
    </w:p>
    <w:p w14:paraId="1B6800AE" w14:textId="77777777" w:rsidR="00AE1D76" w:rsidRPr="00654EF1" w:rsidRDefault="00AE1D76" w:rsidP="001D5C8C">
      <w:pPr>
        <w:widowControl w:val="0"/>
        <w:tabs>
          <w:tab w:val="clear" w:pos="567"/>
        </w:tabs>
        <w:spacing w:line="240" w:lineRule="auto"/>
        <w:rPr>
          <w:color w:val="000000"/>
          <w:szCs w:val="22"/>
        </w:rPr>
      </w:pPr>
    </w:p>
    <w:p w14:paraId="1B6800AF" w14:textId="77777777" w:rsidR="00B84DE1" w:rsidRPr="00654EF1" w:rsidRDefault="00B84DE1" w:rsidP="001D5C8C">
      <w:pPr>
        <w:keepNext/>
        <w:widowControl w:val="0"/>
        <w:tabs>
          <w:tab w:val="clear" w:pos="567"/>
        </w:tabs>
        <w:spacing w:line="240" w:lineRule="auto"/>
        <w:rPr>
          <w:color w:val="000000"/>
          <w:szCs w:val="22"/>
        </w:rPr>
      </w:pPr>
      <w:r w:rsidRPr="00654EF1">
        <w:rPr>
          <w:i/>
          <w:iCs/>
          <w:color w:val="000000"/>
          <w:szCs w:val="22"/>
        </w:rPr>
        <w:t>Paediatric population</w:t>
      </w:r>
    </w:p>
    <w:p w14:paraId="1B6800B0" w14:textId="77777777" w:rsidR="009B57ED" w:rsidRPr="00654EF1" w:rsidRDefault="008613F4" w:rsidP="001D5C8C">
      <w:pPr>
        <w:pStyle w:val="Text"/>
        <w:widowControl w:val="0"/>
        <w:spacing w:before="0"/>
        <w:jc w:val="left"/>
        <w:rPr>
          <w:color w:val="000000"/>
          <w:sz w:val="22"/>
          <w:szCs w:val="22"/>
        </w:rPr>
      </w:pPr>
      <w:r w:rsidRPr="00654EF1">
        <w:rPr>
          <w:color w:val="000000"/>
          <w:sz w:val="22"/>
          <w:szCs w:val="22"/>
        </w:rPr>
        <w:t>One 3</w:t>
      </w:r>
      <w:r w:rsidR="0084505D" w:rsidRPr="00654EF1">
        <w:rPr>
          <w:color w:val="000000"/>
          <w:sz w:val="22"/>
          <w:szCs w:val="22"/>
        </w:rPr>
        <w:t>-</w:t>
      </w:r>
      <w:r w:rsidRPr="00654EF1">
        <w:rPr>
          <w:color w:val="000000"/>
          <w:sz w:val="22"/>
          <w:szCs w:val="22"/>
        </w:rPr>
        <w:t xml:space="preserve">year-old male exposed to </w:t>
      </w:r>
      <w:r w:rsidR="0084505D" w:rsidRPr="00654EF1">
        <w:rPr>
          <w:color w:val="000000"/>
          <w:sz w:val="22"/>
          <w:szCs w:val="22"/>
        </w:rPr>
        <w:t xml:space="preserve">a </w:t>
      </w:r>
      <w:r w:rsidRPr="00654EF1">
        <w:rPr>
          <w:color w:val="000000"/>
          <w:sz w:val="22"/>
          <w:szCs w:val="22"/>
        </w:rPr>
        <w:t>single dose of 400</w:t>
      </w:r>
      <w:r w:rsidR="00AE1D76" w:rsidRPr="00654EF1">
        <w:rPr>
          <w:color w:val="000000"/>
          <w:sz w:val="22"/>
          <w:szCs w:val="22"/>
        </w:rPr>
        <w:t> </w:t>
      </w:r>
      <w:r w:rsidRPr="00654EF1">
        <w:rPr>
          <w:color w:val="000000"/>
          <w:sz w:val="22"/>
          <w:szCs w:val="22"/>
        </w:rPr>
        <w:t>mg experienced vomiting, diarrhoea and anorexia and another 3</w:t>
      </w:r>
      <w:r w:rsidR="0084505D" w:rsidRPr="00654EF1">
        <w:rPr>
          <w:color w:val="000000"/>
          <w:sz w:val="22"/>
          <w:szCs w:val="22"/>
        </w:rPr>
        <w:t>-</w:t>
      </w:r>
      <w:r w:rsidRPr="00654EF1">
        <w:rPr>
          <w:color w:val="000000"/>
          <w:sz w:val="22"/>
          <w:szCs w:val="22"/>
        </w:rPr>
        <w:t>year</w:t>
      </w:r>
      <w:r w:rsidR="0084505D" w:rsidRPr="00654EF1">
        <w:rPr>
          <w:color w:val="000000"/>
          <w:sz w:val="22"/>
          <w:szCs w:val="22"/>
        </w:rPr>
        <w:t>-</w:t>
      </w:r>
      <w:r w:rsidRPr="00654EF1">
        <w:rPr>
          <w:color w:val="000000"/>
          <w:sz w:val="22"/>
          <w:szCs w:val="22"/>
        </w:rPr>
        <w:t>old male exposed to</w:t>
      </w:r>
      <w:r w:rsidR="0084505D" w:rsidRPr="00654EF1">
        <w:rPr>
          <w:color w:val="000000"/>
          <w:sz w:val="22"/>
          <w:szCs w:val="22"/>
        </w:rPr>
        <w:t xml:space="preserve"> a</w:t>
      </w:r>
      <w:r w:rsidRPr="00654EF1">
        <w:rPr>
          <w:color w:val="000000"/>
          <w:sz w:val="22"/>
          <w:szCs w:val="22"/>
        </w:rPr>
        <w:t xml:space="preserve"> single dose of 980</w:t>
      </w:r>
      <w:r w:rsidR="00AE1D76" w:rsidRPr="00654EF1">
        <w:rPr>
          <w:color w:val="000000"/>
          <w:sz w:val="22"/>
          <w:szCs w:val="22"/>
        </w:rPr>
        <w:t> </w:t>
      </w:r>
      <w:r w:rsidRPr="00654EF1">
        <w:rPr>
          <w:color w:val="000000"/>
          <w:sz w:val="22"/>
          <w:szCs w:val="22"/>
        </w:rPr>
        <w:t>mg experienced decreased white blood cell count and diarrh</w:t>
      </w:r>
      <w:r w:rsidR="00AE1D76" w:rsidRPr="00654EF1">
        <w:rPr>
          <w:color w:val="000000"/>
          <w:sz w:val="22"/>
          <w:szCs w:val="22"/>
        </w:rPr>
        <w:t>o</w:t>
      </w:r>
      <w:r w:rsidRPr="00654EF1">
        <w:rPr>
          <w:color w:val="000000"/>
          <w:sz w:val="22"/>
          <w:szCs w:val="22"/>
        </w:rPr>
        <w:t>ea.</w:t>
      </w:r>
    </w:p>
    <w:p w14:paraId="1B6800B1" w14:textId="77777777" w:rsidR="009B57ED" w:rsidRPr="00654EF1" w:rsidRDefault="009B57ED" w:rsidP="001D5C8C">
      <w:pPr>
        <w:widowControl w:val="0"/>
        <w:tabs>
          <w:tab w:val="clear" w:pos="567"/>
        </w:tabs>
        <w:spacing w:line="240" w:lineRule="auto"/>
        <w:rPr>
          <w:color w:val="000000"/>
          <w:szCs w:val="22"/>
        </w:rPr>
      </w:pPr>
    </w:p>
    <w:p w14:paraId="1B6800B2" w14:textId="77777777" w:rsidR="009B57ED" w:rsidRPr="00654EF1" w:rsidRDefault="009B57ED" w:rsidP="001D5C8C">
      <w:pPr>
        <w:widowControl w:val="0"/>
        <w:tabs>
          <w:tab w:val="clear" w:pos="567"/>
        </w:tabs>
        <w:spacing w:line="240" w:lineRule="auto"/>
        <w:rPr>
          <w:color w:val="000000"/>
          <w:szCs w:val="22"/>
        </w:rPr>
      </w:pPr>
      <w:r w:rsidRPr="00654EF1">
        <w:rPr>
          <w:rFonts w:eastAsia="MS Mincho"/>
          <w:color w:val="000000"/>
          <w:szCs w:val="22"/>
        </w:rPr>
        <w:t>In the event of overdose, the patient should be observed and appropriate supportive treatment given.</w:t>
      </w:r>
    </w:p>
    <w:p w14:paraId="1B6800B3" w14:textId="77777777" w:rsidR="009B57ED" w:rsidRPr="00654EF1" w:rsidRDefault="009B57ED" w:rsidP="001D5C8C">
      <w:pPr>
        <w:widowControl w:val="0"/>
        <w:tabs>
          <w:tab w:val="clear" w:pos="567"/>
        </w:tabs>
        <w:spacing w:line="240" w:lineRule="auto"/>
        <w:rPr>
          <w:color w:val="000000"/>
          <w:szCs w:val="22"/>
        </w:rPr>
      </w:pPr>
    </w:p>
    <w:p w14:paraId="1B6800B4" w14:textId="77777777" w:rsidR="009B57ED" w:rsidRPr="00654EF1" w:rsidRDefault="009B57ED" w:rsidP="001D5C8C">
      <w:pPr>
        <w:widowControl w:val="0"/>
        <w:tabs>
          <w:tab w:val="clear" w:pos="567"/>
        </w:tabs>
        <w:spacing w:line="240" w:lineRule="auto"/>
        <w:rPr>
          <w:color w:val="000000"/>
          <w:szCs w:val="22"/>
        </w:rPr>
      </w:pPr>
    </w:p>
    <w:p w14:paraId="1B6800B5"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lastRenderedPageBreak/>
        <w:t>5.</w:t>
      </w:r>
      <w:r w:rsidRPr="00654EF1">
        <w:rPr>
          <w:b/>
          <w:color w:val="000000"/>
          <w:szCs w:val="22"/>
        </w:rPr>
        <w:tab/>
        <w:t>PHARMACOLOGICAL PROPERTIES</w:t>
      </w:r>
    </w:p>
    <w:p w14:paraId="1B6800B6" w14:textId="77777777" w:rsidR="009B57ED" w:rsidRPr="00654EF1" w:rsidRDefault="009B57ED" w:rsidP="001D5C8C">
      <w:pPr>
        <w:keepNext/>
        <w:widowControl w:val="0"/>
        <w:tabs>
          <w:tab w:val="clear" w:pos="567"/>
        </w:tabs>
        <w:spacing w:line="240" w:lineRule="auto"/>
        <w:rPr>
          <w:color w:val="000000"/>
          <w:szCs w:val="22"/>
        </w:rPr>
      </w:pPr>
    </w:p>
    <w:p w14:paraId="1B6800B7"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5.1</w:t>
      </w:r>
      <w:r w:rsidRPr="00654EF1">
        <w:rPr>
          <w:b/>
          <w:color w:val="000000"/>
          <w:szCs w:val="22"/>
        </w:rPr>
        <w:tab/>
        <w:t>Pharmacodynamic properties</w:t>
      </w:r>
    </w:p>
    <w:p w14:paraId="1B6800B8" w14:textId="77777777" w:rsidR="009B57ED" w:rsidRPr="00654EF1" w:rsidRDefault="009B57ED" w:rsidP="001D5C8C">
      <w:pPr>
        <w:pStyle w:val="EndnoteText"/>
        <w:keepNext/>
        <w:widowControl w:val="0"/>
        <w:tabs>
          <w:tab w:val="clear" w:pos="567"/>
        </w:tabs>
        <w:rPr>
          <w:color w:val="000000"/>
          <w:szCs w:val="22"/>
        </w:rPr>
      </w:pPr>
    </w:p>
    <w:p w14:paraId="1B6800B9" w14:textId="77777777" w:rsidR="009B57ED" w:rsidRPr="00654EF1" w:rsidRDefault="009B57ED" w:rsidP="001D5C8C">
      <w:pPr>
        <w:keepNext/>
        <w:widowControl w:val="0"/>
        <w:tabs>
          <w:tab w:val="clear" w:pos="567"/>
        </w:tabs>
        <w:spacing w:line="240" w:lineRule="auto"/>
        <w:rPr>
          <w:color w:val="000000"/>
          <w:szCs w:val="22"/>
        </w:rPr>
      </w:pPr>
      <w:r w:rsidRPr="00654EF1">
        <w:rPr>
          <w:color w:val="000000"/>
          <w:szCs w:val="22"/>
        </w:rPr>
        <w:t xml:space="preserve">Pharmacotherapeutic group: protein-tyrosine kinase inhibitor, ATC code: </w:t>
      </w:r>
      <w:r w:rsidR="007569BA" w:rsidRPr="00654EF1">
        <w:rPr>
          <w:color w:val="000000"/>
          <w:szCs w:val="22"/>
        </w:rPr>
        <w:t>L01XE01</w:t>
      </w:r>
    </w:p>
    <w:p w14:paraId="1B6800BA" w14:textId="77777777" w:rsidR="00E539BC" w:rsidRPr="00654EF1" w:rsidRDefault="00E539BC" w:rsidP="001D5C8C">
      <w:pPr>
        <w:pStyle w:val="EndnoteText"/>
        <w:keepNext/>
        <w:widowControl w:val="0"/>
        <w:tabs>
          <w:tab w:val="clear" w:pos="567"/>
        </w:tabs>
        <w:rPr>
          <w:color w:val="000000"/>
          <w:szCs w:val="22"/>
        </w:rPr>
      </w:pPr>
    </w:p>
    <w:p w14:paraId="1B6800BB" w14:textId="77777777" w:rsidR="00E539BC" w:rsidRPr="00654EF1" w:rsidRDefault="00E539BC" w:rsidP="001D5C8C">
      <w:pPr>
        <w:pStyle w:val="EndnoteText"/>
        <w:keepNext/>
        <w:widowControl w:val="0"/>
        <w:tabs>
          <w:tab w:val="clear" w:pos="567"/>
        </w:tabs>
        <w:rPr>
          <w:color w:val="000000"/>
          <w:szCs w:val="22"/>
          <w:u w:val="single"/>
        </w:rPr>
      </w:pPr>
      <w:r w:rsidRPr="00654EF1">
        <w:rPr>
          <w:color w:val="000000"/>
          <w:szCs w:val="22"/>
          <w:u w:val="single"/>
        </w:rPr>
        <w:t>Mechanism of action</w:t>
      </w:r>
    </w:p>
    <w:p w14:paraId="1B6800BC" w14:textId="77777777" w:rsidR="00E539BC" w:rsidRPr="00654EF1" w:rsidRDefault="00E539BC" w:rsidP="001D5C8C">
      <w:pPr>
        <w:pStyle w:val="EndnoteText"/>
        <w:widowControl w:val="0"/>
        <w:tabs>
          <w:tab w:val="clear" w:pos="567"/>
        </w:tabs>
      </w:pPr>
      <w:r w:rsidRPr="00654EF1">
        <w:t>Imatinib is a small molecule protein-tyrosine kinase inhibitor that potently inhibits the activity of the Bcr-Abl tyrosine kinase (TK), as well as several receptor TKs: Kit, the receptor for stem cell factor (SCF) coded for by the c-Kit proto-oncogene, the discoidin domain receptors (DDR1 and DDR2), the colony stimulating factor receptor (CSF-1R) and the platelet-derived growth factor receptors alpha and beta (PDGFR-alpha and PDGFR-beta). Imatinib can also inhibit cellular events mediated by activation of these receptor kinases</w:t>
      </w:r>
      <w:r w:rsidRPr="00654EF1">
        <w:rPr>
          <w:color w:val="0000FF"/>
        </w:rPr>
        <w:t>.</w:t>
      </w:r>
    </w:p>
    <w:p w14:paraId="1B6800BD" w14:textId="77777777" w:rsidR="00E539BC" w:rsidRPr="00654EF1" w:rsidRDefault="00E539BC" w:rsidP="001D5C8C">
      <w:pPr>
        <w:pStyle w:val="EndnoteText"/>
        <w:widowControl w:val="0"/>
        <w:tabs>
          <w:tab w:val="clear" w:pos="567"/>
        </w:tabs>
        <w:rPr>
          <w:color w:val="000000"/>
          <w:szCs w:val="22"/>
        </w:rPr>
      </w:pPr>
    </w:p>
    <w:p w14:paraId="1B6800BE" w14:textId="77777777" w:rsidR="009B57ED" w:rsidRPr="00654EF1" w:rsidRDefault="00E539BC" w:rsidP="001D5C8C">
      <w:pPr>
        <w:pStyle w:val="EndnoteText"/>
        <w:keepNext/>
        <w:widowControl w:val="0"/>
        <w:tabs>
          <w:tab w:val="clear" w:pos="567"/>
        </w:tabs>
        <w:rPr>
          <w:color w:val="000000"/>
          <w:szCs w:val="22"/>
        </w:rPr>
      </w:pPr>
      <w:r w:rsidRPr="00654EF1">
        <w:rPr>
          <w:color w:val="000000"/>
          <w:szCs w:val="22"/>
          <w:u w:val="single"/>
        </w:rPr>
        <w:t>Pharmacodynamic effects</w:t>
      </w:r>
    </w:p>
    <w:p w14:paraId="1B6800BF"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Imatinib is a protein-tyrosine kinase inhibitor which potently inhibits the Bcr-Abl tyrosine kinase at the </w:t>
      </w:r>
      <w:r w:rsidRPr="00654EF1">
        <w:rPr>
          <w:i/>
          <w:color w:val="000000"/>
          <w:szCs w:val="22"/>
        </w:rPr>
        <w:t>in vitro</w:t>
      </w:r>
      <w:r w:rsidRPr="00654EF1">
        <w:rPr>
          <w:color w:val="000000"/>
          <w:szCs w:val="22"/>
        </w:rPr>
        <w:t xml:space="preserve">, cellular and </w:t>
      </w:r>
      <w:r w:rsidRPr="00654EF1">
        <w:rPr>
          <w:i/>
          <w:color w:val="000000"/>
          <w:szCs w:val="22"/>
        </w:rPr>
        <w:t>in vivo</w:t>
      </w:r>
      <w:r w:rsidRPr="00654EF1">
        <w:rPr>
          <w:color w:val="000000"/>
          <w:szCs w:val="22"/>
        </w:rPr>
        <w:t xml:space="preserve"> levels. The compound selectively inhibits proliferation and induces apoptosis in Bcr-Abl positive cell lines as well as fresh leukaemic cells from Philadelphia chromosome positive CML and acute lymphoblastic leukaemia (</w:t>
      </w:r>
      <w:smartTag w:uri="urn:schemas-microsoft-com:office:smarttags" w:element="stockticker">
        <w:r w:rsidRPr="00654EF1">
          <w:rPr>
            <w:color w:val="000000"/>
            <w:szCs w:val="22"/>
          </w:rPr>
          <w:t>ALL</w:t>
        </w:r>
      </w:smartTag>
      <w:r w:rsidRPr="00654EF1">
        <w:rPr>
          <w:color w:val="000000"/>
          <w:szCs w:val="22"/>
        </w:rPr>
        <w:t>) patients.</w:t>
      </w:r>
    </w:p>
    <w:p w14:paraId="1B6800C0" w14:textId="77777777" w:rsidR="009B57ED" w:rsidRPr="00654EF1" w:rsidRDefault="009B57ED" w:rsidP="001D5C8C">
      <w:pPr>
        <w:pStyle w:val="EndnoteText"/>
        <w:widowControl w:val="0"/>
        <w:tabs>
          <w:tab w:val="clear" w:pos="567"/>
        </w:tabs>
        <w:rPr>
          <w:color w:val="000000"/>
          <w:szCs w:val="22"/>
        </w:rPr>
      </w:pPr>
    </w:p>
    <w:p w14:paraId="1B6800C1" w14:textId="77777777" w:rsidR="009B57ED" w:rsidRPr="00654EF1" w:rsidRDefault="009B57ED" w:rsidP="001D5C8C">
      <w:pPr>
        <w:pStyle w:val="EndnoteText"/>
        <w:widowControl w:val="0"/>
        <w:tabs>
          <w:tab w:val="clear" w:pos="567"/>
        </w:tabs>
        <w:rPr>
          <w:color w:val="000000"/>
          <w:szCs w:val="22"/>
        </w:rPr>
      </w:pPr>
      <w:r w:rsidRPr="00654EF1">
        <w:rPr>
          <w:i/>
          <w:color w:val="000000"/>
          <w:szCs w:val="22"/>
        </w:rPr>
        <w:t>In vivo</w:t>
      </w:r>
      <w:r w:rsidRPr="00654EF1">
        <w:rPr>
          <w:color w:val="000000"/>
          <w:szCs w:val="22"/>
        </w:rPr>
        <w:t xml:space="preserve"> the compound shows anti-tumour activity as a single agent in animal models using Bcr-Abl positive tumour cells.</w:t>
      </w:r>
    </w:p>
    <w:p w14:paraId="1B6800C2" w14:textId="77777777" w:rsidR="009B57ED" w:rsidRPr="00654EF1" w:rsidRDefault="009B57ED" w:rsidP="001D5C8C">
      <w:pPr>
        <w:pStyle w:val="EndnoteText"/>
        <w:widowControl w:val="0"/>
        <w:tabs>
          <w:tab w:val="clear" w:pos="567"/>
        </w:tabs>
        <w:rPr>
          <w:color w:val="000000"/>
          <w:szCs w:val="22"/>
        </w:rPr>
      </w:pPr>
    </w:p>
    <w:p w14:paraId="1B6800C3"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Imatinib is also an inhibitor of the receptor tyrosine kinases for platelet-derived growth factor (PDGF), PDGF-R, and stem cell factor (SCF), c-Kit, and inhibits PDGF- and SCF-mediated cellular events. </w:t>
      </w:r>
      <w:r w:rsidRPr="00654EF1">
        <w:rPr>
          <w:i/>
          <w:color w:val="000000"/>
          <w:szCs w:val="22"/>
        </w:rPr>
        <w:t>In vitro</w:t>
      </w:r>
      <w:r w:rsidRPr="00654EF1">
        <w:rPr>
          <w:color w:val="000000"/>
          <w:szCs w:val="22"/>
        </w:rPr>
        <w:t xml:space="preserve">, imatinib inhibits proliferation and induces apoptosis in gastrointestinal stromal tumour (GIST) cells, which express an activating </w:t>
      </w:r>
      <w:r w:rsidRPr="00654EF1">
        <w:rPr>
          <w:i/>
          <w:color w:val="000000"/>
          <w:szCs w:val="22"/>
        </w:rPr>
        <w:t>kit</w:t>
      </w:r>
      <w:r w:rsidRPr="00654EF1">
        <w:rPr>
          <w:color w:val="000000"/>
          <w:szCs w:val="22"/>
        </w:rPr>
        <w:t xml:space="preserve"> mutation.</w:t>
      </w:r>
      <w:r w:rsidR="00657FAB" w:rsidRPr="00654EF1">
        <w:rPr>
          <w:color w:val="000000"/>
        </w:rPr>
        <w:t xml:space="preserve"> Constitutive activation of the PDGF receptor or the Abl protein tyrosine kinases as a consequence of fusion to diverse partner proteins or constitutive production of PDGF have been implicated in the pathogenesis of </w:t>
      </w:r>
      <w:smartTag w:uri="urn:schemas-microsoft-com:office:smarttags" w:element="stockticker">
        <w:r w:rsidR="00632833" w:rsidRPr="00654EF1">
          <w:rPr>
            <w:color w:val="000000"/>
          </w:rPr>
          <w:t>MDS</w:t>
        </w:r>
      </w:smartTag>
      <w:r w:rsidR="00632833" w:rsidRPr="00654EF1">
        <w:rPr>
          <w:color w:val="000000"/>
        </w:rPr>
        <w:t>/MPD</w:t>
      </w:r>
      <w:r w:rsidR="00AF1D36" w:rsidRPr="00654EF1">
        <w:rPr>
          <w:color w:val="000000"/>
        </w:rPr>
        <w:t>, HES/</w:t>
      </w:r>
      <w:smartTag w:uri="urn:schemas-microsoft-com:office:smarttags" w:element="stockticker">
        <w:r w:rsidR="00AF1D36" w:rsidRPr="00654EF1">
          <w:rPr>
            <w:color w:val="000000"/>
          </w:rPr>
          <w:t>CEL</w:t>
        </w:r>
      </w:smartTag>
      <w:r w:rsidR="00632833" w:rsidRPr="00654EF1">
        <w:rPr>
          <w:color w:val="000000"/>
        </w:rPr>
        <w:t xml:space="preserve"> and </w:t>
      </w:r>
      <w:r w:rsidR="00657FAB" w:rsidRPr="00654EF1">
        <w:rPr>
          <w:color w:val="000000"/>
        </w:rPr>
        <w:t>DFSP. Imatinib inhibits signalling and proliferation of cells driven by dysregulated PDGFR and Abl kinase activity.</w:t>
      </w:r>
    </w:p>
    <w:p w14:paraId="1B6800C4" w14:textId="77777777" w:rsidR="009B57ED" w:rsidRPr="00654EF1" w:rsidRDefault="009B57ED" w:rsidP="001D5C8C">
      <w:pPr>
        <w:pStyle w:val="EndnoteText"/>
        <w:widowControl w:val="0"/>
        <w:tabs>
          <w:tab w:val="clear" w:pos="567"/>
        </w:tabs>
        <w:rPr>
          <w:color w:val="000000"/>
          <w:szCs w:val="22"/>
        </w:rPr>
      </w:pPr>
    </w:p>
    <w:p w14:paraId="1B6800C5"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Clinical studies in chronic myeloid leukaemia</w:t>
      </w:r>
    </w:p>
    <w:p w14:paraId="1B6800C6" w14:textId="77777777" w:rsidR="009B57ED" w:rsidRPr="00654EF1" w:rsidRDefault="009B57ED" w:rsidP="001D5C8C">
      <w:pPr>
        <w:pStyle w:val="EndnoteText"/>
        <w:widowControl w:val="0"/>
        <w:tabs>
          <w:tab w:val="clear" w:pos="567"/>
        </w:tabs>
        <w:rPr>
          <w:color w:val="000000"/>
          <w:szCs w:val="22"/>
          <w:u w:val="single"/>
        </w:rPr>
      </w:pPr>
      <w:r w:rsidRPr="00654EF1">
        <w:rPr>
          <w:color w:val="000000"/>
          <w:szCs w:val="22"/>
        </w:rPr>
        <w:t>The effectiveness of Glivec is based on overall haematological and cytogenetic response rates</w:t>
      </w:r>
      <w:r w:rsidR="00A37F74" w:rsidRPr="00654EF1">
        <w:rPr>
          <w:color w:val="000000"/>
          <w:szCs w:val="22"/>
        </w:rPr>
        <w:t xml:space="preserve"> and progression</w:t>
      </w:r>
      <w:r w:rsidR="008376F8" w:rsidRPr="00654EF1">
        <w:rPr>
          <w:color w:val="000000"/>
          <w:szCs w:val="22"/>
        </w:rPr>
        <w:t>-</w:t>
      </w:r>
      <w:r w:rsidR="00A37F74" w:rsidRPr="00654EF1">
        <w:rPr>
          <w:color w:val="000000"/>
          <w:szCs w:val="22"/>
        </w:rPr>
        <w:t>free survival</w:t>
      </w:r>
      <w:r w:rsidRPr="00654EF1">
        <w:rPr>
          <w:color w:val="000000"/>
          <w:szCs w:val="22"/>
        </w:rPr>
        <w:t xml:space="preserve">. </w:t>
      </w:r>
      <w:r w:rsidR="00A37F74" w:rsidRPr="00654EF1">
        <w:rPr>
          <w:color w:val="000000"/>
          <w:szCs w:val="22"/>
        </w:rPr>
        <w:t>Except in newly diagnosed chronic phase CML</w:t>
      </w:r>
      <w:r w:rsidR="008376F8" w:rsidRPr="00654EF1">
        <w:rPr>
          <w:color w:val="000000"/>
          <w:szCs w:val="22"/>
        </w:rPr>
        <w:t>,</w:t>
      </w:r>
      <w:r w:rsidR="00A37F74" w:rsidRPr="00654EF1">
        <w:rPr>
          <w:color w:val="000000"/>
          <w:szCs w:val="22"/>
        </w:rPr>
        <w:t xml:space="preserve"> t</w:t>
      </w:r>
      <w:r w:rsidRPr="00654EF1">
        <w:rPr>
          <w:color w:val="000000"/>
          <w:szCs w:val="22"/>
        </w:rPr>
        <w:t>here are no controlled trials demonstrating a clinical benefit, such as improvement in disease-related symptoms or increased survival.</w:t>
      </w:r>
    </w:p>
    <w:p w14:paraId="1B6800C7" w14:textId="77777777" w:rsidR="009B57ED" w:rsidRPr="00654EF1" w:rsidRDefault="009B57ED" w:rsidP="001D5C8C">
      <w:pPr>
        <w:pStyle w:val="EndnoteText"/>
        <w:widowControl w:val="0"/>
        <w:tabs>
          <w:tab w:val="clear" w:pos="567"/>
        </w:tabs>
        <w:rPr>
          <w:color w:val="000000"/>
          <w:szCs w:val="22"/>
        </w:rPr>
      </w:pPr>
    </w:p>
    <w:p w14:paraId="1B6800C8"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Three large, international, open-label, non-controlled phase II studies were conducted in patients with Philadelphia chromosome positive (Ph+) CML in advanced, blast or accelerated phase disease, other Ph+ leukaemias or with CML in the chronic phase but failing prior interferon-alpha (IFN) therapy. One large, open-label, multicentre, international randomised phase </w:t>
      </w:r>
      <w:smartTag w:uri="urn:schemas-microsoft-com:office:smarttags" w:element="stockticker">
        <w:r w:rsidRPr="00654EF1">
          <w:rPr>
            <w:color w:val="000000"/>
            <w:szCs w:val="22"/>
          </w:rPr>
          <w:t>III</w:t>
        </w:r>
      </w:smartTag>
      <w:r w:rsidRPr="00654EF1">
        <w:rPr>
          <w:color w:val="000000"/>
          <w:szCs w:val="22"/>
        </w:rPr>
        <w:t xml:space="preserve"> study has been conducted in patients with newly diagnosed Ph+ CML. In addition, children have been treated in two phase I studies</w:t>
      </w:r>
      <w:r w:rsidR="008F1C56" w:rsidRPr="00654EF1">
        <w:rPr>
          <w:color w:val="000000"/>
          <w:szCs w:val="22"/>
        </w:rPr>
        <w:t xml:space="preserve"> and one phase II study</w:t>
      </w:r>
      <w:r w:rsidRPr="00654EF1">
        <w:rPr>
          <w:color w:val="000000"/>
          <w:szCs w:val="22"/>
        </w:rPr>
        <w:t>.</w:t>
      </w:r>
    </w:p>
    <w:p w14:paraId="1B6800C9" w14:textId="77777777" w:rsidR="009B57ED" w:rsidRPr="00654EF1" w:rsidRDefault="009B57ED" w:rsidP="001D5C8C">
      <w:pPr>
        <w:pStyle w:val="EndnoteText"/>
        <w:widowControl w:val="0"/>
        <w:tabs>
          <w:tab w:val="clear" w:pos="567"/>
        </w:tabs>
        <w:rPr>
          <w:color w:val="000000"/>
          <w:szCs w:val="22"/>
        </w:rPr>
      </w:pPr>
    </w:p>
    <w:p w14:paraId="1B6800CA"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In all clinical studies 38–40% of patients were </w:t>
      </w:r>
      <w:r w:rsidRPr="00654EF1">
        <w:rPr>
          <w:color w:val="000000"/>
          <w:szCs w:val="22"/>
        </w:rPr>
        <w:sym w:font="Symbol" w:char="F0B3"/>
      </w:r>
      <w:r w:rsidRPr="00654EF1">
        <w:rPr>
          <w:color w:val="000000"/>
          <w:szCs w:val="22"/>
        </w:rPr>
        <w:t> 60 years of age and 10</w:t>
      </w:r>
      <w:bookmarkStart w:id="3" w:name="OLE_LINK2"/>
      <w:r w:rsidRPr="00654EF1">
        <w:rPr>
          <w:color w:val="000000"/>
          <w:szCs w:val="22"/>
        </w:rPr>
        <w:t>–</w:t>
      </w:r>
      <w:bookmarkEnd w:id="3"/>
      <w:r w:rsidRPr="00654EF1">
        <w:rPr>
          <w:color w:val="000000"/>
          <w:szCs w:val="22"/>
        </w:rPr>
        <w:t xml:space="preserve">12% of patients were </w:t>
      </w:r>
      <w:r w:rsidRPr="00654EF1">
        <w:rPr>
          <w:color w:val="000000"/>
          <w:szCs w:val="22"/>
        </w:rPr>
        <w:sym w:font="Symbol" w:char="F0B3"/>
      </w:r>
      <w:r w:rsidRPr="00654EF1">
        <w:rPr>
          <w:color w:val="000000"/>
          <w:szCs w:val="22"/>
        </w:rPr>
        <w:t> 70 years of age.</w:t>
      </w:r>
    </w:p>
    <w:p w14:paraId="1B6800CB" w14:textId="77777777" w:rsidR="009B57ED" w:rsidRPr="00654EF1" w:rsidRDefault="009B57ED" w:rsidP="001D5C8C">
      <w:pPr>
        <w:pStyle w:val="EndnoteText"/>
        <w:widowControl w:val="0"/>
        <w:tabs>
          <w:tab w:val="clear" w:pos="567"/>
        </w:tabs>
        <w:rPr>
          <w:color w:val="000000"/>
          <w:szCs w:val="22"/>
        </w:rPr>
      </w:pPr>
    </w:p>
    <w:p w14:paraId="1B6800CC" w14:textId="77777777" w:rsidR="009B57ED" w:rsidRPr="00654EF1" w:rsidRDefault="009B57ED" w:rsidP="001D5C8C">
      <w:pPr>
        <w:pStyle w:val="EndnoteText"/>
        <w:widowControl w:val="0"/>
        <w:rPr>
          <w:color w:val="000000"/>
          <w:szCs w:val="22"/>
        </w:rPr>
      </w:pPr>
      <w:r w:rsidRPr="00654EF1">
        <w:rPr>
          <w:i/>
          <w:color w:val="000000"/>
          <w:szCs w:val="22"/>
        </w:rPr>
        <w:t>Chronic phase, newly diagnosed:</w:t>
      </w:r>
      <w:r w:rsidRPr="00654EF1">
        <w:rPr>
          <w:color w:val="000000"/>
          <w:szCs w:val="22"/>
        </w:rPr>
        <w:t xml:space="preserve"> This phase </w:t>
      </w:r>
      <w:smartTag w:uri="urn:schemas-microsoft-com:office:smarttags" w:element="stockticker">
        <w:r w:rsidRPr="00654EF1">
          <w:rPr>
            <w:color w:val="000000"/>
            <w:szCs w:val="22"/>
          </w:rPr>
          <w:t>III</w:t>
        </w:r>
      </w:smartTag>
      <w:r w:rsidRPr="00654EF1">
        <w:rPr>
          <w:color w:val="000000"/>
          <w:szCs w:val="22"/>
        </w:rPr>
        <w:t xml:space="preserve"> study </w:t>
      </w:r>
      <w:r w:rsidR="008F1C56" w:rsidRPr="00654EF1">
        <w:rPr>
          <w:color w:val="000000"/>
          <w:szCs w:val="22"/>
        </w:rPr>
        <w:t xml:space="preserve">in adult patients </w:t>
      </w:r>
      <w:r w:rsidRPr="00654EF1">
        <w:rPr>
          <w:color w:val="000000"/>
          <w:szCs w:val="22"/>
        </w:rPr>
        <w:t>compared treatment with either single-agent Glivec or a combination of interferon-alpha (IFN) plus cytarabine (Ara-C). Patients showing lack of response (lack of complete haematological response (</w:t>
      </w:r>
      <w:smartTag w:uri="urn:schemas-microsoft-com:office:smarttags" w:element="stockticker">
        <w:r w:rsidRPr="00654EF1">
          <w:rPr>
            <w:color w:val="000000"/>
            <w:szCs w:val="22"/>
          </w:rPr>
          <w:t>CHR</w:t>
        </w:r>
      </w:smartTag>
      <w:r w:rsidRPr="00654EF1">
        <w:rPr>
          <w:color w:val="000000"/>
          <w:szCs w:val="22"/>
        </w:rPr>
        <w:t xml:space="preserve">) at 6 months, increasing WBC, no major cytogenetic response (MCyR) at 24 months), loss of response (loss of </w:t>
      </w:r>
      <w:smartTag w:uri="urn:schemas-microsoft-com:office:smarttags" w:element="stockticker">
        <w:r w:rsidRPr="00654EF1">
          <w:rPr>
            <w:color w:val="000000"/>
            <w:szCs w:val="22"/>
          </w:rPr>
          <w:t>CHR</w:t>
        </w:r>
      </w:smartTag>
      <w:r w:rsidRPr="00654EF1">
        <w:rPr>
          <w:color w:val="000000"/>
          <w:szCs w:val="22"/>
        </w:rPr>
        <w:t xml:space="preserve"> or MCyR) or severe intolerance to treatment were allowed to cross over to the alternative treatment arm. In the Glivec arm, patients were treated with 400 mg daily. In the IFN arm, patients were treated with a target dose of IFN of 5 MIU/m</w:t>
      </w:r>
      <w:r w:rsidRPr="00654EF1">
        <w:rPr>
          <w:color w:val="000000"/>
          <w:szCs w:val="22"/>
          <w:vertAlign w:val="superscript"/>
        </w:rPr>
        <w:t>2</w:t>
      </w:r>
      <w:r w:rsidRPr="00654EF1">
        <w:rPr>
          <w:color w:val="000000"/>
          <w:szCs w:val="22"/>
        </w:rPr>
        <w:t>/day subcutaneously in combination with subcutaneous Ara-C 20 mg/m</w:t>
      </w:r>
      <w:r w:rsidRPr="00654EF1">
        <w:rPr>
          <w:color w:val="000000"/>
          <w:szCs w:val="22"/>
          <w:vertAlign w:val="superscript"/>
        </w:rPr>
        <w:t>2</w:t>
      </w:r>
      <w:r w:rsidRPr="00654EF1">
        <w:rPr>
          <w:color w:val="000000"/>
          <w:szCs w:val="22"/>
        </w:rPr>
        <w:t>/day for 10 days/month.</w:t>
      </w:r>
    </w:p>
    <w:p w14:paraId="1B6800CD" w14:textId="77777777" w:rsidR="009B57ED" w:rsidRPr="00654EF1" w:rsidRDefault="009B57ED" w:rsidP="001D5C8C">
      <w:pPr>
        <w:pStyle w:val="EndnoteText"/>
        <w:widowControl w:val="0"/>
        <w:rPr>
          <w:color w:val="000000"/>
          <w:szCs w:val="22"/>
        </w:rPr>
      </w:pPr>
    </w:p>
    <w:p w14:paraId="1B6800CE" w14:textId="77777777" w:rsidR="0037757A" w:rsidRPr="00654EF1" w:rsidRDefault="00E636F4" w:rsidP="001D5C8C">
      <w:pPr>
        <w:pStyle w:val="EndnoteText"/>
        <w:widowControl w:val="0"/>
        <w:rPr>
          <w:color w:val="000000"/>
          <w:szCs w:val="22"/>
        </w:rPr>
      </w:pPr>
      <w:r w:rsidRPr="00654EF1">
        <w:rPr>
          <w:color w:val="000000"/>
          <w:szCs w:val="22"/>
        </w:rPr>
        <w:lastRenderedPageBreak/>
        <w:t xml:space="preserve">A total of 1,106 patients were randomised, 553 to each arm. Baseline characteristics were well balanced between the two arms. Median age was 51 years (range 18–70 years), with 21.9% of patients ≥ 60 years of age. There were 59% males and 41% females; 89.9% caucasian and 4.7% black patients. </w:t>
      </w:r>
      <w:r w:rsidR="00BE0FA4" w:rsidRPr="00654EF1">
        <w:rPr>
          <w:color w:val="000000"/>
          <w:szCs w:val="22"/>
        </w:rPr>
        <w:t>Seven</w:t>
      </w:r>
      <w:r w:rsidRPr="00654EF1">
        <w:rPr>
          <w:color w:val="000000"/>
          <w:szCs w:val="22"/>
        </w:rPr>
        <w:t xml:space="preserve"> years after the last patient had been recruited, the median duration of first-line treatment was </w:t>
      </w:r>
      <w:r w:rsidR="00BE0FA4" w:rsidRPr="00654EF1">
        <w:rPr>
          <w:color w:val="000000"/>
          <w:szCs w:val="22"/>
        </w:rPr>
        <w:t>82</w:t>
      </w:r>
      <w:r w:rsidRPr="00654EF1">
        <w:rPr>
          <w:color w:val="000000"/>
          <w:szCs w:val="22"/>
        </w:rPr>
        <w:t xml:space="preserve"> and 8 months in the Glivec and IFN arms, respectively. </w:t>
      </w:r>
      <w:r w:rsidRPr="00654EF1">
        <w:rPr>
          <w:color w:val="000000"/>
        </w:rPr>
        <w:t xml:space="preserve">The median duration of second-line treatment with Glivec was </w:t>
      </w:r>
      <w:r w:rsidR="00BE0FA4" w:rsidRPr="00654EF1">
        <w:rPr>
          <w:color w:val="000000"/>
        </w:rPr>
        <w:t>64</w:t>
      </w:r>
      <w:r w:rsidRPr="00654EF1">
        <w:rPr>
          <w:color w:val="000000"/>
        </w:rPr>
        <w:t xml:space="preserve"> months. Overall, in patients receiving first-line Glivec, the average daily dose delivered was </w:t>
      </w:r>
      <w:r w:rsidR="00BE0FA4" w:rsidRPr="00654EF1">
        <w:rPr>
          <w:color w:val="000000"/>
        </w:rPr>
        <w:t>406</w:t>
      </w:r>
      <w:r w:rsidRPr="00654EF1">
        <w:rPr>
          <w:color w:val="000000"/>
        </w:rPr>
        <w:t> ± </w:t>
      </w:r>
      <w:r w:rsidR="00BE0FA4" w:rsidRPr="00654EF1">
        <w:rPr>
          <w:color w:val="000000"/>
        </w:rPr>
        <w:t>76</w:t>
      </w:r>
      <w:r w:rsidRPr="00654EF1">
        <w:rPr>
          <w:color w:val="000000"/>
        </w:rPr>
        <w:t xml:space="preserve"> mg. </w:t>
      </w:r>
      <w:r w:rsidRPr="00654EF1">
        <w:rPr>
          <w:color w:val="000000"/>
          <w:szCs w:val="22"/>
        </w:rPr>
        <w:t xml:space="preserve">The primary efficacy endpoint of the study is progression-free survival. Progression was defined as any of the following events: progression to accelerated phase or blast crisis, death, loss of </w:t>
      </w:r>
      <w:smartTag w:uri="urn:schemas-microsoft-com:office:smarttags" w:element="stockticker">
        <w:r w:rsidRPr="00654EF1">
          <w:rPr>
            <w:color w:val="000000"/>
            <w:szCs w:val="22"/>
          </w:rPr>
          <w:t>CHR</w:t>
        </w:r>
      </w:smartTag>
      <w:r w:rsidRPr="00654EF1">
        <w:rPr>
          <w:color w:val="000000"/>
          <w:szCs w:val="22"/>
        </w:rPr>
        <w:t xml:space="preserve"> or MCyR, or in patients not achieving a </w:t>
      </w:r>
      <w:smartTag w:uri="urn:schemas-microsoft-com:office:smarttags" w:element="stockticker">
        <w:r w:rsidRPr="00654EF1">
          <w:rPr>
            <w:color w:val="000000"/>
            <w:szCs w:val="22"/>
          </w:rPr>
          <w:t>CHR</w:t>
        </w:r>
      </w:smartTag>
      <w:r w:rsidRPr="00654EF1">
        <w:rPr>
          <w:color w:val="000000"/>
          <w:szCs w:val="22"/>
        </w:rPr>
        <w:t xml:space="preserve"> an increasing WBC despite appropriate therapeutic management. Major cytogenetic response, haematological response, molecular response (evaluation of minimal residual disease), time to accelerated phase or blast crisis and survival are main secondary endpoints. Response data are shown in Table </w:t>
      </w:r>
      <w:r w:rsidR="008F2DE5" w:rsidRPr="00654EF1">
        <w:rPr>
          <w:color w:val="000000"/>
          <w:szCs w:val="22"/>
        </w:rPr>
        <w:t>2</w:t>
      </w:r>
      <w:r w:rsidRPr="00654EF1">
        <w:rPr>
          <w:color w:val="000000"/>
          <w:szCs w:val="22"/>
        </w:rPr>
        <w:t>.</w:t>
      </w:r>
    </w:p>
    <w:p w14:paraId="1B6800CF" w14:textId="77777777" w:rsidR="0037757A" w:rsidRPr="00654EF1" w:rsidRDefault="0037757A" w:rsidP="001D5C8C">
      <w:pPr>
        <w:pStyle w:val="EndnoteText"/>
        <w:widowControl w:val="0"/>
        <w:rPr>
          <w:color w:val="000000"/>
          <w:szCs w:val="22"/>
        </w:rPr>
      </w:pPr>
    </w:p>
    <w:p w14:paraId="1B6800D0" w14:textId="77777777" w:rsidR="0037757A" w:rsidRPr="00654EF1" w:rsidRDefault="0037757A" w:rsidP="001D5C8C">
      <w:pPr>
        <w:pStyle w:val="EndnoteText"/>
        <w:keepNext/>
        <w:widowControl w:val="0"/>
        <w:tabs>
          <w:tab w:val="clear" w:pos="567"/>
          <w:tab w:val="left" w:pos="1134"/>
        </w:tabs>
        <w:rPr>
          <w:b/>
          <w:color w:val="000000"/>
          <w:szCs w:val="22"/>
        </w:rPr>
      </w:pPr>
      <w:r w:rsidRPr="00654EF1">
        <w:rPr>
          <w:b/>
          <w:color w:val="000000"/>
          <w:szCs w:val="22"/>
        </w:rPr>
        <w:t>Table </w:t>
      </w:r>
      <w:r w:rsidR="008F2DE5" w:rsidRPr="00654EF1">
        <w:rPr>
          <w:b/>
          <w:color w:val="000000"/>
          <w:szCs w:val="22"/>
        </w:rPr>
        <w:t>2</w:t>
      </w:r>
      <w:r w:rsidRPr="00654EF1">
        <w:rPr>
          <w:b/>
          <w:color w:val="000000"/>
          <w:szCs w:val="22"/>
        </w:rPr>
        <w:tab/>
        <w:t>Response in newly diagnosed CML Study (</w:t>
      </w:r>
      <w:r w:rsidR="00BE0FA4" w:rsidRPr="00654EF1">
        <w:rPr>
          <w:b/>
          <w:color w:val="000000"/>
          <w:szCs w:val="22"/>
        </w:rPr>
        <w:t>84</w:t>
      </w:r>
      <w:r w:rsidRPr="00654EF1">
        <w:rPr>
          <w:b/>
          <w:color w:val="000000"/>
          <w:szCs w:val="22"/>
        </w:rPr>
        <w:t>-month data)</w:t>
      </w:r>
    </w:p>
    <w:p w14:paraId="1B6800D1" w14:textId="77777777" w:rsidR="0037757A" w:rsidRPr="00654EF1" w:rsidRDefault="0037757A" w:rsidP="001D5C8C">
      <w:pPr>
        <w:pStyle w:val="EndnoteText"/>
        <w:keepNext/>
        <w:widowControl w:val="0"/>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7757A" w:rsidRPr="00654EF1" w14:paraId="1B6800D5" w14:textId="77777777" w:rsidTr="005E7BE5">
        <w:trPr>
          <w:cantSplit/>
        </w:trPr>
        <w:tc>
          <w:tcPr>
            <w:tcW w:w="3794" w:type="dxa"/>
            <w:tcBorders>
              <w:top w:val="single" w:sz="4" w:space="0" w:color="auto"/>
              <w:left w:val="single" w:sz="4" w:space="0" w:color="auto"/>
              <w:bottom w:val="nil"/>
            </w:tcBorders>
          </w:tcPr>
          <w:p w14:paraId="1B6800D2"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693" w:type="dxa"/>
            <w:tcBorders>
              <w:top w:val="single" w:sz="4" w:space="0" w:color="auto"/>
              <w:bottom w:val="nil"/>
            </w:tcBorders>
          </w:tcPr>
          <w:p w14:paraId="1B6800D3" w14:textId="77777777" w:rsidR="0037757A" w:rsidRPr="00654EF1" w:rsidRDefault="0037757A" w:rsidP="001D5C8C">
            <w:pPr>
              <w:pStyle w:val="Table"/>
              <w:keepLines w:val="0"/>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1B6800D4" w14:textId="77777777" w:rsidR="0037757A" w:rsidRPr="00654EF1" w:rsidRDefault="0037757A" w:rsidP="001D5C8C">
            <w:pPr>
              <w:pStyle w:val="Table"/>
              <w:keepLines w:val="0"/>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IFN+Ara-C</w:t>
            </w:r>
          </w:p>
        </w:tc>
      </w:tr>
      <w:tr w:rsidR="0037757A" w:rsidRPr="00654EF1" w14:paraId="1B6800D9" w14:textId="77777777" w:rsidTr="005E7BE5">
        <w:trPr>
          <w:cantSplit/>
        </w:trPr>
        <w:tc>
          <w:tcPr>
            <w:tcW w:w="3794" w:type="dxa"/>
            <w:tcBorders>
              <w:top w:val="nil"/>
              <w:left w:val="single" w:sz="4" w:space="0" w:color="auto"/>
              <w:bottom w:val="single" w:sz="4" w:space="0" w:color="auto"/>
            </w:tcBorders>
          </w:tcPr>
          <w:p w14:paraId="1B6800D6" w14:textId="77777777" w:rsidR="0037757A" w:rsidRPr="00654EF1" w:rsidRDefault="0037757A"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(Best response rates)</w:t>
            </w:r>
          </w:p>
        </w:tc>
        <w:tc>
          <w:tcPr>
            <w:tcW w:w="2693" w:type="dxa"/>
            <w:tcBorders>
              <w:top w:val="nil"/>
              <w:bottom w:val="single" w:sz="4" w:space="0" w:color="auto"/>
            </w:tcBorders>
          </w:tcPr>
          <w:p w14:paraId="1B6800D7"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1B6800D8"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n=553</w:t>
            </w:r>
          </w:p>
        </w:tc>
      </w:tr>
      <w:tr w:rsidR="0037757A" w:rsidRPr="00654EF1" w14:paraId="1B6800DD" w14:textId="77777777" w:rsidTr="005E7BE5">
        <w:trPr>
          <w:cantSplit/>
        </w:trPr>
        <w:tc>
          <w:tcPr>
            <w:tcW w:w="3794" w:type="dxa"/>
            <w:tcBorders>
              <w:top w:val="nil"/>
              <w:left w:val="single" w:sz="4" w:space="0" w:color="auto"/>
            </w:tcBorders>
          </w:tcPr>
          <w:p w14:paraId="1B6800DA" w14:textId="77777777" w:rsidR="0037757A" w:rsidRPr="00654EF1" w:rsidRDefault="0037757A"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Haematological response</w:t>
            </w:r>
          </w:p>
        </w:tc>
        <w:tc>
          <w:tcPr>
            <w:tcW w:w="2693" w:type="dxa"/>
            <w:tcBorders>
              <w:top w:val="nil"/>
            </w:tcBorders>
          </w:tcPr>
          <w:p w14:paraId="1B6800DB" w14:textId="77777777" w:rsidR="0037757A" w:rsidRPr="00654EF1" w:rsidRDefault="0037757A" w:rsidP="001D5C8C">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1B6800DC" w14:textId="77777777" w:rsidR="0037757A" w:rsidRPr="00654EF1" w:rsidRDefault="0037757A" w:rsidP="001D5C8C">
            <w:pPr>
              <w:pStyle w:val="Table"/>
              <w:keepLines w:val="0"/>
              <w:widowControl w:val="0"/>
              <w:spacing w:before="0" w:after="0"/>
              <w:jc w:val="center"/>
              <w:rPr>
                <w:rFonts w:ascii="Times New Roman" w:hAnsi="Times New Roman"/>
                <w:b/>
                <w:color w:val="000000"/>
                <w:sz w:val="22"/>
                <w:szCs w:val="22"/>
              </w:rPr>
            </w:pPr>
          </w:p>
        </w:tc>
      </w:tr>
      <w:tr w:rsidR="0037757A" w:rsidRPr="00654EF1" w14:paraId="1B6800E1" w14:textId="77777777" w:rsidTr="005E7BE5">
        <w:trPr>
          <w:cantSplit/>
        </w:trPr>
        <w:tc>
          <w:tcPr>
            <w:tcW w:w="3794" w:type="dxa"/>
            <w:tcBorders>
              <w:top w:val="nil"/>
              <w:left w:val="single" w:sz="4" w:space="0" w:color="auto"/>
            </w:tcBorders>
          </w:tcPr>
          <w:p w14:paraId="1B6800DE"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CHR</w:t>
              </w:r>
            </w:smartTag>
            <w:r w:rsidRPr="00654EF1">
              <w:rPr>
                <w:rFonts w:ascii="Times New Roman" w:hAnsi="Times New Roman"/>
                <w:color w:val="000000"/>
                <w:sz w:val="22"/>
                <w:szCs w:val="22"/>
              </w:rPr>
              <w:t xml:space="preserve"> rate n (%)</w:t>
            </w:r>
          </w:p>
        </w:tc>
        <w:tc>
          <w:tcPr>
            <w:tcW w:w="2693" w:type="dxa"/>
            <w:tcBorders>
              <w:top w:val="nil"/>
            </w:tcBorders>
          </w:tcPr>
          <w:p w14:paraId="1B6800DF"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534 (96.6%)*</w:t>
            </w:r>
          </w:p>
        </w:tc>
        <w:tc>
          <w:tcPr>
            <w:tcW w:w="2718" w:type="dxa"/>
            <w:tcBorders>
              <w:top w:val="nil"/>
              <w:right w:val="single" w:sz="4" w:space="0" w:color="auto"/>
            </w:tcBorders>
          </w:tcPr>
          <w:p w14:paraId="1B6800E0"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313 (56.6%)*</w:t>
            </w:r>
          </w:p>
        </w:tc>
      </w:tr>
      <w:tr w:rsidR="0037757A" w:rsidRPr="00654EF1" w14:paraId="1B6800E5" w14:textId="77777777" w:rsidTr="005E7BE5">
        <w:trPr>
          <w:cantSplit/>
        </w:trPr>
        <w:tc>
          <w:tcPr>
            <w:tcW w:w="3794" w:type="dxa"/>
            <w:tcBorders>
              <w:left w:val="single" w:sz="4" w:space="0" w:color="auto"/>
            </w:tcBorders>
          </w:tcPr>
          <w:p w14:paraId="1B6800E2"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[95% CI]</w:t>
            </w:r>
          </w:p>
        </w:tc>
        <w:tc>
          <w:tcPr>
            <w:tcW w:w="2693" w:type="dxa"/>
          </w:tcPr>
          <w:p w14:paraId="1B6800E3"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[94.7%, 97.9%]</w:t>
            </w:r>
          </w:p>
        </w:tc>
        <w:tc>
          <w:tcPr>
            <w:tcW w:w="2718" w:type="dxa"/>
            <w:tcBorders>
              <w:right w:val="single" w:sz="4" w:space="0" w:color="auto"/>
            </w:tcBorders>
          </w:tcPr>
          <w:p w14:paraId="1B6800E4"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[52.4%, 60.8%]</w:t>
            </w:r>
          </w:p>
        </w:tc>
      </w:tr>
      <w:tr w:rsidR="0037757A" w:rsidRPr="00654EF1" w14:paraId="1B6800E9" w14:textId="77777777" w:rsidTr="005E7BE5">
        <w:trPr>
          <w:cantSplit/>
        </w:trPr>
        <w:tc>
          <w:tcPr>
            <w:tcW w:w="3794" w:type="dxa"/>
            <w:tcBorders>
              <w:left w:val="single" w:sz="4" w:space="0" w:color="auto"/>
            </w:tcBorders>
          </w:tcPr>
          <w:p w14:paraId="1B6800E6"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693" w:type="dxa"/>
          </w:tcPr>
          <w:p w14:paraId="1B6800E7"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1B6800E8"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r>
      <w:tr w:rsidR="0037757A" w:rsidRPr="00654EF1" w14:paraId="1B6800ED" w14:textId="77777777" w:rsidTr="005E7BE5">
        <w:trPr>
          <w:cantSplit/>
        </w:trPr>
        <w:tc>
          <w:tcPr>
            <w:tcW w:w="3794" w:type="dxa"/>
            <w:tcBorders>
              <w:left w:val="single" w:sz="4" w:space="0" w:color="auto"/>
            </w:tcBorders>
          </w:tcPr>
          <w:p w14:paraId="1B6800EA" w14:textId="77777777" w:rsidR="0037757A" w:rsidRPr="00654EF1" w:rsidRDefault="0037757A"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Cytogenetic response</w:t>
            </w:r>
          </w:p>
        </w:tc>
        <w:tc>
          <w:tcPr>
            <w:tcW w:w="2693" w:type="dxa"/>
          </w:tcPr>
          <w:p w14:paraId="1B6800EB" w14:textId="77777777" w:rsidR="0037757A" w:rsidRPr="00654EF1" w:rsidRDefault="0037757A" w:rsidP="001D5C8C">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1B6800EC" w14:textId="77777777" w:rsidR="0037757A" w:rsidRPr="00654EF1" w:rsidRDefault="0037757A" w:rsidP="001D5C8C">
            <w:pPr>
              <w:pStyle w:val="Table"/>
              <w:keepLines w:val="0"/>
              <w:widowControl w:val="0"/>
              <w:spacing w:before="0" w:after="0"/>
              <w:rPr>
                <w:rFonts w:ascii="Times New Roman" w:hAnsi="Times New Roman"/>
                <w:b/>
                <w:color w:val="000000"/>
                <w:sz w:val="22"/>
                <w:szCs w:val="22"/>
              </w:rPr>
            </w:pPr>
          </w:p>
        </w:tc>
      </w:tr>
      <w:tr w:rsidR="0037757A" w:rsidRPr="00654EF1" w14:paraId="1B6800F1" w14:textId="77777777" w:rsidTr="005E7BE5">
        <w:trPr>
          <w:cantSplit/>
        </w:trPr>
        <w:tc>
          <w:tcPr>
            <w:tcW w:w="3794" w:type="dxa"/>
            <w:tcBorders>
              <w:left w:val="single" w:sz="4" w:space="0" w:color="auto"/>
            </w:tcBorders>
          </w:tcPr>
          <w:p w14:paraId="1B6800EE"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Major response n (%)</w:t>
            </w:r>
          </w:p>
        </w:tc>
        <w:tc>
          <w:tcPr>
            <w:tcW w:w="2693" w:type="dxa"/>
          </w:tcPr>
          <w:p w14:paraId="1B6800EF"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490 (88.6%)*</w:t>
            </w:r>
          </w:p>
        </w:tc>
        <w:tc>
          <w:tcPr>
            <w:tcW w:w="2718" w:type="dxa"/>
            <w:tcBorders>
              <w:right w:val="single" w:sz="4" w:space="0" w:color="auto"/>
            </w:tcBorders>
          </w:tcPr>
          <w:p w14:paraId="1B6800F0"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129 (23.3%)*</w:t>
            </w:r>
          </w:p>
        </w:tc>
      </w:tr>
      <w:tr w:rsidR="0037757A" w:rsidRPr="00654EF1" w14:paraId="1B6800F5" w14:textId="77777777" w:rsidTr="005E7BE5">
        <w:trPr>
          <w:cantSplit/>
        </w:trPr>
        <w:tc>
          <w:tcPr>
            <w:tcW w:w="3794" w:type="dxa"/>
            <w:tcBorders>
              <w:left w:val="single" w:sz="4" w:space="0" w:color="auto"/>
            </w:tcBorders>
          </w:tcPr>
          <w:p w14:paraId="1B6800F2"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[95% CI]</w:t>
            </w:r>
          </w:p>
        </w:tc>
        <w:tc>
          <w:tcPr>
            <w:tcW w:w="2693" w:type="dxa"/>
          </w:tcPr>
          <w:p w14:paraId="1B6800F3"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[85.7%, 91.1%]</w:t>
            </w:r>
          </w:p>
        </w:tc>
        <w:tc>
          <w:tcPr>
            <w:tcW w:w="2718" w:type="dxa"/>
            <w:tcBorders>
              <w:right w:val="single" w:sz="4" w:space="0" w:color="auto"/>
            </w:tcBorders>
          </w:tcPr>
          <w:p w14:paraId="1B6800F4"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[19.9%, 27.1%]</w:t>
            </w:r>
          </w:p>
        </w:tc>
      </w:tr>
      <w:tr w:rsidR="0037757A" w:rsidRPr="00654EF1" w14:paraId="1B6800F9" w14:textId="77777777" w:rsidTr="005E7BE5">
        <w:trPr>
          <w:cantSplit/>
        </w:trPr>
        <w:tc>
          <w:tcPr>
            <w:tcW w:w="3794" w:type="dxa"/>
            <w:tcBorders>
              <w:left w:val="single" w:sz="4" w:space="0" w:color="auto"/>
            </w:tcBorders>
          </w:tcPr>
          <w:p w14:paraId="1B6800F6"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Complete CyR n (%)</w:t>
            </w:r>
          </w:p>
        </w:tc>
        <w:tc>
          <w:tcPr>
            <w:tcW w:w="2693" w:type="dxa"/>
          </w:tcPr>
          <w:p w14:paraId="1B6800F7"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456 (82.5%)*</w:t>
            </w:r>
          </w:p>
        </w:tc>
        <w:tc>
          <w:tcPr>
            <w:tcW w:w="2718" w:type="dxa"/>
            <w:tcBorders>
              <w:right w:val="single" w:sz="4" w:space="0" w:color="auto"/>
            </w:tcBorders>
          </w:tcPr>
          <w:p w14:paraId="1B6800F8"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64 (11.6%)*</w:t>
            </w:r>
          </w:p>
        </w:tc>
      </w:tr>
      <w:tr w:rsidR="0037757A" w:rsidRPr="00654EF1" w14:paraId="1B6800FD" w14:textId="77777777" w:rsidTr="005E7BE5">
        <w:trPr>
          <w:cantSplit/>
        </w:trPr>
        <w:tc>
          <w:tcPr>
            <w:tcW w:w="3794" w:type="dxa"/>
            <w:tcBorders>
              <w:left w:val="single" w:sz="4" w:space="0" w:color="auto"/>
            </w:tcBorders>
          </w:tcPr>
          <w:p w14:paraId="1B6800FA"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Partial CyR n (%)</w:t>
            </w:r>
          </w:p>
        </w:tc>
        <w:tc>
          <w:tcPr>
            <w:tcW w:w="2693" w:type="dxa"/>
          </w:tcPr>
          <w:p w14:paraId="1B6800FB"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34 (6.1%)</w:t>
            </w:r>
          </w:p>
        </w:tc>
        <w:tc>
          <w:tcPr>
            <w:tcW w:w="2718" w:type="dxa"/>
            <w:tcBorders>
              <w:right w:val="single" w:sz="4" w:space="0" w:color="auto"/>
            </w:tcBorders>
          </w:tcPr>
          <w:p w14:paraId="1B6800FC" w14:textId="77777777" w:rsidR="0037757A" w:rsidRPr="00654EF1" w:rsidRDefault="0037757A"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65 (11.8%)</w:t>
            </w:r>
          </w:p>
        </w:tc>
      </w:tr>
      <w:tr w:rsidR="0037757A" w:rsidRPr="00654EF1" w14:paraId="1B680101" w14:textId="77777777" w:rsidTr="005E7BE5">
        <w:trPr>
          <w:cantSplit/>
        </w:trPr>
        <w:tc>
          <w:tcPr>
            <w:tcW w:w="3794" w:type="dxa"/>
            <w:tcBorders>
              <w:left w:val="single" w:sz="4" w:space="0" w:color="auto"/>
              <w:bottom w:val="nil"/>
            </w:tcBorders>
          </w:tcPr>
          <w:p w14:paraId="1B6800FE"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1B6800FF"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680100"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r>
      <w:tr w:rsidR="0037757A" w:rsidRPr="00654EF1" w14:paraId="1B680105" w14:textId="77777777" w:rsidTr="005E7BE5">
        <w:trPr>
          <w:cantSplit/>
        </w:trPr>
        <w:tc>
          <w:tcPr>
            <w:tcW w:w="3794" w:type="dxa"/>
            <w:tcBorders>
              <w:left w:val="single" w:sz="4" w:space="0" w:color="auto"/>
              <w:bottom w:val="nil"/>
            </w:tcBorders>
          </w:tcPr>
          <w:p w14:paraId="1B680102"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Molecular response</w:t>
            </w:r>
            <w:r w:rsidR="00614DEB" w:rsidRPr="00654EF1">
              <w:rPr>
                <w:rFonts w:ascii="Times New Roman" w:hAnsi="Times New Roman"/>
                <w:color w:val="000000"/>
                <w:sz w:val="22"/>
                <w:szCs w:val="22"/>
              </w:rPr>
              <w:t>**</w:t>
            </w:r>
          </w:p>
        </w:tc>
        <w:tc>
          <w:tcPr>
            <w:tcW w:w="2693" w:type="dxa"/>
            <w:tcBorders>
              <w:bottom w:val="nil"/>
            </w:tcBorders>
          </w:tcPr>
          <w:p w14:paraId="1B680103"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680104"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p>
        </w:tc>
      </w:tr>
      <w:tr w:rsidR="0037757A" w:rsidRPr="00654EF1" w14:paraId="1B680109" w14:textId="77777777" w:rsidTr="005E7BE5">
        <w:trPr>
          <w:cantSplit/>
        </w:trPr>
        <w:tc>
          <w:tcPr>
            <w:tcW w:w="3794" w:type="dxa"/>
            <w:tcBorders>
              <w:left w:val="single" w:sz="4" w:space="0" w:color="auto"/>
              <w:bottom w:val="nil"/>
            </w:tcBorders>
          </w:tcPr>
          <w:p w14:paraId="1B680106"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Major response at 12 months (%)</w:t>
            </w:r>
          </w:p>
        </w:tc>
        <w:tc>
          <w:tcPr>
            <w:tcW w:w="2693" w:type="dxa"/>
            <w:tcBorders>
              <w:bottom w:val="nil"/>
            </w:tcBorders>
          </w:tcPr>
          <w:p w14:paraId="1B680107"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153/305=50.2%</w:t>
            </w:r>
          </w:p>
        </w:tc>
        <w:tc>
          <w:tcPr>
            <w:tcW w:w="2718" w:type="dxa"/>
            <w:tcBorders>
              <w:bottom w:val="nil"/>
              <w:right w:val="single" w:sz="4" w:space="0" w:color="auto"/>
            </w:tcBorders>
          </w:tcPr>
          <w:p w14:paraId="1B680108"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8/83=9.6%</w:t>
            </w:r>
          </w:p>
        </w:tc>
      </w:tr>
      <w:tr w:rsidR="0037757A" w:rsidRPr="00654EF1" w14:paraId="1B68010D" w14:textId="77777777" w:rsidTr="005E7BE5">
        <w:trPr>
          <w:cantSplit/>
        </w:trPr>
        <w:tc>
          <w:tcPr>
            <w:tcW w:w="3794" w:type="dxa"/>
            <w:tcBorders>
              <w:left w:val="single" w:sz="4" w:space="0" w:color="auto"/>
              <w:bottom w:val="nil"/>
            </w:tcBorders>
          </w:tcPr>
          <w:p w14:paraId="1B68010A" w14:textId="77777777" w:rsidR="0037757A" w:rsidRPr="00654EF1" w:rsidRDefault="0037757A"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Major response at 24 months (%)</w:t>
            </w:r>
          </w:p>
        </w:tc>
        <w:tc>
          <w:tcPr>
            <w:tcW w:w="2693" w:type="dxa"/>
            <w:tcBorders>
              <w:bottom w:val="nil"/>
            </w:tcBorders>
          </w:tcPr>
          <w:p w14:paraId="1B68010B"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73/104=70.2%</w:t>
            </w:r>
          </w:p>
        </w:tc>
        <w:tc>
          <w:tcPr>
            <w:tcW w:w="2718" w:type="dxa"/>
            <w:tcBorders>
              <w:bottom w:val="nil"/>
              <w:right w:val="single" w:sz="4" w:space="0" w:color="auto"/>
            </w:tcBorders>
          </w:tcPr>
          <w:p w14:paraId="1B68010C" w14:textId="77777777" w:rsidR="0037757A"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3/12=25%</w:t>
            </w:r>
          </w:p>
        </w:tc>
      </w:tr>
      <w:tr w:rsidR="00BE0FA4" w:rsidRPr="00654EF1" w14:paraId="1B680111" w14:textId="77777777" w:rsidTr="005E7BE5">
        <w:trPr>
          <w:cantSplit/>
        </w:trPr>
        <w:tc>
          <w:tcPr>
            <w:tcW w:w="3794" w:type="dxa"/>
            <w:tcBorders>
              <w:left w:val="single" w:sz="4" w:space="0" w:color="auto"/>
              <w:bottom w:val="nil"/>
            </w:tcBorders>
          </w:tcPr>
          <w:p w14:paraId="1B68010E" w14:textId="77777777" w:rsidR="00BE0FA4" w:rsidRPr="00654EF1" w:rsidRDefault="00BE0FA4" w:rsidP="001D5C8C">
            <w:pPr>
              <w:pStyle w:val="Table"/>
              <w:keepLines w:val="0"/>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Major response at 84 months (%)</w:t>
            </w:r>
          </w:p>
        </w:tc>
        <w:tc>
          <w:tcPr>
            <w:tcW w:w="2693" w:type="dxa"/>
            <w:tcBorders>
              <w:bottom w:val="nil"/>
            </w:tcBorders>
          </w:tcPr>
          <w:p w14:paraId="1B68010F"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lang w:val="en-GB"/>
              </w:rPr>
              <w:t>102/116=87.9%</w:t>
            </w:r>
          </w:p>
        </w:tc>
        <w:tc>
          <w:tcPr>
            <w:tcW w:w="2718" w:type="dxa"/>
            <w:tcBorders>
              <w:bottom w:val="nil"/>
              <w:right w:val="single" w:sz="4" w:space="0" w:color="auto"/>
            </w:tcBorders>
          </w:tcPr>
          <w:p w14:paraId="1B680110"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lang w:val="en-GB"/>
              </w:rPr>
              <w:t>3/4=75%</w:t>
            </w:r>
          </w:p>
        </w:tc>
      </w:tr>
      <w:tr w:rsidR="0037757A" w:rsidRPr="00654EF1" w14:paraId="1B680118" w14:textId="77777777" w:rsidTr="005E7BE5">
        <w:trPr>
          <w:cantSplit/>
        </w:trPr>
        <w:tc>
          <w:tcPr>
            <w:tcW w:w="9205" w:type="dxa"/>
            <w:gridSpan w:val="3"/>
            <w:tcBorders>
              <w:top w:val="single" w:sz="4" w:space="0" w:color="auto"/>
              <w:left w:val="single" w:sz="4" w:space="0" w:color="auto"/>
              <w:bottom w:val="single" w:sz="4" w:space="0" w:color="auto"/>
              <w:right w:val="single" w:sz="4" w:space="0" w:color="auto"/>
            </w:tcBorders>
          </w:tcPr>
          <w:p w14:paraId="1B680112" w14:textId="77777777" w:rsidR="0037757A" w:rsidRPr="00654EF1" w:rsidRDefault="0037757A"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p&lt;0.001, Fischer’s exact test</w:t>
            </w:r>
          </w:p>
          <w:p w14:paraId="1B680113" w14:textId="77777777" w:rsidR="0037757A" w:rsidRPr="00654EF1" w:rsidRDefault="0037757A"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 xml:space="preserve">** </w:t>
            </w:r>
            <w:r w:rsidR="00BE0FA4" w:rsidRPr="00654EF1">
              <w:rPr>
                <w:rFonts w:ascii="Times New Roman" w:hAnsi="Times New Roman"/>
                <w:color w:val="000000"/>
                <w:sz w:val="22"/>
                <w:szCs w:val="22"/>
                <w:lang w:val="en-GB"/>
              </w:rPr>
              <w:t>molecular response percentages are based on available samples</w:t>
            </w:r>
          </w:p>
          <w:p w14:paraId="1B680114" w14:textId="77777777" w:rsidR="0037757A" w:rsidRPr="00654EF1" w:rsidRDefault="0037757A" w:rsidP="001D5C8C">
            <w:pPr>
              <w:pStyle w:val="Table"/>
              <w:keepNext w:val="0"/>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 xml:space="preserve">Haematological response criteria (all responses to be confirmed after </w:t>
            </w:r>
            <w:r w:rsidRPr="00654EF1">
              <w:rPr>
                <w:rFonts w:ascii="Times New Roman" w:hAnsi="Times New Roman"/>
                <w:b/>
                <w:color w:val="000000"/>
                <w:sz w:val="22"/>
                <w:szCs w:val="22"/>
              </w:rPr>
              <w:sym w:font="Symbol" w:char="F0B3"/>
            </w:r>
            <w:r w:rsidRPr="00654EF1">
              <w:rPr>
                <w:rFonts w:ascii="Times New Roman" w:hAnsi="Times New Roman"/>
                <w:b/>
                <w:color w:val="000000"/>
                <w:sz w:val="22"/>
                <w:szCs w:val="22"/>
              </w:rPr>
              <w:t> 4 weeks):</w:t>
            </w:r>
          </w:p>
          <w:p w14:paraId="1B680115" w14:textId="77777777" w:rsidR="0037757A" w:rsidRPr="00654EF1" w:rsidRDefault="0037757A"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WBC &lt; 10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 platelet &lt; 450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 myelocyte+metamyelocyte &lt; 5% in blood, no blasts and promyelocytes in blood, basophils &lt; 20%, no extramedullary involvement</w:t>
            </w:r>
          </w:p>
          <w:p w14:paraId="1B680116" w14:textId="77777777" w:rsidR="0037757A" w:rsidRPr="00654EF1" w:rsidRDefault="0037757A"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 xml:space="preserve">Cytogenetic response criteria: </w:t>
            </w:r>
            <w:r w:rsidRPr="00654EF1">
              <w:rPr>
                <w:rFonts w:ascii="Times New Roman" w:hAnsi="Times New Roman"/>
                <w:color w:val="000000"/>
                <w:sz w:val="22"/>
                <w:szCs w:val="22"/>
              </w:rPr>
              <w:t>complete (0% Ph+ metaphases), partial (1–35%), minor (36–65%) or minimal (66–95%). A major response (0–35%) combines both complete and partial responses.</w:t>
            </w:r>
          </w:p>
          <w:p w14:paraId="1B680117" w14:textId="77777777" w:rsidR="0037757A" w:rsidRPr="00654EF1" w:rsidRDefault="0037757A"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lang w:val="en-GB"/>
              </w:rPr>
              <w:t>Major molecular response criteria</w:t>
            </w:r>
            <w:r w:rsidRPr="00654EF1">
              <w:rPr>
                <w:rFonts w:ascii="Times New Roman" w:hAnsi="Times New Roman"/>
                <w:color w:val="000000"/>
                <w:sz w:val="22"/>
                <w:szCs w:val="22"/>
                <w:lang w:val="en-GB"/>
              </w:rPr>
              <w:t xml:space="preserve">: in the peripheral blood reduction of ≥ 3 logarithms in the amount of Bcr-Abl transcripts (measured by real-time quantitative reverse transcriptase </w:t>
            </w:r>
            <w:smartTag w:uri="urn:schemas-microsoft-com:office:smarttags" w:element="stockticker">
              <w:r w:rsidRPr="00654EF1">
                <w:rPr>
                  <w:rFonts w:ascii="Times New Roman" w:hAnsi="Times New Roman"/>
                  <w:color w:val="000000"/>
                  <w:sz w:val="22"/>
                  <w:szCs w:val="22"/>
                  <w:lang w:val="en-GB"/>
                </w:rPr>
                <w:t>PCR</w:t>
              </w:r>
            </w:smartTag>
            <w:r w:rsidRPr="00654EF1">
              <w:rPr>
                <w:rFonts w:ascii="Times New Roman" w:hAnsi="Times New Roman"/>
                <w:color w:val="000000"/>
                <w:sz w:val="22"/>
                <w:szCs w:val="22"/>
                <w:lang w:val="en-GB"/>
              </w:rPr>
              <w:t xml:space="preserve"> assay) over a standardised baseline.</w:t>
            </w:r>
          </w:p>
        </w:tc>
      </w:tr>
    </w:tbl>
    <w:p w14:paraId="1B680119" w14:textId="77777777" w:rsidR="0037757A" w:rsidRPr="00654EF1" w:rsidRDefault="0037757A" w:rsidP="001D5C8C">
      <w:pPr>
        <w:pStyle w:val="EndnoteText"/>
        <w:widowControl w:val="0"/>
        <w:rPr>
          <w:color w:val="000000"/>
          <w:szCs w:val="22"/>
        </w:rPr>
      </w:pPr>
    </w:p>
    <w:p w14:paraId="1B68011A" w14:textId="77777777" w:rsidR="007C011C" w:rsidRPr="00654EF1" w:rsidRDefault="007C011C" w:rsidP="001D5C8C">
      <w:pPr>
        <w:pStyle w:val="EndnoteText"/>
        <w:widowControl w:val="0"/>
        <w:rPr>
          <w:color w:val="000000"/>
        </w:rPr>
      </w:pPr>
      <w:r w:rsidRPr="00654EF1">
        <w:rPr>
          <w:color w:val="000000"/>
        </w:rPr>
        <w:t>Rates of complete haematological response, major cytogenetic response and complete cytogenetic response on first-line treatment were estimated using the Kaplan-Meier approach, for which non-responses were censored at the date of last examination. Using this approach, the estimated cumulative response rates for first-line treatment with Glivec</w:t>
      </w:r>
      <w:r w:rsidR="002B0D5C" w:rsidRPr="00654EF1">
        <w:rPr>
          <w:color w:val="000000"/>
          <w:szCs w:val="22"/>
        </w:rPr>
        <w:t xml:space="preserve"> improved from 12 months of therapy to </w:t>
      </w:r>
      <w:r w:rsidR="00BE0FA4" w:rsidRPr="00654EF1">
        <w:rPr>
          <w:color w:val="000000"/>
          <w:szCs w:val="22"/>
        </w:rPr>
        <w:t>84</w:t>
      </w:r>
      <w:r w:rsidR="002B0D5C" w:rsidRPr="00654EF1">
        <w:rPr>
          <w:color w:val="000000"/>
          <w:szCs w:val="22"/>
        </w:rPr>
        <w:t xml:space="preserve"> months of therapy as follows: </w:t>
      </w:r>
      <w:smartTag w:uri="urn:schemas-microsoft-com:office:smarttags" w:element="stockticker">
        <w:r w:rsidR="002B0D5C" w:rsidRPr="00654EF1">
          <w:rPr>
            <w:color w:val="000000"/>
            <w:szCs w:val="22"/>
          </w:rPr>
          <w:t>CHR</w:t>
        </w:r>
      </w:smartTag>
      <w:r w:rsidR="002B0D5C" w:rsidRPr="00654EF1">
        <w:rPr>
          <w:color w:val="000000"/>
          <w:szCs w:val="22"/>
        </w:rPr>
        <w:t xml:space="preserve"> from 96.4% to 98.4% and CCyR from 69.5% to </w:t>
      </w:r>
      <w:r w:rsidR="00BE0FA4" w:rsidRPr="00654EF1">
        <w:rPr>
          <w:color w:val="000000"/>
          <w:szCs w:val="22"/>
        </w:rPr>
        <w:t>87.2</w:t>
      </w:r>
      <w:r w:rsidR="002B0D5C" w:rsidRPr="00654EF1">
        <w:rPr>
          <w:color w:val="000000"/>
          <w:szCs w:val="22"/>
        </w:rPr>
        <w:t>%, respectively</w:t>
      </w:r>
      <w:r w:rsidRPr="00654EF1">
        <w:rPr>
          <w:color w:val="000000"/>
        </w:rPr>
        <w:t>.</w:t>
      </w:r>
    </w:p>
    <w:p w14:paraId="1B68011B" w14:textId="77777777" w:rsidR="007C011C" w:rsidRPr="00654EF1" w:rsidRDefault="007C011C" w:rsidP="001D5C8C">
      <w:pPr>
        <w:pStyle w:val="EndnoteText"/>
        <w:widowControl w:val="0"/>
        <w:rPr>
          <w:color w:val="000000"/>
        </w:rPr>
      </w:pPr>
    </w:p>
    <w:p w14:paraId="1B68011C" w14:textId="77777777" w:rsidR="007C011C" w:rsidRPr="00654EF1" w:rsidRDefault="007C011C" w:rsidP="001D5C8C">
      <w:pPr>
        <w:pStyle w:val="EndnoteText"/>
        <w:widowControl w:val="0"/>
        <w:rPr>
          <w:color w:val="000000"/>
        </w:rPr>
      </w:pPr>
      <w:r w:rsidRPr="00654EF1">
        <w:rPr>
          <w:color w:val="000000"/>
        </w:rPr>
        <w:t xml:space="preserve">With </w:t>
      </w:r>
      <w:r w:rsidR="00BE0FA4" w:rsidRPr="00654EF1">
        <w:rPr>
          <w:color w:val="000000"/>
        </w:rPr>
        <w:t>7</w:t>
      </w:r>
      <w:r w:rsidRPr="00654EF1">
        <w:rPr>
          <w:color w:val="000000"/>
        </w:rPr>
        <w:t xml:space="preserve"> years follow-up, there were </w:t>
      </w:r>
      <w:r w:rsidR="00BE0FA4" w:rsidRPr="00654EF1">
        <w:rPr>
          <w:color w:val="000000"/>
        </w:rPr>
        <w:t>93</w:t>
      </w:r>
      <w:r w:rsidRPr="00654EF1">
        <w:rPr>
          <w:color w:val="000000"/>
        </w:rPr>
        <w:t xml:space="preserve"> (</w:t>
      </w:r>
      <w:r w:rsidR="00BE0FA4" w:rsidRPr="00654EF1">
        <w:rPr>
          <w:color w:val="000000"/>
        </w:rPr>
        <w:t>16.8</w:t>
      </w:r>
      <w:r w:rsidRPr="00654EF1">
        <w:rPr>
          <w:color w:val="000000"/>
        </w:rPr>
        <w:t xml:space="preserve">%) progression events in the Glivec arm: </w:t>
      </w:r>
      <w:r w:rsidR="00BE0FA4" w:rsidRPr="00654EF1">
        <w:rPr>
          <w:color w:val="000000"/>
        </w:rPr>
        <w:t>37</w:t>
      </w:r>
      <w:r w:rsidRPr="00654EF1">
        <w:rPr>
          <w:color w:val="000000"/>
        </w:rPr>
        <w:t xml:space="preserve"> (</w:t>
      </w:r>
      <w:r w:rsidR="00BE0FA4" w:rsidRPr="00654EF1">
        <w:rPr>
          <w:color w:val="000000"/>
        </w:rPr>
        <w:t>6.7</w:t>
      </w:r>
      <w:r w:rsidRPr="00654EF1">
        <w:rPr>
          <w:color w:val="000000"/>
        </w:rPr>
        <w:t xml:space="preserve">%) involving progression to accelerated phase/blast crisis, </w:t>
      </w:r>
      <w:r w:rsidR="00BE0FA4" w:rsidRPr="00654EF1">
        <w:rPr>
          <w:color w:val="000000"/>
        </w:rPr>
        <w:t>31</w:t>
      </w:r>
      <w:r w:rsidRPr="00654EF1">
        <w:rPr>
          <w:color w:val="000000"/>
        </w:rPr>
        <w:t xml:space="preserve"> (</w:t>
      </w:r>
      <w:r w:rsidR="00BE0FA4" w:rsidRPr="00654EF1">
        <w:rPr>
          <w:color w:val="000000"/>
        </w:rPr>
        <w:t>5.6</w:t>
      </w:r>
      <w:r w:rsidRPr="00654EF1">
        <w:rPr>
          <w:color w:val="000000"/>
        </w:rPr>
        <w:t xml:space="preserve">%) loss of MCyR, </w:t>
      </w:r>
      <w:r w:rsidR="00BE0FA4" w:rsidRPr="00654EF1">
        <w:rPr>
          <w:color w:val="000000"/>
        </w:rPr>
        <w:t>15</w:t>
      </w:r>
      <w:r w:rsidRPr="00654EF1">
        <w:rPr>
          <w:color w:val="000000"/>
        </w:rPr>
        <w:t xml:space="preserve"> (</w:t>
      </w:r>
      <w:r w:rsidR="00BE0FA4" w:rsidRPr="00654EF1">
        <w:rPr>
          <w:color w:val="000000"/>
        </w:rPr>
        <w:t>2.7</w:t>
      </w:r>
      <w:r w:rsidRPr="00654EF1">
        <w:rPr>
          <w:color w:val="000000"/>
        </w:rPr>
        <w:t xml:space="preserve">%) loss of </w:t>
      </w:r>
      <w:smartTag w:uri="urn:schemas-microsoft-com:office:smarttags" w:element="stockticker">
        <w:r w:rsidRPr="00654EF1">
          <w:rPr>
            <w:color w:val="000000"/>
          </w:rPr>
          <w:t>CHR</w:t>
        </w:r>
      </w:smartTag>
      <w:r w:rsidRPr="00654EF1">
        <w:rPr>
          <w:color w:val="000000"/>
        </w:rPr>
        <w:t xml:space="preserve"> or increase in WBC, and </w:t>
      </w:r>
      <w:r w:rsidR="00BE0FA4" w:rsidRPr="00654EF1">
        <w:rPr>
          <w:color w:val="000000"/>
        </w:rPr>
        <w:t>10</w:t>
      </w:r>
      <w:r w:rsidRPr="00654EF1">
        <w:rPr>
          <w:color w:val="000000"/>
        </w:rPr>
        <w:t xml:space="preserve"> (</w:t>
      </w:r>
      <w:r w:rsidR="00BE0FA4" w:rsidRPr="00654EF1">
        <w:rPr>
          <w:color w:val="000000"/>
        </w:rPr>
        <w:t>1.8</w:t>
      </w:r>
      <w:r w:rsidRPr="00654EF1">
        <w:rPr>
          <w:color w:val="000000"/>
        </w:rPr>
        <w:t xml:space="preserve">%) CML unrelated deaths. In contrast, there were </w:t>
      </w:r>
      <w:r w:rsidR="00BE0FA4" w:rsidRPr="00654EF1">
        <w:rPr>
          <w:color w:val="000000"/>
        </w:rPr>
        <w:t>165</w:t>
      </w:r>
      <w:r w:rsidRPr="00654EF1">
        <w:rPr>
          <w:color w:val="000000"/>
        </w:rPr>
        <w:t xml:space="preserve"> (</w:t>
      </w:r>
      <w:r w:rsidR="00BE0FA4" w:rsidRPr="00654EF1">
        <w:rPr>
          <w:color w:val="000000"/>
        </w:rPr>
        <w:t>29.8</w:t>
      </w:r>
      <w:r w:rsidRPr="00654EF1">
        <w:rPr>
          <w:color w:val="000000"/>
        </w:rPr>
        <w:t xml:space="preserve">%) events in the IFN+Ara-C arm, of which </w:t>
      </w:r>
      <w:r w:rsidR="00BE0FA4" w:rsidRPr="00654EF1">
        <w:rPr>
          <w:color w:val="000000"/>
        </w:rPr>
        <w:t>130</w:t>
      </w:r>
      <w:r w:rsidRPr="00654EF1">
        <w:rPr>
          <w:color w:val="000000"/>
        </w:rPr>
        <w:t> occurred during first-line treatment with IFN+Ara-C.</w:t>
      </w:r>
    </w:p>
    <w:p w14:paraId="1B68011D" w14:textId="77777777" w:rsidR="00E636F4" w:rsidRPr="00654EF1" w:rsidRDefault="00E636F4" w:rsidP="001D5C8C">
      <w:pPr>
        <w:pStyle w:val="EndnoteText"/>
        <w:widowControl w:val="0"/>
        <w:rPr>
          <w:color w:val="000000"/>
        </w:rPr>
      </w:pPr>
    </w:p>
    <w:p w14:paraId="1B68011E" w14:textId="77777777" w:rsidR="00E636F4" w:rsidRPr="00654EF1" w:rsidRDefault="007C011C" w:rsidP="001D5C8C">
      <w:pPr>
        <w:pStyle w:val="EndnoteText"/>
        <w:widowControl w:val="0"/>
        <w:rPr>
          <w:color w:val="000000"/>
        </w:rPr>
      </w:pPr>
      <w:r w:rsidRPr="00654EF1">
        <w:rPr>
          <w:color w:val="000000"/>
          <w:szCs w:val="22"/>
        </w:rPr>
        <w:t>T</w:t>
      </w:r>
      <w:r w:rsidR="00E636F4" w:rsidRPr="00654EF1">
        <w:rPr>
          <w:color w:val="000000"/>
          <w:szCs w:val="22"/>
        </w:rPr>
        <w:t xml:space="preserve">he estimated rate of patients free of progression to accelerated phase or blast crisis at </w:t>
      </w:r>
      <w:r w:rsidR="00BE0FA4" w:rsidRPr="00654EF1">
        <w:rPr>
          <w:color w:val="000000"/>
          <w:szCs w:val="22"/>
        </w:rPr>
        <w:t>84</w:t>
      </w:r>
      <w:r w:rsidR="00E636F4" w:rsidRPr="00654EF1">
        <w:rPr>
          <w:color w:val="000000"/>
          <w:szCs w:val="22"/>
        </w:rPr>
        <w:t> months was significantly higher in the Glivec arm compared to the IFN arm (</w:t>
      </w:r>
      <w:r w:rsidR="00BE0FA4" w:rsidRPr="00654EF1">
        <w:rPr>
          <w:color w:val="000000"/>
          <w:szCs w:val="22"/>
        </w:rPr>
        <w:t>92.5</w:t>
      </w:r>
      <w:r w:rsidR="00E636F4" w:rsidRPr="00654EF1">
        <w:rPr>
          <w:color w:val="000000"/>
          <w:szCs w:val="22"/>
        </w:rPr>
        <w:t xml:space="preserve">% versus </w:t>
      </w:r>
      <w:r w:rsidR="00BE0FA4" w:rsidRPr="00654EF1">
        <w:rPr>
          <w:color w:val="000000"/>
          <w:szCs w:val="22"/>
        </w:rPr>
        <w:t>85.1</w:t>
      </w:r>
      <w:r w:rsidR="00E636F4" w:rsidRPr="00654EF1">
        <w:rPr>
          <w:color w:val="000000"/>
          <w:szCs w:val="22"/>
        </w:rPr>
        <w:t xml:space="preserve">%, p&lt;0.001). </w:t>
      </w:r>
      <w:r w:rsidRPr="00654EF1">
        <w:rPr>
          <w:color w:val="000000"/>
        </w:rPr>
        <w:t xml:space="preserve">The annual rate of progression </w:t>
      </w:r>
      <w:r w:rsidR="002B0D5C" w:rsidRPr="00654EF1">
        <w:rPr>
          <w:color w:val="000000"/>
          <w:szCs w:val="22"/>
        </w:rPr>
        <w:t xml:space="preserve">to accelerated phase or blast crisis </w:t>
      </w:r>
      <w:r w:rsidRPr="00654EF1">
        <w:rPr>
          <w:color w:val="000000"/>
        </w:rPr>
        <w:t>decreased with time on therapy</w:t>
      </w:r>
      <w:r w:rsidR="002B0D5C" w:rsidRPr="00654EF1">
        <w:rPr>
          <w:color w:val="000000"/>
        </w:rPr>
        <w:t xml:space="preserve"> </w:t>
      </w:r>
      <w:r w:rsidR="002B0D5C" w:rsidRPr="00654EF1">
        <w:rPr>
          <w:color w:val="000000"/>
          <w:szCs w:val="22"/>
        </w:rPr>
        <w:t>and was less than 1% annually in the fourth and fifth years</w:t>
      </w:r>
      <w:r w:rsidRPr="00654EF1">
        <w:rPr>
          <w:color w:val="000000"/>
        </w:rPr>
        <w:t xml:space="preserve">. </w:t>
      </w:r>
      <w:r w:rsidR="00E636F4" w:rsidRPr="00654EF1">
        <w:rPr>
          <w:color w:val="000000"/>
          <w:szCs w:val="22"/>
        </w:rPr>
        <w:t xml:space="preserve">The estimated rate of progression-free survival at </w:t>
      </w:r>
      <w:r w:rsidR="00BE0FA4" w:rsidRPr="00654EF1">
        <w:rPr>
          <w:color w:val="000000"/>
          <w:szCs w:val="22"/>
        </w:rPr>
        <w:lastRenderedPageBreak/>
        <w:t>84</w:t>
      </w:r>
      <w:r w:rsidR="00E636F4" w:rsidRPr="00654EF1">
        <w:rPr>
          <w:color w:val="000000"/>
          <w:szCs w:val="22"/>
        </w:rPr>
        <w:t xml:space="preserve"> months was </w:t>
      </w:r>
      <w:r w:rsidR="00BE0FA4" w:rsidRPr="00654EF1">
        <w:rPr>
          <w:color w:val="000000"/>
          <w:szCs w:val="22"/>
        </w:rPr>
        <w:t>81.2</w:t>
      </w:r>
      <w:r w:rsidR="00E636F4" w:rsidRPr="00654EF1">
        <w:rPr>
          <w:color w:val="000000"/>
          <w:szCs w:val="22"/>
        </w:rPr>
        <w:t xml:space="preserve">% in the Glivec arm and </w:t>
      </w:r>
      <w:r w:rsidR="00BE0FA4" w:rsidRPr="00654EF1">
        <w:rPr>
          <w:color w:val="000000"/>
          <w:szCs w:val="22"/>
        </w:rPr>
        <w:t>60.6</w:t>
      </w:r>
      <w:r w:rsidR="00E636F4" w:rsidRPr="00654EF1">
        <w:rPr>
          <w:color w:val="000000"/>
          <w:szCs w:val="22"/>
        </w:rPr>
        <w:t>% in the control arm</w:t>
      </w:r>
      <w:r w:rsidRPr="00654EF1">
        <w:rPr>
          <w:color w:val="000000"/>
          <w:szCs w:val="22"/>
        </w:rPr>
        <w:t xml:space="preserve"> </w:t>
      </w:r>
      <w:r w:rsidRPr="00654EF1">
        <w:rPr>
          <w:color w:val="000000"/>
        </w:rPr>
        <w:t>(p&lt;0.001).</w:t>
      </w:r>
      <w:r w:rsidRPr="00654EF1">
        <w:rPr>
          <w:rStyle w:val="EndnoteTextChar"/>
          <w:color w:val="000000"/>
        </w:rPr>
        <w:t xml:space="preserve"> The yearly rates of progression </w:t>
      </w:r>
      <w:r w:rsidR="002B0D5C" w:rsidRPr="00654EF1">
        <w:rPr>
          <w:rStyle w:val="EndnoteTextChar"/>
          <w:color w:val="000000"/>
        </w:rPr>
        <w:t xml:space="preserve">of any type for Glivec </w:t>
      </w:r>
      <w:r w:rsidR="002B0D5C" w:rsidRPr="00654EF1">
        <w:rPr>
          <w:rStyle w:val="Char"/>
          <w:color w:val="000000"/>
          <w:szCs w:val="22"/>
        </w:rPr>
        <w:t>also decreased over time</w:t>
      </w:r>
      <w:r w:rsidRPr="00654EF1">
        <w:rPr>
          <w:rStyle w:val="EndnoteTextChar"/>
          <w:color w:val="000000"/>
        </w:rPr>
        <w:t>.</w:t>
      </w:r>
    </w:p>
    <w:p w14:paraId="1B68011F" w14:textId="77777777" w:rsidR="007C011C" w:rsidRPr="00654EF1" w:rsidRDefault="007C011C" w:rsidP="001D5C8C">
      <w:pPr>
        <w:pStyle w:val="EndnoteText"/>
        <w:widowControl w:val="0"/>
        <w:rPr>
          <w:color w:val="000000"/>
        </w:rPr>
      </w:pPr>
    </w:p>
    <w:p w14:paraId="1B680120" w14:textId="77777777" w:rsidR="007C011C" w:rsidRPr="00654EF1" w:rsidRDefault="007C011C" w:rsidP="001D5C8C">
      <w:pPr>
        <w:pStyle w:val="EndnoteText"/>
        <w:widowControl w:val="0"/>
        <w:rPr>
          <w:color w:val="000000"/>
        </w:rPr>
      </w:pPr>
      <w:r w:rsidRPr="00654EF1">
        <w:rPr>
          <w:color w:val="000000"/>
        </w:rPr>
        <w:t xml:space="preserve">A total of </w:t>
      </w:r>
      <w:r w:rsidR="00BE0FA4" w:rsidRPr="00654EF1">
        <w:rPr>
          <w:color w:val="000000"/>
        </w:rPr>
        <w:t>71</w:t>
      </w:r>
      <w:r w:rsidRPr="00654EF1">
        <w:rPr>
          <w:color w:val="000000"/>
        </w:rPr>
        <w:t xml:space="preserve"> (</w:t>
      </w:r>
      <w:r w:rsidR="00BE0FA4" w:rsidRPr="00654EF1">
        <w:rPr>
          <w:color w:val="000000"/>
        </w:rPr>
        <w:t>12.8</w:t>
      </w:r>
      <w:r w:rsidRPr="00654EF1">
        <w:rPr>
          <w:color w:val="000000"/>
        </w:rPr>
        <w:t xml:space="preserve">%) and </w:t>
      </w:r>
      <w:r w:rsidR="00BE0FA4" w:rsidRPr="00654EF1">
        <w:rPr>
          <w:color w:val="000000"/>
        </w:rPr>
        <w:t>85</w:t>
      </w:r>
      <w:r w:rsidRPr="00654EF1">
        <w:rPr>
          <w:color w:val="000000"/>
        </w:rPr>
        <w:t xml:space="preserve"> (</w:t>
      </w:r>
      <w:r w:rsidR="00BE0FA4" w:rsidRPr="00654EF1">
        <w:rPr>
          <w:color w:val="000000"/>
        </w:rPr>
        <w:t>15.4</w:t>
      </w:r>
      <w:r w:rsidRPr="00654EF1">
        <w:rPr>
          <w:color w:val="000000"/>
        </w:rPr>
        <w:t xml:space="preserve">%) patients died in the Glivec and IFN+Ara-C groups, respectively. At </w:t>
      </w:r>
      <w:r w:rsidR="00BE0FA4" w:rsidRPr="00654EF1">
        <w:rPr>
          <w:color w:val="000000"/>
        </w:rPr>
        <w:t>84</w:t>
      </w:r>
      <w:r w:rsidRPr="00654EF1">
        <w:rPr>
          <w:color w:val="000000"/>
        </w:rPr>
        <w:t xml:space="preserve"> months the estimated overall survival is </w:t>
      </w:r>
      <w:r w:rsidR="00BE0FA4" w:rsidRPr="00654EF1">
        <w:rPr>
          <w:color w:val="000000"/>
        </w:rPr>
        <w:t>86.4</w:t>
      </w:r>
      <w:r w:rsidRPr="00654EF1">
        <w:rPr>
          <w:color w:val="000000"/>
        </w:rPr>
        <w:t>% (</w:t>
      </w:r>
      <w:r w:rsidR="00BE0FA4" w:rsidRPr="00654EF1">
        <w:rPr>
          <w:color w:val="000000"/>
        </w:rPr>
        <w:t>83</w:t>
      </w:r>
      <w:r w:rsidRPr="00654EF1">
        <w:rPr>
          <w:color w:val="000000"/>
        </w:rPr>
        <w:t xml:space="preserve">, </w:t>
      </w:r>
      <w:r w:rsidR="00BE0FA4" w:rsidRPr="00654EF1">
        <w:rPr>
          <w:color w:val="000000"/>
        </w:rPr>
        <w:t>90</w:t>
      </w:r>
      <w:r w:rsidRPr="00654EF1">
        <w:rPr>
          <w:color w:val="000000"/>
        </w:rPr>
        <w:t xml:space="preserve">) vs. </w:t>
      </w:r>
      <w:r w:rsidR="00BE0FA4" w:rsidRPr="00654EF1">
        <w:rPr>
          <w:color w:val="000000"/>
        </w:rPr>
        <w:t>83.3</w:t>
      </w:r>
      <w:r w:rsidRPr="00654EF1">
        <w:rPr>
          <w:color w:val="000000"/>
        </w:rPr>
        <w:t>% (</w:t>
      </w:r>
      <w:r w:rsidR="00BE0FA4" w:rsidRPr="00654EF1">
        <w:rPr>
          <w:color w:val="000000"/>
        </w:rPr>
        <w:t>80</w:t>
      </w:r>
      <w:r w:rsidRPr="00654EF1">
        <w:rPr>
          <w:color w:val="000000"/>
        </w:rPr>
        <w:t xml:space="preserve">, </w:t>
      </w:r>
      <w:r w:rsidR="00BE0FA4" w:rsidRPr="00654EF1">
        <w:rPr>
          <w:color w:val="000000"/>
        </w:rPr>
        <w:t>87</w:t>
      </w:r>
      <w:r w:rsidRPr="00654EF1">
        <w:rPr>
          <w:color w:val="000000"/>
        </w:rPr>
        <w:t>) in the randomised Glivec and the IFN+Ara-C groups, respectively (p=0.0</w:t>
      </w:r>
      <w:r w:rsidR="00BE0FA4" w:rsidRPr="00654EF1">
        <w:rPr>
          <w:color w:val="000000"/>
        </w:rPr>
        <w:t>73</w:t>
      </w:r>
      <w:r w:rsidRPr="00654EF1">
        <w:rPr>
          <w:color w:val="000000"/>
        </w:rPr>
        <w:t xml:space="preserve">, log-rank test). This time-to-event endpoint is strongly affected by the high crossover rate from IFN+Ara-C to Glivec. The effect of Glivec treatment on survival in chronic phase, newly diagnosed CML has been further examined in a retrospective analysis of the above reported Glivec data with the primary data from another Phase </w:t>
      </w:r>
      <w:smartTag w:uri="urn:schemas-microsoft-com:office:smarttags" w:element="stockticker">
        <w:r w:rsidRPr="00654EF1">
          <w:rPr>
            <w:color w:val="000000"/>
          </w:rPr>
          <w:t>III</w:t>
        </w:r>
      </w:smartTag>
      <w:r w:rsidRPr="00654EF1">
        <w:rPr>
          <w:color w:val="000000"/>
        </w:rPr>
        <w:t xml:space="preserve"> study using IFN+Ara-C (n=325) in an identical regimen. In this retrospective analysis, the superiority of Glivec over IFN+Ara-C in overall survival was demonstrated (p&lt;0.001); within 42 months, 47 (8.5%) Glivec patients and 63 (19.4%) IFN+Ara-C patients had died.</w:t>
      </w:r>
    </w:p>
    <w:p w14:paraId="1B680121" w14:textId="77777777" w:rsidR="007C011C" w:rsidRPr="00654EF1" w:rsidRDefault="007C011C" w:rsidP="001D5C8C">
      <w:pPr>
        <w:pStyle w:val="EndnoteText"/>
        <w:widowControl w:val="0"/>
        <w:rPr>
          <w:color w:val="000000"/>
        </w:rPr>
      </w:pPr>
    </w:p>
    <w:p w14:paraId="1B680122" w14:textId="77777777" w:rsidR="007C011C" w:rsidRPr="00654EF1" w:rsidRDefault="007C011C" w:rsidP="001D5C8C">
      <w:pPr>
        <w:pStyle w:val="EndnoteText"/>
        <w:widowControl w:val="0"/>
        <w:rPr>
          <w:color w:val="000000"/>
        </w:rPr>
      </w:pPr>
      <w:r w:rsidRPr="00654EF1">
        <w:rPr>
          <w:color w:val="000000"/>
        </w:rPr>
        <w:t xml:space="preserve">The degree of cytogenetic response </w:t>
      </w:r>
      <w:r w:rsidR="002B0D5C" w:rsidRPr="00654EF1">
        <w:rPr>
          <w:color w:val="000000"/>
          <w:szCs w:val="22"/>
        </w:rPr>
        <w:t xml:space="preserve">and molecular response </w:t>
      </w:r>
      <w:r w:rsidRPr="00654EF1">
        <w:rPr>
          <w:color w:val="000000"/>
        </w:rPr>
        <w:t xml:space="preserve">had a clear effect on long-term outcomes in patients on Glivec. Whereas an estimated </w:t>
      </w:r>
      <w:r w:rsidR="00BE0FA4" w:rsidRPr="00654EF1">
        <w:rPr>
          <w:color w:val="000000"/>
        </w:rPr>
        <w:t>96</w:t>
      </w:r>
      <w:r w:rsidRPr="00654EF1">
        <w:rPr>
          <w:color w:val="000000"/>
        </w:rPr>
        <w:t xml:space="preserve">% (93%) of patients with CCyR (PCyR) at 12 months were free of progression to accelerated phase/blast crisis at </w:t>
      </w:r>
      <w:r w:rsidR="00BE0FA4" w:rsidRPr="00654EF1">
        <w:rPr>
          <w:color w:val="000000"/>
        </w:rPr>
        <w:t>84</w:t>
      </w:r>
      <w:r w:rsidRPr="00654EF1">
        <w:rPr>
          <w:color w:val="000000"/>
        </w:rPr>
        <w:t xml:space="preserve"> months, only 81% of patients without MCyR at 12 months were free of progression to advanced CML at </w:t>
      </w:r>
      <w:r w:rsidR="00BE0FA4" w:rsidRPr="00654EF1">
        <w:rPr>
          <w:color w:val="000000"/>
        </w:rPr>
        <w:t>84</w:t>
      </w:r>
      <w:r w:rsidRPr="00654EF1">
        <w:rPr>
          <w:color w:val="000000"/>
        </w:rPr>
        <w:t> months (p&lt;0.001 overall, p=0.2</w:t>
      </w:r>
      <w:r w:rsidR="00BE0FA4" w:rsidRPr="00654EF1">
        <w:rPr>
          <w:color w:val="000000"/>
        </w:rPr>
        <w:t>5</w:t>
      </w:r>
      <w:r w:rsidRPr="00654EF1">
        <w:rPr>
          <w:color w:val="000000"/>
        </w:rPr>
        <w:t xml:space="preserve"> between CCyR and PCyR). </w:t>
      </w:r>
      <w:r w:rsidR="00CF5273" w:rsidRPr="00654EF1">
        <w:rPr>
          <w:color w:val="000000"/>
          <w:szCs w:val="22"/>
        </w:rPr>
        <w:t xml:space="preserve">For patients with reduction in Bcr-Abl transcripts of at least 3 logarithms at 12 months, the probability of remaining free from progression to accelerated phase/blast crisis was </w:t>
      </w:r>
      <w:r w:rsidR="00BE0FA4" w:rsidRPr="00654EF1">
        <w:rPr>
          <w:color w:val="000000"/>
          <w:szCs w:val="22"/>
        </w:rPr>
        <w:t>99</w:t>
      </w:r>
      <w:r w:rsidR="00CF5273" w:rsidRPr="00654EF1">
        <w:rPr>
          <w:color w:val="000000"/>
          <w:szCs w:val="22"/>
        </w:rPr>
        <w:t xml:space="preserve">% at </w:t>
      </w:r>
      <w:r w:rsidR="00BE0FA4" w:rsidRPr="00654EF1">
        <w:rPr>
          <w:color w:val="000000"/>
          <w:szCs w:val="22"/>
        </w:rPr>
        <w:t>84</w:t>
      </w:r>
      <w:r w:rsidR="00CF5273" w:rsidRPr="00654EF1">
        <w:rPr>
          <w:color w:val="000000"/>
          <w:szCs w:val="22"/>
        </w:rPr>
        <w:t> months. Similar findings were found based on a 18-months landmark analysis</w:t>
      </w:r>
      <w:r w:rsidRPr="00654EF1">
        <w:rPr>
          <w:color w:val="000000"/>
        </w:rPr>
        <w:t>.</w:t>
      </w:r>
    </w:p>
    <w:p w14:paraId="1B680123" w14:textId="77777777" w:rsidR="00E636F4" w:rsidRPr="00654EF1" w:rsidRDefault="00E636F4" w:rsidP="001D5C8C">
      <w:pPr>
        <w:pStyle w:val="EndnoteText"/>
        <w:widowControl w:val="0"/>
        <w:rPr>
          <w:color w:val="000000"/>
          <w:szCs w:val="22"/>
        </w:rPr>
      </w:pPr>
    </w:p>
    <w:p w14:paraId="1B680124" w14:textId="77777777" w:rsidR="00E636F4" w:rsidRPr="00654EF1" w:rsidRDefault="00E636F4" w:rsidP="001D5C8C">
      <w:pPr>
        <w:pStyle w:val="EndnoteText"/>
        <w:widowControl w:val="0"/>
        <w:rPr>
          <w:color w:val="000000"/>
          <w:szCs w:val="22"/>
        </w:rPr>
      </w:pPr>
      <w:r w:rsidRPr="00654EF1">
        <w:rPr>
          <w:color w:val="000000"/>
        </w:rPr>
        <w:t>In this study, dose escalations were allowed from 400 mg daily to 600 mg daily, then from 600 mg daily to 800 mg daily. After 42 months of follow-up, 11 patients experienced a confirmed loss (within 4 weeks) of their cytogenetic response. Of these 11 patients, 4 patients escalated up to 800 mg daily, 2 of whom regained a cytogenetic response (1 partial and 1 complete, the latter also achieving a molecular response), while of the 7 patients who did not escalate the dose, only one regained a complete cytogenetic response. The percentage of some adverse reactions was higher in the 40 patients in whom the dose was increased to 800 mg daily compared to the population of patients before dose increase (n=551). The more frequent adverse reactions included gastrointestinal haemorrhages, conjunctivitis and elevation of transaminases or bilirubin. Other adverse reactions were reported with lower or equal frequency.</w:t>
      </w:r>
    </w:p>
    <w:p w14:paraId="1B680125" w14:textId="77777777" w:rsidR="00E636F4" w:rsidRPr="00654EF1" w:rsidRDefault="00E636F4" w:rsidP="001D5C8C">
      <w:pPr>
        <w:pStyle w:val="Text"/>
        <w:widowControl w:val="0"/>
        <w:spacing w:before="0"/>
        <w:jc w:val="left"/>
        <w:rPr>
          <w:color w:val="000000"/>
          <w:sz w:val="22"/>
          <w:szCs w:val="22"/>
          <w:lang w:val="en-GB"/>
        </w:rPr>
      </w:pPr>
    </w:p>
    <w:p w14:paraId="1B680126" w14:textId="77777777" w:rsidR="009B57ED" w:rsidRPr="00654EF1" w:rsidRDefault="009B57ED" w:rsidP="001D5C8C">
      <w:pPr>
        <w:pStyle w:val="EndnoteText"/>
        <w:widowControl w:val="0"/>
        <w:tabs>
          <w:tab w:val="clear" w:pos="567"/>
        </w:tabs>
        <w:rPr>
          <w:color w:val="000000"/>
          <w:szCs w:val="22"/>
        </w:rPr>
      </w:pPr>
      <w:r w:rsidRPr="00654EF1">
        <w:rPr>
          <w:i/>
          <w:color w:val="000000"/>
          <w:szCs w:val="22"/>
        </w:rPr>
        <w:t xml:space="preserve">Chronic phase, Interferon failure: </w:t>
      </w:r>
      <w:r w:rsidRPr="00654EF1">
        <w:rPr>
          <w:color w:val="000000"/>
          <w:szCs w:val="22"/>
        </w:rPr>
        <w:t>532 </w:t>
      </w:r>
      <w:r w:rsidR="008F1C56" w:rsidRPr="00654EF1">
        <w:rPr>
          <w:color w:val="000000"/>
          <w:szCs w:val="22"/>
        </w:rPr>
        <w:t xml:space="preserve">adult </w:t>
      </w:r>
      <w:r w:rsidRPr="00654EF1">
        <w:rPr>
          <w:color w:val="000000"/>
          <w:szCs w:val="22"/>
        </w:rPr>
        <w:t xml:space="preserve">patients were treated at a starting dose of 400 mg. The patients were distributed in three main categories: haematological failure (29%), cytogenetic failure (35%), or intolerance to interferon (36%). Patients had received a median of 14 months of prior IFN therapy at doses </w:t>
      </w:r>
      <w:r w:rsidRPr="00654EF1">
        <w:rPr>
          <w:color w:val="000000"/>
          <w:szCs w:val="22"/>
        </w:rPr>
        <w:sym w:font="Symbol" w:char="F0B3"/>
      </w:r>
      <w:r w:rsidRPr="00654EF1">
        <w:rPr>
          <w:color w:val="000000"/>
          <w:szCs w:val="22"/>
        </w:rPr>
        <w:t> 25 x 10</w:t>
      </w:r>
      <w:r w:rsidRPr="00654EF1">
        <w:rPr>
          <w:color w:val="000000"/>
          <w:szCs w:val="22"/>
          <w:vertAlign w:val="superscript"/>
        </w:rPr>
        <w:t>6</w:t>
      </w:r>
      <w:r w:rsidRPr="00654EF1">
        <w:rPr>
          <w:color w:val="000000"/>
          <w:szCs w:val="22"/>
        </w:rPr>
        <w:t xml:space="preserve"> IU/week and were all in late chronic phase, with a median time from diagnosis of 32 months. The primary efficacy variable of the study was the rate of major cytogenetic response (complete plus partial response, 0 to 35% Ph+ metaphases in the bone marrow).</w:t>
      </w:r>
    </w:p>
    <w:p w14:paraId="1B680127" w14:textId="77777777" w:rsidR="009B57ED" w:rsidRPr="00654EF1" w:rsidRDefault="009B57ED" w:rsidP="001D5C8C">
      <w:pPr>
        <w:pStyle w:val="EndnoteText"/>
        <w:widowControl w:val="0"/>
        <w:tabs>
          <w:tab w:val="clear" w:pos="567"/>
        </w:tabs>
        <w:rPr>
          <w:color w:val="000000"/>
          <w:szCs w:val="22"/>
        </w:rPr>
      </w:pPr>
    </w:p>
    <w:p w14:paraId="1B680128"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In this study 65% of the patients achieved a major cytogenetic response that was complete in 53% (confirmed 43%) of patients (Table </w:t>
      </w:r>
      <w:r w:rsidR="008F2DE5" w:rsidRPr="00654EF1">
        <w:rPr>
          <w:color w:val="000000"/>
          <w:szCs w:val="22"/>
        </w:rPr>
        <w:t>3</w:t>
      </w:r>
      <w:r w:rsidRPr="00654EF1">
        <w:rPr>
          <w:color w:val="000000"/>
          <w:szCs w:val="22"/>
        </w:rPr>
        <w:t>). A complete haematological response was achieved in 95% of patients.</w:t>
      </w:r>
    </w:p>
    <w:p w14:paraId="1B680129" w14:textId="77777777" w:rsidR="009B57ED" w:rsidRPr="00654EF1" w:rsidRDefault="009B57ED" w:rsidP="001D5C8C">
      <w:pPr>
        <w:pStyle w:val="EndnoteText"/>
        <w:widowControl w:val="0"/>
        <w:tabs>
          <w:tab w:val="clear" w:pos="567"/>
        </w:tabs>
        <w:rPr>
          <w:color w:val="000000"/>
          <w:szCs w:val="22"/>
        </w:rPr>
      </w:pPr>
    </w:p>
    <w:p w14:paraId="1B68012A" w14:textId="77777777" w:rsidR="009B57ED" w:rsidRPr="00654EF1" w:rsidRDefault="009B57ED" w:rsidP="001D5C8C">
      <w:pPr>
        <w:pStyle w:val="EndnoteText"/>
        <w:widowControl w:val="0"/>
        <w:tabs>
          <w:tab w:val="clear" w:pos="567"/>
        </w:tabs>
        <w:rPr>
          <w:color w:val="000000"/>
          <w:szCs w:val="22"/>
        </w:rPr>
      </w:pPr>
      <w:r w:rsidRPr="00654EF1">
        <w:rPr>
          <w:i/>
          <w:color w:val="000000"/>
          <w:szCs w:val="22"/>
        </w:rPr>
        <w:t>Accelerated phase</w:t>
      </w:r>
      <w:r w:rsidRPr="00654EF1">
        <w:rPr>
          <w:color w:val="000000"/>
          <w:szCs w:val="22"/>
        </w:rPr>
        <w:t>: 235 </w:t>
      </w:r>
      <w:r w:rsidR="008F1C56" w:rsidRPr="00654EF1">
        <w:rPr>
          <w:color w:val="000000"/>
          <w:szCs w:val="22"/>
        </w:rPr>
        <w:t xml:space="preserve">adult </w:t>
      </w:r>
      <w:r w:rsidRPr="00654EF1">
        <w:rPr>
          <w:color w:val="000000"/>
          <w:szCs w:val="22"/>
        </w:rPr>
        <w:t>patients with accelerated phase disease were enrolled. The first 77 patients were started at 400 mg, the protocol was subsequently amended to allow higher dosing and the remaining 158 patients were started at 600 mg.</w:t>
      </w:r>
    </w:p>
    <w:p w14:paraId="1B68012B" w14:textId="77777777" w:rsidR="009B57ED" w:rsidRPr="00654EF1" w:rsidRDefault="009B57ED" w:rsidP="001D5C8C">
      <w:pPr>
        <w:pStyle w:val="EndnoteText"/>
        <w:widowControl w:val="0"/>
        <w:tabs>
          <w:tab w:val="clear" w:pos="567"/>
        </w:tabs>
        <w:rPr>
          <w:color w:val="000000"/>
          <w:szCs w:val="22"/>
        </w:rPr>
      </w:pPr>
    </w:p>
    <w:p w14:paraId="1B68012C"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The primary efficacy variable was the rate of haematological response, reported as either complete haematological response, no evidence of leukaemia (i.e. clearance of blasts from the marrow and the blood, but without a full peripheral blood recovery as for complete responses), or return to chronic phase CML. A confirmed haematological response was achieved in 71.5% of patients (Table </w:t>
      </w:r>
      <w:r w:rsidR="008F2DE5" w:rsidRPr="00654EF1">
        <w:rPr>
          <w:color w:val="000000"/>
          <w:szCs w:val="22"/>
        </w:rPr>
        <w:t>3</w:t>
      </w:r>
      <w:r w:rsidRPr="00654EF1">
        <w:rPr>
          <w:color w:val="000000"/>
          <w:szCs w:val="22"/>
        </w:rPr>
        <w:t>). Importantly, 27.7% of patients also achieved a major cytogenetic response, which was complete in 20.4% (confirmed 16%) of patients. For the patients treated at 600 mg, the current estimates for median progression-free-survival and overall survival were 22.9 and 42.5 months, respectively.</w:t>
      </w:r>
    </w:p>
    <w:p w14:paraId="1B68012D" w14:textId="77777777" w:rsidR="009B57ED" w:rsidRPr="00654EF1" w:rsidRDefault="009B57ED" w:rsidP="001D5C8C">
      <w:pPr>
        <w:pStyle w:val="EndnoteText"/>
        <w:widowControl w:val="0"/>
        <w:tabs>
          <w:tab w:val="clear" w:pos="567"/>
        </w:tabs>
        <w:rPr>
          <w:color w:val="000000"/>
          <w:szCs w:val="22"/>
        </w:rPr>
      </w:pPr>
    </w:p>
    <w:p w14:paraId="1B68012E" w14:textId="77777777" w:rsidR="009B57ED" w:rsidRPr="00654EF1" w:rsidRDefault="009B57ED" w:rsidP="001D5C8C">
      <w:pPr>
        <w:pStyle w:val="EndnoteText"/>
        <w:widowControl w:val="0"/>
        <w:tabs>
          <w:tab w:val="clear" w:pos="567"/>
        </w:tabs>
        <w:rPr>
          <w:color w:val="000000"/>
          <w:szCs w:val="22"/>
        </w:rPr>
      </w:pPr>
      <w:r w:rsidRPr="00654EF1">
        <w:rPr>
          <w:i/>
          <w:color w:val="000000"/>
          <w:szCs w:val="22"/>
        </w:rPr>
        <w:t>Myeloid blast crisis:</w:t>
      </w:r>
      <w:r w:rsidRPr="00654EF1">
        <w:rPr>
          <w:color w:val="000000"/>
          <w:szCs w:val="22"/>
        </w:rPr>
        <w:t xml:space="preserve"> 260 patients with myeloid blast crisis were enrolled. 95 (37%) had received prior </w:t>
      </w:r>
      <w:r w:rsidRPr="00654EF1">
        <w:rPr>
          <w:color w:val="000000"/>
          <w:szCs w:val="22"/>
        </w:rPr>
        <w:lastRenderedPageBreak/>
        <w:t>chemotherapy for treatment of either accelerated phase or blast crisis (“pretreated patients”) whereas 165 (63%) had not (“untreated patients”). The first 37 patients were started at 400 mg, the protocol was subsequently amended to allow higher dosing and the remaining 223 patients were started at 600 mg.</w:t>
      </w:r>
    </w:p>
    <w:p w14:paraId="1B68012F" w14:textId="77777777" w:rsidR="009B57ED" w:rsidRPr="00654EF1" w:rsidRDefault="009B57ED" w:rsidP="001D5C8C">
      <w:pPr>
        <w:pStyle w:val="EndnoteText"/>
        <w:widowControl w:val="0"/>
        <w:tabs>
          <w:tab w:val="clear" w:pos="567"/>
        </w:tabs>
        <w:rPr>
          <w:color w:val="000000"/>
          <w:szCs w:val="22"/>
        </w:rPr>
      </w:pPr>
    </w:p>
    <w:p w14:paraId="1B680130"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The primary efficacy variable was the rate of haematological response, reported as either complete haematological response, no evidence of leukaemia, or return to chronic phase CML using the same criteria as for the study in accelerated phase. In this study, 31% of patients achieved a haematological response (36% in previously untreated patients and 22% in previously treated patients). The rate of response was also higher in the patients treated at 600 mg (33%) as compared to the patients treated at 400 mg (16%, p=0.0220). The current estimate of the median survival of the previously untreated and treated patients was 7.7 and 4.7 months, respectively.</w:t>
      </w:r>
    </w:p>
    <w:p w14:paraId="1B680131" w14:textId="77777777" w:rsidR="009B57ED" w:rsidRPr="00654EF1" w:rsidRDefault="009B57ED" w:rsidP="001D5C8C">
      <w:pPr>
        <w:pStyle w:val="EndnoteText"/>
        <w:widowControl w:val="0"/>
        <w:tabs>
          <w:tab w:val="clear" w:pos="567"/>
        </w:tabs>
        <w:rPr>
          <w:color w:val="000000"/>
          <w:szCs w:val="22"/>
        </w:rPr>
      </w:pPr>
    </w:p>
    <w:p w14:paraId="1B680132" w14:textId="77777777" w:rsidR="009B57ED" w:rsidRPr="00654EF1" w:rsidRDefault="009B57ED" w:rsidP="001D5C8C">
      <w:pPr>
        <w:pStyle w:val="BodyText"/>
        <w:widowControl w:val="0"/>
        <w:spacing w:line="240" w:lineRule="auto"/>
        <w:rPr>
          <w:b w:val="0"/>
          <w:i w:val="0"/>
          <w:color w:val="000000"/>
          <w:szCs w:val="22"/>
        </w:rPr>
      </w:pPr>
      <w:r w:rsidRPr="00654EF1">
        <w:rPr>
          <w:b w:val="0"/>
          <w:color w:val="000000"/>
          <w:szCs w:val="22"/>
        </w:rPr>
        <w:t>Lymphoid blast crisis</w:t>
      </w:r>
      <w:r w:rsidRPr="00654EF1">
        <w:rPr>
          <w:b w:val="0"/>
          <w:i w:val="0"/>
          <w:color w:val="000000"/>
          <w:szCs w:val="22"/>
        </w:rPr>
        <w:t>: a limited number of patients were enrolled in phase I studies (n=10). The rate of haematological response was 70% with a duration of 2</w:t>
      </w:r>
      <w:r w:rsidRPr="00654EF1">
        <w:rPr>
          <w:color w:val="000000"/>
          <w:szCs w:val="22"/>
        </w:rPr>
        <w:t>–</w:t>
      </w:r>
      <w:r w:rsidRPr="00654EF1">
        <w:rPr>
          <w:b w:val="0"/>
          <w:i w:val="0"/>
          <w:color w:val="000000"/>
          <w:szCs w:val="22"/>
        </w:rPr>
        <w:t>3 months.</w:t>
      </w:r>
    </w:p>
    <w:p w14:paraId="1B680133" w14:textId="77777777" w:rsidR="009B57ED" w:rsidRPr="00654EF1" w:rsidRDefault="009B57ED" w:rsidP="001D5C8C">
      <w:pPr>
        <w:pStyle w:val="EndnoteText"/>
        <w:widowControl w:val="0"/>
        <w:tabs>
          <w:tab w:val="clear" w:pos="567"/>
        </w:tabs>
        <w:rPr>
          <w:color w:val="000000"/>
          <w:szCs w:val="22"/>
        </w:rPr>
      </w:pPr>
    </w:p>
    <w:p w14:paraId="1B680134" w14:textId="77777777" w:rsidR="009B57ED" w:rsidRPr="00654EF1" w:rsidRDefault="009B57ED" w:rsidP="001D5C8C">
      <w:pPr>
        <w:pStyle w:val="EndnoteText"/>
        <w:keepNext/>
        <w:widowControl w:val="0"/>
        <w:tabs>
          <w:tab w:val="clear" w:pos="567"/>
        </w:tabs>
        <w:rPr>
          <w:color w:val="000000"/>
          <w:szCs w:val="22"/>
        </w:rPr>
      </w:pPr>
      <w:r w:rsidRPr="00654EF1">
        <w:rPr>
          <w:b/>
          <w:color w:val="000000"/>
          <w:szCs w:val="22"/>
        </w:rPr>
        <w:t>Table </w:t>
      </w:r>
      <w:r w:rsidR="008F2DE5" w:rsidRPr="00654EF1">
        <w:rPr>
          <w:b/>
          <w:color w:val="000000"/>
          <w:szCs w:val="22"/>
        </w:rPr>
        <w:t>3</w:t>
      </w:r>
      <w:r w:rsidRPr="00654EF1">
        <w:rPr>
          <w:b/>
          <w:color w:val="000000"/>
          <w:szCs w:val="22"/>
        </w:rPr>
        <w:tab/>
        <w:t xml:space="preserve">Response in </w:t>
      </w:r>
      <w:r w:rsidR="008F1C56" w:rsidRPr="00654EF1">
        <w:rPr>
          <w:b/>
          <w:color w:val="000000"/>
          <w:szCs w:val="22"/>
        </w:rPr>
        <w:t xml:space="preserve">adult </w:t>
      </w:r>
      <w:r w:rsidRPr="00654EF1">
        <w:rPr>
          <w:b/>
          <w:color w:val="000000"/>
          <w:szCs w:val="22"/>
        </w:rPr>
        <w:t>CML studies</w:t>
      </w:r>
    </w:p>
    <w:p w14:paraId="1B680135" w14:textId="77777777" w:rsidR="009B57ED" w:rsidRPr="00654EF1" w:rsidRDefault="009B57ED"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9B57ED" w:rsidRPr="00654EF1" w14:paraId="1B680143" w14:textId="77777777" w:rsidTr="005E7BE5">
        <w:trPr>
          <w:cantSplit/>
        </w:trPr>
        <w:tc>
          <w:tcPr>
            <w:tcW w:w="3227" w:type="dxa"/>
            <w:tcBorders>
              <w:bottom w:val="nil"/>
            </w:tcBorders>
          </w:tcPr>
          <w:p w14:paraId="1B680136" w14:textId="77777777" w:rsidR="009B57ED" w:rsidRPr="00654EF1" w:rsidRDefault="009B57ED" w:rsidP="001D5C8C">
            <w:pPr>
              <w:pStyle w:val="EndnoteText"/>
              <w:keepNext/>
              <w:widowControl w:val="0"/>
              <w:tabs>
                <w:tab w:val="clear" w:pos="567"/>
              </w:tabs>
              <w:rPr>
                <w:color w:val="000000"/>
                <w:szCs w:val="22"/>
              </w:rPr>
            </w:pPr>
          </w:p>
        </w:tc>
        <w:tc>
          <w:tcPr>
            <w:tcW w:w="1898" w:type="dxa"/>
            <w:tcBorders>
              <w:bottom w:val="nil"/>
            </w:tcBorders>
          </w:tcPr>
          <w:p w14:paraId="1B680137"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Study 0110</w:t>
            </w:r>
          </w:p>
          <w:p w14:paraId="1B680138" w14:textId="77777777" w:rsidR="009B57ED" w:rsidRPr="00654EF1" w:rsidRDefault="009B57ED" w:rsidP="001D5C8C">
            <w:pPr>
              <w:pStyle w:val="Table"/>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rPr>
              <w:t>37-month data</w:t>
            </w:r>
          </w:p>
          <w:p w14:paraId="1B680139"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Chronic phase, IFN failure</w:t>
            </w:r>
          </w:p>
          <w:p w14:paraId="1B68013A"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(n=532)</w:t>
            </w:r>
          </w:p>
        </w:tc>
        <w:tc>
          <w:tcPr>
            <w:tcW w:w="1985" w:type="dxa"/>
            <w:tcBorders>
              <w:bottom w:val="nil"/>
            </w:tcBorders>
          </w:tcPr>
          <w:p w14:paraId="1B68013B"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Study 0109</w:t>
            </w:r>
          </w:p>
          <w:p w14:paraId="1B68013C"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40.5-month data</w:t>
            </w:r>
          </w:p>
          <w:p w14:paraId="1B68013D"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Accelerated phase</w:t>
            </w:r>
          </w:p>
          <w:p w14:paraId="1B68013E"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(n=235)</w:t>
            </w:r>
          </w:p>
        </w:tc>
        <w:tc>
          <w:tcPr>
            <w:tcW w:w="1929" w:type="dxa"/>
            <w:tcBorders>
              <w:bottom w:val="nil"/>
            </w:tcBorders>
          </w:tcPr>
          <w:p w14:paraId="1B68013F"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Study 0102</w:t>
            </w:r>
          </w:p>
          <w:p w14:paraId="1B680140"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38-month data</w:t>
            </w:r>
          </w:p>
          <w:p w14:paraId="1B680141"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Myeloid blast crisis</w:t>
            </w:r>
          </w:p>
          <w:p w14:paraId="1B680142"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(n=260)</w:t>
            </w:r>
          </w:p>
        </w:tc>
      </w:tr>
      <w:tr w:rsidR="009B57ED" w:rsidRPr="00654EF1" w14:paraId="1B680146" w14:textId="77777777" w:rsidTr="005E7BE5">
        <w:trPr>
          <w:cantSplit/>
        </w:trPr>
        <w:tc>
          <w:tcPr>
            <w:tcW w:w="3227" w:type="dxa"/>
            <w:tcBorders>
              <w:bottom w:val="nil"/>
            </w:tcBorders>
          </w:tcPr>
          <w:p w14:paraId="1B680144" w14:textId="77777777" w:rsidR="009B57ED" w:rsidRPr="00654EF1" w:rsidRDefault="009B57ED" w:rsidP="001D5C8C">
            <w:pPr>
              <w:pStyle w:val="EndnoteText"/>
              <w:keepNext/>
              <w:widowControl w:val="0"/>
              <w:tabs>
                <w:tab w:val="clear" w:pos="567"/>
              </w:tabs>
              <w:rPr>
                <w:color w:val="000000"/>
                <w:szCs w:val="22"/>
              </w:rPr>
            </w:pPr>
          </w:p>
        </w:tc>
        <w:tc>
          <w:tcPr>
            <w:tcW w:w="5812" w:type="dxa"/>
            <w:gridSpan w:val="3"/>
            <w:tcBorders>
              <w:bottom w:val="nil"/>
            </w:tcBorders>
          </w:tcPr>
          <w:p w14:paraId="1B680145"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 of patients (CI</w:t>
            </w:r>
            <w:r w:rsidRPr="00654EF1">
              <w:rPr>
                <w:color w:val="000000"/>
                <w:szCs w:val="22"/>
                <w:vertAlign w:val="subscript"/>
              </w:rPr>
              <w:t>95%</w:t>
            </w:r>
            <w:r w:rsidRPr="00654EF1">
              <w:rPr>
                <w:color w:val="000000"/>
                <w:szCs w:val="22"/>
              </w:rPr>
              <w:t>)</w:t>
            </w:r>
          </w:p>
        </w:tc>
      </w:tr>
      <w:tr w:rsidR="009B57ED" w:rsidRPr="00654EF1" w14:paraId="1B68014B" w14:textId="77777777" w:rsidTr="005E7BE5">
        <w:trPr>
          <w:cantSplit/>
        </w:trPr>
        <w:tc>
          <w:tcPr>
            <w:tcW w:w="3227" w:type="dxa"/>
            <w:tcBorders>
              <w:bottom w:val="nil"/>
            </w:tcBorders>
          </w:tcPr>
          <w:p w14:paraId="1B680147"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Haematological response</w:t>
            </w:r>
            <w:r w:rsidRPr="00654EF1">
              <w:rPr>
                <w:color w:val="000000"/>
                <w:szCs w:val="22"/>
                <w:vertAlign w:val="superscript"/>
              </w:rPr>
              <w:t>1</w:t>
            </w:r>
          </w:p>
        </w:tc>
        <w:tc>
          <w:tcPr>
            <w:tcW w:w="1898" w:type="dxa"/>
            <w:tcBorders>
              <w:bottom w:val="nil"/>
            </w:tcBorders>
          </w:tcPr>
          <w:p w14:paraId="1B680148"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95% (92.3–96.3)</w:t>
            </w:r>
          </w:p>
        </w:tc>
        <w:tc>
          <w:tcPr>
            <w:tcW w:w="1985" w:type="dxa"/>
            <w:tcBorders>
              <w:bottom w:val="nil"/>
            </w:tcBorders>
          </w:tcPr>
          <w:p w14:paraId="1B680149"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71% (65.3–77.2)</w:t>
            </w:r>
          </w:p>
        </w:tc>
        <w:tc>
          <w:tcPr>
            <w:tcW w:w="1929" w:type="dxa"/>
            <w:tcBorders>
              <w:bottom w:val="nil"/>
            </w:tcBorders>
          </w:tcPr>
          <w:p w14:paraId="1B68014A"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31% (25.2–36.8)</w:t>
            </w:r>
          </w:p>
        </w:tc>
      </w:tr>
      <w:tr w:rsidR="009B57ED" w:rsidRPr="00654EF1" w14:paraId="1B680150" w14:textId="77777777" w:rsidTr="005E7BE5">
        <w:trPr>
          <w:cantSplit/>
        </w:trPr>
        <w:tc>
          <w:tcPr>
            <w:tcW w:w="3227" w:type="dxa"/>
            <w:tcBorders>
              <w:top w:val="nil"/>
              <w:bottom w:val="nil"/>
            </w:tcBorders>
          </w:tcPr>
          <w:p w14:paraId="1B68014C" w14:textId="77777777" w:rsidR="009B57ED" w:rsidRPr="00654EF1" w:rsidRDefault="009B57ED" w:rsidP="001D5C8C">
            <w:pPr>
              <w:pStyle w:val="EndnoteText"/>
              <w:keepNext/>
              <w:widowControl w:val="0"/>
              <w:tabs>
                <w:tab w:val="clear" w:pos="567"/>
              </w:tabs>
              <w:ind w:left="284"/>
              <w:rPr>
                <w:color w:val="000000"/>
                <w:szCs w:val="22"/>
              </w:rPr>
            </w:pPr>
            <w:r w:rsidRPr="00654EF1">
              <w:rPr>
                <w:color w:val="000000"/>
                <w:szCs w:val="22"/>
              </w:rPr>
              <w:t>Complete haematological response (</w:t>
            </w:r>
            <w:smartTag w:uri="urn:schemas-microsoft-com:office:smarttags" w:element="stockticker">
              <w:r w:rsidRPr="00654EF1">
                <w:rPr>
                  <w:color w:val="000000"/>
                  <w:szCs w:val="22"/>
                </w:rPr>
                <w:t>CHR</w:t>
              </w:r>
            </w:smartTag>
            <w:r w:rsidRPr="00654EF1">
              <w:rPr>
                <w:color w:val="000000"/>
                <w:szCs w:val="22"/>
              </w:rPr>
              <w:t>)</w:t>
            </w:r>
          </w:p>
        </w:tc>
        <w:tc>
          <w:tcPr>
            <w:tcW w:w="1898" w:type="dxa"/>
            <w:tcBorders>
              <w:top w:val="nil"/>
              <w:bottom w:val="nil"/>
            </w:tcBorders>
          </w:tcPr>
          <w:p w14:paraId="1B68014D"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95%</w:t>
            </w:r>
          </w:p>
        </w:tc>
        <w:tc>
          <w:tcPr>
            <w:tcW w:w="1985" w:type="dxa"/>
            <w:tcBorders>
              <w:top w:val="nil"/>
              <w:bottom w:val="nil"/>
            </w:tcBorders>
          </w:tcPr>
          <w:p w14:paraId="1B68014E"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42%</w:t>
            </w:r>
          </w:p>
        </w:tc>
        <w:tc>
          <w:tcPr>
            <w:tcW w:w="1929" w:type="dxa"/>
            <w:tcBorders>
              <w:top w:val="nil"/>
              <w:bottom w:val="nil"/>
            </w:tcBorders>
          </w:tcPr>
          <w:p w14:paraId="1B68014F"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8%</w:t>
            </w:r>
          </w:p>
        </w:tc>
      </w:tr>
      <w:tr w:rsidR="009B57ED" w:rsidRPr="00654EF1" w14:paraId="1B680155" w14:textId="77777777" w:rsidTr="005E7BE5">
        <w:trPr>
          <w:cantSplit/>
        </w:trPr>
        <w:tc>
          <w:tcPr>
            <w:tcW w:w="3227" w:type="dxa"/>
            <w:tcBorders>
              <w:top w:val="nil"/>
              <w:bottom w:val="nil"/>
            </w:tcBorders>
          </w:tcPr>
          <w:p w14:paraId="1B680151" w14:textId="77777777" w:rsidR="009B57ED" w:rsidRPr="00654EF1" w:rsidRDefault="009B57ED" w:rsidP="001D5C8C">
            <w:pPr>
              <w:pStyle w:val="EndnoteText"/>
              <w:keepNext/>
              <w:widowControl w:val="0"/>
              <w:tabs>
                <w:tab w:val="clear" w:pos="567"/>
              </w:tabs>
              <w:ind w:left="284"/>
              <w:rPr>
                <w:color w:val="000000"/>
                <w:szCs w:val="22"/>
              </w:rPr>
            </w:pPr>
            <w:r w:rsidRPr="00654EF1">
              <w:rPr>
                <w:color w:val="000000"/>
                <w:szCs w:val="22"/>
              </w:rPr>
              <w:t>No evidence of leukaemia (NEL)</w:t>
            </w:r>
          </w:p>
        </w:tc>
        <w:tc>
          <w:tcPr>
            <w:tcW w:w="1898" w:type="dxa"/>
            <w:tcBorders>
              <w:top w:val="nil"/>
              <w:bottom w:val="nil"/>
            </w:tcBorders>
          </w:tcPr>
          <w:p w14:paraId="1B680152"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Not applicable</w:t>
            </w:r>
          </w:p>
        </w:tc>
        <w:tc>
          <w:tcPr>
            <w:tcW w:w="1985" w:type="dxa"/>
            <w:tcBorders>
              <w:top w:val="nil"/>
              <w:bottom w:val="nil"/>
            </w:tcBorders>
          </w:tcPr>
          <w:p w14:paraId="1B680153"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12%</w:t>
            </w:r>
          </w:p>
        </w:tc>
        <w:tc>
          <w:tcPr>
            <w:tcW w:w="1929" w:type="dxa"/>
            <w:tcBorders>
              <w:top w:val="nil"/>
              <w:bottom w:val="nil"/>
            </w:tcBorders>
          </w:tcPr>
          <w:p w14:paraId="1B680154"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5%</w:t>
            </w:r>
          </w:p>
        </w:tc>
      </w:tr>
      <w:tr w:rsidR="009B57ED" w:rsidRPr="00654EF1" w14:paraId="1B68015A" w14:textId="77777777" w:rsidTr="005E7BE5">
        <w:trPr>
          <w:cantSplit/>
        </w:trPr>
        <w:tc>
          <w:tcPr>
            <w:tcW w:w="3227" w:type="dxa"/>
            <w:tcBorders>
              <w:top w:val="nil"/>
              <w:bottom w:val="nil"/>
            </w:tcBorders>
          </w:tcPr>
          <w:p w14:paraId="1B680156" w14:textId="77777777" w:rsidR="009B57ED" w:rsidRPr="00654EF1" w:rsidRDefault="009B57ED" w:rsidP="001D5C8C">
            <w:pPr>
              <w:pStyle w:val="EndnoteText"/>
              <w:keepNext/>
              <w:widowControl w:val="0"/>
              <w:tabs>
                <w:tab w:val="clear" w:pos="567"/>
              </w:tabs>
              <w:ind w:left="284"/>
              <w:rPr>
                <w:color w:val="000000"/>
                <w:szCs w:val="22"/>
              </w:rPr>
            </w:pPr>
            <w:r w:rsidRPr="00654EF1">
              <w:rPr>
                <w:color w:val="000000"/>
                <w:szCs w:val="22"/>
              </w:rPr>
              <w:t>Return to chronic phase (</w:t>
            </w:r>
            <w:smartTag w:uri="urn:schemas-microsoft-com:office:smarttags" w:element="stockticker">
              <w:r w:rsidRPr="00654EF1">
                <w:rPr>
                  <w:color w:val="000000"/>
                  <w:szCs w:val="22"/>
                </w:rPr>
                <w:t>RTC</w:t>
              </w:r>
            </w:smartTag>
            <w:r w:rsidRPr="00654EF1">
              <w:rPr>
                <w:color w:val="000000"/>
                <w:szCs w:val="22"/>
              </w:rPr>
              <w:t>)</w:t>
            </w:r>
          </w:p>
        </w:tc>
        <w:tc>
          <w:tcPr>
            <w:tcW w:w="1898" w:type="dxa"/>
            <w:tcBorders>
              <w:top w:val="nil"/>
              <w:bottom w:val="nil"/>
            </w:tcBorders>
          </w:tcPr>
          <w:p w14:paraId="1B680157"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Not applicable</w:t>
            </w:r>
          </w:p>
        </w:tc>
        <w:tc>
          <w:tcPr>
            <w:tcW w:w="1985" w:type="dxa"/>
            <w:tcBorders>
              <w:top w:val="nil"/>
              <w:bottom w:val="nil"/>
            </w:tcBorders>
          </w:tcPr>
          <w:p w14:paraId="1B680158"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17%</w:t>
            </w:r>
          </w:p>
        </w:tc>
        <w:tc>
          <w:tcPr>
            <w:tcW w:w="1929" w:type="dxa"/>
            <w:tcBorders>
              <w:top w:val="nil"/>
              <w:bottom w:val="nil"/>
            </w:tcBorders>
          </w:tcPr>
          <w:p w14:paraId="1B680159"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18%</w:t>
            </w:r>
          </w:p>
        </w:tc>
      </w:tr>
      <w:tr w:rsidR="009B57ED" w:rsidRPr="00654EF1" w14:paraId="1B68015F" w14:textId="77777777" w:rsidTr="005E7BE5">
        <w:trPr>
          <w:cantSplit/>
        </w:trPr>
        <w:tc>
          <w:tcPr>
            <w:tcW w:w="3227" w:type="dxa"/>
            <w:tcBorders>
              <w:bottom w:val="nil"/>
            </w:tcBorders>
          </w:tcPr>
          <w:p w14:paraId="1B68015B"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Major cytogenetic response</w:t>
            </w:r>
            <w:r w:rsidRPr="00654EF1">
              <w:rPr>
                <w:color w:val="000000"/>
                <w:szCs w:val="22"/>
                <w:vertAlign w:val="superscript"/>
              </w:rPr>
              <w:t>2</w:t>
            </w:r>
          </w:p>
        </w:tc>
        <w:tc>
          <w:tcPr>
            <w:tcW w:w="1898" w:type="dxa"/>
            <w:tcBorders>
              <w:bottom w:val="nil"/>
            </w:tcBorders>
          </w:tcPr>
          <w:p w14:paraId="1B68015C"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65% (61.2–69.5)</w:t>
            </w:r>
          </w:p>
        </w:tc>
        <w:tc>
          <w:tcPr>
            <w:tcW w:w="1985" w:type="dxa"/>
            <w:tcBorders>
              <w:bottom w:val="nil"/>
            </w:tcBorders>
          </w:tcPr>
          <w:p w14:paraId="1B68015D"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28% (22.0–33.9)</w:t>
            </w:r>
          </w:p>
        </w:tc>
        <w:tc>
          <w:tcPr>
            <w:tcW w:w="1929" w:type="dxa"/>
            <w:tcBorders>
              <w:bottom w:val="nil"/>
            </w:tcBorders>
          </w:tcPr>
          <w:p w14:paraId="1B68015E"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15% (11.2–20.4)</w:t>
            </w:r>
          </w:p>
        </w:tc>
      </w:tr>
      <w:tr w:rsidR="009B57ED" w:rsidRPr="00654EF1" w14:paraId="1B680164" w14:textId="77777777" w:rsidTr="005E7BE5">
        <w:trPr>
          <w:cantSplit/>
        </w:trPr>
        <w:tc>
          <w:tcPr>
            <w:tcW w:w="3227" w:type="dxa"/>
            <w:tcBorders>
              <w:top w:val="nil"/>
              <w:bottom w:val="nil"/>
            </w:tcBorders>
          </w:tcPr>
          <w:p w14:paraId="1B680160" w14:textId="77777777" w:rsidR="009B57ED" w:rsidRPr="00654EF1" w:rsidRDefault="009B57ED" w:rsidP="001D5C8C">
            <w:pPr>
              <w:pStyle w:val="EndnoteText"/>
              <w:keepNext/>
              <w:widowControl w:val="0"/>
              <w:tabs>
                <w:tab w:val="clear" w:pos="567"/>
              </w:tabs>
              <w:ind w:left="284"/>
              <w:rPr>
                <w:color w:val="000000"/>
                <w:szCs w:val="22"/>
              </w:rPr>
            </w:pPr>
            <w:r w:rsidRPr="00654EF1">
              <w:rPr>
                <w:color w:val="000000"/>
                <w:szCs w:val="22"/>
              </w:rPr>
              <w:t>Complete</w:t>
            </w:r>
          </w:p>
        </w:tc>
        <w:tc>
          <w:tcPr>
            <w:tcW w:w="1898" w:type="dxa"/>
            <w:tcBorders>
              <w:top w:val="nil"/>
              <w:bottom w:val="nil"/>
            </w:tcBorders>
          </w:tcPr>
          <w:p w14:paraId="1B680161"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53%</w:t>
            </w:r>
          </w:p>
        </w:tc>
        <w:tc>
          <w:tcPr>
            <w:tcW w:w="1985" w:type="dxa"/>
            <w:tcBorders>
              <w:top w:val="nil"/>
              <w:bottom w:val="nil"/>
            </w:tcBorders>
          </w:tcPr>
          <w:p w14:paraId="1B680162"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20%</w:t>
            </w:r>
          </w:p>
        </w:tc>
        <w:tc>
          <w:tcPr>
            <w:tcW w:w="1929" w:type="dxa"/>
            <w:tcBorders>
              <w:top w:val="nil"/>
              <w:bottom w:val="nil"/>
            </w:tcBorders>
          </w:tcPr>
          <w:p w14:paraId="1B680163"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7%</w:t>
            </w:r>
          </w:p>
        </w:tc>
      </w:tr>
      <w:tr w:rsidR="009B57ED" w:rsidRPr="00654EF1" w14:paraId="1B680169" w14:textId="77777777" w:rsidTr="005E7BE5">
        <w:trPr>
          <w:cantSplit/>
        </w:trPr>
        <w:tc>
          <w:tcPr>
            <w:tcW w:w="3227" w:type="dxa"/>
            <w:tcBorders>
              <w:top w:val="nil"/>
              <w:bottom w:val="nil"/>
            </w:tcBorders>
          </w:tcPr>
          <w:p w14:paraId="1B680165" w14:textId="77777777" w:rsidR="009B57ED" w:rsidRPr="00654EF1" w:rsidRDefault="009B57ED" w:rsidP="001D5C8C">
            <w:pPr>
              <w:pStyle w:val="BodyTextIndent2"/>
              <w:keepNext/>
              <w:widowControl w:val="0"/>
              <w:tabs>
                <w:tab w:val="clear" w:pos="567"/>
              </w:tabs>
              <w:spacing w:line="240" w:lineRule="auto"/>
              <w:ind w:left="284" w:firstLine="0"/>
              <w:rPr>
                <w:b w:val="0"/>
                <w:color w:val="000000"/>
                <w:szCs w:val="22"/>
              </w:rPr>
            </w:pPr>
            <w:r w:rsidRPr="00654EF1">
              <w:rPr>
                <w:b w:val="0"/>
                <w:color w:val="000000"/>
                <w:szCs w:val="22"/>
              </w:rPr>
              <w:t>(Confirmed</w:t>
            </w:r>
            <w:r w:rsidRPr="00654EF1">
              <w:rPr>
                <w:b w:val="0"/>
                <w:color w:val="000000"/>
                <w:szCs w:val="22"/>
                <w:vertAlign w:val="superscript"/>
              </w:rPr>
              <w:t>3</w:t>
            </w:r>
            <w:r w:rsidRPr="00654EF1">
              <w:rPr>
                <w:b w:val="0"/>
                <w:color w:val="000000"/>
                <w:szCs w:val="22"/>
              </w:rPr>
              <w:t>) [95% CI]</w:t>
            </w:r>
          </w:p>
        </w:tc>
        <w:tc>
          <w:tcPr>
            <w:tcW w:w="1898" w:type="dxa"/>
            <w:tcBorders>
              <w:top w:val="nil"/>
              <w:bottom w:val="nil"/>
            </w:tcBorders>
          </w:tcPr>
          <w:p w14:paraId="1B680166" w14:textId="77777777" w:rsidR="009B57ED" w:rsidRPr="00654EF1" w:rsidRDefault="009B57ED"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(43%) [38.6–47.2]</w:t>
            </w:r>
          </w:p>
        </w:tc>
        <w:tc>
          <w:tcPr>
            <w:tcW w:w="1985" w:type="dxa"/>
            <w:tcBorders>
              <w:top w:val="nil"/>
              <w:bottom w:val="nil"/>
            </w:tcBorders>
          </w:tcPr>
          <w:p w14:paraId="1B680167" w14:textId="77777777" w:rsidR="009B57ED" w:rsidRPr="00654EF1" w:rsidRDefault="009B57ED"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(16%) [11.3–21.0]</w:t>
            </w:r>
          </w:p>
        </w:tc>
        <w:tc>
          <w:tcPr>
            <w:tcW w:w="1929" w:type="dxa"/>
            <w:tcBorders>
              <w:top w:val="nil"/>
              <w:bottom w:val="nil"/>
            </w:tcBorders>
          </w:tcPr>
          <w:p w14:paraId="1B680168" w14:textId="77777777" w:rsidR="009B57ED" w:rsidRPr="00654EF1" w:rsidRDefault="009B57ED"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(2%) [0.6–4.4]</w:t>
            </w:r>
          </w:p>
        </w:tc>
      </w:tr>
      <w:tr w:rsidR="009B57ED" w:rsidRPr="00654EF1" w14:paraId="1B68016E" w14:textId="77777777" w:rsidTr="005E7BE5">
        <w:trPr>
          <w:cantSplit/>
        </w:trPr>
        <w:tc>
          <w:tcPr>
            <w:tcW w:w="3227" w:type="dxa"/>
            <w:tcBorders>
              <w:top w:val="nil"/>
              <w:bottom w:val="nil"/>
            </w:tcBorders>
          </w:tcPr>
          <w:p w14:paraId="1B68016A" w14:textId="77777777" w:rsidR="009B57ED" w:rsidRPr="00654EF1" w:rsidRDefault="009B57ED" w:rsidP="001D5C8C">
            <w:pPr>
              <w:pStyle w:val="EndnoteText"/>
              <w:keepNext/>
              <w:widowControl w:val="0"/>
              <w:tabs>
                <w:tab w:val="clear" w:pos="567"/>
              </w:tabs>
              <w:ind w:left="284"/>
              <w:rPr>
                <w:color w:val="000000"/>
                <w:szCs w:val="22"/>
              </w:rPr>
            </w:pPr>
            <w:r w:rsidRPr="00654EF1">
              <w:rPr>
                <w:color w:val="000000"/>
                <w:szCs w:val="22"/>
              </w:rPr>
              <w:t>Partial</w:t>
            </w:r>
          </w:p>
        </w:tc>
        <w:tc>
          <w:tcPr>
            <w:tcW w:w="1898" w:type="dxa"/>
            <w:tcBorders>
              <w:top w:val="nil"/>
              <w:bottom w:val="nil"/>
            </w:tcBorders>
          </w:tcPr>
          <w:p w14:paraId="1B68016B"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12%</w:t>
            </w:r>
          </w:p>
        </w:tc>
        <w:tc>
          <w:tcPr>
            <w:tcW w:w="1985" w:type="dxa"/>
            <w:tcBorders>
              <w:top w:val="nil"/>
              <w:bottom w:val="nil"/>
            </w:tcBorders>
          </w:tcPr>
          <w:p w14:paraId="1B68016C"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7%</w:t>
            </w:r>
          </w:p>
        </w:tc>
        <w:tc>
          <w:tcPr>
            <w:tcW w:w="1929" w:type="dxa"/>
            <w:tcBorders>
              <w:top w:val="nil"/>
              <w:bottom w:val="nil"/>
            </w:tcBorders>
          </w:tcPr>
          <w:p w14:paraId="1B68016D"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8%</w:t>
            </w:r>
          </w:p>
        </w:tc>
      </w:tr>
      <w:tr w:rsidR="009B57ED" w:rsidRPr="00654EF1" w14:paraId="1B680177" w14:textId="77777777" w:rsidTr="005E7BE5">
        <w:trPr>
          <w:cantSplit/>
        </w:trPr>
        <w:tc>
          <w:tcPr>
            <w:tcW w:w="9039" w:type="dxa"/>
            <w:gridSpan w:val="4"/>
            <w:tcBorders>
              <w:top w:val="single" w:sz="4" w:space="0" w:color="auto"/>
              <w:bottom w:val="single" w:sz="4" w:space="0" w:color="auto"/>
            </w:tcBorders>
          </w:tcPr>
          <w:p w14:paraId="1B68016F" w14:textId="77777777" w:rsidR="009B57ED" w:rsidRPr="00654EF1" w:rsidRDefault="009B57ED" w:rsidP="001D5C8C">
            <w:pPr>
              <w:pStyle w:val="Table"/>
              <w:keepNext w:val="0"/>
              <w:keepLines w:val="0"/>
              <w:widowControl w:val="0"/>
              <w:spacing w:before="0" w:after="0"/>
              <w:rPr>
                <w:rFonts w:ascii="Times New Roman" w:hAnsi="Times New Roman"/>
                <w:b/>
                <w:color w:val="000000"/>
                <w:sz w:val="22"/>
                <w:szCs w:val="22"/>
                <w:lang w:val="en-GB"/>
              </w:rPr>
            </w:pPr>
            <w:r w:rsidRPr="00654EF1">
              <w:rPr>
                <w:rFonts w:ascii="Times New Roman" w:hAnsi="Times New Roman"/>
                <w:b/>
                <w:color w:val="000000"/>
                <w:sz w:val="22"/>
                <w:szCs w:val="22"/>
                <w:vertAlign w:val="superscript"/>
                <w:lang w:val="en-GB"/>
              </w:rPr>
              <w:t xml:space="preserve">1 </w:t>
            </w:r>
            <w:r w:rsidRPr="00654EF1">
              <w:rPr>
                <w:rFonts w:ascii="Times New Roman" w:hAnsi="Times New Roman"/>
                <w:b/>
                <w:color w:val="000000"/>
                <w:sz w:val="22"/>
                <w:szCs w:val="22"/>
                <w:lang w:val="en-GB"/>
              </w:rPr>
              <w:t xml:space="preserve">Haematological response criteria (all responses to be confirmed after </w:t>
            </w:r>
            <w:r w:rsidRPr="00654EF1">
              <w:rPr>
                <w:rFonts w:ascii="Times New Roman" w:hAnsi="Times New Roman"/>
                <w:b/>
                <w:color w:val="000000"/>
                <w:sz w:val="22"/>
                <w:szCs w:val="22"/>
                <w:lang w:val="en-GB"/>
              </w:rPr>
              <w:sym w:font="Symbol" w:char="F0B3"/>
            </w:r>
            <w:r w:rsidRPr="00654EF1">
              <w:rPr>
                <w:rFonts w:ascii="Times New Roman" w:hAnsi="Times New Roman"/>
                <w:b/>
                <w:color w:val="000000"/>
                <w:sz w:val="22"/>
                <w:szCs w:val="22"/>
                <w:lang w:val="en-GB"/>
              </w:rPr>
              <w:t> 4 weeks):</w:t>
            </w:r>
          </w:p>
          <w:p w14:paraId="1B680170" w14:textId="77777777" w:rsidR="009B57ED" w:rsidRPr="00654EF1" w:rsidRDefault="009B57ED"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654EF1">
                <w:rPr>
                  <w:rFonts w:ascii="Times New Roman" w:hAnsi="Times New Roman"/>
                  <w:color w:val="000000"/>
                  <w:sz w:val="22"/>
                  <w:szCs w:val="22"/>
                  <w:lang w:val="en-GB"/>
                </w:rPr>
                <w:t>CHR</w:t>
              </w:r>
            </w:smartTag>
            <w:r w:rsidRPr="00654EF1">
              <w:rPr>
                <w:rFonts w:ascii="Times New Roman" w:hAnsi="Times New Roman"/>
                <w:color w:val="000000"/>
                <w:sz w:val="22"/>
                <w:szCs w:val="22"/>
                <w:lang w:val="en-GB"/>
              </w:rPr>
              <w:t>:</w:t>
            </w:r>
            <w:r w:rsidRPr="00654EF1">
              <w:rPr>
                <w:rFonts w:ascii="Times New Roman" w:hAnsi="Times New Roman"/>
                <w:color w:val="000000"/>
                <w:sz w:val="22"/>
                <w:szCs w:val="22"/>
                <w:lang w:val="en-GB"/>
              </w:rPr>
              <w:tab/>
              <w:t>Study 0110 [WBC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platelets &lt; 450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myelocyte+metamyelocyte &lt; 5% in blood, no blasts and promyelocytes in blood, basophils &lt; 20%, no extramedullary involvement] and in studies 0102 and 0109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100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no blood blasts, BM blasts &lt; 5% and no extramedullary disease]</w:t>
            </w:r>
          </w:p>
          <w:p w14:paraId="1B680171" w14:textId="77777777" w:rsidR="009B57ED" w:rsidRPr="00654EF1" w:rsidRDefault="009B57ED"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r w:rsidRPr="00654EF1">
              <w:rPr>
                <w:rFonts w:ascii="Times New Roman" w:hAnsi="Times New Roman"/>
                <w:color w:val="000000"/>
                <w:sz w:val="22"/>
                <w:szCs w:val="22"/>
                <w:lang w:val="en-GB"/>
              </w:rPr>
              <w:t>NEL</w:t>
            </w:r>
            <w:r w:rsidRPr="00654EF1">
              <w:rPr>
                <w:rFonts w:ascii="Times New Roman" w:hAnsi="Times New Roman"/>
                <w:color w:val="000000"/>
                <w:sz w:val="22"/>
                <w:szCs w:val="22"/>
                <w:lang w:val="en-GB"/>
              </w:rPr>
              <w:tab/>
              <w:t xml:space="preserve">Same criteria as for </w:t>
            </w:r>
            <w:smartTag w:uri="urn:schemas-microsoft-com:office:smarttags" w:element="stockticker">
              <w:r w:rsidRPr="00654EF1">
                <w:rPr>
                  <w:rFonts w:ascii="Times New Roman" w:hAnsi="Times New Roman"/>
                  <w:color w:val="000000"/>
                  <w:sz w:val="22"/>
                  <w:szCs w:val="22"/>
                  <w:lang w:val="en-GB"/>
                </w:rPr>
                <w:t>CHR</w:t>
              </w:r>
            </w:smartTag>
            <w:r w:rsidRPr="00654EF1">
              <w:rPr>
                <w:rFonts w:ascii="Times New Roman" w:hAnsi="Times New Roman"/>
                <w:color w:val="000000"/>
                <w:sz w:val="22"/>
                <w:szCs w:val="22"/>
                <w:lang w:val="en-GB"/>
              </w:rPr>
              <w:t xml:space="preserve"> but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20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(0102 and 0109 only)</w:t>
            </w:r>
          </w:p>
          <w:p w14:paraId="1B680172" w14:textId="77777777" w:rsidR="009B57ED" w:rsidRPr="00654EF1" w:rsidRDefault="009B57ED"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654EF1">
                <w:rPr>
                  <w:rFonts w:ascii="Times New Roman" w:hAnsi="Times New Roman"/>
                  <w:color w:val="000000"/>
                  <w:sz w:val="22"/>
                  <w:szCs w:val="22"/>
                  <w:lang w:val="en-GB"/>
                </w:rPr>
                <w:t>RTC</w:t>
              </w:r>
            </w:smartTag>
            <w:r w:rsidRPr="00654EF1">
              <w:rPr>
                <w:rFonts w:ascii="Times New Roman" w:hAnsi="Times New Roman"/>
                <w:color w:val="000000"/>
                <w:sz w:val="22"/>
                <w:szCs w:val="22"/>
                <w:lang w:val="en-GB"/>
              </w:rPr>
              <w:tab/>
              <w:t>&lt; 15% blasts BM and PB, &lt; 30% blasts+promyelocytes in BM and PB, &lt; 20% basophils in PB, no extramedullary disease other than spleen and liver (only for 0102 and 0109).</w:t>
            </w:r>
          </w:p>
          <w:p w14:paraId="1B680173" w14:textId="77777777" w:rsidR="009B57ED" w:rsidRPr="00654EF1" w:rsidRDefault="009B57ED"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r w:rsidRPr="00654EF1">
              <w:rPr>
                <w:rFonts w:ascii="Times New Roman" w:hAnsi="Times New Roman"/>
                <w:color w:val="000000"/>
                <w:sz w:val="22"/>
                <w:szCs w:val="22"/>
                <w:lang w:val="en-GB"/>
              </w:rPr>
              <w:t>BM = bone marrow, PB = peripheral blood</w:t>
            </w:r>
          </w:p>
          <w:p w14:paraId="1B680174" w14:textId="77777777" w:rsidR="009B57ED" w:rsidRPr="00654EF1" w:rsidRDefault="009B57ED" w:rsidP="001D5C8C">
            <w:pPr>
              <w:pStyle w:val="Table"/>
              <w:keepNext w:val="0"/>
              <w:keepLines w:val="0"/>
              <w:widowControl w:val="0"/>
              <w:spacing w:before="0" w:after="0"/>
              <w:rPr>
                <w:rFonts w:ascii="Times New Roman" w:hAnsi="Times New Roman"/>
                <w:color w:val="000000"/>
                <w:sz w:val="22"/>
                <w:szCs w:val="22"/>
                <w:lang w:val="en-GB"/>
              </w:rPr>
            </w:pPr>
            <w:r w:rsidRPr="00654EF1">
              <w:rPr>
                <w:rFonts w:ascii="Times New Roman" w:hAnsi="Times New Roman"/>
                <w:b/>
                <w:color w:val="000000"/>
                <w:sz w:val="22"/>
                <w:szCs w:val="22"/>
                <w:vertAlign w:val="superscript"/>
                <w:lang w:val="en-GB"/>
              </w:rPr>
              <w:t xml:space="preserve">2 </w:t>
            </w:r>
            <w:r w:rsidRPr="00654EF1">
              <w:rPr>
                <w:rFonts w:ascii="Times New Roman" w:hAnsi="Times New Roman"/>
                <w:b/>
                <w:color w:val="000000"/>
                <w:sz w:val="22"/>
                <w:szCs w:val="22"/>
                <w:lang w:val="en-GB"/>
              </w:rPr>
              <w:t>Cytogenetic response criteria:</w:t>
            </w:r>
          </w:p>
          <w:p w14:paraId="1B680175"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A major response combines both complete and partial responses: complete (0% Ph+ metaphases), partial (1–35%)</w:t>
            </w:r>
          </w:p>
          <w:p w14:paraId="1B680176" w14:textId="77777777" w:rsidR="009B57ED" w:rsidRPr="00654EF1" w:rsidRDefault="009B57ED" w:rsidP="001D5C8C">
            <w:pPr>
              <w:pStyle w:val="EndnoteText"/>
              <w:widowControl w:val="0"/>
              <w:tabs>
                <w:tab w:val="clear" w:pos="567"/>
              </w:tabs>
              <w:rPr>
                <w:color w:val="000000"/>
                <w:szCs w:val="22"/>
              </w:rPr>
            </w:pPr>
            <w:r w:rsidRPr="00654EF1">
              <w:rPr>
                <w:color w:val="000000"/>
                <w:szCs w:val="22"/>
                <w:vertAlign w:val="superscript"/>
              </w:rPr>
              <w:t>3</w:t>
            </w:r>
            <w:r w:rsidRPr="00654EF1">
              <w:rPr>
                <w:color w:val="000000"/>
                <w:szCs w:val="22"/>
              </w:rPr>
              <w:t xml:space="preserve"> Complete cytogenetic response confirmed by a second bone marrow cytogenetic evaluation performed at least one month after the initial bone marrow study.</w:t>
            </w:r>
          </w:p>
        </w:tc>
      </w:tr>
    </w:tbl>
    <w:p w14:paraId="1B680178" w14:textId="77777777" w:rsidR="009B57ED" w:rsidRPr="00654EF1" w:rsidRDefault="009B57ED" w:rsidP="001D5C8C">
      <w:pPr>
        <w:pStyle w:val="EndnoteText"/>
        <w:widowControl w:val="0"/>
        <w:tabs>
          <w:tab w:val="clear" w:pos="567"/>
        </w:tabs>
        <w:rPr>
          <w:color w:val="000000"/>
          <w:szCs w:val="22"/>
        </w:rPr>
      </w:pPr>
    </w:p>
    <w:p w14:paraId="1B680179" w14:textId="77777777" w:rsidR="008F1C56" w:rsidRPr="00654EF1" w:rsidRDefault="008F1C56" w:rsidP="001D5C8C">
      <w:pPr>
        <w:pStyle w:val="EndnoteText"/>
        <w:widowControl w:val="0"/>
        <w:rPr>
          <w:color w:val="000000"/>
          <w:szCs w:val="22"/>
        </w:rPr>
      </w:pPr>
      <w:r w:rsidRPr="00654EF1">
        <w:rPr>
          <w:i/>
          <w:color w:val="000000"/>
        </w:rPr>
        <w:t>Paediatric patients</w:t>
      </w:r>
      <w:r w:rsidRPr="00654EF1">
        <w:rPr>
          <w:color w:val="000000"/>
        </w:rPr>
        <w:t>: A total of 26 paediatric patients of age &lt; 18 years with either chronic phase CML (n=11) or CML in blast crisis or Ph+ acute leukaemias (n=15) were enrolled in a dose-escalation phase I trial. This was a population of heavily pretreated patients, as 46% had received prior BMT and 73% a prior multi-agent chemotherapy. Patients were treated at doses of Glivec of 260 mg/m</w:t>
      </w:r>
      <w:r w:rsidRPr="00654EF1">
        <w:rPr>
          <w:color w:val="000000"/>
          <w:vertAlign w:val="superscript"/>
        </w:rPr>
        <w:t>2</w:t>
      </w:r>
      <w:r w:rsidRPr="00654EF1">
        <w:rPr>
          <w:color w:val="000000"/>
        </w:rPr>
        <w:t>/day (n=5), 340 mg/m</w:t>
      </w:r>
      <w:r w:rsidRPr="00654EF1">
        <w:rPr>
          <w:color w:val="000000"/>
          <w:vertAlign w:val="superscript"/>
        </w:rPr>
        <w:t>2</w:t>
      </w:r>
      <w:r w:rsidRPr="00654EF1">
        <w:rPr>
          <w:color w:val="000000"/>
        </w:rPr>
        <w:t>/day (n=9), 440 mg/m</w:t>
      </w:r>
      <w:r w:rsidRPr="00654EF1">
        <w:rPr>
          <w:color w:val="000000"/>
          <w:vertAlign w:val="superscript"/>
        </w:rPr>
        <w:t>2</w:t>
      </w:r>
      <w:r w:rsidRPr="00654EF1">
        <w:rPr>
          <w:color w:val="000000"/>
        </w:rPr>
        <w:t>/day (n=7) and 570 mg/m</w:t>
      </w:r>
      <w:r w:rsidRPr="00654EF1">
        <w:rPr>
          <w:color w:val="000000"/>
          <w:vertAlign w:val="superscript"/>
        </w:rPr>
        <w:t>2</w:t>
      </w:r>
      <w:r w:rsidRPr="00654EF1">
        <w:rPr>
          <w:color w:val="000000"/>
        </w:rPr>
        <w:t xml:space="preserve">/day (n=5). Out of 9 patients with chronic phase CML and cytogenetic data available, 4 (44%) and 3 (33%) achieved a complete and partial cytogenetic response, </w:t>
      </w:r>
      <w:r w:rsidRPr="00654EF1">
        <w:rPr>
          <w:color w:val="000000"/>
          <w:szCs w:val="22"/>
        </w:rPr>
        <w:t>respectively, for a rate of MCyR of 77%.</w:t>
      </w:r>
    </w:p>
    <w:p w14:paraId="1B68017A" w14:textId="77777777" w:rsidR="008F1C56" w:rsidRPr="00654EF1" w:rsidRDefault="008F1C56" w:rsidP="001D5C8C">
      <w:pPr>
        <w:pStyle w:val="EndnoteText"/>
        <w:widowControl w:val="0"/>
        <w:rPr>
          <w:color w:val="000000"/>
          <w:szCs w:val="22"/>
        </w:rPr>
      </w:pPr>
    </w:p>
    <w:p w14:paraId="1B68017B" w14:textId="77777777" w:rsidR="009A47CF" w:rsidRPr="00654EF1" w:rsidRDefault="008F1C56" w:rsidP="001D5C8C">
      <w:pPr>
        <w:pStyle w:val="EndnoteText"/>
        <w:widowControl w:val="0"/>
        <w:rPr>
          <w:color w:val="000000"/>
          <w:szCs w:val="22"/>
        </w:rPr>
      </w:pPr>
      <w:r w:rsidRPr="00654EF1">
        <w:rPr>
          <w:color w:val="000000"/>
          <w:szCs w:val="22"/>
        </w:rPr>
        <w:lastRenderedPageBreak/>
        <w:t>A total of 51 paediatric patients with newly diagnosed and untreated CML in chronic phase have been enrolled in an open-label, multicentre, single-arm phase II trial. Patients were treated with Glivec 340 mg/m</w:t>
      </w:r>
      <w:r w:rsidRPr="00654EF1">
        <w:rPr>
          <w:color w:val="000000"/>
          <w:szCs w:val="22"/>
          <w:vertAlign w:val="superscript"/>
        </w:rPr>
        <w:t>2</w:t>
      </w:r>
      <w:r w:rsidRPr="00654EF1">
        <w:rPr>
          <w:color w:val="000000"/>
          <w:szCs w:val="22"/>
        </w:rPr>
        <w:t xml:space="preserve">/day, with no interruptions in the absence of dose limiting toxicity. Glivec treatment induces a rapid response in newly diagnosed paediatric CML patients with a </w:t>
      </w:r>
      <w:smartTag w:uri="urn:schemas-microsoft-com:office:smarttags" w:element="stockticker">
        <w:r w:rsidRPr="00654EF1">
          <w:rPr>
            <w:color w:val="000000"/>
            <w:szCs w:val="22"/>
          </w:rPr>
          <w:t>CHR</w:t>
        </w:r>
      </w:smartTag>
      <w:r w:rsidRPr="00654EF1">
        <w:rPr>
          <w:color w:val="000000"/>
          <w:szCs w:val="22"/>
        </w:rPr>
        <w:t xml:space="preserve"> of 78% after 8 weeks of therapy. The high rate of </w:t>
      </w:r>
      <w:smartTag w:uri="urn:schemas-microsoft-com:office:smarttags" w:element="stockticker">
        <w:r w:rsidRPr="00654EF1">
          <w:rPr>
            <w:color w:val="000000"/>
            <w:szCs w:val="22"/>
          </w:rPr>
          <w:t>CHR</w:t>
        </w:r>
      </w:smartTag>
      <w:r w:rsidRPr="00654EF1">
        <w:rPr>
          <w:color w:val="000000"/>
          <w:szCs w:val="22"/>
        </w:rPr>
        <w:t xml:space="preserve"> is accompanied by the development of a complete cytogenetic response (CCyR) of 65% which is comparable to the results observed in adults. Additionally, partial cytogenetic response (PCyR) was observed in 16% for a MCyR of 81%. The majority of patients who achieved a CCyR developed the CCyR between months 3 and 10 with a median time to response based on the Kaplan-Meier estimate of 5.6 months.</w:t>
      </w:r>
    </w:p>
    <w:p w14:paraId="1B68017C" w14:textId="77777777" w:rsidR="008D1571" w:rsidRPr="00654EF1" w:rsidRDefault="008D1571" w:rsidP="001D5C8C">
      <w:pPr>
        <w:pStyle w:val="EndnoteText"/>
        <w:widowControl w:val="0"/>
        <w:rPr>
          <w:color w:val="000000"/>
          <w:szCs w:val="22"/>
        </w:rPr>
      </w:pPr>
    </w:p>
    <w:p w14:paraId="1B68017D" w14:textId="77777777" w:rsidR="009A47CF" w:rsidRPr="00654EF1" w:rsidRDefault="009A47CF" w:rsidP="001D5C8C">
      <w:pPr>
        <w:widowControl w:val="0"/>
        <w:tabs>
          <w:tab w:val="clear" w:pos="567"/>
        </w:tabs>
        <w:autoSpaceDE w:val="0"/>
        <w:autoSpaceDN w:val="0"/>
        <w:adjustRightInd w:val="0"/>
        <w:spacing w:line="240" w:lineRule="auto"/>
        <w:rPr>
          <w:color w:val="000000"/>
          <w:lang w:val="en-US"/>
        </w:rPr>
      </w:pPr>
      <w:r w:rsidRPr="00654EF1">
        <w:rPr>
          <w:color w:val="000000"/>
        </w:rPr>
        <w:t xml:space="preserve">The European Medicines Agency has waived the obligation to submit the results of studies with Glivec in all subsets of the paediatric population in </w:t>
      </w:r>
      <w:r w:rsidRPr="00654EF1">
        <w:rPr>
          <w:rFonts w:cs="TimesNewRomanPSMT"/>
          <w:color w:val="000000"/>
          <w:lang w:val="en-US" w:bidi="th-TH"/>
        </w:rPr>
        <w:t>Philadelphia chromosome (bcr-abl translocation)-positive chronic myeloid leukaemia (see section 4.2 for information on paediatric use).</w:t>
      </w:r>
    </w:p>
    <w:p w14:paraId="1B68017E" w14:textId="77777777" w:rsidR="00657FAB" w:rsidRPr="00654EF1" w:rsidRDefault="00657FAB" w:rsidP="001D5C8C">
      <w:pPr>
        <w:pStyle w:val="EndnoteText"/>
        <w:widowControl w:val="0"/>
        <w:rPr>
          <w:color w:val="000000"/>
          <w:szCs w:val="22"/>
        </w:rPr>
      </w:pPr>
    </w:p>
    <w:p w14:paraId="1B68017F" w14:textId="77777777" w:rsidR="00AB3594" w:rsidRPr="00654EF1" w:rsidRDefault="00657FAB" w:rsidP="001D5C8C">
      <w:pPr>
        <w:pStyle w:val="EndnoteText"/>
        <w:keepNext/>
        <w:widowControl w:val="0"/>
        <w:rPr>
          <w:color w:val="000000"/>
          <w:szCs w:val="22"/>
          <w:u w:val="single"/>
          <w:lang w:val="en-US"/>
        </w:rPr>
      </w:pPr>
      <w:r w:rsidRPr="00654EF1">
        <w:rPr>
          <w:color w:val="000000"/>
          <w:szCs w:val="22"/>
          <w:u w:val="single"/>
        </w:rPr>
        <w:t>Clinical studies in Ph+ ALL</w:t>
      </w:r>
    </w:p>
    <w:p w14:paraId="1B680180" w14:textId="77777777" w:rsidR="00657FAB" w:rsidRPr="00654EF1" w:rsidRDefault="00657FAB" w:rsidP="001D5C8C">
      <w:pPr>
        <w:pStyle w:val="Text"/>
        <w:widowControl w:val="0"/>
        <w:spacing w:before="0"/>
        <w:jc w:val="left"/>
        <w:rPr>
          <w:color w:val="000000"/>
          <w:sz w:val="22"/>
          <w:szCs w:val="22"/>
        </w:rPr>
      </w:pPr>
      <w:r w:rsidRPr="00654EF1">
        <w:rPr>
          <w:i/>
          <w:color w:val="000000"/>
          <w:sz w:val="22"/>
          <w:szCs w:val="22"/>
        </w:rPr>
        <w:t xml:space="preserve">Newly diagnosed Ph+ </w:t>
      </w:r>
      <w:smartTag w:uri="urn:schemas-microsoft-com:office:smarttags" w:element="stockticker">
        <w:r w:rsidRPr="00654EF1">
          <w:rPr>
            <w:i/>
            <w:color w:val="000000"/>
            <w:sz w:val="22"/>
            <w:szCs w:val="22"/>
          </w:rPr>
          <w:t>ALL</w:t>
        </w:r>
      </w:smartTag>
      <w:r w:rsidRPr="00654EF1">
        <w:rPr>
          <w:color w:val="000000"/>
          <w:sz w:val="22"/>
          <w:szCs w:val="22"/>
        </w:rPr>
        <w:t>: In a controlled study (ADE10) of imatinib versus chemotherapy induction in 55 newly diagnosed patients aged 55 years and over, imatinib used as single agent induced a significantly higher rate of complete haematological response than chemotherapy (96.3% vs. 50%; p=0.0001). When salvage therapy with imatinib was administered in patients who did not respond or who responded poorly to chemotherapy, it resulted in 9 patients (81.8%) out of 11 achieving a complete haematological response. This clinical effect was associated with a higher reduction in bcr-abl transcripts in the imatinib-treated patients than in the chemotherapy arm after 2 weeks of therapy (p=0.02). All patients received imatinib and consolidation chemotherapy (see Table </w:t>
      </w:r>
      <w:r w:rsidR="00B137EB" w:rsidRPr="00654EF1">
        <w:rPr>
          <w:color w:val="000000"/>
          <w:sz w:val="22"/>
          <w:szCs w:val="22"/>
        </w:rPr>
        <w:t>4</w:t>
      </w:r>
      <w:r w:rsidRPr="00654EF1">
        <w:rPr>
          <w:color w:val="000000"/>
          <w:sz w:val="22"/>
          <w:szCs w:val="22"/>
        </w:rPr>
        <w:t xml:space="preserve">) after induction and the levels of bcr-abl transcripts were identical in the two arms at 8 weeks. </w:t>
      </w:r>
      <w:r w:rsidRPr="00654EF1">
        <w:rPr>
          <w:rFonts w:eastAsia="MS Mincho"/>
          <w:color w:val="000000"/>
          <w:sz w:val="22"/>
          <w:szCs w:val="22"/>
          <w:lang w:eastAsia="ja-JP"/>
        </w:rPr>
        <w:t>As expected on the basis of the study design, no difference was observed in remission duration, disease-free survival or overall survival, although patients with complete molecular response and remaining in minimal residual disease had a better outcome in terms of both remission duration (p=0.01) and disease-free survival (p=0.02)</w:t>
      </w:r>
      <w:r w:rsidRPr="00654EF1">
        <w:rPr>
          <w:color w:val="000000"/>
          <w:sz w:val="22"/>
          <w:szCs w:val="22"/>
        </w:rPr>
        <w:t>.</w:t>
      </w:r>
    </w:p>
    <w:p w14:paraId="1B680181" w14:textId="77777777" w:rsidR="00657FAB" w:rsidRPr="00654EF1" w:rsidRDefault="00657FAB" w:rsidP="001D5C8C">
      <w:pPr>
        <w:pStyle w:val="Text"/>
        <w:widowControl w:val="0"/>
        <w:spacing w:before="0"/>
        <w:jc w:val="left"/>
        <w:rPr>
          <w:color w:val="000000"/>
          <w:sz w:val="22"/>
          <w:szCs w:val="22"/>
        </w:rPr>
      </w:pPr>
    </w:p>
    <w:p w14:paraId="1B680182" w14:textId="77777777" w:rsidR="00971F21" w:rsidRPr="00654EF1" w:rsidRDefault="00657FAB" w:rsidP="001D5C8C">
      <w:pPr>
        <w:pStyle w:val="EndnoteText"/>
        <w:widowControl w:val="0"/>
        <w:rPr>
          <w:color w:val="000000"/>
          <w:szCs w:val="22"/>
          <w:lang w:val="en-US"/>
        </w:rPr>
      </w:pPr>
      <w:r w:rsidRPr="00654EF1">
        <w:rPr>
          <w:color w:val="000000"/>
          <w:szCs w:val="22"/>
        </w:rPr>
        <w:t xml:space="preserve">The results observed in a population of 211 newly diagnosed Ph+ </w:t>
      </w:r>
      <w:smartTag w:uri="urn:schemas-microsoft-com:office:smarttags" w:element="stockticker">
        <w:r w:rsidRPr="00654EF1">
          <w:rPr>
            <w:color w:val="000000"/>
            <w:szCs w:val="22"/>
          </w:rPr>
          <w:t>ALL</w:t>
        </w:r>
      </w:smartTag>
      <w:r w:rsidRPr="00654EF1">
        <w:rPr>
          <w:color w:val="000000"/>
          <w:szCs w:val="22"/>
        </w:rPr>
        <w:t xml:space="preserve"> patients in four uncontrolled clinical studies (AAU02, ADE04, AJP01 and AUS01) are consistent with the results described above. Imatinib in combination with chemotherapy induction (see Table </w:t>
      </w:r>
      <w:r w:rsidR="008F2DE5" w:rsidRPr="00654EF1">
        <w:rPr>
          <w:color w:val="000000"/>
          <w:szCs w:val="22"/>
        </w:rPr>
        <w:t>4</w:t>
      </w:r>
      <w:r w:rsidRPr="00654EF1">
        <w:rPr>
          <w:color w:val="000000"/>
          <w:szCs w:val="22"/>
        </w:rPr>
        <w:t>) resulted in a complete haematological response rate of 93% (147 out of 158 evaluable patients) and in a major cytogenetic response rate of 90% (19 out of 21 evaluable patients). The complete molecular response rate was 48% (49 out of 102 evaluable patients). Disease-free survival (</w:t>
      </w:r>
      <w:smartTag w:uri="urn:schemas-microsoft-com:office:smarttags" w:element="stockticker">
        <w:r w:rsidRPr="00654EF1">
          <w:rPr>
            <w:color w:val="000000"/>
            <w:szCs w:val="22"/>
          </w:rPr>
          <w:t>DFS</w:t>
        </w:r>
      </w:smartTag>
      <w:r w:rsidRPr="00654EF1">
        <w:rPr>
          <w:color w:val="000000"/>
          <w:szCs w:val="22"/>
        </w:rPr>
        <w:t>) and overall survival (OS) constantly exceeded 1 year and were superior to historical control (</w:t>
      </w:r>
      <w:smartTag w:uri="urn:schemas-microsoft-com:office:smarttags" w:element="stockticker">
        <w:r w:rsidRPr="00654EF1">
          <w:rPr>
            <w:color w:val="000000"/>
            <w:szCs w:val="22"/>
          </w:rPr>
          <w:t>DFS</w:t>
        </w:r>
      </w:smartTag>
      <w:r w:rsidRPr="00654EF1">
        <w:rPr>
          <w:color w:val="000000"/>
          <w:szCs w:val="22"/>
        </w:rPr>
        <w:t xml:space="preserve"> p&lt;0.001; OS p&lt;0.0001) in two studies (AJP01 and AUS01).</w:t>
      </w:r>
    </w:p>
    <w:p w14:paraId="1B680183" w14:textId="77777777" w:rsidR="00657FAB" w:rsidRPr="00654EF1" w:rsidRDefault="00657FAB" w:rsidP="001D5C8C">
      <w:pPr>
        <w:pStyle w:val="EndnoteText"/>
        <w:widowControl w:val="0"/>
        <w:rPr>
          <w:color w:val="000000"/>
          <w:szCs w:val="22"/>
          <w:lang w:val="en-US"/>
        </w:rPr>
      </w:pPr>
    </w:p>
    <w:p w14:paraId="1B680184" w14:textId="77777777" w:rsidR="00244ABD" w:rsidRPr="00654EF1" w:rsidRDefault="00244ABD" w:rsidP="001D5C8C">
      <w:pPr>
        <w:pStyle w:val="EndnoteText"/>
        <w:keepNext/>
        <w:widowControl w:val="0"/>
        <w:rPr>
          <w:b/>
          <w:bCs/>
          <w:color w:val="000000"/>
          <w:szCs w:val="22"/>
        </w:rPr>
      </w:pPr>
      <w:r w:rsidRPr="00654EF1">
        <w:rPr>
          <w:b/>
          <w:bCs/>
          <w:color w:val="000000"/>
          <w:szCs w:val="22"/>
        </w:rPr>
        <w:t>Table </w:t>
      </w:r>
      <w:r w:rsidR="008F2DE5" w:rsidRPr="00654EF1">
        <w:rPr>
          <w:b/>
          <w:bCs/>
          <w:color w:val="000000"/>
          <w:szCs w:val="22"/>
        </w:rPr>
        <w:t>4</w:t>
      </w:r>
      <w:r w:rsidRPr="00654EF1">
        <w:rPr>
          <w:b/>
          <w:bCs/>
          <w:color w:val="000000"/>
          <w:szCs w:val="22"/>
        </w:rPr>
        <w:tab/>
      </w:r>
      <w:r w:rsidRPr="00654EF1">
        <w:rPr>
          <w:b/>
          <w:color w:val="000000"/>
          <w:szCs w:val="22"/>
        </w:rPr>
        <w:t>Chemotherapy regimen used in combination with imatinib</w:t>
      </w:r>
    </w:p>
    <w:p w14:paraId="1B680185" w14:textId="77777777" w:rsidR="00244ABD" w:rsidRPr="00654EF1" w:rsidRDefault="00244ABD" w:rsidP="001D5C8C">
      <w:pPr>
        <w:pStyle w:val="EndnoteText"/>
        <w:keepNext/>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44ABD" w:rsidRPr="00654EF1" w14:paraId="1B680188" w14:textId="77777777" w:rsidTr="009F0509">
        <w:trPr>
          <w:cantSplit/>
        </w:trPr>
        <w:tc>
          <w:tcPr>
            <w:tcW w:w="2148" w:type="dxa"/>
            <w:tcBorders>
              <w:top w:val="single" w:sz="4" w:space="0" w:color="auto"/>
              <w:bottom w:val="single" w:sz="4" w:space="0" w:color="auto"/>
            </w:tcBorders>
            <w:shd w:val="clear" w:color="auto" w:fill="auto"/>
          </w:tcPr>
          <w:p w14:paraId="1B680186"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Study ADE10</w:t>
            </w:r>
          </w:p>
        </w:tc>
        <w:tc>
          <w:tcPr>
            <w:tcW w:w="6732" w:type="dxa"/>
            <w:gridSpan w:val="4"/>
            <w:tcBorders>
              <w:top w:val="single" w:sz="4" w:space="0" w:color="auto"/>
              <w:bottom w:val="single" w:sz="4" w:space="0" w:color="auto"/>
            </w:tcBorders>
            <w:shd w:val="clear" w:color="auto" w:fill="auto"/>
          </w:tcPr>
          <w:p w14:paraId="1B680187" w14:textId="77777777" w:rsidR="00244ABD" w:rsidRPr="00654EF1" w:rsidRDefault="00244ABD" w:rsidP="001D5C8C">
            <w:pPr>
              <w:pStyle w:val="Table"/>
              <w:widowControl w:val="0"/>
              <w:spacing w:before="0" w:after="0"/>
              <w:rPr>
                <w:rFonts w:ascii="Times New Roman" w:hAnsi="Times New Roman"/>
                <w:color w:val="000000"/>
                <w:sz w:val="22"/>
                <w:szCs w:val="22"/>
              </w:rPr>
            </w:pPr>
          </w:p>
        </w:tc>
      </w:tr>
      <w:tr w:rsidR="00244ABD" w:rsidRPr="00654EF1" w14:paraId="1B68018D" w14:textId="77777777" w:rsidTr="009F0509">
        <w:trPr>
          <w:cantSplit/>
        </w:trPr>
        <w:tc>
          <w:tcPr>
            <w:tcW w:w="2148" w:type="dxa"/>
            <w:tcBorders>
              <w:top w:val="single" w:sz="4" w:space="0" w:color="auto"/>
              <w:bottom w:val="single" w:sz="4" w:space="0" w:color="auto"/>
            </w:tcBorders>
            <w:shd w:val="clear" w:color="auto" w:fill="auto"/>
          </w:tcPr>
          <w:p w14:paraId="1B680189"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Prephase</w:t>
            </w:r>
          </w:p>
        </w:tc>
        <w:tc>
          <w:tcPr>
            <w:tcW w:w="6732" w:type="dxa"/>
            <w:gridSpan w:val="4"/>
            <w:tcBorders>
              <w:top w:val="single" w:sz="4" w:space="0" w:color="auto"/>
              <w:bottom w:val="single" w:sz="4" w:space="0" w:color="auto"/>
            </w:tcBorders>
            <w:shd w:val="clear" w:color="auto" w:fill="auto"/>
          </w:tcPr>
          <w:p w14:paraId="1B68018A"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18B"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200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3, 4, 5;</w:t>
            </w:r>
          </w:p>
          <w:p w14:paraId="1B68018C"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MTX 12 mg intrathecal, day 1</w:t>
            </w:r>
          </w:p>
        </w:tc>
      </w:tr>
      <w:tr w:rsidR="00244ABD" w:rsidRPr="00654EF1" w14:paraId="1B680194" w14:textId="77777777" w:rsidTr="009F0509">
        <w:trPr>
          <w:cantSplit/>
        </w:trPr>
        <w:tc>
          <w:tcPr>
            <w:tcW w:w="2148" w:type="dxa"/>
            <w:tcBorders>
              <w:top w:val="single" w:sz="4" w:space="0" w:color="auto"/>
              <w:bottom w:val="single" w:sz="4" w:space="0" w:color="auto"/>
            </w:tcBorders>
            <w:shd w:val="clear" w:color="auto" w:fill="auto"/>
          </w:tcPr>
          <w:p w14:paraId="1B68018E"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Remission induction</w:t>
            </w:r>
          </w:p>
        </w:tc>
        <w:tc>
          <w:tcPr>
            <w:tcW w:w="6732" w:type="dxa"/>
            <w:gridSpan w:val="4"/>
            <w:tcBorders>
              <w:top w:val="single" w:sz="4" w:space="0" w:color="auto"/>
              <w:bottom w:val="single" w:sz="4" w:space="0" w:color="auto"/>
            </w:tcBorders>
            <w:shd w:val="clear" w:color="auto" w:fill="auto"/>
          </w:tcPr>
          <w:p w14:paraId="1B68018F"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6-7, 13-16;</w:t>
            </w:r>
          </w:p>
          <w:p w14:paraId="1B680190"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VCR 1 mg i.v., days 7, 14;</w:t>
            </w:r>
          </w:p>
          <w:p w14:paraId="1B680191" w14:textId="77777777" w:rsidR="00244ABD" w:rsidRPr="00280050" w:rsidRDefault="00244ABD" w:rsidP="001D5C8C">
            <w:pPr>
              <w:pStyle w:val="Table"/>
              <w:widowControl w:val="0"/>
              <w:spacing w:before="0" w:after="0"/>
              <w:rPr>
                <w:rFonts w:ascii="Times New Roman" w:hAnsi="Times New Roman"/>
                <w:color w:val="000000"/>
                <w:sz w:val="22"/>
                <w:szCs w:val="22"/>
                <w:lang w:val="pt-PT"/>
              </w:rPr>
            </w:pPr>
            <w:smartTag w:uri="urn:schemas-microsoft-com:office:smarttags" w:element="stockticker">
              <w:r w:rsidRPr="00280050">
                <w:rPr>
                  <w:rFonts w:ascii="Times New Roman" w:hAnsi="Times New Roman"/>
                  <w:color w:val="000000"/>
                  <w:sz w:val="22"/>
                  <w:szCs w:val="22"/>
                  <w:lang w:val="pt-PT"/>
                </w:rPr>
                <w:t>IDA</w:t>
              </w:r>
            </w:smartTag>
            <w:r w:rsidRPr="00280050">
              <w:rPr>
                <w:rFonts w:ascii="Times New Roman" w:hAnsi="Times New Roman"/>
                <w:color w:val="000000"/>
                <w:sz w:val="22"/>
                <w:szCs w:val="22"/>
                <w:lang w:val="pt-PT"/>
              </w:rPr>
              <w:t xml:space="preserve"> 8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(0.5 h), days 7, 8, 14, 15;</w:t>
            </w:r>
          </w:p>
          <w:p w14:paraId="1B680192"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500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i.v.(1 h) day 1;</w:t>
            </w:r>
          </w:p>
          <w:p w14:paraId="1B680193"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22-25, 29-32</w:t>
            </w:r>
          </w:p>
        </w:tc>
      </w:tr>
      <w:tr w:rsidR="00244ABD" w:rsidRPr="00654EF1" w14:paraId="1B680198" w14:textId="77777777" w:rsidTr="009F0509">
        <w:trPr>
          <w:cantSplit/>
        </w:trPr>
        <w:tc>
          <w:tcPr>
            <w:tcW w:w="2148" w:type="dxa"/>
            <w:tcBorders>
              <w:top w:val="single" w:sz="4" w:space="0" w:color="auto"/>
              <w:bottom w:val="single" w:sz="4" w:space="0" w:color="auto"/>
            </w:tcBorders>
            <w:shd w:val="clear" w:color="auto" w:fill="auto"/>
          </w:tcPr>
          <w:p w14:paraId="1B680195"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Consolidation therapy I, </w:t>
            </w:r>
            <w:smartTag w:uri="urn:schemas-microsoft-com:office:smarttags" w:element="stockticker">
              <w:r w:rsidRPr="00654EF1">
                <w:rPr>
                  <w:rFonts w:ascii="Times New Roman" w:hAnsi="Times New Roman"/>
                  <w:color w:val="000000"/>
                  <w:sz w:val="22"/>
                  <w:szCs w:val="22"/>
                </w:rPr>
                <w:t>III</w:t>
              </w:r>
            </w:smartTag>
            <w:r w:rsidRPr="00654EF1">
              <w:rPr>
                <w:rFonts w:ascii="Times New Roman" w:hAnsi="Times New Roman"/>
                <w:color w:val="000000"/>
                <w:sz w:val="22"/>
                <w:szCs w:val="22"/>
              </w:rPr>
              <w:t>, V</w:t>
            </w:r>
          </w:p>
        </w:tc>
        <w:tc>
          <w:tcPr>
            <w:tcW w:w="6732" w:type="dxa"/>
            <w:gridSpan w:val="4"/>
            <w:tcBorders>
              <w:top w:val="single" w:sz="4" w:space="0" w:color="auto"/>
              <w:bottom w:val="single" w:sz="4" w:space="0" w:color="auto"/>
            </w:tcBorders>
            <w:shd w:val="clear" w:color="auto" w:fill="auto"/>
          </w:tcPr>
          <w:p w14:paraId="1B680196" w14:textId="77777777" w:rsidR="00244ABD" w:rsidRPr="00654EF1" w:rsidRDefault="00244ABD" w:rsidP="001D5C8C">
            <w:pPr>
              <w:pStyle w:val="Table"/>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500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days 1, 15;</w:t>
            </w:r>
          </w:p>
          <w:p w14:paraId="1B680197" w14:textId="77777777" w:rsidR="00244ABD" w:rsidRPr="00654EF1" w:rsidRDefault="00244ABD"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6-MP 25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1-20</w:t>
            </w:r>
          </w:p>
        </w:tc>
      </w:tr>
      <w:tr w:rsidR="00244ABD" w:rsidRPr="00654EF1" w14:paraId="1B68019C" w14:textId="77777777" w:rsidTr="009F0509">
        <w:trPr>
          <w:cantSplit/>
        </w:trPr>
        <w:tc>
          <w:tcPr>
            <w:tcW w:w="2148" w:type="dxa"/>
            <w:tcBorders>
              <w:top w:val="single" w:sz="4" w:space="0" w:color="auto"/>
              <w:bottom w:val="single" w:sz="4" w:space="0" w:color="auto"/>
            </w:tcBorders>
            <w:shd w:val="clear" w:color="auto" w:fill="auto"/>
          </w:tcPr>
          <w:p w14:paraId="1B680199"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Consolidation therapy II, IV</w:t>
            </w:r>
          </w:p>
        </w:tc>
        <w:tc>
          <w:tcPr>
            <w:tcW w:w="6732" w:type="dxa"/>
            <w:gridSpan w:val="4"/>
            <w:tcBorders>
              <w:top w:val="single" w:sz="4" w:space="0" w:color="auto"/>
              <w:bottom w:val="single" w:sz="4" w:space="0" w:color="auto"/>
            </w:tcBorders>
            <w:shd w:val="clear" w:color="auto" w:fill="auto"/>
          </w:tcPr>
          <w:p w14:paraId="1B68019A"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lang w:val="pt-BR"/>
              </w:rPr>
            </w:pPr>
            <w:r w:rsidRPr="00654EF1">
              <w:rPr>
                <w:rFonts w:ascii="Times New Roman" w:hAnsi="Times New Roman"/>
                <w:color w:val="000000"/>
                <w:sz w:val="22"/>
                <w:szCs w:val="22"/>
                <w:lang w:val="pt-BR"/>
              </w:rPr>
              <w:t>Ara-C 75 mg/m</w:t>
            </w:r>
            <w:r w:rsidRPr="00654EF1">
              <w:rPr>
                <w:rFonts w:ascii="Times New Roman" w:hAnsi="Times New Roman"/>
                <w:color w:val="000000"/>
                <w:sz w:val="22"/>
                <w:szCs w:val="22"/>
                <w:vertAlign w:val="superscript"/>
                <w:lang w:val="pt-BR"/>
              </w:rPr>
              <w:t>2</w:t>
            </w:r>
            <w:r w:rsidRPr="00654EF1">
              <w:rPr>
                <w:rFonts w:ascii="Times New Roman" w:hAnsi="Times New Roman"/>
                <w:color w:val="000000"/>
                <w:sz w:val="22"/>
                <w:szCs w:val="22"/>
                <w:lang w:val="pt-BR"/>
              </w:rPr>
              <w:t xml:space="preserve"> i.v. (1 h), days 1-5;</w:t>
            </w:r>
          </w:p>
          <w:p w14:paraId="1B68019B"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en-GB"/>
              </w:rPr>
            </w:pPr>
            <w:r w:rsidRPr="00280050">
              <w:rPr>
                <w:rFonts w:ascii="Times New Roman" w:hAnsi="Times New Roman"/>
                <w:color w:val="000000"/>
                <w:sz w:val="22"/>
                <w:szCs w:val="22"/>
                <w:lang w:val="en-GB"/>
              </w:rPr>
              <w:t>VM26 60 mg/m</w:t>
            </w:r>
            <w:r w:rsidRPr="00280050">
              <w:rPr>
                <w:rFonts w:ascii="Times New Roman" w:hAnsi="Times New Roman"/>
                <w:color w:val="000000"/>
                <w:sz w:val="22"/>
                <w:szCs w:val="22"/>
                <w:vertAlign w:val="superscript"/>
                <w:lang w:val="en-GB"/>
              </w:rPr>
              <w:t>2</w:t>
            </w:r>
            <w:r w:rsidRPr="00280050">
              <w:rPr>
                <w:rFonts w:ascii="Times New Roman" w:hAnsi="Times New Roman"/>
                <w:color w:val="000000"/>
                <w:sz w:val="22"/>
                <w:szCs w:val="22"/>
                <w:lang w:val="en-GB"/>
              </w:rPr>
              <w:t xml:space="preserve"> i.v. (1 h), days 1-5</w:t>
            </w:r>
          </w:p>
        </w:tc>
      </w:tr>
      <w:tr w:rsidR="00244ABD" w:rsidRPr="00654EF1" w14:paraId="1B6801A2" w14:textId="77777777" w:rsidTr="009F0509">
        <w:trPr>
          <w:cantSplit/>
        </w:trPr>
        <w:tc>
          <w:tcPr>
            <w:tcW w:w="2148" w:type="dxa"/>
            <w:tcBorders>
              <w:top w:val="single" w:sz="4" w:space="0" w:color="auto"/>
              <w:bottom w:val="single" w:sz="4" w:space="0" w:color="auto"/>
            </w:tcBorders>
            <w:shd w:val="clear" w:color="auto" w:fill="auto"/>
          </w:tcPr>
          <w:p w14:paraId="1B68019D"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lastRenderedPageBreak/>
              <w:t>Study AAU02</w:t>
            </w:r>
          </w:p>
        </w:tc>
        <w:tc>
          <w:tcPr>
            <w:tcW w:w="2652" w:type="dxa"/>
            <w:tcBorders>
              <w:top w:val="single" w:sz="4" w:space="0" w:color="auto"/>
              <w:bottom w:val="single" w:sz="4" w:space="0" w:color="auto"/>
            </w:tcBorders>
            <w:shd w:val="clear" w:color="auto" w:fill="auto"/>
          </w:tcPr>
          <w:p w14:paraId="1B68019E"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1B68019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1A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1A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1AC" w14:textId="77777777" w:rsidTr="009F0509">
        <w:trPr>
          <w:cantSplit/>
        </w:trPr>
        <w:tc>
          <w:tcPr>
            <w:tcW w:w="2148" w:type="dxa"/>
            <w:tcBorders>
              <w:top w:val="single" w:sz="4" w:space="0" w:color="auto"/>
              <w:bottom w:val="single" w:sz="4" w:space="0" w:color="auto"/>
            </w:tcBorders>
            <w:shd w:val="clear" w:color="auto" w:fill="auto"/>
          </w:tcPr>
          <w:p w14:paraId="1B6801A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w:t>
            </w:r>
            <w:r w:rsidRPr="00654EF1">
              <w:rPr>
                <w:rFonts w:ascii="Times New Roman" w:hAnsi="Times New Roman"/>
                <w:i/>
                <w:color w:val="000000"/>
                <w:sz w:val="22"/>
                <w:szCs w:val="22"/>
              </w:rPr>
              <w:t>de novo</w:t>
            </w:r>
            <w:r w:rsidRPr="00654EF1">
              <w:rPr>
                <w:rFonts w:ascii="Times New Roman" w:hAnsi="Times New Roman"/>
                <w:color w:val="000000"/>
                <w:sz w:val="22"/>
                <w:szCs w:val="22"/>
              </w:rPr>
              <w:t xml:space="preserve"> Ph+ </w:t>
            </w:r>
            <w:smartTag w:uri="urn:schemas-microsoft-com:office:smarttags" w:element="stockticker">
              <w:r w:rsidRPr="00654EF1">
                <w:rPr>
                  <w:rFonts w:ascii="Times New Roman" w:hAnsi="Times New Roman"/>
                  <w:color w:val="000000"/>
                  <w:sz w:val="22"/>
                  <w:szCs w:val="22"/>
                </w:rPr>
                <w:t>ALL</w:t>
              </w:r>
            </w:smartTag>
            <w:r w:rsidRPr="00654EF1">
              <w:rPr>
                <w:rFonts w:ascii="Times New Roman" w:hAnsi="Times New Roman"/>
                <w:color w:val="000000"/>
                <w:sz w:val="22"/>
                <w:szCs w:val="22"/>
              </w:rPr>
              <w:t>)</w:t>
            </w:r>
          </w:p>
        </w:tc>
        <w:tc>
          <w:tcPr>
            <w:tcW w:w="6732" w:type="dxa"/>
            <w:gridSpan w:val="4"/>
            <w:tcBorders>
              <w:top w:val="single" w:sz="4" w:space="0" w:color="auto"/>
              <w:bottom w:val="single" w:sz="4" w:space="0" w:color="auto"/>
            </w:tcBorders>
            <w:shd w:val="clear" w:color="auto" w:fill="auto"/>
          </w:tcPr>
          <w:p w14:paraId="1B6801A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30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1-3, 15-16;</w:t>
            </w:r>
          </w:p>
          <w:p w14:paraId="1B6801A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total dose i.v., days 1, 8, 15, 22;</w:t>
            </w:r>
          </w:p>
          <w:p w14:paraId="1B6801A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750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 8;</w:t>
            </w:r>
          </w:p>
          <w:p w14:paraId="1B6801A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1-7, 15-21;</w:t>
            </w:r>
          </w:p>
          <w:p w14:paraId="1B6801A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IDA</w:t>
              </w:r>
            </w:smartTag>
            <w:r w:rsidRPr="00654EF1">
              <w:rPr>
                <w:rFonts w:ascii="Times New Roman" w:hAnsi="Times New Roman"/>
                <w:color w:val="000000"/>
                <w:sz w:val="22"/>
                <w:szCs w:val="22"/>
              </w:rPr>
              <w:t xml:space="preserve"> 9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1-28;</w:t>
            </w:r>
          </w:p>
          <w:p w14:paraId="1B6801A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days 1, 8, 15, 22;</w:t>
            </w:r>
          </w:p>
          <w:p w14:paraId="1B6801A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40 mg intrathecal, days 1, 8, 15, 22;</w:t>
            </w:r>
          </w:p>
          <w:p w14:paraId="1B6801A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Methylprednisolone 40 mg intrathecal, days 1, 8, 15, 22</w:t>
            </w:r>
          </w:p>
        </w:tc>
      </w:tr>
      <w:tr w:rsidR="00244ABD" w:rsidRPr="00654EF1" w14:paraId="1B6801B2" w14:textId="77777777" w:rsidTr="009F0509">
        <w:trPr>
          <w:cantSplit/>
        </w:trPr>
        <w:tc>
          <w:tcPr>
            <w:tcW w:w="2148" w:type="dxa"/>
            <w:tcBorders>
              <w:top w:val="single" w:sz="4" w:space="0" w:color="auto"/>
              <w:bottom w:val="single" w:sz="4" w:space="0" w:color="auto"/>
            </w:tcBorders>
            <w:shd w:val="clear" w:color="auto" w:fill="auto"/>
          </w:tcPr>
          <w:p w14:paraId="1B6801AD"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lang w:val="fr-FR"/>
              </w:rPr>
            </w:pPr>
            <w:r w:rsidRPr="00654EF1">
              <w:rPr>
                <w:rFonts w:ascii="Times New Roman" w:hAnsi="Times New Roman"/>
                <w:color w:val="000000"/>
                <w:sz w:val="22"/>
                <w:szCs w:val="22"/>
                <w:lang w:val="fr-FR"/>
              </w:rPr>
              <w:t>Consolidation (</w:t>
            </w:r>
            <w:r w:rsidRPr="00654EF1">
              <w:rPr>
                <w:rFonts w:ascii="Times New Roman" w:hAnsi="Times New Roman"/>
                <w:i/>
                <w:color w:val="000000"/>
                <w:sz w:val="22"/>
                <w:szCs w:val="22"/>
                <w:lang w:val="fr-FR"/>
              </w:rPr>
              <w:t>de novo</w:t>
            </w:r>
            <w:r w:rsidRPr="00654EF1">
              <w:rPr>
                <w:rFonts w:ascii="Times New Roman" w:hAnsi="Times New Roman"/>
                <w:color w:val="000000"/>
                <w:sz w:val="22"/>
                <w:szCs w:val="22"/>
                <w:lang w:val="fr-FR"/>
              </w:rPr>
              <w:t xml:space="preserve"> Ph+ </w:t>
            </w:r>
            <w:smartTag w:uri="urn:schemas-microsoft-com:office:smarttags" w:element="stockticker">
              <w:r w:rsidRPr="00654EF1">
                <w:rPr>
                  <w:rFonts w:ascii="Times New Roman" w:hAnsi="Times New Roman"/>
                  <w:color w:val="000000"/>
                  <w:sz w:val="22"/>
                  <w:szCs w:val="22"/>
                  <w:lang w:val="fr-FR"/>
                </w:rPr>
                <w:t>ALL</w:t>
              </w:r>
            </w:smartTag>
            <w:r w:rsidRPr="00654EF1">
              <w:rPr>
                <w:rFonts w:ascii="Times New Roman" w:hAnsi="Times New Roman"/>
                <w:color w:val="000000"/>
                <w:sz w:val="22"/>
                <w:szCs w:val="22"/>
                <w:lang w:val="fr-FR"/>
              </w:rPr>
              <w:t>)</w:t>
            </w:r>
          </w:p>
        </w:tc>
        <w:tc>
          <w:tcPr>
            <w:tcW w:w="6732" w:type="dxa"/>
            <w:gridSpan w:val="4"/>
            <w:tcBorders>
              <w:top w:val="single" w:sz="4" w:space="0" w:color="auto"/>
              <w:bottom w:val="single" w:sz="4" w:space="0" w:color="auto"/>
            </w:tcBorders>
            <w:shd w:val="clear" w:color="auto" w:fill="auto"/>
          </w:tcPr>
          <w:p w14:paraId="1B6801AE"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Ara-C 1,000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/12 h i.v.(3 h), days 1-4;</w:t>
            </w:r>
          </w:p>
          <w:p w14:paraId="1B6801AF"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Mitoxantrone 10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days 3-5;</w:t>
            </w:r>
          </w:p>
          <w:p w14:paraId="1B6801B0"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 1;</w:t>
            </w:r>
          </w:p>
          <w:p w14:paraId="1B6801B1"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Methylprednisolone 40 mg intrathecal, day 1</w:t>
            </w:r>
          </w:p>
        </w:tc>
      </w:tr>
      <w:tr w:rsidR="00244ABD" w:rsidRPr="00654EF1" w14:paraId="1B6801B7" w14:textId="77777777" w:rsidTr="009F0509">
        <w:trPr>
          <w:cantSplit/>
        </w:trPr>
        <w:tc>
          <w:tcPr>
            <w:tcW w:w="4800" w:type="dxa"/>
            <w:gridSpan w:val="2"/>
            <w:tcBorders>
              <w:top w:val="single" w:sz="4" w:space="0" w:color="auto"/>
              <w:bottom w:val="single" w:sz="4" w:space="0" w:color="auto"/>
            </w:tcBorders>
            <w:shd w:val="clear" w:color="auto" w:fill="auto"/>
          </w:tcPr>
          <w:p w14:paraId="1B6801B3"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Study ADE04</w:t>
            </w:r>
          </w:p>
        </w:tc>
        <w:tc>
          <w:tcPr>
            <w:tcW w:w="1080" w:type="dxa"/>
            <w:tcBorders>
              <w:top w:val="single" w:sz="4" w:space="0" w:color="auto"/>
              <w:bottom w:val="single" w:sz="4" w:space="0" w:color="auto"/>
            </w:tcBorders>
          </w:tcPr>
          <w:p w14:paraId="1B6801B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1B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1B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1BC" w14:textId="77777777" w:rsidTr="009F0509">
        <w:trPr>
          <w:cantSplit/>
        </w:trPr>
        <w:tc>
          <w:tcPr>
            <w:tcW w:w="2148" w:type="dxa"/>
            <w:tcBorders>
              <w:top w:val="single" w:sz="4" w:space="0" w:color="auto"/>
              <w:bottom w:val="single" w:sz="4" w:space="0" w:color="auto"/>
            </w:tcBorders>
            <w:shd w:val="clear" w:color="auto" w:fill="auto"/>
          </w:tcPr>
          <w:p w14:paraId="1B6801B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Prephase</w:t>
            </w:r>
          </w:p>
        </w:tc>
        <w:tc>
          <w:tcPr>
            <w:tcW w:w="6732" w:type="dxa"/>
            <w:gridSpan w:val="4"/>
            <w:tcBorders>
              <w:top w:val="single" w:sz="4" w:space="0" w:color="auto"/>
              <w:bottom w:val="single" w:sz="4" w:space="0" w:color="auto"/>
            </w:tcBorders>
            <w:shd w:val="clear" w:color="auto" w:fill="auto"/>
          </w:tcPr>
          <w:p w14:paraId="1B6801B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1B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200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3-5;</w:t>
            </w:r>
          </w:p>
          <w:p w14:paraId="1B6801B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 1</w:t>
            </w:r>
          </w:p>
        </w:tc>
      </w:tr>
      <w:tr w:rsidR="00244ABD" w:rsidRPr="00654EF1" w14:paraId="1B6801C1" w14:textId="77777777" w:rsidTr="009F0509">
        <w:trPr>
          <w:cantSplit/>
        </w:trPr>
        <w:tc>
          <w:tcPr>
            <w:tcW w:w="2148" w:type="dxa"/>
            <w:tcBorders>
              <w:top w:val="single" w:sz="4" w:space="0" w:color="auto"/>
              <w:bottom w:val="single" w:sz="4" w:space="0" w:color="auto"/>
            </w:tcBorders>
            <w:shd w:val="clear" w:color="auto" w:fill="auto"/>
          </w:tcPr>
          <w:p w14:paraId="1B6801B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I</w:t>
            </w:r>
          </w:p>
        </w:tc>
        <w:tc>
          <w:tcPr>
            <w:tcW w:w="6732" w:type="dxa"/>
            <w:gridSpan w:val="4"/>
            <w:tcBorders>
              <w:top w:val="single" w:sz="4" w:space="0" w:color="auto"/>
              <w:bottom w:val="single" w:sz="4" w:space="0" w:color="auto"/>
            </w:tcBorders>
            <w:shd w:val="clear" w:color="auto" w:fill="auto"/>
          </w:tcPr>
          <w:p w14:paraId="1B6801BE"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1B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i.v., days 6, 13, 20;</w:t>
            </w:r>
          </w:p>
          <w:p w14:paraId="1B6801C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45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6-7, 13-14</w:t>
            </w:r>
          </w:p>
        </w:tc>
      </w:tr>
      <w:tr w:rsidR="00244ABD" w:rsidRPr="00654EF1" w14:paraId="1B6801C6" w14:textId="77777777" w:rsidTr="009F0509">
        <w:trPr>
          <w:cantSplit/>
        </w:trPr>
        <w:tc>
          <w:tcPr>
            <w:tcW w:w="2148" w:type="dxa"/>
            <w:tcBorders>
              <w:top w:val="single" w:sz="4" w:space="0" w:color="auto"/>
              <w:bottom w:val="single" w:sz="4" w:space="0" w:color="auto"/>
            </w:tcBorders>
            <w:shd w:val="clear" w:color="auto" w:fill="auto"/>
          </w:tcPr>
          <w:p w14:paraId="1B6801C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II</w:t>
            </w:r>
          </w:p>
        </w:tc>
        <w:tc>
          <w:tcPr>
            <w:tcW w:w="6732" w:type="dxa"/>
            <w:gridSpan w:val="4"/>
            <w:tcBorders>
              <w:top w:val="single" w:sz="4" w:space="0" w:color="auto"/>
              <w:bottom w:val="single" w:sz="4" w:space="0" w:color="auto"/>
            </w:tcBorders>
            <w:shd w:val="clear" w:color="auto" w:fill="auto"/>
          </w:tcPr>
          <w:p w14:paraId="1B6801C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26, 46;</w:t>
            </w:r>
          </w:p>
          <w:p w14:paraId="1B6801C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75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28-31, 35-38, 42-45;</w:t>
            </w:r>
          </w:p>
          <w:p w14:paraId="1B6801C5" w14:textId="77777777" w:rsidR="00244ABD" w:rsidRPr="00280050"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6-MP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26-46</w:t>
            </w:r>
          </w:p>
        </w:tc>
      </w:tr>
      <w:tr w:rsidR="00244ABD" w:rsidRPr="00280050" w14:paraId="1B6801CD" w14:textId="77777777" w:rsidTr="009F0509">
        <w:trPr>
          <w:cantSplit/>
        </w:trPr>
        <w:tc>
          <w:tcPr>
            <w:tcW w:w="2148" w:type="dxa"/>
            <w:tcBorders>
              <w:top w:val="nil"/>
              <w:bottom w:val="single" w:sz="4" w:space="0" w:color="auto"/>
            </w:tcBorders>
            <w:shd w:val="clear" w:color="auto" w:fill="auto"/>
          </w:tcPr>
          <w:p w14:paraId="1B6801C7" w14:textId="77777777" w:rsidR="00244ABD" w:rsidRPr="00654EF1" w:rsidRDefault="005E7BE5" w:rsidP="001D5C8C">
            <w:pPr>
              <w:pStyle w:val="Table"/>
              <w:keepNext w:val="0"/>
              <w:keepLines w:val="0"/>
              <w:widowControl w:val="0"/>
              <w:spacing w:before="0" w:after="0"/>
              <w:rPr>
                <w:rFonts w:ascii="Times New Roman" w:hAnsi="Times New Roman"/>
                <w:color w:val="000000"/>
                <w:sz w:val="22"/>
                <w:szCs w:val="22"/>
              </w:rPr>
            </w:pPr>
            <w:r>
              <w:rPr>
                <w:rFonts w:ascii="Times New Roman" w:hAnsi="Times New Roman"/>
                <w:color w:val="000000"/>
                <w:sz w:val="22"/>
                <w:szCs w:val="22"/>
              </w:rPr>
              <w:t>Consolidation therapy</w:t>
            </w:r>
          </w:p>
        </w:tc>
        <w:tc>
          <w:tcPr>
            <w:tcW w:w="6732" w:type="dxa"/>
            <w:gridSpan w:val="4"/>
            <w:tcBorders>
              <w:top w:val="nil"/>
              <w:bottom w:val="single" w:sz="4" w:space="0" w:color="auto"/>
            </w:tcBorders>
            <w:shd w:val="clear" w:color="auto" w:fill="auto"/>
          </w:tcPr>
          <w:p w14:paraId="1B6801C8"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 xml:space="preserve">2 </w:t>
            </w:r>
            <w:r w:rsidRPr="00654EF1">
              <w:rPr>
                <w:rFonts w:ascii="Times New Roman" w:hAnsi="Times New Roman"/>
                <w:color w:val="000000"/>
                <w:sz w:val="22"/>
                <w:szCs w:val="22"/>
              </w:rPr>
              <w:t xml:space="preserve"> oral, days 1-5;</w:t>
            </w:r>
          </w:p>
          <w:p w14:paraId="1B6801C9"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da-DK"/>
              </w:rPr>
            </w:pPr>
            <w:r w:rsidRPr="00280050">
              <w:rPr>
                <w:rFonts w:ascii="Times New Roman" w:hAnsi="Times New Roman"/>
                <w:color w:val="000000"/>
                <w:sz w:val="22"/>
                <w:szCs w:val="22"/>
                <w:lang w:val="da-DK"/>
              </w:rPr>
              <w:t>Vindesine 3 mg/m</w:t>
            </w:r>
            <w:r w:rsidRPr="00280050">
              <w:rPr>
                <w:rFonts w:ascii="Times New Roman" w:hAnsi="Times New Roman"/>
                <w:color w:val="000000"/>
                <w:sz w:val="22"/>
                <w:szCs w:val="22"/>
                <w:vertAlign w:val="superscript"/>
                <w:lang w:val="da-DK"/>
              </w:rPr>
              <w:t>2</w:t>
            </w:r>
            <w:r w:rsidRPr="00280050">
              <w:rPr>
                <w:rFonts w:ascii="Times New Roman" w:hAnsi="Times New Roman"/>
                <w:color w:val="000000"/>
                <w:sz w:val="22"/>
                <w:szCs w:val="22"/>
                <w:lang w:val="da-DK"/>
              </w:rPr>
              <w:t xml:space="preserve"> i.v., day 1;</w:t>
            </w:r>
          </w:p>
          <w:p w14:paraId="1B6801CA"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w:t>
            </w:r>
          </w:p>
          <w:p w14:paraId="1B6801CB"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Etoposide 250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(1 h) days 4-5;</w:t>
            </w:r>
          </w:p>
          <w:p w14:paraId="1B6801CC"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Ara-C 2x 2 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(3 h, q 12 h), day 5</w:t>
            </w:r>
          </w:p>
        </w:tc>
      </w:tr>
      <w:tr w:rsidR="00244ABD" w:rsidRPr="00654EF1" w14:paraId="1B6801D3" w14:textId="77777777" w:rsidTr="009F0509">
        <w:trPr>
          <w:cantSplit/>
        </w:trPr>
        <w:tc>
          <w:tcPr>
            <w:tcW w:w="2148" w:type="dxa"/>
            <w:tcBorders>
              <w:top w:val="nil"/>
              <w:bottom w:val="single" w:sz="4" w:space="0" w:color="auto"/>
            </w:tcBorders>
            <w:shd w:val="clear" w:color="auto" w:fill="auto"/>
          </w:tcPr>
          <w:p w14:paraId="1B6801CE"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Study AJP01</w:t>
            </w:r>
          </w:p>
        </w:tc>
        <w:tc>
          <w:tcPr>
            <w:tcW w:w="2652" w:type="dxa"/>
            <w:tcBorders>
              <w:top w:val="nil"/>
              <w:bottom w:val="single" w:sz="4" w:space="0" w:color="auto"/>
            </w:tcBorders>
            <w:shd w:val="clear" w:color="auto" w:fill="auto"/>
          </w:tcPr>
          <w:p w14:paraId="1B6801C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1B6801D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1B6801D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1B6801D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1D9" w14:textId="77777777" w:rsidTr="009F0509">
        <w:trPr>
          <w:cantSplit/>
        </w:trPr>
        <w:tc>
          <w:tcPr>
            <w:tcW w:w="2148" w:type="dxa"/>
            <w:tcBorders>
              <w:top w:val="nil"/>
              <w:bottom w:val="single" w:sz="4" w:space="0" w:color="auto"/>
            </w:tcBorders>
            <w:shd w:val="clear" w:color="auto" w:fill="auto"/>
          </w:tcPr>
          <w:p w14:paraId="1B6801D4" w14:textId="77777777" w:rsidR="00244ABD" w:rsidRPr="00654EF1" w:rsidRDefault="00244ABD" w:rsidP="001D5C8C">
            <w:pPr>
              <w:pStyle w:val="Table"/>
              <w:keepLines w:val="0"/>
              <w:widowControl w:val="0"/>
              <w:spacing w:before="0" w:after="0"/>
              <w:jc w:val="both"/>
              <w:rPr>
                <w:rFonts w:ascii="Times New Roman" w:hAnsi="Times New Roman"/>
                <w:color w:val="000000"/>
                <w:sz w:val="22"/>
                <w:szCs w:val="22"/>
              </w:rPr>
            </w:pPr>
            <w:r w:rsidRPr="00654EF1">
              <w:rPr>
                <w:rFonts w:ascii="Times New Roman" w:hAnsi="Times New Roman"/>
                <w:color w:val="000000"/>
                <w:sz w:val="22"/>
                <w:szCs w:val="22"/>
              </w:rPr>
              <w:t>Induction therapy</w:t>
            </w:r>
          </w:p>
        </w:tc>
        <w:tc>
          <w:tcPr>
            <w:tcW w:w="6732" w:type="dxa"/>
            <w:gridSpan w:val="4"/>
            <w:tcBorders>
              <w:top w:val="nil"/>
              <w:bottom w:val="single" w:sz="4" w:space="0" w:color="auto"/>
            </w:tcBorders>
            <w:shd w:val="clear" w:color="auto" w:fill="auto"/>
          </w:tcPr>
          <w:p w14:paraId="1B6801D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1.2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(3 h), day 1;</w:t>
            </w:r>
          </w:p>
          <w:p w14:paraId="1B6801D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1-3;</w:t>
            </w:r>
          </w:p>
          <w:p w14:paraId="1B6801D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Vincristine 1.3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 8, 15, 21;</w:t>
            </w:r>
          </w:p>
          <w:p w14:paraId="1B6801D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/day oral</w:t>
            </w:r>
          </w:p>
        </w:tc>
      </w:tr>
      <w:tr w:rsidR="00244ABD" w:rsidRPr="00654EF1" w14:paraId="1B6801DC" w14:textId="77777777" w:rsidTr="009F0509">
        <w:trPr>
          <w:cantSplit/>
        </w:trPr>
        <w:tc>
          <w:tcPr>
            <w:tcW w:w="2148" w:type="dxa"/>
            <w:tcBorders>
              <w:top w:val="single" w:sz="4" w:space="0" w:color="auto"/>
              <w:bottom w:val="single" w:sz="4" w:space="0" w:color="auto"/>
            </w:tcBorders>
            <w:shd w:val="clear" w:color="auto" w:fill="auto"/>
          </w:tcPr>
          <w:p w14:paraId="1B6801DA" w14:textId="77777777" w:rsidR="00244ABD" w:rsidRPr="00654EF1" w:rsidRDefault="00244ABD" w:rsidP="001D5C8C">
            <w:pPr>
              <w:pStyle w:val="Table"/>
              <w:keepLines w:val="0"/>
              <w:widowControl w:val="0"/>
              <w:tabs>
                <w:tab w:val="left" w:pos="0"/>
              </w:tabs>
              <w:spacing w:before="0" w:after="0"/>
              <w:rPr>
                <w:rFonts w:ascii="Times New Roman" w:hAnsi="Times New Roman"/>
                <w:color w:val="000000"/>
                <w:sz w:val="22"/>
                <w:szCs w:val="22"/>
              </w:rPr>
            </w:pPr>
            <w:r w:rsidRPr="00654EF1">
              <w:rPr>
                <w:rFonts w:ascii="Times New Roman" w:hAnsi="Times New Roman"/>
                <w:color w:val="000000"/>
                <w:sz w:val="22"/>
                <w:szCs w:val="22"/>
              </w:rPr>
              <w:t>Consolidation therapy</w:t>
            </w:r>
          </w:p>
        </w:tc>
        <w:tc>
          <w:tcPr>
            <w:tcW w:w="6732" w:type="dxa"/>
            <w:gridSpan w:val="4"/>
            <w:tcBorders>
              <w:top w:val="single" w:sz="4" w:space="0" w:color="auto"/>
              <w:bottom w:val="single" w:sz="4" w:space="0" w:color="auto"/>
            </w:tcBorders>
            <w:shd w:val="clear" w:color="auto" w:fill="auto"/>
          </w:tcPr>
          <w:p w14:paraId="1B6801D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Alternating chemotherapy course: high dose chemotherapy with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 and Ara-C 2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(q 12 h), days 2-3, for 4 cycles</w:t>
            </w:r>
          </w:p>
        </w:tc>
      </w:tr>
      <w:tr w:rsidR="00244ABD" w:rsidRPr="00654EF1" w14:paraId="1B6801E0" w14:textId="77777777" w:rsidTr="009F0509">
        <w:trPr>
          <w:cantSplit/>
        </w:trPr>
        <w:tc>
          <w:tcPr>
            <w:tcW w:w="2148" w:type="dxa"/>
            <w:tcBorders>
              <w:top w:val="single" w:sz="4" w:space="0" w:color="auto"/>
              <w:bottom w:val="single" w:sz="4" w:space="0" w:color="auto"/>
            </w:tcBorders>
            <w:shd w:val="clear" w:color="auto" w:fill="auto"/>
          </w:tcPr>
          <w:p w14:paraId="1B6801DD" w14:textId="77777777" w:rsidR="00244ABD" w:rsidRPr="00654EF1" w:rsidRDefault="00244ABD" w:rsidP="001D5C8C">
            <w:pPr>
              <w:pStyle w:val="Table"/>
              <w:keepNext w:val="0"/>
              <w:keepLines w:val="0"/>
              <w:widowControl w:val="0"/>
              <w:tabs>
                <w:tab w:val="left" w:pos="0"/>
              </w:tabs>
              <w:spacing w:before="0" w:after="0"/>
              <w:rPr>
                <w:rFonts w:ascii="Times New Roman" w:hAnsi="Times New Roman"/>
                <w:color w:val="000000"/>
                <w:sz w:val="22"/>
                <w:szCs w:val="22"/>
              </w:rPr>
            </w:pPr>
            <w:r w:rsidRPr="00654EF1">
              <w:rPr>
                <w:rFonts w:ascii="Times New Roman" w:hAnsi="Times New Roman"/>
                <w:color w:val="000000"/>
                <w:sz w:val="22"/>
                <w:szCs w:val="22"/>
              </w:rPr>
              <w:t>Maintenance</w:t>
            </w:r>
          </w:p>
        </w:tc>
        <w:tc>
          <w:tcPr>
            <w:tcW w:w="6732" w:type="dxa"/>
            <w:gridSpan w:val="4"/>
            <w:tcBorders>
              <w:top w:val="single" w:sz="4" w:space="0" w:color="auto"/>
              <w:bottom w:val="single" w:sz="4" w:space="0" w:color="auto"/>
            </w:tcBorders>
            <w:shd w:val="clear" w:color="auto" w:fill="auto"/>
          </w:tcPr>
          <w:p w14:paraId="1B6801DE"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1.3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 1;</w:t>
            </w:r>
          </w:p>
          <w:p w14:paraId="1B6801DF"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tc>
      </w:tr>
      <w:tr w:rsidR="00244ABD" w:rsidRPr="00654EF1" w14:paraId="1B6801E5" w14:textId="77777777" w:rsidTr="009F0509">
        <w:trPr>
          <w:cantSplit/>
        </w:trPr>
        <w:tc>
          <w:tcPr>
            <w:tcW w:w="4800" w:type="dxa"/>
            <w:gridSpan w:val="2"/>
            <w:tcBorders>
              <w:top w:val="single" w:sz="4" w:space="0" w:color="auto"/>
              <w:bottom w:val="single" w:sz="4" w:space="0" w:color="auto"/>
            </w:tcBorders>
            <w:shd w:val="clear" w:color="auto" w:fill="auto"/>
          </w:tcPr>
          <w:p w14:paraId="1B6801E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Study AUS01</w:t>
            </w:r>
          </w:p>
        </w:tc>
        <w:tc>
          <w:tcPr>
            <w:tcW w:w="1080" w:type="dxa"/>
            <w:tcBorders>
              <w:top w:val="single" w:sz="4" w:space="0" w:color="auto"/>
              <w:bottom w:val="single" w:sz="4" w:space="0" w:color="auto"/>
            </w:tcBorders>
          </w:tcPr>
          <w:p w14:paraId="1B6801E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1E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1E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1EA" w14:textId="77777777" w:rsidTr="009F0509">
        <w:trPr>
          <w:cantSplit/>
        </w:trPr>
        <w:tc>
          <w:tcPr>
            <w:tcW w:w="2148" w:type="dxa"/>
            <w:tcBorders>
              <w:top w:val="single" w:sz="4" w:space="0" w:color="auto"/>
              <w:bottom w:val="single" w:sz="4" w:space="0" w:color="auto"/>
            </w:tcBorders>
            <w:shd w:val="clear" w:color="auto" w:fill="auto"/>
          </w:tcPr>
          <w:p w14:paraId="1B6801E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Induction-consolidation therapy</w:t>
            </w:r>
          </w:p>
        </w:tc>
        <w:tc>
          <w:tcPr>
            <w:tcW w:w="6732" w:type="dxa"/>
            <w:gridSpan w:val="4"/>
            <w:tcBorders>
              <w:top w:val="single" w:sz="4" w:space="0" w:color="auto"/>
              <w:bottom w:val="single" w:sz="4" w:space="0" w:color="auto"/>
            </w:tcBorders>
            <w:shd w:val="clear" w:color="auto" w:fill="auto"/>
          </w:tcPr>
          <w:p w14:paraId="1B6801E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Hyper-CVAD regimen: CP 300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(3 h, q 12 h), days 1-3; Vincristine 2 mg i.v., days 4, 11;</w:t>
            </w:r>
          </w:p>
          <w:p w14:paraId="1B6801E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Doxorubicine 50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4;</w:t>
            </w:r>
          </w:p>
          <w:p w14:paraId="1B6801E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DEX 40 mg/day on days 1-4 and 11-14, alternated with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 Ara-C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 h, q 12 h), days 2-3 (total of 8 courses)</w:t>
            </w:r>
          </w:p>
        </w:tc>
      </w:tr>
      <w:tr w:rsidR="00244ABD" w:rsidRPr="00654EF1" w14:paraId="1B6801EE" w14:textId="77777777" w:rsidTr="009F0509">
        <w:trPr>
          <w:cantSplit/>
        </w:trPr>
        <w:tc>
          <w:tcPr>
            <w:tcW w:w="2148" w:type="dxa"/>
            <w:tcBorders>
              <w:top w:val="single" w:sz="4" w:space="0" w:color="auto"/>
              <w:bottom w:val="single" w:sz="4" w:space="0" w:color="auto"/>
            </w:tcBorders>
            <w:shd w:val="clear" w:color="auto" w:fill="auto"/>
          </w:tcPr>
          <w:p w14:paraId="1B6801E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Maintenance</w:t>
            </w:r>
          </w:p>
        </w:tc>
        <w:tc>
          <w:tcPr>
            <w:tcW w:w="6732" w:type="dxa"/>
            <w:gridSpan w:val="4"/>
            <w:tcBorders>
              <w:top w:val="single" w:sz="4" w:space="0" w:color="auto"/>
              <w:bottom w:val="single" w:sz="4" w:space="0" w:color="auto"/>
            </w:tcBorders>
            <w:shd w:val="clear" w:color="auto" w:fill="auto"/>
          </w:tcPr>
          <w:p w14:paraId="1B6801EC"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i.v. monthly for 13 months;</w:t>
            </w:r>
          </w:p>
          <w:p w14:paraId="1B6801E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200 mg oral, 5 days per month for 13 months</w:t>
            </w:r>
          </w:p>
        </w:tc>
      </w:tr>
      <w:tr w:rsidR="00244ABD" w:rsidRPr="00654EF1" w14:paraId="1B6801F0" w14:textId="77777777" w:rsidTr="009F0509">
        <w:trPr>
          <w:cantSplit/>
        </w:trPr>
        <w:tc>
          <w:tcPr>
            <w:tcW w:w="8880" w:type="dxa"/>
            <w:gridSpan w:val="5"/>
            <w:tcBorders>
              <w:top w:val="single" w:sz="4" w:space="0" w:color="auto"/>
              <w:bottom w:val="single" w:sz="4" w:space="0" w:color="auto"/>
            </w:tcBorders>
            <w:shd w:val="clear" w:color="auto" w:fill="auto"/>
          </w:tcPr>
          <w:p w14:paraId="1B6801E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All treatment regimens include administration of steroids for </w:t>
            </w:r>
            <w:smartTag w:uri="urn:schemas-microsoft-com:office:smarttags" w:element="stockticker">
              <w:r w:rsidRPr="00654EF1">
                <w:rPr>
                  <w:rFonts w:ascii="Times New Roman" w:hAnsi="Times New Roman"/>
                  <w:color w:val="000000"/>
                  <w:sz w:val="22"/>
                  <w:szCs w:val="22"/>
                </w:rPr>
                <w:t>CNS</w:t>
              </w:r>
            </w:smartTag>
            <w:r w:rsidRPr="00654EF1">
              <w:rPr>
                <w:rFonts w:ascii="Times New Roman" w:hAnsi="Times New Roman"/>
                <w:color w:val="000000"/>
                <w:sz w:val="22"/>
                <w:szCs w:val="22"/>
              </w:rPr>
              <w:t xml:space="preserve"> prophylaxis.</w:t>
            </w:r>
          </w:p>
        </w:tc>
      </w:tr>
      <w:tr w:rsidR="00244ABD" w:rsidRPr="00654EF1" w14:paraId="1B6801F2" w14:textId="77777777" w:rsidTr="009F0509">
        <w:trPr>
          <w:cantSplit/>
        </w:trPr>
        <w:tc>
          <w:tcPr>
            <w:tcW w:w="8880" w:type="dxa"/>
            <w:gridSpan w:val="5"/>
            <w:tcBorders>
              <w:top w:val="single" w:sz="4" w:space="0" w:color="auto"/>
              <w:bottom w:val="single" w:sz="4" w:space="0" w:color="auto"/>
            </w:tcBorders>
            <w:shd w:val="clear" w:color="auto" w:fill="auto"/>
          </w:tcPr>
          <w:p w14:paraId="1B6801F1"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Ara-C: cytosine arabinoside; CP: cyclophosphamide; DEX: dexamethasone;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methotrexate; 6-MP: 6-mercaptopurine VM26: Teniposide; </w:t>
            </w: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vincristine; </w:t>
            </w:r>
            <w:smartTag w:uri="urn:schemas-microsoft-com:office:smarttags" w:element="stockticker">
              <w:r w:rsidRPr="00654EF1">
                <w:rPr>
                  <w:rFonts w:ascii="Times New Roman" w:hAnsi="Times New Roman"/>
                  <w:color w:val="000000"/>
                  <w:sz w:val="22"/>
                  <w:szCs w:val="22"/>
                </w:rPr>
                <w:t>IDA</w:t>
              </w:r>
            </w:smartTag>
            <w:r w:rsidRPr="00654EF1">
              <w:rPr>
                <w:rFonts w:ascii="Times New Roman" w:hAnsi="Times New Roman"/>
                <w:color w:val="000000"/>
                <w:sz w:val="22"/>
                <w:szCs w:val="22"/>
              </w:rPr>
              <w:t>: idarubicine; i.v.: intravenous</w:t>
            </w:r>
          </w:p>
        </w:tc>
      </w:tr>
    </w:tbl>
    <w:p w14:paraId="1B6801F3" w14:textId="77777777" w:rsidR="00244ABD" w:rsidRPr="00654EF1" w:rsidRDefault="00244ABD" w:rsidP="001D5C8C">
      <w:pPr>
        <w:pStyle w:val="EndnoteText"/>
        <w:widowControl w:val="0"/>
        <w:rPr>
          <w:color w:val="000000"/>
          <w:szCs w:val="22"/>
          <w:lang w:val="en-US"/>
        </w:rPr>
      </w:pPr>
    </w:p>
    <w:p w14:paraId="1B6801F4" w14:textId="77777777" w:rsidR="00505F51" w:rsidRPr="00654EF1" w:rsidRDefault="00505F51" w:rsidP="001D5C8C">
      <w:pPr>
        <w:pStyle w:val="EndnoteText"/>
        <w:widowControl w:val="0"/>
        <w:rPr>
          <w:color w:val="000000"/>
        </w:rPr>
      </w:pPr>
      <w:r w:rsidRPr="00654EF1">
        <w:rPr>
          <w:i/>
          <w:color w:val="000000"/>
        </w:rPr>
        <w:t>Paediatric patients</w:t>
      </w:r>
      <w:r w:rsidRPr="00654EF1">
        <w:rPr>
          <w:color w:val="000000"/>
        </w:rPr>
        <w:t>:</w:t>
      </w:r>
      <w:r w:rsidRPr="00654EF1">
        <w:t xml:space="preserve"> </w:t>
      </w:r>
      <w:r w:rsidRPr="00654EF1">
        <w:rPr>
          <w:color w:val="000000"/>
        </w:rPr>
        <w:t>In study I2301, a total of 93 paediatric, adolescent and young adult patients (from 1 to 22 years old) with Ph+ ALL were enrolled in an open-label, multicentre, sequential cohort, non-randomised phase III trial, and were treated with Glivec (340 mg/m</w:t>
      </w:r>
      <w:r w:rsidRPr="00654EF1">
        <w:rPr>
          <w:color w:val="000000"/>
          <w:vertAlign w:val="superscript"/>
        </w:rPr>
        <w:t>2</w:t>
      </w:r>
      <w:r w:rsidRPr="00654EF1">
        <w:rPr>
          <w:color w:val="000000"/>
        </w:rPr>
        <w:t>/day) in combination with intensive chemotherapy after induction therapy. G</w:t>
      </w:r>
      <w:r w:rsidR="00EC3F1D" w:rsidRPr="00654EF1">
        <w:rPr>
          <w:color w:val="000000"/>
        </w:rPr>
        <w:t>l</w:t>
      </w:r>
      <w:r w:rsidRPr="00654EF1">
        <w:rPr>
          <w:color w:val="000000"/>
        </w:rPr>
        <w:t>ivec was administered intermittently in cohorts 1</w:t>
      </w:r>
      <w:r w:rsidRPr="00654EF1">
        <w:rPr>
          <w:color w:val="000000"/>
        </w:rPr>
        <w:noBreakHyphen/>
        <w:t xml:space="preserve">5, with increasing duration and earlier start of Glivec from cohort to cohort; cohort 1 receiving the lowest </w:t>
      </w:r>
      <w:r w:rsidRPr="00654EF1">
        <w:rPr>
          <w:color w:val="000000"/>
        </w:rPr>
        <w:lastRenderedPageBreak/>
        <w:t>intensitiy and cohort 5 receiving the highest intensity of Glivec (longest duration in days with continuous daily Glivec dosing during the first chemotherapy treatment courses). Continuous daily exposure to Glivec early in the course of treatment in combination with chemotherapy in cohort 5-patients (n=50) improved the 4-year event-free survival (EFS) compared to historical controls (n=120), who received standard chemotherapy without Glivec (69.6% vs. 31.6%, respectively). The estimated 4-year OS in cohort 5-patients was 83.6% compared to 44.8% in the historical controls. 20 out of the 50 (40%) patients in cohort 5 received haematopoietic stem cell transplant.</w:t>
      </w:r>
    </w:p>
    <w:p w14:paraId="1B6801F5" w14:textId="77777777" w:rsidR="00505F51" w:rsidRPr="00654EF1" w:rsidRDefault="00505F51" w:rsidP="001D5C8C">
      <w:pPr>
        <w:pStyle w:val="EndnoteText"/>
        <w:widowControl w:val="0"/>
        <w:rPr>
          <w:color w:val="000000"/>
        </w:rPr>
      </w:pPr>
    </w:p>
    <w:p w14:paraId="1B6801F6" w14:textId="77777777" w:rsidR="00505F51" w:rsidRPr="00654EF1" w:rsidRDefault="00505F51" w:rsidP="001D5C8C">
      <w:pPr>
        <w:pStyle w:val="EndnoteText"/>
        <w:keepNext/>
        <w:widowControl w:val="0"/>
        <w:tabs>
          <w:tab w:val="clear" w:pos="567"/>
        </w:tabs>
        <w:ind w:left="1134" w:hanging="1134"/>
        <w:rPr>
          <w:b/>
          <w:color w:val="000000"/>
        </w:rPr>
      </w:pPr>
      <w:r w:rsidRPr="00654EF1">
        <w:rPr>
          <w:b/>
          <w:color w:val="000000"/>
        </w:rPr>
        <w:t>Table </w:t>
      </w:r>
      <w:r w:rsidR="008F2DE5" w:rsidRPr="00654EF1">
        <w:rPr>
          <w:b/>
          <w:color w:val="000000"/>
        </w:rPr>
        <w:t>5</w:t>
      </w:r>
      <w:r w:rsidRPr="00654EF1">
        <w:rPr>
          <w:b/>
          <w:color w:val="000000"/>
        </w:rPr>
        <w:tab/>
        <w:t>Chemotherapy regimen used in combination with imatinib in study I2301</w:t>
      </w:r>
    </w:p>
    <w:p w14:paraId="1B6801F7" w14:textId="77777777" w:rsidR="00505F51" w:rsidRPr="00654EF1" w:rsidRDefault="00505F51" w:rsidP="001D5C8C">
      <w:pPr>
        <w:pStyle w:val="EndnoteText"/>
        <w:keepNext/>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6735"/>
      </w:tblGrid>
      <w:tr w:rsidR="00505F51" w:rsidRPr="00654EF1" w14:paraId="1B680200" w14:textId="77777777" w:rsidTr="00260628">
        <w:trPr>
          <w:cantSplit/>
        </w:trPr>
        <w:tc>
          <w:tcPr>
            <w:tcW w:w="2358" w:type="dxa"/>
            <w:shd w:val="clear" w:color="auto" w:fill="auto"/>
          </w:tcPr>
          <w:p w14:paraId="1B6801F8" w14:textId="77777777" w:rsidR="00505F51" w:rsidRPr="00654EF1" w:rsidRDefault="00505F51" w:rsidP="001D5C8C">
            <w:pPr>
              <w:pStyle w:val="EndnoteText"/>
              <w:widowControl w:val="0"/>
              <w:rPr>
                <w:color w:val="000000"/>
              </w:rPr>
            </w:pPr>
            <w:r w:rsidRPr="00654EF1">
              <w:rPr>
                <w:color w:val="000000"/>
              </w:rPr>
              <w:t>Consolidation block 1</w:t>
            </w:r>
          </w:p>
          <w:p w14:paraId="1B6801F9" w14:textId="77777777" w:rsidR="00505F51" w:rsidRPr="00654EF1" w:rsidRDefault="00505F51" w:rsidP="001D5C8C">
            <w:pPr>
              <w:pStyle w:val="EndnoteText"/>
              <w:widowControl w:val="0"/>
              <w:rPr>
                <w:color w:val="000000"/>
              </w:rPr>
            </w:pPr>
            <w:r w:rsidRPr="00654EF1">
              <w:rPr>
                <w:color w:val="000000"/>
              </w:rPr>
              <w:t>(3 weeks)</w:t>
            </w:r>
          </w:p>
        </w:tc>
        <w:tc>
          <w:tcPr>
            <w:tcW w:w="6929" w:type="dxa"/>
            <w:shd w:val="clear" w:color="auto" w:fill="auto"/>
          </w:tcPr>
          <w:p w14:paraId="1B6801FA" w14:textId="77777777" w:rsidR="00505F51" w:rsidRPr="00654EF1" w:rsidRDefault="00505F51"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1</w:t>
            </w:r>
            <w:r w:rsidRPr="00654EF1">
              <w:rPr>
                <w:color w:val="000000"/>
              </w:rPr>
              <w:noBreakHyphen/>
              <w:t>5</w:t>
            </w:r>
          </w:p>
          <w:p w14:paraId="1B6801FB" w14:textId="77777777" w:rsidR="00505F51" w:rsidRPr="00654EF1" w:rsidRDefault="00505F51" w:rsidP="001D5C8C">
            <w:pPr>
              <w:pStyle w:val="EndnoteText"/>
              <w:widowControl w:val="0"/>
              <w:rPr>
                <w:color w:val="000000"/>
              </w:rPr>
            </w:pPr>
            <w:r w:rsidRPr="00654EF1">
              <w:rPr>
                <w:color w:val="000000"/>
              </w:rPr>
              <w:t>Ifosfamide (1.8 g/m</w:t>
            </w:r>
            <w:r w:rsidRPr="00654EF1">
              <w:rPr>
                <w:color w:val="000000"/>
                <w:vertAlign w:val="superscript"/>
              </w:rPr>
              <w:t>2</w:t>
            </w:r>
            <w:r w:rsidRPr="00654EF1">
              <w:rPr>
                <w:color w:val="000000"/>
              </w:rPr>
              <w:t>/day, IV): days 1</w:t>
            </w:r>
            <w:r w:rsidRPr="00654EF1">
              <w:rPr>
                <w:color w:val="000000"/>
              </w:rPr>
              <w:noBreakHyphen/>
              <w:t>5</w:t>
            </w:r>
          </w:p>
          <w:p w14:paraId="1B6801FC" w14:textId="77777777" w:rsidR="00505F51" w:rsidRPr="00654EF1" w:rsidRDefault="00505F51" w:rsidP="001D5C8C">
            <w:pPr>
              <w:pStyle w:val="EndnoteText"/>
              <w:widowControl w:val="0"/>
              <w:rPr>
                <w:color w:val="000000"/>
              </w:rPr>
            </w:pPr>
            <w:r w:rsidRPr="00654EF1">
              <w:rPr>
                <w:color w:val="000000"/>
              </w:rPr>
              <w:t>MESNA (360 mg/m</w:t>
            </w:r>
            <w:r w:rsidRPr="00654EF1">
              <w:rPr>
                <w:color w:val="000000"/>
                <w:vertAlign w:val="superscript"/>
              </w:rPr>
              <w:t>2</w:t>
            </w:r>
            <w:r w:rsidRPr="00654EF1">
              <w:rPr>
                <w:color w:val="000000"/>
              </w:rPr>
              <w:t>/dose q3h, x 8 doses/day, IV): days 1</w:t>
            </w:r>
            <w:r w:rsidRPr="00654EF1">
              <w:rPr>
                <w:color w:val="000000"/>
              </w:rPr>
              <w:noBreakHyphen/>
              <w:t>5</w:t>
            </w:r>
          </w:p>
          <w:p w14:paraId="1B6801FD" w14:textId="77777777" w:rsidR="00505F51" w:rsidRPr="00654EF1" w:rsidRDefault="00505F51" w:rsidP="001D5C8C">
            <w:pPr>
              <w:pStyle w:val="EndnoteText"/>
              <w:widowControl w:val="0"/>
              <w:rPr>
                <w:color w:val="000000"/>
              </w:rPr>
            </w:pPr>
            <w:r w:rsidRPr="00654EF1">
              <w:rPr>
                <w:color w:val="000000"/>
              </w:rPr>
              <w:t>G-CSF (5 μg/kg, SC): days 6</w:t>
            </w:r>
            <w:r w:rsidRPr="00654EF1">
              <w:rPr>
                <w:color w:val="000000"/>
              </w:rPr>
              <w:noBreakHyphen/>
              <w:t>15 or until ANC &gt; 1500 post nadir</w:t>
            </w:r>
          </w:p>
          <w:p w14:paraId="1B6801FE" w14:textId="77777777" w:rsidR="00505F51" w:rsidRPr="00654EF1" w:rsidRDefault="00505F51" w:rsidP="001D5C8C">
            <w:pPr>
              <w:pStyle w:val="EndnoteText"/>
              <w:widowControl w:val="0"/>
              <w:rPr>
                <w:color w:val="000000"/>
              </w:rPr>
            </w:pPr>
            <w:r w:rsidRPr="00654EF1">
              <w:rPr>
                <w:color w:val="000000"/>
              </w:rPr>
              <w:t>IT Methotrexate (age-adjusted): day 1 ONLY</w:t>
            </w:r>
          </w:p>
          <w:p w14:paraId="1B6801FF" w14:textId="77777777" w:rsidR="00505F51" w:rsidRPr="00654EF1" w:rsidRDefault="00505F51" w:rsidP="001D5C8C">
            <w:pPr>
              <w:pStyle w:val="EndnoteText"/>
              <w:widowControl w:val="0"/>
              <w:rPr>
                <w:color w:val="000000"/>
              </w:rPr>
            </w:pPr>
            <w:r w:rsidRPr="00654EF1">
              <w:rPr>
                <w:color w:val="000000"/>
              </w:rPr>
              <w:t>Triple IT therapy (age-adjusted): day 8, 15</w:t>
            </w:r>
          </w:p>
        </w:tc>
      </w:tr>
      <w:tr w:rsidR="00505F51" w:rsidRPr="00654EF1" w14:paraId="1B680208" w14:textId="77777777" w:rsidTr="00260628">
        <w:trPr>
          <w:cantSplit/>
        </w:trPr>
        <w:tc>
          <w:tcPr>
            <w:tcW w:w="2358" w:type="dxa"/>
            <w:shd w:val="clear" w:color="auto" w:fill="auto"/>
          </w:tcPr>
          <w:p w14:paraId="1B680201" w14:textId="77777777" w:rsidR="00505F51" w:rsidRPr="00654EF1" w:rsidRDefault="00505F51" w:rsidP="001D5C8C">
            <w:pPr>
              <w:pStyle w:val="EndnoteText"/>
              <w:widowControl w:val="0"/>
              <w:rPr>
                <w:color w:val="000000"/>
              </w:rPr>
            </w:pPr>
            <w:r w:rsidRPr="00654EF1">
              <w:rPr>
                <w:color w:val="000000"/>
              </w:rPr>
              <w:t>Consolidation block 2</w:t>
            </w:r>
          </w:p>
          <w:p w14:paraId="1B680202" w14:textId="77777777" w:rsidR="00505F51" w:rsidRPr="00654EF1" w:rsidRDefault="00505F51" w:rsidP="001D5C8C">
            <w:pPr>
              <w:pStyle w:val="EndnoteText"/>
              <w:widowControl w:val="0"/>
              <w:rPr>
                <w:color w:val="000000"/>
              </w:rPr>
            </w:pPr>
            <w:r w:rsidRPr="00654EF1">
              <w:rPr>
                <w:color w:val="000000"/>
              </w:rPr>
              <w:t>(3 weeks)</w:t>
            </w:r>
          </w:p>
        </w:tc>
        <w:tc>
          <w:tcPr>
            <w:tcW w:w="6929" w:type="dxa"/>
            <w:shd w:val="clear" w:color="auto" w:fill="auto"/>
          </w:tcPr>
          <w:p w14:paraId="1B680203" w14:textId="77777777" w:rsidR="00505F51" w:rsidRPr="00654EF1" w:rsidRDefault="00505F51"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 1</w:t>
            </w:r>
          </w:p>
          <w:p w14:paraId="1B680204" w14:textId="77777777" w:rsidR="00505F51" w:rsidRPr="00654EF1" w:rsidRDefault="00505F51"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and 3</w:t>
            </w:r>
          </w:p>
          <w:p w14:paraId="1B680205" w14:textId="77777777" w:rsidR="00505F51" w:rsidRPr="00654EF1" w:rsidRDefault="00505F51" w:rsidP="001D5C8C">
            <w:pPr>
              <w:pStyle w:val="EndnoteText"/>
              <w:widowControl w:val="0"/>
              <w:rPr>
                <w:color w:val="000000"/>
              </w:rPr>
            </w:pPr>
            <w:r w:rsidRPr="00654EF1">
              <w:rPr>
                <w:color w:val="000000"/>
              </w:rPr>
              <w:t>Triple IT therapy (age-adjusted): day 1</w:t>
            </w:r>
          </w:p>
          <w:p w14:paraId="1B680206" w14:textId="77777777" w:rsidR="00505F51" w:rsidRPr="00654EF1" w:rsidRDefault="00505F51" w:rsidP="001D5C8C">
            <w:pPr>
              <w:pStyle w:val="EndnoteText"/>
              <w:widowControl w:val="0"/>
              <w:rPr>
                <w:color w:val="000000"/>
              </w:rPr>
            </w:pPr>
            <w:r w:rsidRPr="00654EF1">
              <w:rPr>
                <w:color w:val="000000"/>
              </w:rPr>
              <w:t>ARA-C (3 g/m</w:t>
            </w:r>
            <w:r w:rsidRPr="00654EF1">
              <w:rPr>
                <w:color w:val="000000"/>
                <w:vertAlign w:val="superscript"/>
              </w:rPr>
              <w:t>2</w:t>
            </w:r>
            <w:r w:rsidRPr="00654EF1">
              <w:rPr>
                <w:color w:val="000000"/>
              </w:rPr>
              <w:t>/dose q 12 h x 4, IV): days 2 and 3</w:t>
            </w:r>
          </w:p>
          <w:p w14:paraId="1B680207" w14:textId="77777777" w:rsidR="00505F51" w:rsidRPr="00654EF1" w:rsidRDefault="00505F51" w:rsidP="001D5C8C">
            <w:pPr>
              <w:pStyle w:val="EndnoteText"/>
              <w:widowControl w:val="0"/>
              <w:rPr>
                <w:color w:val="000000"/>
              </w:rPr>
            </w:pPr>
            <w:r w:rsidRPr="00654EF1">
              <w:rPr>
                <w:color w:val="000000"/>
              </w:rPr>
              <w:t>G-CSF (5 μg/kg, SC): days 4-13 or until ANC &gt; 1500 post nadir</w:t>
            </w:r>
          </w:p>
        </w:tc>
      </w:tr>
      <w:tr w:rsidR="00505F51" w:rsidRPr="00654EF1" w14:paraId="1B680212" w14:textId="77777777" w:rsidTr="00260628">
        <w:trPr>
          <w:cantSplit/>
        </w:trPr>
        <w:tc>
          <w:tcPr>
            <w:tcW w:w="2358" w:type="dxa"/>
            <w:shd w:val="clear" w:color="auto" w:fill="auto"/>
          </w:tcPr>
          <w:p w14:paraId="1B680209" w14:textId="77777777" w:rsidR="00505F51" w:rsidRPr="00654EF1" w:rsidRDefault="00505F51" w:rsidP="001D5C8C">
            <w:pPr>
              <w:pStyle w:val="EndnoteText"/>
              <w:widowControl w:val="0"/>
              <w:rPr>
                <w:color w:val="000000"/>
              </w:rPr>
            </w:pPr>
            <w:r w:rsidRPr="00654EF1">
              <w:rPr>
                <w:color w:val="000000"/>
              </w:rPr>
              <w:t>Reinduction block 1</w:t>
            </w:r>
          </w:p>
          <w:p w14:paraId="1B68020A" w14:textId="77777777" w:rsidR="00505F51" w:rsidRPr="00654EF1" w:rsidRDefault="00505F51" w:rsidP="001D5C8C">
            <w:pPr>
              <w:pStyle w:val="EndnoteText"/>
              <w:widowControl w:val="0"/>
              <w:rPr>
                <w:color w:val="000000"/>
              </w:rPr>
            </w:pPr>
            <w:r w:rsidRPr="00654EF1">
              <w:rPr>
                <w:color w:val="000000"/>
              </w:rPr>
              <w:t>(3 weeks)</w:t>
            </w:r>
          </w:p>
        </w:tc>
        <w:tc>
          <w:tcPr>
            <w:tcW w:w="6929" w:type="dxa"/>
            <w:shd w:val="clear" w:color="auto" w:fill="auto"/>
          </w:tcPr>
          <w:p w14:paraId="1B68020B" w14:textId="77777777" w:rsidR="00505F51" w:rsidRPr="00654EF1" w:rsidRDefault="00505F51"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8, and 15</w:t>
            </w:r>
          </w:p>
          <w:p w14:paraId="1B68020C" w14:textId="77777777" w:rsidR="00505F51" w:rsidRPr="00654EF1" w:rsidRDefault="00505F51" w:rsidP="001D5C8C">
            <w:pPr>
              <w:pStyle w:val="EndnoteText"/>
              <w:widowControl w:val="0"/>
              <w:rPr>
                <w:color w:val="000000"/>
              </w:rPr>
            </w:pPr>
            <w:r w:rsidRPr="00654EF1">
              <w:rPr>
                <w:color w:val="000000"/>
              </w:rPr>
              <w:t>DAUN (45 mg/m</w:t>
            </w:r>
            <w:r w:rsidRPr="00654EF1">
              <w:rPr>
                <w:color w:val="000000"/>
                <w:vertAlign w:val="superscript"/>
              </w:rPr>
              <w:t>2</w:t>
            </w:r>
            <w:r w:rsidRPr="00654EF1">
              <w:rPr>
                <w:color w:val="000000"/>
              </w:rPr>
              <w:t>/day bolus, IV): days 1 and 2</w:t>
            </w:r>
          </w:p>
          <w:p w14:paraId="1B68020D" w14:textId="77777777" w:rsidR="00505F51" w:rsidRPr="00654EF1" w:rsidRDefault="00505F51" w:rsidP="001D5C8C">
            <w:pPr>
              <w:pStyle w:val="EndnoteText"/>
              <w:widowControl w:val="0"/>
              <w:rPr>
                <w:color w:val="000000"/>
              </w:rPr>
            </w:pPr>
            <w:r w:rsidRPr="00654EF1">
              <w:rPr>
                <w:color w:val="000000"/>
              </w:rPr>
              <w:t>CPM (250 mg/m</w:t>
            </w:r>
            <w:r w:rsidRPr="00654EF1">
              <w:rPr>
                <w:color w:val="000000"/>
                <w:vertAlign w:val="superscript"/>
              </w:rPr>
              <w:t>2</w:t>
            </w:r>
            <w:r w:rsidRPr="00654EF1">
              <w:rPr>
                <w:color w:val="000000"/>
              </w:rPr>
              <w:t>/dose q12h x 4 doses, IV): days 3 and 4</w:t>
            </w:r>
          </w:p>
          <w:p w14:paraId="1B68020E" w14:textId="77777777" w:rsidR="00505F51" w:rsidRPr="00654EF1" w:rsidRDefault="00505F51" w:rsidP="001D5C8C">
            <w:pPr>
              <w:pStyle w:val="EndnoteText"/>
              <w:widowControl w:val="0"/>
              <w:rPr>
                <w:color w:val="000000"/>
              </w:rPr>
            </w:pPr>
            <w:r w:rsidRPr="00654EF1">
              <w:rPr>
                <w:color w:val="000000"/>
              </w:rPr>
              <w:t>PEG-ASP (2500 IUnits/m</w:t>
            </w:r>
            <w:r w:rsidRPr="00654EF1">
              <w:rPr>
                <w:color w:val="000000"/>
                <w:vertAlign w:val="superscript"/>
              </w:rPr>
              <w:t>2</w:t>
            </w:r>
            <w:r w:rsidRPr="00654EF1">
              <w:rPr>
                <w:color w:val="000000"/>
              </w:rPr>
              <w:t>, IM): day 4</w:t>
            </w:r>
          </w:p>
          <w:p w14:paraId="1B68020F" w14:textId="77777777" w:rsidR="00505F51" w:rsidRPr="00654EF1" w:rsidRDefault="00505F51" w:rsidP="001D5C8C">
            <w:pPr>
              <w:pStyle w:val="EndnoteText"/>
              <w:widowControl w:val="0"/>
              <w:rPr>
                <w:color w:val="000000"/>
              </w:rPr>
            </w:pPr>
            <w:r w:rsidRPr="00654EF1">
              <w:rPr>
                <w:color w:val="000000"/>
              </w:rPr>
              <w:t>G-CSF (5 μg/kg, SC): days 5</w:t>
            </w:r>
            <w:r w:rsidRPr="00654EF1">
              <w:rPr>
                <w:color w:val="000000"/>
              </w:rPr>
              <w:noBreakHyphen/>
              <w:t>14 or until ANC &gt; 1500 post nadir</w:t>
            </w:r>
          </w:p>
          <w:p w14:paraId="1B680210" w14:textId="77777777" w:rsidR="00505F51" w:rsidRPr="00654EF1" w:rsidRDefault="00505F51" w:rsidP="001D5C8C">
            <w:pPr>
              <w:pStyle w:val="EndnoteText"/>
              <w:widowControl w:val="0"/>
              <w:rPr>
                <w:color w:val="000000"/>
              </w:rPr>
            </w:pPr>
            <w:r w:rsidRPr="00654EF1">
              <w:rPr>
                <w:color w:val="000000"/>
              </w:rPr>
              <w:t>Triple IT therapy (age-adjusted): days 1 and 15</w:t>
            </w:r>
          </w:p>
          <w:p w14:paraId="1B680211" w14:textId="77777777" w:rsidR="00505F51" w:rsidRPr="00654EF1" w:rsidRDefault="00505F51"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7 and 15</w:t>
            </w:r>
            <w:r w:rsidRPr="00654EF1">
              <w:rPr>
                <w:color w:val="000000"/>
              </w:rPr>
              <w:noBreakHyphen/>
              <w:t>21</w:t>
            </w:r>
          </w:p>
        </w:tc>
      </w:tr>
      <w:tr w:rsidR="00505F51" w:rsidRPr="00654EF1" w14:paraId="1B68021E" w14:textId="77777777" w:rsidTr="00260628">
        <w:trPr>
          <w:cantSplit/>
        </w:trPr>
        <w:tc>
          <w:tcPr>
            <w:tcW w:w="2358" w:type="dxa"/>
            <w:shd w:val="clear" w:color="auto" w:fill="auto"/>
          </w:tcPr>
          <w:p w14:paraId="1B680213" w14:textId="77777777" w:rsidR="00505F51" w:rsidRPr="00654EF1" w:rsidRDefault="00505F51" w:rsidP="001D5C8C">
            <w:pPr>
              <w:pStyle w:val="EndnoteText"/>
              <w:widowControl w:val="0"/>
              <w:rPr>
                <w:color w:val="000000"/>
              </w:rPr>
            </w:pPr>
            <w:r w:rsidRPr="00654EF1">
              <w:rPr>
                <w:color w:val="000000"/>
              </w:rPr>
              <w:t>Intensification block 1</w:t>
            </w:r>
          </w:p>
          <w:p w14:paraId="1B680214" w14:textId="77777777" w:rsidR="00505F51" w:rsidRPr="00654EF1" w:rsidRDefault="00505F51" w:rsidP="001D5C8C">
            <w:pPr>
              <w:pStyle w:val="EndnoteText"/>
              <w:widowControl w:val="0"/>
              <w:rPr>
                <w:color w:val="000000"/>
              </w:rPr>
            </w:pPr>
            <w:r w:rsidRPr="00654EF1">
              <w:rPr>
                <w:color w:val="000000"/>
              </w:rPr>
              <w:t>(9 weeks)</w:t>
            </w:r>
          </w:p>
        </w:tc>
        <w:tc>
          <w:tcPr>
            <w:tcW w:w="6929" w:type="dxa"/>
            <w:shd w:val="clear" w:color="auto" w:fill="auto"/>
          </w:tcPr>
          <w:p w14:paraId="1B680215" w14:textId="77777777" w:rsidR="00505F51" w:rsidRPr="00654EF1" w:rsidRDefault="00505F51"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days 1 and 15</w:t>
            </w:r>
          </w:p>
          <w:p w14:paraId="1B680216" w14:textId="77777777" w:rsidR="00505F51" w:rsidRPr="00654EF1" w:rsidRDefault="00505F51"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3, 16, and 17</w:t>
            </w:r>
          </w:p>
          <w:p w14:paraId="1B680217" w14:textId="77777777" w:rsidR="00505F51" w:rsidRPr="00654EF1" w:rsidRDefault="00505F51" w:rsidP="001D5C8C">
            <w:pPr>
              <w:pStyle w:val="EndnoteText"/>
              <w:widowControl w:val="0"/>
              <w:rPr>
                <w:color w:val="000000"/>
              </w:rPr>
            </w:pPr>
            <w:r w:rsidRPr="00654EF1">
              <w:rPr>
                <w:color w:val="000000"/>
              </w:rPr>
              <w:t>Triple IT therapy (age-adjusted): days 1 and 22</w:t>
            </w:r>
          </w:p>
          <w:p w14:paraId="1B680218" w14:textId="77777777" w:rsidR="00505F51" w:rsidRPr="00654EF1" w:rsidRDefault="00505F51"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22</w:t>
            </w:r>
            <w:r w:rsidRPr="00654EF1">
              <w:rPr>
                <w:color w:val="000000"/>
              </w:rPr>
              <w:noBreakHyphen/>
              <w:t>26</w:t>
            </w:r>
          </w:p>
          <w:p w14:paraId="1B680219" w14:textId="77777777" w:rsidR="00505F51" w:rsidRPr="00654EF1" w:rsidRDefault="00505F51"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/day, IV): days 22</w:t>
            </w:r>
            <w:r w:rsidRPr="00654EF1">
              <w:rPr>
                <w:color w:val="000000"/>
              </w:rPr>
              <w:noBreakHyphen/>
              <w:t>26</w:t>
            </w:r>
          </w:p>
          <w:p w14:paraId="1B68021A" w14:textId="77777777" w:rsidR="00505F51" w:rsidRPr="00654EF1" w:rsidRDefault="00505F51" w:rsidP="001D5C8C">
            <w:pPr>
              <w:pStyle w:val="EndnoteText"/>
              <w:widowControl w:val="0"/>
              <w:rPr>
                <w:color w:val="000000"/>
              </w:rPr>
            </w:pPr>
            <w:r w:rsidRPr="00654EF1">
              <w:rPr>
                <w:color w:val="000000"/>
              </w:rPr>
              <w:t>MESNA (150 mg/m</w:t>
            </w:r>
            <w:r w:rsidRPr="00654EF1">
              <w:rPr>
                <w:color w:val="000000"/>
                <w:vertAlign w:val="superscript"/>
              </w:rPr>
              <w:t>2</w:t>
            </w:r>
            <w:r w:rsidRPr="00654EF1">
              <w:rPr>
                <w:color w:val="000000"/>
              </w:rPr>
              <w:t>/day, IV): days 22</w:t>
            </w:r>
            <w:r w:rsidRPr="00654EF1">
              <w:rPr>
                <w:color w:val="000000"/>
              </w:rPr>
              <w:noBreakHyphen/>
              <w:t>26</w:t>
            </w:r>
          </w:p>
          <w:p w14:paraId="1B68021B" w14:textId="77777777" w:rsidR="00505F51" w:rsidRPr="00654EF1" w:rsidRDefault="00505F51" w:rsidP="001D5C8C">
            <w:pPr>
              <w:pStyle w:val="EndnoteText"/>
              <w:widowControl w:val="0"/>
              <w:rPr>
                <w:color w:val="000000"/>
              </w:rPr>
            </w:pPr>
            <w:r w:rsidRPr="00654EF1">
              <w:rPr>
                <w:color w:val="000000"/>
              </w:rPr>
              <w:t>G-CSF (5 μg/kg, SC): days 27-36 or until ANC &gt; 1500 post nadir</w:t>
            </w:r>
          </w:p>
          <w:p w14:paraId="1B68021C" w14:textId="77777777" w:rsidR="00505F51" w:rsidRPr="00280050" w:rsidRDefault="00505F51" w:rsidP="001D5C8C">
            <w:pPr>
              <w:pStyle w:val="EndnoteText"/>
              <w:widowControl w:val="0"/>
              <w:rPr>
                <w:color w:val="000000"/>
                <w:lang w:val="pt-PT"/>
              </w:rPr>
            </w:pPr>
            <w:r w:rsidRPr="00280050">
              <w:rPr>
                <w:color w:val="000000"/>
                <w:lang w:val="pt-PT"/>
              </w:rPr>
              <w:t>ARA-C (3 g/m</w:t>
            </w:r>
            <w:r w:rsidRPr="00280050">
              <w:rPr>
                <w:color w:val="000000"/>
                <w:vertAlign w:val="superscript"/>
                <w:lang w:val="pt-PT"/>
              </w:rPr>
              <w:t>2</w:t>
            </w:r>
            <w:r w:rsidRPr="00280050">
              <w:rPr>
                <w:color w:val="000000"/>
                <w:lang w:val="pt-PT"/>
              </w:rPr>
              <w:t>, q12h, IV): days 43, 44</w:t>
            </w:r>
          </w:p>
          <w:p w14:paraId="1B68021D" w14:textId="77777777" w:rsidR="00505F51" w:rsidRPr="00654EF1" w:rsidRDefault="00505F51" w:rsidP="001D5C8C">
            <w:pPr>
              <w:pStyle w:val="EndnoteText"/>
              <w:widowControl w:val="0"/>
              <w:rPr>
                <w:color w:val="000000"/>
              </w:rPr>
            </w:pPr>
            <w:r w:rsidRPr="00654EF1">
              <w:rPr>
                <w:color w:val="000000"/>
              </w:rPr>
              <w:t>L-ASP (6000 IUnits/m</w:t>
            </w:r>
            <w:r w:rsidRPr="00654EF1">
              <w:rPr>
                <w:color w:val="000000"/>
                <w:vertAlign w:val="superscript"/>
              </w:rPr>
              <w:t>2</w:t>
            </w:r>
            <w:r w:rsidRPr="00654EF1">
              <w:rPr>
                <w:color w:val="000000"/>
              </w:rPr>
              <w:t>, IM): day 44</w:t>
            </w:r>
          </w:p>
        </w:tc>
      </w:tr>
      <w:tr w:rsidR="00505F51" w:rsidRPr="00654EF1" w14:paraId="1B680228" w14:textId="77777777" w:rsidTr="00260628">
        <w:trPr>
          <w:cantSplit/>
        </w:trPr>
        <w:tc>
          <w:tcPr>
            <w:tcW w:w="2358" w:type="dxa"/>
            <w:shd w:val="clear" w:color="auto" w:fill="auto"/>
          </w:tcPr>
          <w:p w14:paraId="1B68021F" w14:textId="77777777" w:rsidR="00505F51" w:rsidRPr="00654EF1" w:rsidRDefault="00505F51" w:rsidP="001D5C8C">
            <w:pPr>
              <w:pStyle w:val="EndnoteText"/>
              <w:widowControl w:val="0"/>
              <w:rPr>
                <w:color w:val="000000"/>
              </w:rPr>
            </w:pPr>
            <w:r w:rsidRPr="00654EF1">
              <w:rPr>
                <w:color w:val="000000"/>
              </w:rPr>
              <w:t>Reinduction block 2</w:t>
            </w:r>
          </w:p>
          <w:p w14:paraId="1B680220" w14:textId="77777777" w:rsidR="00505F51" w:rsidRPr="00654EF1" w:rsidRDefault="00505F51" w:rsidP="001D5C8C">
            <w:pPr>
              <w:pStyle w:val="EndnoteText"/>
              <w:widowControl w:val="0"/>
              <w:rPr>
                <w:color w:val="000000"/>
              </w:rPr>
            </w:pPr>
            <w:r w:rsidRPr="00654EF1">
              <w:rPr>
                <w:color w:val="000000"/>
              </w:rPr>
              <w:t>(3 weeks)</w:t>
            </w:r>
          </w:p>
        </w:tc>
        <w:tc>
          <w:tcPr>
            <w:tcW w:w="6929" w:type="dxa"/>
            <w:shd w:val="clear" w:color="auto" w:fill="auto"/>
          </w:tcPr>
          <w:p w14:paraId="1B680221" w14:textId="77777777" w:rsidR="00505F51" w:rsidRPr="00654EF1" w:rsidRDefault="00505F51"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8 and 15</w:t>
            </w:r>
          </w:p>
          <w:p w14:paraId="1B680222" w14:textId="77777777" w:rsidR="00505F51" w:rsidRPr="00654EF1" w:rsidRDefault="00505F51" w:rsidP="001D5C8C">
            <w:pPr>
              <w:pStyle w:val="EndnoteText"/>
              <w:widowControl w:val="0"/>
              <w:rPr>
                <w:color w:val="000000"/>
              </w:rPr>
            </w:pPr>
            <w:r w:rsidRPr="00654EF1">
              <w:rPr>
                <w:color w:val="000000"/>
              </w:rPr>
              <w:t>DAUN (45 mg/m</w:t>
            </w:r>
            <w:r w:rsidRPr="00654EF1">
              <w:rPr>
                <w:color w:val="000000"/>
                <w:vertAlign w:val="superscript"/>
              </w:rPr>
              <w:t>2</w:t>
            </w:r>
            <w:r w:rsidRPr="00654EF1">
              <w:rPr>
                <w:color w:val="000000"/>
              </w:rPr>
              <w:t>/day bolus, IV): days 1 and 2</w:t>
            </w:r>
          </w:p>
          <w:p w14:paraId="1B680223" w14:textId="77777777" w:rsidR="00505F51" w:rsidRPr="00654EF1" w:rsidRDefault="00505F51" w:rsidP="001D5C8C">
            <w:pPr>
              <w:pStyle w:val="EndnoteText"/>
              <w:widowControl w:val="0"/>
              <w:rPr>
                <w:color w:val="000000"/>
              </w:rPr>
            </w:pPr>
            <w:r w:rsidRPr="00654EF1">
              <w:rPr>
                <w:color w:val="000000"/>
              </w:rPr>
              <w:t>CPM (250 mg/m</w:t>
            </w:r>
            <w:r w:rsidRPr="00654EF1">
              <w:rPr>
                <w:color w:val="000000"/>
                <w:vertAlign w:val="superscript"/>
              </w:rPr>
              <w:t>2</w:t>
            </w:r>
            <w:r w:rsidRPr="00654EF1">
              <w:rPr>
                <w:color w:val="000000"/>
              </w:rPr>
              <w:t>/dose q12h x 4 doses, iv): Days 3 and 4</w:t>
            </w:r>
          </w:p>
          <w:p w14:paraId="1B680224" w14:textId="77777777" w:rsidR="00505F51" w:rsidRPr="00654EF1" w:rsidRDefault="00505F51" w:rsidP="001D5C8C">
            <w:pPr>
              <w:pStyle w:val="EndnoteText"/>
              <w:widowControl w:val="0"/>
              <w:rPr>
                <w:color w:val="000000"/>
              </w:rPr>
            </w:pPr>
            <w:r w:rsidRPr="00654EF1">
              <w:rPr>
                <w:color w:val="000000"/>
              </w:rPr>
              <w:t>PEG-ASP (2500 IUnits/m</w:t>
            </w:r>
            <w:r w:rsidRPr="00654EF1">
              <w:rPr>
                <w:color w:val="000000"/>
                <w:vertAlign w:val="superscript"/>
              </w:rPr>
              <w:t>2</w:t>
            </w:r>
            <w:r w:rsidRPr="00654EF1">
              <w:rPr>
                <w:color w:val="000000"/>
              </w:rPr>
              <w:t>, IM): day 4</w:t>
            </w:r>
          </w:p>
          <w:p w14:paraId="1B680225" w14:textId="77777777" w:rsidR="00505F51" w:rsidRPr="00654EF1" w:rsidRDefault="00505F51" w:rsidP="001D5C8C">
            <w:pPr>
              <w:pStyle w:val="EndnoteText"/>
              <w:widowControl w:val="0"/>
              <w:rPr>
                <w:color w:val="000000"/>
              </w:rPr>
            </w:pPr>
            <w:r w:rsidRPr="00654EF1">
              <w:rPr>
                <w:color w:val="000000"/>
              </w:rPr>
              <w:t>G-CSF (5 μg/kg, SC): days 5-14 or until ANC &gt; 1500 post nadir</w:t>
            </w:r>
          </w:p>
          <w:p w14:paraId="1B680226" w14:textId="77777777" w:rsidR="00505F51" w:rsidRPr="00654EF1" w:rsidRDefault="00505F51" w:rsidP="001D5C8C">
            <w:pPr>
              <w:pStyle w:val="EndnoteText"/>
              <w:widowControl w:val="0"/>
              <w:rPr>
                <w:color w:val="000000"/>
              </w:rPr>
            </w:pPr>
            <w:r w:rsidRPr="00654EF1">
              <w:rPr>
                <w:color w:val="000000"/>
              </w:rPr>
              <w:t>Triple IT therapy (age-adjusted): days 1 and 15</w:t>
            </w:r>
          </w:p>
          <w:p w14:paraId="1B680227" w14:textId="77777777" w:rsidR="00505F51" w:rsidRPr="00654EF1" w:rsidRDefault="00505F51"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7 and 15</w:t>
            </w:r>
            <w:r w:rsidRPr="00654EF1">
              <w:rPr>
                <w:color w:val="000000"/>
              </w:rPr>
              <w:noBreakHyphen/>
              <w:t>21</w:t>
            </w:r>
          </w:p>
        </w:tc>
      </w:tr>
      <w:tr w:rsidR="00505F51" w:rsidRPr="00654EF1" w14:paraId="1B680234" w14:textId="77777777" w:rsidTr="00260628">
        <w:trPr>
          <w:cantSplit/>
        </w:trPr>
        <w:tc>
          <w:tcPr>
            <w:tcW w:w="2358" w:type="dxa"/>
            <w:shd w:val="clear" w:color="auto" w:fill="auto"/>
          </w:tcPr>
          <w:p w14:paraId="1B680229" w14:textId="77777777" w:rsidR="00505F51" w:rsidRPr="00654EF1" w:rsidRDefault="00505F51" w:rsidP="001D5C8C">
            <w:pPr>
              <w:pStyle w:val="EndnoteText"/>
              <w:widowControl w:val="0"/>
              <w:rPr>
                <w:color w:val="000000"/>
              </w:rPr>
            </w:pPr>
            <w:r w:rsidRPr="00654EF1">
              <w:rPr>
                <w:color w:val="000000"/>
              </w:rPr>
              <w:t>Intensification block 2</w:t>
            </w:r>
          </w:p>
          <w:p w14:paraId="1B68022A" w14:textId="77777777" w:rsidR="00505F51" w:rsidRPr="00654EF1" w:rsidRDefault="00505F51" w:rsidP="001D5C8C">
            <w:pPr>
              <w:pStyle w:val="EndnoteText"/>
              <w:widowControl w:val="0"/>
              <w:rPr>
                <w:color w:val="000000"/>
              </w:rPr>
            </w:pPr>
            <w:r w:rsidRPr="00654EF1">
              <w:rPr>
                <w:color w:val="000000"/>
              </w:rPr>
              <w:t>(9 weeks)</w:t>
            </w:r>
          </w:p>
        </w:tc>
        <w:tc>
          <w:tcPr>
            <w:tcW w:w="6929" w:type="dxa"/>
            <w:shd w:val="clear" w:color="auto" w:fill="auto"/>
          </w:tcPr>
          <w:p w14:paraId="1B68022B" w14:textId="77777777" w:rsidR="00505F51" w:rsidRPr="00654EF1" w:rsidRDefault="00505F51"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days 1 and 15</w:t>
            </w:r>
          </w:p>
          <w:p w14:paraId="1B68022C" w14:textId="77777777" w:rsidR="00505F51" w:rsidRPr="00654EF1" w:rsidRDefault="00505F51"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3, 16, and 17</w:t>
            </w:r>
          </w:p>
          <w:p w14:paraId="1B68022D" w14:textId="77777777" w:rsidR="00505F51" w:rsidRPr="00654EF1" w:rsidRDefault="00505F51" w:rsidP="001D5C8C">
            <w:pPr>
              <w:pStyle w:val="EndnoteText"/>
              <w:widowControl w:val="0"/>
              <w:rPr>
                <w:color w:val="000000"/>
              </w:rPr>
            </w:pPr>
            <w:r w:rsidRPr="00654EF1">
              <w:rPr>
                <w:color w:val="000000"/>
              </w:rPr>
              <w:t>Triple IT therapy (age-adjusted): days 1 and 22</w:t>
            </w:r>
          </w:p>
          <w:p w14:paraId="1B68022E" w14:textId="77777777" w:rsidR="00505F51" w:rsidRPr="00654EF1" w:rsidRDefault="00505F51"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22</w:t>
            </w:r>
            <w:r w:rsidRPr="00654EF1">
              <w:rPr>
                <w:color w:val="000000"/>
              </w:rPr>
              <w:noBreakHyphen/>
              <w:t>26</w:t>
            </w:r>
          </w:p>
          <w:p w14:paraId="1B68022F" w14:textId="77777777" w:rsidR="00505F51" w:rsidRPr="00654EF1" w:rsidRDefault="00505F51"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/day, IV): days 22</w:t>
            </w:r>
            <w:r w:rsidRPr="00654EF1">
              <w:rPr>
                <w:color w:val="000000"/>
              </w:rPr>
              <w:noBreakHyphen/>
              <w:t>26</w:t>
            </w:r>
          </w:p>
          <w:p w14:paraId="1B680230" w14:textId="77777777" w:rsidR="00505F51" w:rsidRPr="00654EF1" w:rsidRDefault="00505F51" w:rsidP="001D5C8C">
            <w:pPr>
              <w:pStyle w:val="EndnoteText"/>
              <w:widowControl w:val="0"/>
              <w:rPr>
                <w:color w:val="000000"/>
              </w:rPr>
            </w:pPr>
            <w:r w:rsidRPr="00654EF1">
              <w:rPr>
                <w:color w:val="000000"/>
              </w:rPr>
              <w:t>MESNA (150 mg/m</w:t>
            </w:r>
            <w:r w:rsidRPr="00654EF1">
              <w:rPr>
                <w:color w:val="000000"/>
                <w:vertAlign w:val="superscript"/>
              </w:rPr>
              <w:t>2</w:t>
            </w:r>
            <w:r w:rsidRPr="00654EF1">
              <w:rPr>
                <w:color w:val="000000"/>
              </w:rPr>
              <w:t>/day, IV): days 22</w:t>
            </w:r>
            <w:r w:rsidRPr="00654EF1">
              <w:rPr>
                <w:color w:val="000000"/>
              </w:rPr>
              <w:noBreakHyphen/>
              <w:t>26</w:t>
            </w:r>
          </w:p>
          <w:p w14:paraId="1B680231" w14:textId="77777777" w:rsidR="00505F51" w:rsidRPr="00654EF1" w:rsidRDefault="00505F51" w:rsidP="001D5C8C">
            <w:pPr>
              <w:pStyle w:val="EndnoteText"/>
              <w:widowControl w:val="0"/>
              <w:rPr>
                <w:color w:val="000000"/>
              </w:rPr>
            </w:pPr>
            <w:r w:rsidRPr="00654EF1">
              <w:rPr>
                <w:color w:val="000000"/>
              </w:rPr>
              <w:t>G-CSF (5 μg/kg, SC): days 27</w:t>
            </w:r>
            <w:r w:rsidRPr="00654EF1">
              <w:rPr>
                <w:color w:val="000000"/>
              </w:rPr>
              <w:noBreakHyphen/>
              <w:t>36 or until ANC &gt; 1500 post nadir</w:t>
            </w:r>
          </w:p>
          <w:p w14:paraId="1B680232" w14:textId="77777777" w:rsidR="00505F51" w:rsidRPr="00280050" w:rsidRDefault="00505F51" w:rsidP="001D5C8C">
            <w:pPr>
              <w:pStyle w:val="EndnoteText"/>
              <w:widowControl w:val="0"/>
              <w:rPr>
                <w:color w:val="000000"/>
                <w:lang w:val="pt-PT"/>
              </w:rPr>
            </w:pPr>
            <w:r w:rsidRPr="00280050">
              <w:rPr>
                <w:color w:val="000000"/>
                <w:lang w:val="pt-PT"/>
              </w:rPr>
              <w:t>ARA-C (3 g/m</w:t>
            </w:r>
            <w:r w:rsidRPr="00280050">
              <w:rPr>
                <w:color w:val="000000"/>
                <w:vertAlign w:val="superscript"/>
                <w:lang w:val="pt-PT"/>
              </w:rPr>
              <w:t>2</w:t>
            </w:r>
            <w:r w:rsidRPr="00280050">
              <w:rPr>
                <w:color w:val="000000"/>
                <w:lang w:val="pt-PT"/>
              </w:rPr>
              <w:t>, q12h, IV): days 43, 44</w:t>
            </w:r>
          </w:p>
          <w:p w14:paraId="1B680233" w14:textId="77777777" w:rsidR="00505F51" w:rsidRPr="00654EF1" w:rsidRDefault="00505F51" w:rsidP="001D5C8C">
            <w:pPr>
              <w:pStyle w:val="EndnoteText"/>
              <w:widowControl w:val="0"/>
              <w:rPr>
                <w:color w:val="000000"/>
              </w:rPr>
            </w:pPr>
            <w:r w:rsidRPr="00654EF1">
              <w:rPr>
                <w:color w:val="000000"/>
              </w:rPr>
              <w:t>L-ASP (6000 IUnits/m</w:t>
            </w:r>
            <w:r w:rsidRPr="00654EF1">
              <w:rPr>
                <w:color w:val="000000"/>
                <w:vertAlign w:val="superscript"/>
              </w:rPr>
              <w:t>2</w:t>
            </w:r>
            <w:r w:rsidRPr="00654EF1">
              <w:rPr>
                <w:color w:val="000000"/>
              </w:rPr>
              <w:t>, IM): day 44</w:t>
            </w:r>
          </w:p>
        </w:tc>
      </w:tr>
      <w:tr w:rsidR="00505F51" w:rsidRPr="00654EF1" w14:paraId="1B680243" w14:textId="77777777" w:rsidTr="00260628">
        <w:trPr>
          <w:cantSplit/>
        </w:trPr>
        <w:tc>
          <w:tcPr>
            <w:tcW w:w="2358" w:type="dxa"/>
            <w:shd w:val="clear" w:color="auto" w:fill="auto"/>
          </w:tcPr>
          <w:p w14:paraId="1B680235" w14:textId="77777777" w:rsidR="00505F51" w:rsidRPr="00654EF1" w:rsidRDefault="00505F51" w:rsidP="001D5C8C">
            <w:pPr>
              <w:pStyle w:val="EndnoteText"/>
              <w:widowControl w:val="0"/>
              <w:rPr>
                <w:color w:val="000000"/>
              </w:rPr>
            </w:pPr>
            <w:r w:rsidRPr="00654EF1">
              <w:rPr>
                <w:color w:val="000000"/>
              </w:rPr>
              <w:lastRenderedPageBreak/>
              <w:t>Maintenance</w:t>
            </w:r>
          </w:p>
          <w:p w14:paraId="1B680236" w14:textId="77777777" w:rsidR="00505F51" w:rsidRPr="00654EF1" w:rsidRDefault="00505F51" w:rsidP="001D5C8C">
            <w:pPr>
              <w:pStyle w:val="EndnoteText"/>
              <w:widowControl w:val="0"/>
              <w:rPr>
                <w:color w:val="000000"/>
              </w:rPr>
            </w:pPr>
            <w:r w:rsidRPr="00654EF1">
              <w:rPr>
                <w:color w:val="000000"/>
              </w:rPr>
              <w:t>(8-week cycles)</w:t>
            </w:r>
          </w:p>
          <w:p w14:paraId="1B680237" w14:textId="77777777" w:rsidR="00505F51" w:rsidRPr="00654EF1" w:rsidRDefault="00505F51" w:rsidP="001D5C8C">
            <w:pPr>
              <w:pStyle w:val="EndnoteText"/>
              <w:widowControl w:val="0"/>
              <w:rPr>
                <w:color w:val="000000"/>
              </w:rPr>
            </w:pPr>
            <w:r w:rsidRPr="00654EF1">
              <w:rPr>
                <w:color w:val="000000"/>
              </w:rPr>
              <w:t>Cycles 1–4</w:t>
            </w:r>
          </w:p>
        </w:tc>
        <w:tc>
          <w:tcPr>
            <w:tcW w:w="6929" w:type="dxa"/>
            <w:shd w:val="clear" w:color="auto" w:fill="auto"/>
          </w:tcPr>
          <w:p w14:paraId="1B680238" w14:textId="77777777" w:rsidR="00505F51" w:rsidRPr="00654EF1" w:rsidRDefault="00505F51" w:rsidP="001D5C8C">
            <w:pPr>
              <w:pStyle w:val="EndnoteText"/>
              <w:widowControl w:val="0"/>
              <w:rPr>
                <w:color w:val="000000"/>
              </w:rPr>
            </w:pPr>
            <w:r w:rsidRPr="00654EF1">
              <w:rPr>
                <w:color w:val="000000"/>
              </w:rPr>
              <w:t>MTX (5 g/m</w:t>
            </w:r>
            <w:r w:rsidRPr="00654EF1">
              <w:rPr>
                <w:color w:val="000000"/>
                <w:vertAlign w:val="superscript"/>
              </w:rPr>
              <w:t>2</w:t>
            </w:r>
            <w:r w:rsidRPr="00654EF1">
              <w:rPr>
                <w:color w:val="000000"/>
              </w:rPr>
              <w:t xml:space="preserve"> over 24 hours, IV): day 1</w:t>
            </w:r>
          </w:p>
          <w:p w14:paraId="1B680239" w14:textId="77777777" w:rsidR="00505F51" w:rsidRPr="00654EF1" w:rsidRDefault="00505F51"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and 3</w:t>
            </w:r>
          </w:p>
          <w:p w14:paraId="1B68023A" w14:textId="77777777" w:rsidR="00505F51" w:rsidRPr="00654EF1" w:rsidRDefault="00505F51" w:rsidP="001D5C8C">
            <w:pPr>
              <w:pStyle w:val="EndnoteText"/>
              <w:widowControl w:val="0"/>
              <w:rPr>
                <w:color w:val="000000"/>
              </w:rPr>
            </w:pPr>
            <w:r w:rsidRPr="00654EF1">
              <w:rPr>
                <w:color w:val="000000"/>
              </w:rPr>
              <w:t>Triple IT therapy (age-adjusted): days 1, 29</w:t>
            </w:r>
          </w:p>
          <w:p w14:paraId="1B68023B" w14:textId="77777777" w:rsidR="00505F51" w:rsidRPr="00654EF1" w:rsidRDefault="00505F51"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 IV): days 1, 29</w:t>
            </w:r>
          </w:p>
          <w:p w14:paraId="1B68023C" w14:textId="77777777" w:rsidR="00505F51" w:rsidRPr="00654EF1" w:rsidRDefault="00505F51"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23D" w14:textId="77777777" w:rsidR="00505F51" w:rsidRPr="00654EF1" w:rsidRDefault="00505F51" w:rsidP="001D5C8C">
            <w:pPr>
              <w:pStyle w:val="EndnoteText"/>
              <w:widowControl w:val="0"/>
              <w:rPr>
                <w:color w:val="000000"/>
              </w:rPr>
            </w:pPr>
            <w:r w:rsidRPr="00654EF1">
              <w:rPr>
                <w:color w:val="000000"/>
              </w:rPr>
              <w:t>6-MP (75 mg/m</w:t>
            </w:r>
            <w:r w:rsidRPr="00654EF1">
              <w:rPr>
                <w:color w:val="000000"/>
                <w:vertAlign w:val="superscript"/>
              </w:rPr>
              <w:t>2</w:t>
            </w:r>
            <w:r w:rsidRPr="00654EF1">
              <w:rPr>
                <w:color w:val="000000"/>
              </w:rPr>
              <w:t>/day, PO): days 8-28</w:t>
            </w:r>
          </w:p>
          <w:p w14:paraId="1B68023E" w14:textId="77777777" w:rsidR="00505F51" w:rsidRPr="00654EF1" w:rsidRDefault="00505F51" w:rsidP="001D5C8C">
            <w:pPr>
              <w:pStyle w:val="EndnoteText"/>
              <w:widowControl w:val="0"/>
              <w:rPr>
                <w:color w:val="000000"/>
              </w:rPr>
            </w:pPr>
            <w:r w:rsidRPr="00654EF1">
              <w:rPr>
                <w:color w:val="000000"/>
              </w:rPr>
              <w:t>Methotrexate (20 mg/m</w:t>
            </w:r>
            <w:r w:rsidRPr="00654EF1">
              <w:rPr>
                <w:color w:val="000000"/>
                <w:vertAlign w:val="superscript"/>
              </w:rPr>
              <w:t>2</w:t>
            </w:r>
            <w:r w:rsidRPr="00654EF1">
              <w:rPr>
                <w:color w:val="000000"/>
              </w:rPr>
              <w:t>/week, PO): days 8, 15, 22</w:t>
            </w:r>
          </w:p>
          <w:p w14:paraId="1B68023F" w14:textId="77777777" w:rsidR="00505F51" w:rsidRPr="00654EF1" w:rsidRDefault="00505F51"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 IV): days 29</w:t>
            </w:r>
            <w:r w:rsidRPr="00654EF1">
              <w:rPr>
                <w:color w:val="000000"/>
              </w:rPr>
              <w:noBreakHyphen/>
              <w:t>33</w:t>
            </w:r>
          </w:p>
          <w:p w14:paraId="1B680240" w14:textId="77777777" w:rsidR="00505F51" w:rsidRPr="00654EF1" w:rsidRDefault="00505F51"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 IV): days 29</w:t>
            </w:r>
            <w:r w:rsidRPr="00654EF1">
              <w:rPr>
                <w:color w:val="000000"/>
              </w:rPr>
              <w:noBreakHyphen/>
              <w:t>33</w:t>
            </w:r>
          </w:p>
          <w:p w14:paraId="1B680241" w14:textId="77777777" w:rsidR="00505F51" w:rsidRPr="00654EF1" w:rsidRDefault="00505F51" w:rsidP="001D5C8C">
            <w:pPr>
              <w:pStyle w:val="EndnoteText"/>
              <w:widowControl w:val="0"/>
              <w:rPr>
                <w:color w:val="000000"/>
              </w:rPr>
            </w:pPr>
            <w:r w:rsidRPr="00654EF1">
              <w:rPr>
                <w:color w:val="000000"/>
              </w:rPr>
              <w:t>M</w:t>
            </w:r>
            <w:r w:rsidR="004B2BC2" w:rsidRPr="00654EF1">
              <w:rPr>
                <w:color w:val="000000"/>
              </w:rPr>
              <w:t>ESNA</w:t>
            </w:r>
            <w:r w:rsidRPr="00654EF1">
              <w:rPr>
                <w:color w:val="000000"/>
              </w:rPr>
              <w:t xml:space="preserve"> IV days 29</w:t>
            </w:r>
            <w:r w:rsidRPr="00654EF1">
              <w:rPr>
                <w:color w:val="000000"/>
              </w:rPr>
              <w:noBreakHyphen/>
              <w:t>33</w:t>
            </w:r>
          </w:p>
          <w:p w14:paraId="1B680242" w14:textId="77777777" w:rsidR="00505F51" w:rsidRPr="00654EF1" w:rsidRDefault="00505F51" w:rsidP="001D5C8C">
            <w:pPr>
              <w:pStyle w:val="EndnoteText"/>
              <w:widowControl w:val="0"/>
              <w:rPr>
                <w:color w:val="000000"/>
              </w:rPr>
            </w:pPr>
            <w:r w:rsidRPr="00654EF1">
              <w:rPr>
                <w:color w:val="000000"/>
              </w:rPr>
              <w:t>G-CSF (5 μg/kg, SC): days 34</w:t>
            </w:r>
            <w:r w:rsidRPr="00654EF1">
              <w:rPr>
                <w:color w:val="000000"/>
              </w:rPr>
              <w:noBreakHyphen/>
              <w:t>43</w:t>
            </w:r>
          </w:p>
        </w:tc>
      </w:tr>
      <w:tr w:rsidR="00505F51" w:rsidRPr="00654EF1" w14:paraId="1B68024E" w14:textId="77777777" w:rsidTr="00260628">
        <w:trPr>
          <w:cantSplit/>
        </w:trPr>
        <w:tc>
          <w:tcPr>
            <w:tcW w:w="2358" w:type="dxa"/>
            <w:shd w:val="clear" w:color="auto" w:fill="auto"/>
          </w:tcPr>
          <w:p w14:paraId="1B680244" w14:textId="77777777" w:rsidR="00505F51" w:rsidRPr="00654EF1" w:rsidRDefault="00505F51" w:rsidP="001D5C8C">
            <w:pPr>
              <w:pStyle w:val="EndnoteText"/>
              <w:widowControl w:val="0"/>
              <w:rPr>
                <w:color w:val="000000"/>
              </w:rPr>
            </w:pPr>
            <w:r w:rsidRPr="00654EF1">
              <w:rPr>
                <w:color w:val="000000"/>
              </w:rPr>
              <w:t>Maintenance</w:t>
            </w:r>
          </w:p>
          <w:p w14:paraId="1B680245" w14:textId="77777777" w:rsidR="00505F51" w:rsidRPr="00654EF1" w:rsidRDefault="00505F51" w:rsidP="001D5C8C">
            <w:pPr>
              <w:pStyle w:val="EndnoteText"/>
              <w:widowControl w:val="0"/>
              <w:rPr>
                <w:color w:val="000000"/>
              </w:rPr>
            </w:pPr>
            <w:r w:rsidRPr="00654EF1">
              <w:rPr>
                <w:color w:val="000000"/>
              </w:rPr>
              <w:t>(8-week cycles)</w:t>
            </w:r>
          </w:p>
          <w:p w14:paraId="1B680246" w14:textId="77777777" w:rsidR="00505F51" w:rsidRPr="00654EF1" w:rsidRDefault="00505F51" w:rsidP="001D5C8C">
            <w:pPr>
              <w:pStyle w:val="EndnoteText"/>
              <w:widowControl w:val="0"/>
              <w:rPr>
                <w:color w:val="000000"/>
              </w:rPr>
            </w:pPr>
            <w:r w:rsidRPr="00654EF1">
              <w:rPr>
                <w:color w:val="000000"/>
              </w:rPr>
              <w:t>Cycle 5</w:t>
            </w:r>
          </w:p>
        </w:tc>
        <w:tc>
          <w:tcPr>
            <w:tcW w:w="6929" w:type="dxa"/>
            <w:shd w:val="clear" w:color="auto" w:fill="auto"/>
          </w:tcPr>
          <w:p w14:paraId="1B680247" w14:textId="77777777" w:rsidR="00505F51" w:rsidRPr="00654EF1" w:rsidRDefault="00505F51" w:rsidP="001D5C8C">
            <w:pPr>
              <w:pStyle w:val="EndnoteText"/>
              <w:widowControl w:val="0"/>
              <w:rPr>
                <w:color w:val="000000"/>
              </w:rPr>
            </w:pPr>
            <w:r w:rsidRPr="00654EF1">
              <w:rPr>
                <w:color w:val="000000"/>
              </w:rPr>
              <w:t>Cranial irradiation (Block 5 only)</w:t>
            </w:r>
          </w:p>
          <w:p w14:paraId="1B680248" w14:textId="77777777" w:rsidR="00505F51" w:rsidRPr="00654EF1" w:rsidRDefault="00505F51" w:rsidP="001D5C8C">
            <w:pPr>
              <w:pStyle w:val="EndnoteText"/>
              <w:widowControl w:val="0"/>
              <w:rPr>
                <w:color w:val="000000"/>
              </w:rPr>
            </w:pPr>
            <w:r w:rsidRPr="00654EF1">
              <w:rPr>
                <w:color w:val="000000"/>
              </w:rPr>
              <w:t>12 Gy in 8 fractions for all patients that are CNS1 and CNS2 at diagnosis</w:t>
            </w:r>
          </w:p>
          <w:p w14:paraId="1B680249" w14:textId="77777777" w:rsidR="00505F51" w:rsidRPr="00654EF1" w:rsidRDefault="00505F51" w:rsidP="001D5C8C">
            <w:pPr>
              <w:pStyle w:val="EndnoteText"/>
              <w:widowControl w:val="0"/>
              <w:rPr>
                <w:color w:val="000000"/>
              </w:rPr>
            </w:pPr>
            <w:r w:rsidRPr="00654EF1">
              <w:rPr>
                <w:color w:val="000000"/>
              </w:rPr>
              <w:t>18 Gy in 10 fractions for patients that are CNS3 at diagnosis</w:t>
            </w:r>
          </w:p>
          <w:p w14:paraId="1B68024A" w14:textId="77777777" w:rsidR="00505F51" w:rsidRPr="00654EF1" w:rsidRDefault="00505F51"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29</w:t>
            </w:r>
          </w:p>
          <w:p w14:paraId="1B68024B" w14:textId="77777777" w:rsidR="00505F51" w:rsidRPr="00654EF1" w:rsidRDefault="00505F51"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24C" w14:textId="77777777" w:rsidR="00505F51" w:rsidRPr="00654EF1" w:rsidRDefault="00505F51" w:rsidP="001D5C8C">
            <w:pPr>
              <w:pStyle w:val="EndnoteText"/>
              <w:widowControl w:val="0"/>
              <w:rPr>
                <w:color w:val="000000"/>
              </w:rPr>
            </w:pPr>
            <w:r w:rsidRPr="00654EF1">
              <w:rPr>
                <w:color w:val="000000"/>
              </w:rPr>
              <w:t>6-MP (75 mg/m</w:t>
            </w:r>
            <w:r w:rsidRPr="00654EF1">
              <w:rPr>
                <w:color w:val="000000"/>
                <w:vertAlign w:val="superscript"/>
              </w:rPr>
              <w:t>2</w:t>
            </w:r>
            <w:r w:rsidRPr="00654EF1">
              <w:rPr>
                <w:color w:val="000000"/>
              </w:rPr>
              <w:t>/day, PO): days 11</w:t>
            </w:r>
            <w:r w:rsidRPr="00654EF1">
              <w:rPr>
                <w:color w:val="000000"/>
              </w:rPr>
              <w:noBreakHyphen/>
              <w:t>56 (Withhold 6-MP during the 6</w:t>
            </w:r>
            <w:r w:rsidRPr="00654EF1">
              <w:rPr>
                <w:color w:val="000000"/>
              </w:rPr>
              <w:noBreakHyphen/>
              <w:t>10 days of cranial irradiation beginning on day 1 of Cycle 5. Start 6-MP the 1st day after cranial irradiation completion.)</w:t>
            </w:r>
          </w:p>
          <w:p w14:paraId="1B68024D" w14:textId="77777777" w:rsidR="00505F51" w:rsidRPr="00654EF1" w:rsidRDefault="00505F51" w:rsidP="001D5C8C">
            <w:pPr>
              <w:pStyle w:val="EndnoteText"/>
              <w:widowControl w:val="0"/>
              <w:rPr>
                <w:color w:val="000000"/>
              </w:rPr>
            </w:pPr>
            <w:r w:rsidRPr="00654EF1">
              <w:rPr>
                <w:color w:val="000000"/>
              </w:rPr>
              <w:t>Methotrexate (20 mg/m</w:t>
            </w:r>
            <w:r w:rsidRPr="00654EF1">
              <w:rPr>
                <w:color w:val="000000"/>
                <w:vertAlign w:val="superscript"/>
              </w:rPr>
              <w:t>2</w:t>
            </w:r>
            <w:r w:rsidRPr="00654EF1">
              <w:rPr>
                <w:color w:val="000000"/>
              </w:rPr>
              <w:t>/week, PO): days 8, 15, 22, 29, 36, 43, 50</w:t>
            </w:r>
          </w:p>
        </w:tc>
      </w:tr>
      <w:tr w:rsidR="00505F51" w:rsidRPr="00654EF1" w14:paraId="1B680256" w14:textId="77777777" w:rsidTr="00260628">
        <w:trPr>
          <w:cantSplit/>
        </w:trPr>
        <w:tc>
          <w:tcPr>
            <w:tcW w:w="2358" w:type="dxa"/>
            <w:shd w:val="clear" w:color="auto" w:fill="auto"/>
          </w:tcPr>
          <w:p w14:paraId="1B68024F" w14:textId="77777777" w:rsidR="00505F51" w:rsidRPr="00654EF1" w:rsidRDefault="00505F51" w:rsidP="001D5C8C">
            <w:pPr>
              <w:pStyle w:val="EndnoteText"/>
              <w:keepNext/>
              <w:widowControl w:val="0"/>
              <w:rPr>
                <w:color w:val="000000"/>
              </w:rPr>
            </w:pPr>
            <w:r w:rsidRPr="00654EF1">
              <w:rPr>
                <w:color w:val="000000"/>
              </w:rPr>
              <w:t>Maintenance</w:t>
            </w:r>
          </w:p>
          <w:p w14:paraId="1B680250" w14:textId="77777777" w:rsidR="00505F51" w:rsidRPr="00654EF1" w:rsidRDefault="00505F51" w:rsidP="001D5C8C">
            <w:pPr>
              <w:pStyle w:val="EndnoteText"/>
              <w:keepNext/>
              <w:widowControl w:val="0"/>
              <w:rPr>
                <w:color w:val="000000"/>
              </w:rPr>
            </w:pPr>
            <w:r w:rsidRPr="00654EF1">
              <w:rPr>
                <w:color w:val="000000"/>
              </w:rPr>
              <w:t>(8-week cycles)</w:t>
            </w:r>
          </w:p>
          <w:p w14:paraId="1B680251" w14:textId="77777777" w:rsidR="00505F51" w:rsidRPr="00654EF1" w:rsidRDefault="00505F51" w:rsidP="001D5C8C">
            <w:pPr>
              <w:pStyle w:val="EndnoteText"/>
              <w:keepNext/>
              <w:widowControl w:val="0"/>
              <w:rPr>
                <w:color w:val="000000"/>
              </w:rPr>
            </w:pPr>
            <w:r w:rsidRPr="00654EF1">
              <w:rPr>
                <w:color w:val="000000"/>
              </w:rPr>
              <w:t>Cycles 6</w:t>
            </w:r>
            <w:r w:rsidRPr="00654EF1">
              <w:rPr>
                <w:color w:val="000000"/>
              </w:rPr>
              <w:noBreakHyphen/>
              <w:t>12</w:t>
            </w:r>
          </w:p>
        </w:tc>
        <w:tc>
          <w:tcPr>
            <w:tcW w:w="6929" w:type="dxa"/>
            <w:shd w:val="clear" w:color="auto" w:fill="auto"/>
          </w:tcPr>
          <w:p w14:paraId="1B680252" w14:textId="77777777" w:rsidR="00505F51" w:rsidRPr="00654EF1" w:rsidRDefault="00505F51" w:rsidP="001D5C8C">
            <w:pPr>
              <w:pStyle w:val="EndnoteText"/>
              <w:keepNext/>
              <w:widowControl w:val="0"/>
              <w:rPr>
                <w:color w:val="000000"/>
              </w:rPr>
            </w:pPr>
            <w:r w:rsidRPr="00654EF1">
              <w:rPr>
                <w:color w:val="000000"/>
              </w:rPr>
              <w:t>VCR (1.5 mg/m</w:t>
            </w:r>
            <w:r w:rsidRPr="00654EF1">
              <w:rPr>
                <w:color w:val="000000"/>
                <w:vertAlign w:val="superscript"/>
              </w:rPr>
              <w:t>2</w:t>
            </w:r>
            <w:r w:rsidRPr="00654EF1">
              <w:rPr>
                <w:color w:val="000000"/>
              </w:rPr>
              <w:t>/day, IV): days 1, 29</w:t>
            </w:r>
          </w:p>
          <w:p w14:paraId="1B680253" w14:textId="77777777" w:rsidR="00505F51" w:rsidRPr="00654EF1" w:rsidRDefault="00505F51" w:rsidP="001D5C8C">
            <w:pPr>
              <w:pStyle w:val="EndnoteText"/>
              <w:keepN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254" w14:textId="77777777" w:rsidR="00505F51" w:rsidRPr="00654EF1" w:rsidRDefault="00505F51" w:rsidP="001D5C8C">
            <w:pPr>
              <w:pStyle w:val="EndnoteText"/>
              <w:keepNext/>
              <w:widowControl w:val="0"/>
              <w:rPr>
                <w:color w:val="000000"/>
              </w:rPr>
            </w:pPr>
            <w:r w:rsidRPr="00654EF1">
              <w:rPr>
                <w:color w:val="000000"/>
              </w:rPr>
              <w:t>6-MP (75 mg/m</w:t>
            </w:r>
            <w:r w:rsidRPr="00654EF1">
              <w:rPr>
                <w:color w:val="000000"/>
                <w:vertAlign w:val="superscript"/>
              </w:rPr>
              <w:t>2</w:t>
            </w:r>
            <w:r w:rsidRPr="00654EF1">
              <w:rPr>
                <w:color w:val="000000"/>
              </w:rPr>
              <w:t>/day, PO): days 1</w:t>
            </w:r>
            <w:r w:rsidRPr="00654EF1">
              <w:rPr>
                <w:color w:val="000000"/>
              </w:rPr>
              <w:noBreakHyphen/>
              <w:t>56</w:t>
            </w:r>
          </w:p>
          <w:p w14:paraId="1B680255" w14:textId="77777777" w:rsidR="00505F51" w:rsidRPr="00654EF1" w:rsidRDefault="00505F51" w:rsidP="001D5C8C">
            <w:pPr>
              <w:pStyle w:val="EndnoteText"/>
              <w:keepNext/>
              <w:widowControl w:val="0"/>
              <w:rPr>
                <w:color w:val="000000"/>
              </w:rPr>
            </w:pPr>
            <w:r w:rsidRPr="00654EF1">
              <w:rPr>
                <w:color w:val="000000"/>
              </w:rPr>
              <w:t>Methotrexate (20 mg/m</w:t>
            </w:r>
            <w:r w:rsidRPr="00654EF1">
              <w:rPr>
                <w:color w:val="000000"/>
                <w:vertAlign w:val="superscript"/>
              </w:rPr>
              <w:t>2</w:t>
            </w:r>
            <w:r w:rsidRPr="00654EF1">
              <w:rPr>
                <w:color w:val="000000"/>
              </w:rPr>
              <w:t>/week, PO): days 1, 8, 15, 22, 29, 36, 43, 50</w:t>
            </w:r>
          </w:p>
        </w:tc>
      </w:tr>
    </w:tbl>
    <w:p w14:paraId="1B680257" w14:textId="77777777" w:rsidR="00505F51" w:rsidRPr="00654EF1" w:rsidRDefault="00505F51" w:rsidP="005E7BE5">
      <w:pPr>
        <w:pStyle w:val="EndnoteText"/>
        <w:keepLines/>
        <w:widowControl w:val="0"/>
        <w:rPr>
          <w:color w:val="000000"/>
          <w:szCs w:val="22"/>
        </w:rPr>
      </w:pPr>
      <w:r w:rsidRPr="00654EF1">
        <w:rPr>
          <w:color w:val="000000"/>
          <w:szCs w:val="22"/>
        </w:rPr>
        <w:t>G-CSF = granulocyte colony stimulating factor, VP-16 = etoposide, MTX = methotrexate, IV = intravenous, SC = subcutaneous, IT = intrathecal, PO = oral, IM = intramuscular, ARA-C = cytarabine, CPM = cyclophosphamide, VCR = vincristine, DEX = dexamethasone, DAUN = daunorubicin, 6-MP = 6-mercaptopurine, E.Coli L-ASP = L-asparaginase, PEG-ASP = PEG asparaginase, MESNA= 2-mercaptoethane sulfonate sodium, iii= or until MTX level is &lt; 0.1 µM, q6h = every 6 hours, Gy= Gray</w:t>
      </w:r>
    </w:p>
    <w:p w14:paraId="1B680258" w14:textId="77777777" w:rsidR="00505F51" w:rsidRPr="00654EF1" w:rsidRDefault="00505F51" w:rsidP="001D5C8C">
      <w:pPr>
        <w:pStyle w:val="EndnoteText"/>
        <w:widowControl w:val="0"/>
        <w:jc w:val="both"/>
        <w:rPr>
          <w:color w:val="000000"/>
          <w:sz w:val="20"/>
        </w:rPr>
      </w:pPr>
    </w:p>
    <w:p w14:paraId="1B680259" w14:textId="77777777" w:rsidR="00505F51" w:rsidRPr="00654EF1" w:rsidRDefault="00505F51" w:rsidP="001D5C8C">
      <w:pPr>
        <w:pStyle w:val="EndnoteText"/>
        <w:widowControl w:val="0"/>
        <w:rPr>
          <w:color w:val="000000"/>
        </w:rPr>
      </w:pPr>
      <w:r w:rsidRPr="00654EF1">
        <w:rPr>
          <w:color w:val="000000"/>
          <w:szCs w:val="22"/>
        </w:rPr>
        <w:t xml:space="preserve">Study AIT07 was a multicentre, open-label, randomised, phase II/III study that included 128 patients (1 to &lt; 18 years) treated with imatinib in combination with chemotherapy. Safety data from this study </w:t>
      </w:r>
      <w:r w:rsidR="00025611" w:rsidRPr="00654EF1">
        <w:rPr>
          <w:color w:val="000000"/>
          <w:szCs w:val="22"/>
        </w:rPr>
        <w:t>seem to be in line with the</w:t>
      </w:r>
      <w:r w:rsidRPr="00654EF1">
        <w:rPr>
          <w:color w:val="000000"/>
          <w:szCs w:val="22"/>
        </w:rPr>
        <w:t xml:space="preserve"> safety profile of imatinib in Ph+ ALL patients.</w:t>
      </w:r>
    </w:p>
    <w:p w14:paraId="1B68025A" w14:textId="77777777" w:rsidR="00657FAB" w:rsidRPr="00654EF1" w:rsidRDefault="00657FAB" w:rsidP="001D5C8C">
      <w:pPr>
        <w:pStyle w:val="EndnoteText"/>
        <w:widowControl w:val="0"/>
        <w:rPr>
          <w:color w:val="000000"/>
          <w:szCs w:val="22"/>
        </w:rPr>
      </w:pPr>
    </w:p>
    <w:p w14:paraId="1B68025B" w14:textId="77777777" w:rsidR="00657FAB" w:rsidRPr="00654EF1" w:rsidRDefault="00657FAB" w:rsidP="001D5C8C">
      <w:pPr>
        <w:pStyle w:val="EndnoteText"/>
        <w:widowControl w:val="0"/>
        <w:rPr>
          <w:color w:val="000000"/>
          <w:szCs w:val="22"/>
          <w:lang w:val="en-US"/>
        </w:rPr>
      </w:pPr>
      <w:r w:rsidRPr="00654EF1">
        <w:rPr>
          <w:i/>
          <w:color w:val="000000"/>
          <w:szCs w:val="22"/>
        </w:rPr>
        <w:t xml:space="preserve">Relapsed/refractory Ph+ </w:t>
      </w:r>
      <w:smartTag w:uri="urn:schemas-microsoft-com:office:smarttags" w:element="stockticker">
        <w:r w:rsidRPr="00654EF1">
          <w:rPr>
            <w:i/>
            <w:color w:val="000000"/>
            <w:szCs w:val="22"/>
          </w:rPr>
          <w:t>ALL</w:t>
        </w:r>
      </w:smartTag>
      <w:r w:rsidRPr="00654EF1">
        <w:rPr>
          <w:i/>
          <w:color w:val="000000"/>
          <w:szCs w:val="22"/>
        </w:rPr>
        <w:t>:</w:t>
      </w:r>
      <w:r w:rsidRPr="00654EF1">
        <w:rPr>
          <w:color w:val="000000"/>
          <w:szCs w:val="22"/>
        </w:rPr>
        <w:t xml:space="preserve"> When imatinib was used as single agent in patients with relapsed/refractory Ph+ </w:t>
      </w:r>
      <w:smartTag w:uri="urn:schemas-microsoft-com:office:smarttags" w:element="stockticker">
        <w:r w:rsidRPr="00654EF1">
          <w:rPr>
            <w:color w:val="000000"/>
            <w:szCs w:val="22"/>
          </w:rPr>
          <w:t>ALL</w:t>
        </w:r>
      </w:smartTag>
      <w:r w:rsidRPr="00654EF1">
        <w:rPr>
          <w:color w:val="000000"/>
          <w:szCs w:val="22"/>
        </w:rPr>
        <w:t xml:space="preserve">, it resulted, in the 53 out of 411 patients evaluable for response, in a haematological response rate of 30% (9% complete) and a major cytogenetic response rate of 23%. (Of note, out of the 411 patients, 353 were treated in an expanded access program without primary response data collected.) The median time to progression in the overall population of 411 patients with relapsed/refractory Ph+ </w:t>
      </w:r>
      <w:smartTag w:uri="urn:schemas-microsoft-com:office:smarttags" w:element="stockticker">
        <w:r w:rsidRPr="00654EF1">
          <w:rPr>
            <w:color w:val="000000"/>
            <w:szCs w:val="22"/>
          </w:rPr>
          <w:t>ALL</w:t>
        </w:r>
      </w:smartTag>
      <w:r w:rsidRPr="00654EF1">
        <w:rPr>
          <w:color w:val="000000"/>
          <w:szCs w:val="22"/>
        </w:rPr>
        <w:t xml:space="preserve"> ranged from </w:t>
      </w:r>
      <w:smartTag w:uri="urn:schemas-microsoft-com:office:smarttags" w:element="time">
        <w:smartTagPr>
          <w:attr w:name="Hour" w:val="2"/>
          <w:attr w:name="Minute" w:val="0"/>
        </w:smartTagPr>
        <w:r w:rsidRPr="00654EF1">
          <w:rPr>
            <w:color w:val="000000"/>
            <w:szCs w:val="22"/>
          </w:rPr>
          <w:t>2.6</w:t>
        </w:r>
      </w:smartTag>
      <w:r w:rsidRPr="00654EF1">
        <w:rPr>
          <w:color w:val="000000"/>
          <w:szCs w:val="22"/>
        </w:rPr>
        <w:t xml:space="preserve"> to 3.1 months, and median overall survival in the 401 evaluable patients ranged from </w:t>
      </w:r>
      <w:smartTag w:uri="urn:schemas-microsoft-com:office:smarttags" w:element="time">
        <w:smartTagPr>
          <w:attr w:name="Hour" w:val="4"/>
          <w:attr w:name="Minute" w:val="0"/>
        </w:smartTagPr>
        <w:r w:rsidRPr="00654EF1">
          <w:rPr>
            <w:color w:val="000000"/>
            <w:szCs w:val="22"/>
          </w:rPr>
          <w:t>4.9</w:t>
        </w:r>
      </w:smartTag>
      <w:r w:rsidRPr="00654EF1">
        <w:rPr>
          <w:color w:val="000000"/>
          <w:szCs w:val="22"/>
        </w:rPr>
        <w:t xml:space="preserve"> to 9 months. The data was similar when re-analysed to include only those patients age 55 or older.</w:t>
      </w:r>
    </w:p>
    <w:p w14:paraId="1B68025C" w14:textId="77777777" w:rsidR="009B57ED" w:rsidRPr="00654EF1" w:rsidRDefault="009B57ED" w:rsidP="001D5C8C">
      <w:pPr>
        <w:pStyle w:val="EndnoteText"/>
        <w:widowControl w:val="0"/>
        <w:tabs>
          <w:tab w:val="clear" w:pos="567"/>
        </w:tabs>
        <w:rPr>
          <w:color w:val="000000"/>
          <w:szCs w:val="22"/>
          <w:lang w:val="en-US"/>
        </w:rPr>
      </w:pPr>
    </w:p>
    <w:p w14:paraId="1B68025D" w14:textId="77777777" w:rsidR="00A7319D" w:rsidRPr="00654EF1" w:rsidRDefault="00A7319D" w:rsidP="001D5C8C">
      <w:pPr>
        <w:pStyle w:val="EndnoteText"/>
        <w:keepNext/>
        <w:widowControl w:val="0"/>
        <w:rPr>
          <w:color w:val="000000"/>
          <w:u w:val="single"/>
          <w:lang w:val="en-US"/>
        </w:rPr>
      </w:pPr>
      <w:r w:rsidRPr="00654EF1">
        <w:rPr>
          <w:color w:val="000000"/>
          <w:u w:val="single"/>
          <w:lang w:val="en-US"/>
        </w:rPr>
        <w:t xml:space="preserve">Clinical studies in </w:t>
      </w:r>
      <w:smartTag w:uri="urn:schemas-microsoft-com:office:smarttags" w:element="stockticker">
        <w:r w:rsidRPr="00654EF1">
          <w:rPr>
            <w:color w:val="000000"/>
            <w:u w:val="single"/>
            <w:lang w:val="en-US"/>
          </w:rPr>
          <w:t>MDS</w:t>
        </w:r>
      </w:smartTag>
      <w:r w:rsidRPr="00654EF1">
        <w:rPr>
          <w:color w:val="000000"/>
          <w:u w:val="single"/>
          <w:lang w:val="en-US"/>
        </w:rPr>
        <w:t>/MPD</w:t>
      </w:r>
    </w:p>
    <w:p w14:paraId="1B68025E" w14:textId="77777777" w:rsidR="00DC385B" w:rsidRPr="00654EF1" w:rsidRDefault="00254208" w:rsidP="001D5C8C">
      <w:pPr>
        <w:pStyle w:val="EndnoteText"/>
        <w:widowControl w:val="0"/>
        <w:tabs>
          <w:tab w:val="clear" w:pos="567"/>
        </w:tabs>
        <w:rPr>
          <w:color w:val="000000"/>
          <w:szCs w:val="22"/>
          <w:lang w:eastAsia="ja-JP"/>
        </w:rPr>
      </w:pPr>
      <w:r w:rsidRPr="00654EF1">
        <w:rPr>
          <w:color w:val="000000"/>
          <w:szCs w:val="22"/>
        </w:rPr>
        <w:t>Experience with Glivec in this indication is very limited and is based on haematological and cytogenetic response rates. There are no controlled trials demonstrating a clinical benefit or increased survival. One open label, multicentre, phase II clinical trial (study B2225) was conducted</w:t>
      </w:r>
      <w:r w:rsidRPr="00654EF1">
        <w:rPr>
          <w:color w:val="000000"/>
          <w:szCs w:val="22"/>
          <w:lang w:eastAsia="ja-JP"/>
        </w:rPr>
        <w:t xml:space="preserve"> testing Glivec in diverse populations of patients suffering from life-threatening diseases associated with Abl, Kit or PDGFR protein tyrosine kinases</w:t>
      </w:r>
      <w:r w:rsidRPr="00654EF1">
        <w:rPr>
          <w:color w:val="000000"/>
          <w:szCs w:val="22"/>
        </w:rPr>
        <w:t xml:space="preserve">. This study included 7 patients with </w:t>
      </w:r>
      <w:smartTag w:uri="urn:schemas-microsoft-com:office:smarttags" w:element="stockticker">
        <w:r w:rsidRPr="00654EF1">
          <w:rPr>
            <w:color w:val="000000"/>
            <w:szCs w:val="22"/>
          </w:rPr>
          <w:t>MDS</w:t>
        </w:r>
      </w:smartTag>
      <w:r w:rsidRPr="00654EF1">
        <w:rPr>
          <w:color w:val="000000"/>
          <w:szCs w:val="22"/>
        </w:rPr>
        <w:t>/MPD who were treated with Glivec 400 mg daily. Three patients presented a complete haematological response (</w:t>
      </w:r>
      <w:smartTag w:uri="urn:schemas-microsoft-com:office:smarttags" w:element="stockticker">
        <w:r w:rsidRPr="00654EF1">
          <w:rPr>
            <w:color w:val="000000"/>
            <w:szCs w:val="22"/>
          </w:rPr>
          <w:t>CHR</w:t>
        </w:r>
      </w:smartTag>
      <w:r w:rsidRPr="00654EF1">
        <w:rPr>
          <w:color w:val="000000"/>
          <w:szCs w:val="22"/>
        </w:rPr>
        <w:t>) and one patient experienced a partial haematological response (</w:t>
      </w:r>
      <w:smartTag w:uri="urn:schemas-microsoft-com:office:smarttags" w:element="stockticker">
        <w:r w:rsidRPr="00654EF1">
          <w:rPr>
            <w:color w:val="000000"/>
            <w:szCs w:val="22"/>
          </w:rPr>
          <w:t>PHR</w:t>
        </w:r>
      </w:smartTag>
      <w:r w:rsidRPr="00654EF1">
        <w:rPr>
          <w:color w:val="000000"/>
          <w:szCs w:val="22"/>
        </w:rPr>
        <w:t xml:space="preserve">). At the time of the original analysis, three of the four patients with detected PDGFR gene rearrangements developed haematological response (2 </w:t>
      </w:r>
      <w:smartTag w:uri="urn:schemas-microsoft-com:office:smarttags" w:element="stockticker">
        <w:r w:rsidRPr="00654EF1">
          <w:rPr>
            <w:color w:val="000000"/>
            <w:szCs w:val="22"/>
          </w:rPr>
          <w:t>CHR</w:t>
        </w:r>
      </w:smartTag>
      <w:r w:rsidRPr="00654EF1">
        <w:rPr>
          <w:color w:val="000000"/>
          <w:szCs w:val="22"/>
        </w:rPr>
        <w:t xml:space="preserve"> and 1 </w:t>
      </w:r>
      <w:smartTag w:uri="urn:schemas-microsoft-com:office:smarttags" w:element="stockticker">
        <w:r w:rsidRPr="00654EF1">
          <w:rPr>
            <w:color w:val="000000"/>
            <w:szCs w:val="22"/>
          </w:rPr>
          <w:t>PHR</w:t>
        </w:r>
      </w:smartTag>
      <w:r w:rsidRPr="00654EF1">
        <w:rPr>
          <w:color w:val="000000"/>
          <w:szCs w:val="22"/>
        </w:rPr>
        <w:t xml:space="preserve">). </w:t>
      </w:r>
      <w:r w:rsidRPr="00654EF1">
        <w:rPr>
          <w:color w:val="000000"/>
          <w:szCs w:val="22"/>
          <w:lang w:eastAsia="ja-JP"/>
        </w:rPr>
        <w:t>The age of these patients ranged from 20 to 72 years.</w:t>
      </w:r>
    </w:p>
    <w:p w14:paraId="1B68025F" w14:textId="77777777" w:rsidR="00DC385B" w:rsidRPr="00654EF1" w:rsidRDefault="00DC385B" w:rsidP="001D5C8C">
      <w:pPr>
        <w:pStyle w:val="EndnoteText"/>
        <w:widowControl w:val="0"/>
        <w:tabs>
          <w:tab w:val="clear" w:pos="567"/>
        </w:tabs>
        <w:rPr>
          <w:color w:val="000000"/>
          <w:szCs w:val="22"/>
          <w:lang w:eastAsia="ja-JP"/>
        </w:rPr>
      </w:pPr>
    </w:p>
    <w:p w14:paraId="1B680260" w14:textId="77777777" w:rsidR="00DC385B" w:rsidRPr="00654EF1" w:rsidRDefault="00DC385B" w:rsidP="001D5C8C">
      <w:pPr>
        <w:pStyle w:val="EndnoteText"/>
        <w:widowControl w:val="0"/>
        <w:tabs>
          <w:tab w:val="clear" w:pos="567"/>
        </w:tabs>
        <w:rPr>
          <w:color w:val="000000"/>
          <w:szCs w:val="22"/>
          <w:lang w:eastAsia="ja-JP"/>
        </w:rPr>
      </w:pPr>
      <w:r w:rsidRPr="00654EF1">
        <w:rPr>
          <w:color w:val="000000"/>
          <w:szCs w:val="22"/>
        </w:rPr>
        <w:t xml:space="preserve">An observational registry (study L2401) was conducted to collect </w:t>
      </w:r>
      <w:r w:rsidRPr="00654EF1">
        <w:rPr>
          <w:rFonts w:eastAsia="TimesNewRoman"/>
          <w:szCs w:val="22"/>
          <w:lang w:val="en-US"/>
        </w:rPr>
        <w:t xml:space="preserve">long-term safety and efficacy data in </w:t>
      </w:r>
      <w:r w:rsidRPr="00654EF1">
        <w:rPr>
          <w:rFonts w:eastAsia="TimesNewRoman"/>
          <w:szCs w:val="22"/>
          <w:lang w:val="en-US"/>
        </w:rPr>
        <w:lastRenderedPageBreak/>
        <w:t xml:space="preserve">patients suffering from </w:t>
      </w:r>
      <w:r w:rsidRPr="00654EF1">
        <w:rPr>
          <w:color w:val="000000"/>
          <w:szCs w:val="22"/>
        </w:rPr>
        <w:t xml:space="preserve">myeloproliferative </w:t>
      </w:r>
      <w:r w:rsidRPr="00654EF1">
        <w:rPr>
          <w:rFonts w:eastAsia="TimesNewRoman"/>
          <w:szCs w:val="22"/>
          <w:lang w:val="en-US"/>
        </w:rPr>
        <w:t>neoplasms with PDGFR- β rearrangement and who were treated with Glivec.</w:t>
      </w:r>
      <w:r w:rsidRPr="00654EF1">
        <w:rPr>
          <w:color w:val="000000"/>
          <w:szCs w:val="22"/>
        </w:rPr>
        <w:t xml:space="preserve"> The 23 patients enrolled in this registry received Glivec at a median daily dose of 264 mg (range: 100 to 400 mg) for a median duration of 7.2 years (range 0.1 to 12.7 years). </w:t>
      </w:r>
      <w:r w:rsidRPr="00654EF1">
        <w:rPr>
          <w:rFonts w:eastAsia="TimesNewRoman"/>
          <w:szCs w:val="22"/>
          <w:lang w:val="en-US"/>
        </w:rPr>
        <w:t xml:space="preserve">Due to the observational nature of this registry, haematologic, cytogenetic and molecular assessment </w:t>
      </w:r>
      <w:r w:rsidRPr="00654EF1">
        <w:rPr>
          <w:color w:val="000000"/>
          <w:szCs w:val="22"/>
        </w:rPr>
        <w:t xml:space="preserve">data were available for 22, 9 and 17 of the 23 enrolled patients, respectively. When assuming conservatively that patients with missing data were non-responders, CHR was observed in 20/23 (87%) patients, CCyR in 9/23 (39.1%) patients, and MR in 11/23 (47.8%) patients, respectively. When the response rate is calculated from patients with at least one valid assessment, the response rate for CHR, CCyR and MR was </w:t>
      </w:r>
      <w:r w:rsidR="00F8783E" w:rsidRPr="00654EF1">
        <w:rPr>
          <w:color w:val="000000"/>
          <w:szCs w:val="22"/>
        </w:rPr>
        <w:t>20</w:t>
      </w:r>
      <w:r w:rsidRPr="00654EF1">
        <w:rPr>
          <w:color w:val="000000"/>
          <w:szCs w:val="22"/>
        </w:rPr>
        <w:t>/22 (90.9%), 9/9 (100%) and 11/17 (64.7%), respectively.</w:t>
      </w:r>
    </w:p>
    <w:p w14:paraId="1B680261" w14:textId="77777777" w:rsidR="00DC385B" w:rsidRPr="00654EF1" w:rsidRDefault="00DC385B" w:rsidP="001D5C8C">
      <w:pPr>
        <w:pStyle w:val="EndnoteText"/>
        <w:widowControl w:val="0"/>
        <w:tabs>
          <w:tab w:val="clear" w:pos="567"/>
        </w:tabs>
        <w:rPr>
          <w:color w:val="000000"/>
          <w:szCs w:val="22"/>
          <w:lang w:eastAsia="ja-JP"/>
        </w:rPr>
      </w:pPr>
    </w:p>
    <w:p w14:paraId="1B680262" w14:textId="77777777" w:rsidR="00254208" w:rsidRPr="00654EF1" w:rsidRDefault="00254208" w:rsidP="001D5C8C">
      <w:pPr>
        <w:pStyle w:val="EndnoteText"/>
        <w:widowControl w:val="0"/>
        <w:tabs>
          <w:tab w:val="clear" w:pos="567"/>
        </w:tabs>
        <w:rPr>
          <w:color w:val="000000"/>
          <w:szCs w:val="22"/>
        </w:rPr>
      </w:pPr>
      <w:r w:rsidRPr="00654EF1">
        <w:rPr>
          <w:color w:val="000000"/>
          <w:szCs w:val="22"/>
        </w:rPr>
        <w:t xml:space="preserve">In addition a further 24 patients with </w:t>
      </w:r>
      <w:smartTag w:uri="urn:schemas-microsoft-com:office:smarttags" w:element="stockticker">
        <w:r w:rsidRPr="00654EF1">
          <w:rPr>
            <w:color w:val="000000"/>
            <w:szCs w:val="22"/>
          </w:rPr>
          <w:t>MDS</w:t>
        </w:r>
      </w:smartTag>
      <w:r w:rsidRPr="00654EF1">
        <w:rPr>
          <w:color w:val="000000"/>
          <w:szCs w:val="22"/>
        </w:rPr>
        <w:t xml:space="preserve">/MPD were reported in 13 publications. 21 patients were treated with Glivec 400 mg daily, while the other 3 patients received lower doses. In eleven patients PDGFR gene rearrangements was detected, 9 of them achieved a </w:t>
      </w:r>
      <w:smartTag w:uri="urn:schemas-microsoft-com:office:smarttags" w:element="stockticker">
        <w:r w:rsidRPr="00654EF1">
          <w:rPr>
            <w:color w:val="000000"/>
            <w:szCs w:val="22"/>
          </w:rPr>
          <w:t>CHR</w:t>
        </w:r>
      </w:smartTag>
      <w:r w:rsidRPr="00654EF1">
        <w:rPr>
          <w:color w:val="000000"/>
          <w:szCs w:val="22"/>
        </w:rPr>
        <w:t xml:space="preserve"> and 1 </w:t>
      </w:r>
      <w:smartTag w:uri="urn:schemas-microsoft-com:office:smarttags" w:element="stockticker">
        <w:r w:rsidRPr="00654EF1">
          <w:rPr>
            <w:color w:val="000000"/>
            <w:szCs w:val="22"/>
          </w:rPr>
          <w:t>PHR</w:t>
        </w:r>
      </w:smartTag>
      <w:r w:rsidRPr="00654EF1">
        <w:rPr>
          <w:color w:val="000000"/>
          <w:szCs w:val="22"/>
        </w:rPr>
        <w:t xml:space="preserve">. The age of these patients ranged from </w:t>
      </w:r>
      <w:smartTag w:uri="urn:schemas-microsoft-com:office:smarttags" w:element="time">
        <w:smartTagPr>
          <w:attr w:name="Hour" w:val="2"/>
          <w:attr w:name="Minute" w:val="0"/>
        </w:smartTagPr>
        <w:r w:rsidRPr="00654EF1">
          <w:rPr>
            <w:color w:val="000000"/>
            <w:szCs w:val="22"/>
          </w:rPr>
          <w:t>2</w:t>
        </w:r>
      </w:smartTag>
      <w:r w:rsidRPr="00654EF1">
        <w:rPr>
          <w:color w:val="000000"/>
          <w:szCs w:val="22"/>
        </w:rPr>
        <w:t xml:space="preserve"> to 79 years. In a recent publication updated information from 6 of these 11 patients revealed that all these patients remained in cytogenetic remission (range 32</w:t>
      </w:r>
      <w:r w:rsidRPr="00654EF1">
        <w:rPr>
          <w:color w:val="000000"/>
          <w:szCs w:val="22"/>
        </w:rPr>
        <w:noBreakHyphen/>
        <w:t>38 months). The same publication reported long term follow-up data from 12 </w:t>
      </w:r>
      <w:smartTag w:uri="urn:schemas-microsoft-com:office:smarttags" w:element="stockticker">
        <w:r w:rsidRPr="00654EF1">
          <w:rPr>
            <w:color w:val="000000"/>
            <w:szCs w:val="22"/>
          </w:rPr>
          <w:t>MDS</w:t>
        </w:r>
      </w:smartTag>
      <w:r w:rsidRPr="00654EF1">
        <w:rPr>
          <w:color w:val="000000"/>
          <w:szCs w:val="22"/>
        </w:rPr>
        <w:t xml:space="preserve">/MPD patients with PDGFR gene rearrangements (5 patients from study B2225). These patients received Glivec for a median of 47 months (range 24 days – 60 months). In 6 of these patients follow-up now exceeds 4 years. Eleven patients achieved rapid </w:t>
      </w:r>
      <w:smartTag w:uri="urn:schemas-microsoft-com:office:smarttags" w:element="stockticker">
        <w:r w:rsidRPr="00654EF1">
          <w:rPr>
            <w:color w:val="000000"/>
            <w:szCs w:val="22"/>
          </w:rPr>
          <w:t>CHR</w:t>
        </w:r>
      </w:smartTag>
      <w:r w:rsidRPr="00654EF1">
        <w:rPr>
          <w:color w:val="000000"/>
          <w:szCs w:val="22"/>
        </w:rPr>
        <w:t>; ten had complete resolution of cytogenetic abnormalities and a decrease or disappearance of fusion transcripts as measured by RT-</w:t>
      </w:r>
      <w:smartTag w:uri="urn:schemas-microsoft-com:office:smarttags" w:element="stockticker">
        <w:r w:rsidRPr="00654EF1">
          <w:rPr>
            <w:color w:val="000000"/>
            <w:szCs w:val="22"/>
          </w:rPr>
          <w:t>PCR</w:t>
        </w:r>
      </w:smartTag>
      <w:r w:rsidRPr="00654EF1">
        <w:rPr>
          <w:color w:val="000000"/>
          <w:szCs w:val="22"/>
        </w:rPr>
        <w:t>. Haematological and cytogenetic responses have been sustained for a median of 49 months (range 19</w:t>
      </w:r>
      <w:r w:rsidRPr="00654EF1">
        <w:rPr>
          <w:color w:val="000000"/>
          <w:szCs w:val="22"/>
        </w:rPr>
        <w:noBreakHyphen/>
        <w:t>60) and 47 months (range 16</w:t>
      </w:r>
      <w:r w:rsidRPr="00654EF1">
        <w:rPr>
          <w:color w:val="000000"/>
          <w:szCs w:val="22"/>
        </w:rPr>
        <w:noBreakHyphen/>
        <w:t>59), respectively. The overall survival is 65 months since diagnosis (range 25</w:t>
      </w:r>
      <w:r w:rsidRPr="00654EF1">
        <w:rPr>
          <w:color w:val="000000"/>
          <w:szCs w:val="22"/>
        </w:rPr>
        <w:noBreakHyphen/>
        <w:t>234). Glivec administration to patients without the genetic translocation generally results in no improvement.</w:t>
      </w:r>
    </w:p>
    <w:p w14:paraId="1B680263" w14:textId="77777777" w:rsidR="00353FB7" w:rsidRPr="00654EF1" w:rsidRDefault="00353FB7" w:rsidP="001D5C8C">
      <w:pPr>
        <w:pStyle w:val="EndnoteText"/>
        <w:widowControl w:val="0"/>
        <w:tabs>
          <w:tab w:val="clear" w:pos="567"/>
        </w:tabs>
        <w:rPr>
          <w:color w:val="000000"/>
          <w:szCs w:val="22"/>
        </w:rPr>
      </w:pPr>
    </w:p>
    <w:p w14:paraId="1B680264" w14:textId="77777777" w:rsidR="001F2B41" w:rsidRPr="00654EF1" w:rsidRDefault="001F2B41" w:rsidP="001D5C8C">
      <w:pPr>
        <w:pStyle w:val="EndnoteText"/>
        <w:widowControl w:val="0"/>
        <w:tabs>
          <w:tab w:val="clear" w:pos="567"/>
        </w:tabs>
        <w:rPr>
          <w:color w:val="000000"/>
          <w:szCs w:val="22"/>
        </w:rPr>
      </w:pPr>
      <w:r w:rsidRPr="00654EF1">
        <w:rPr>
          <w:color w:val="000000"/>
          <w:szCs w:val="22"/>
        </w:rPr>
        <w:t>There are no controlled trials in paediatric patients with MDS/MPD. Five (5) patients with MDS/MPD associated with PDGFR gene re-arrangements were reported in 4 publications. The age of these patients ranged from 3 months to 4 years and imatinib was given at dose 50 mg daily or doses ranging from 92.5 to 340 mg/m</w:t>
      </w:r>
      <w:r w:rsidRPr="00654EF1">
        <w:rPr>
          <w:color w:val="000000"/>
          <w:szCs w:val="22"/>
          <w:vertAlign w:val="superscript"/>
        </w:rPr>
        <w:t>2</w:t>
      </w:r>
      <w:r w:rsidRPr="00654EF1">
        <w:rPr>
          <w:color w:val="000000"/>
          <w:szCs w:val="22"/>
        </w:rPr>
        <w:t xml:space="preserve"> daily. All patients achieved complete haematological response, cytogenetic response and/or clinical response.</w:t>
      </w:r>
    </w:p>
    <w:p w14:paraId="1B680265" w14:textId="77777777" w:rsidR="00AF1D36" w:rsidRPr="00654EF1" w:rsidRDefault="00AF1D36" w:rsidP="001D5C8C">
      <w:pPr>
        <w:pStyle w:val="EndnoteText"/>
        <w:widowControl w:val="0"/>
        <w:tabs>
          <w:tab w:val="clear" w:pos="567"/>
        </w:tabs>
        <w:rPr>
          <w:color w:val="000000"/>
          <w:szCs w:val="22"/>
        </w:rPr>
      </w:pPr>
    </w:p>
    <w:p w14:paraId="1B680266" w14:textId="77777777" w:rsidR="00AF1D36" w:rsidRPr="00654EF1" w:rsidRDefault="00AF1D36" w:rsidP="001D5C8C">
      <w:pPr>
        <w:pStyle w:val="EndnoteText"/>
        <w:keepNext/>
        <w:widowControl w:val="0"/>
        <w:rPr>
          <w:color w:val="000000"/>
          <w:u w:val="single"/>
          <w:lang w:val="en-US"/>
        </w:rPr>
      </w:pPr>
      <w:r w:rsidRPr="00654EF1">
        <w:rPr>
          <w:color w:val="000000"/>
          <w:u w:val="single"/>
          <w:lang w:val="en-US"/>
        </w:rPr>
        <w:t>Clinical studies in HES/</w:t>
      </w:r>
      <w:smartTag w:uri="urn:schemas-microsoft-com:office:smarttags" w:element="stockticker">
        <w:r w:rsidRPr="00654EF1">
          <w:rPr>
            <w:color w:val="000000"/>
            <w:u w:val="single"/>
            <w:lang w:val="en-US"/>
          </w:rPr>
          <w:t>CEL</w:t>
        </w:r>
      </w:smartTag>
    </w:p>
    <w:p w14:paraId="1B680267" w14:textId="77777777" w:rsidR="00C82420" w:rsidRPr="00654EF1" w:rsidRDefault="00C82420" w:rsidP="001D5C8C">
      <w:pPr>
        <w:pStyle w:val="Text"/>
        <w:widowControl w:val="0"/>
        <w:spacing w:before="0"/>
        <w:jc w:val="left"/>
        <w:rPr>
          <w:color w:val="000000"/>
          <w:sz w:val="22"/>
          <w:szCs w:val="22"/>
          <w:lang w:val="en-GB"/>
        </w:rPr>
      </w:pPr>
      <w:r w:rsidRPr="00654EF1">
        <w:rPr>
          <w:color w:val="000000"/>
          <w:sz w:val="22"/>
          <w:szCs w:val="22"/>
          <w:lang w:val="en-GB" w:eastAsia="ja-JP"/>
        </w:rPr>
        <w:t>One open-label, multicentre, phase II clinical trial (study B2225) was conducted testing Glivec in diverse populations of patients suffering from life-threatening diseases associated with Abl, Kit or PDGFR protein tyrosine kinases. In this study, 14 patients with HES/</w:t>
      </w:r>
      <w:smartTag w:uri="urn:schemas-microsoft-com:office:smarttags" w:element="stockticker">
        <w:r w:rsidRPr="00654EF1">
          <w:rPr>
            <w:color w:val="000000"/>
            <w:sz w:val="22"/>
            <w:szCs w:val="22"/>
            <w:lang w:val="en-GB" w:eastAsia="ja-JP"/>
          </w:rPr>
          <w:t>CEL</w:t>
        </w:r>
      </w:smartTag>
      <w:r w:rsidRPr="00654EF1">
        <w:rPr>
          <w:color w:val="000000"/>
          <w:sz w:val="22"/>
          <w:szCs w:val="22"/>
          <w:lang w:val="en-GB" w:eastAsia="ja-JP"/>
        </w:rPr>
        <w:t xml:space="preserve"> were treated with 100 mg to 1,000 mg of Glivec daily. A further 162 patients with HES/</w:t>
      </w:r>
      <w:smartTag w:uri="urn:schemas-microsoft-com:office:smarttags" w:element="stockticker">
        <w:r w:rsidRPr="00654EF1">
          <w:rPr>
            <w:color w:val="000000"/>
            <w:sz w:val="22"/>
            <w:szCs w:val="22"/>
            <w:lang w:val="en-GB" w:eastAsia="ja-JP"/>
          </w:rPr>
          <w:t>CEL</w:t>
        </w:r>
      </w:smartTag>
      <w:r w:rsidRPr="00654EF1">
        <w:rPr>
          <w:color w:val="000000"/>
          <w:sz w:val="22"/>
          <w:szCs w:val="22"/>
          <w:lang w:val="en-GB" w:eastAsia="ja-JP"/>
        </w:rPr>
        <w:t xml:space="preserve">, reported in </w:t>
      </w:r>
      <w:r w:rsidRPr="00654EF1">
        <w:rPr>
          <w:color w:val="000000"/>
          <w:sz w:val="22"/>
          <w:szCs w:val="22"/>
          <w:lang w:val="en-GB"/>
        </w:rPr>
        <w:t xml:space="preserve">35 published case reports and case series received Glivec at doses from 75 mg to 800 mg daily. Cytogenetic abnormalities were evaluated in 117 of the total population of 176 patients. In 61 of these 117 patients FIP1L1-PDGFRα fusion kinase was identified. An additional four HES patients were found to be FIP1L1-PDGFRα-positive in other 3 published reports. All 65 FIP1L1-PDGFRα fusion kinase positive patients achieved a </w:t>
      </w:r>
      <w:smartTag w:uri="urn:schemas-microsoft-com:office:smarttags" w:element="stockticker">
        <w:r w:rsidRPr="00654EF1">
          <w:rPr>
            <w:color w:val="000000"/>
            <w:sz w:val="22"/>
            <w:szCs w:val="22"/>
            <w:lang w:val="en-GB"/>
          </w:rPr>
          <w:t>CHR</w:t>
        </w:r>
      </w:smartTag>
      <w:r w:rsidRPr="00654EF1">
        <w:rPr>
          <w:color w:val="000000"/>
          <w:sz w:val="22"/>
          <w:szCs w:val="22"/>
          <w:lang w:val="en-GB"/>
        </w:rPr>
        <w:t xml:space="preserve"> sustained for months (range from 1+ to 44+ months censored at the time of the reporting). As reported in a recent publication 21 of these 65 patients also achieved complete molecular remission with a median follow-up of 28 months (range 13</w:t>
      </w:r>
      <w:r w:rsidRPr="00654EF1">
        <w:rPr>
          <w:color w:val="000000"/>
          <w:sz w:val="22"/>
          <w:szCs w:val="22"/>
          <w:lang w:val="en-GB"/>
        </w:rPr>
        <w:noBreakHyphen/>
        <w:t xml:space="preserve">67 months). </w:t>
      </w:r>
      <w:r w:rsidRPr="00654EF1">
        <w:rPr>
          <w:color w:val="000000"/>
          <w:sz w:val="22"/>
          <w:szCs w:val="22"/>
        </w:rPr>
        <w:t>The age of these patients ranged from 25 to 72 years.</w:t>
      </w:r>
      <w:r w:rsidRPr="00654EF1">
        <w:rPr>
          <w:color w:val="000000"/>
          <w:szCs w:val="22"/>
        </w:rPr>
        <w:t xml:space="preserve"> </w:t>
      </w:r>
      <w:r w:rsidRPr="00654EF1">
        <w:rPr>
          <w:color w:val="000000"/>
          <w:sz w:val="22"/>
          <w:szCs w:val="22"/>
          <w:lang w:val="en-GB"/>
        </w:rPr>
        <w:t>Additionally, improvements in symptomatology and other organ dysfunction abnormalities were reported by the investigators in the case reports. Improvements were reported in cardiac, nervous, skin/subcutaneous tissue, respiratory/thoracic/mediastinal, musculoskeletal/connective tissue/vascular, and gastrointestinal organ systems.</w:t>
      </w:r>
    </w:p>
    <w:p w14:paraId="1B680268" w14:textId="77777777" w:rsidR="00353FB7" w:rsidRPr="00654EF1" w:rsidRDefault="00353FB7" w:rsidP="001D5C8C">
      <w:pPr>
        <w:pStyle w:val="Text"/>
        <w:widowControl w:val="0"/>
        <w:spacing w:before="0"/>
        <w:jc w:val="left"/>
        <w:rPr>
          <w:color w:val="000000"/>
          <w:sz w:val="22"/>
          <w:szCs w:val="22"/>
          <w:lang w:val="en-GB"/>
        </w:rPr>
      </w:pPr>
    </w:p>
    <w:p w14:paraId="1B680269" w14:textId="77777777" w:rsidR="001F2B41" w:rsidRPr="00654EF1" w:rsidRDefault="001F2B41" w:rsidP="001D5C8C">
      <w:pPr>
        <w:pStyle w:val="Text"/>
        <w:widowControl w:val="0"/>
        <w:spacing w:before="0"/>
        <w:jc w:val="left"/>
        <w:rPr>
          <w:color w:val="000000"/>
          <w:sz w:val="22"/>
          <w:szCs w:val="22"/>
          <w:lang w:val="en-GB"/>
        </w:rPr>
      </w:pPr>
      <w:r w:rsidRPr="00654EF1">
        <w:rPr>
          <w:color w:val="000000"/>
          <w:sz w:val="22"/>
          <w:szCs w:val="22"/>
          <w:lang w:val="en-GB"/>
        </w:rPr>
        <w:t>There are no controlled trials in paediatric patients with HES/CEL. Three (3)</w:t>
      </w:r>
      <w:r w:rsidRPr="00654EF1">
        <w:rPr>
          <w:color w:val="000000"/>
          <w:sz w:val="22"/>
          <w:szCs w:val="22"/>
        </w:rPr>
        <w:t> </w:t>
      </w:r>
      <w:r w:rsidRPr="00654EF1">
        <w:rPr>
          <w:color w:val="000000"/>
          <w:sz w:val="22"/>
          <w:szCs w:val="22"/>
          <w:lang w:val="en-GB"/>
        </w:rPr>
        <w:t>patients with HES and CEL associated with PDGFR gene re-arrangements were reported in 3</w:t>
      </w:r>
      <w:r w:rsidRPr="00654EF1">
        <w:rPr>
          <w:color w:val="000000"/>
          <w:sz w:val="22"/>
          <w:szCs w:val="22"/>
        </w:rPr>
        <w:t> </w:t>
      </w:r>
      <w:r w:rsidRPr="00654EF1">
        <w:rPr>
          <w:color w:val="000000"/>
          <w:sz w:val="22"/>
          <w:szCs w:val="22"/>
          <w:lang w:val="en-GB"/>
        </w:rPr>
        <w:t>publications. The age of these patients ranged from 2 to 16</w:t>
      </w:r>
      <w:r w:rsidRPr="00654EF1">
        <w:rPr>
          <w:color w:val="000000"/>
          <w:sz w:val="22"/>
          <w:szCs w:val="22"/>
        </w:rPr>
        <w:t> </w:t>
      </w:r>
      <w:r w:rsidRPr="00654EF1">
        <w:rPr>
          <w:color w:val="000000"/>
          <w:sz w:val="22"/>
          <w:szCs w:val="22"/>
          <w:lang w:val="en-GB"/>
        </w:rPr>
        <w:t>years and imatinib was given at dose 300 mg/m</w:t>
      </w:r>
      <w:r w:rsidRPr="00654EF1">
        <w:rPr>
          <w:color w:val="000000"/>
          <w:sz w:val="22"/>
          <w:szCs w:val="22"/>
          <w:vertAlign w:val="superscript"/>
          <w:lang w:val="en-GB"/>
        </w:rPr>
        <w:t>2</w:t>
      </w:r>
      <w:r w:rsidRPr="00654EF1">
        <w:rPr>
          <w:color w:val="000000"/>
          <w:sz w:val="22"/>
          <w:szCs w:val="22"/>
          <w:lang w:val="en-GB"/>
        </w:rPr>
        <w:t xml:space="preserve"> daily or doses ranging from 200 to 400</w:t>
      </w:r>
      <w:r w:rsidRPr="00654EF1">
        <w:rPr>
          <w:color w:val="000000"/>
          <w:sz w:val="22"/>
          <w:szCs w:val="22"/>
        </w:rPr>
        <w:t> </w:t>
      </w:r>
      <w:r w:rsidRPr="00654EF1">
        <w:rPr>
          <w:color w:val="000000"/>
          <w:sz w:val="22"/>
          <w:szCs w:val="22"/>
          <w:lang w:val="en-GB"/>
        </w:rPr>
        <w:t>mg daily. All patients achieved complete haematological response, complete cytogenetic response and/or complete molecular response.</w:t>
      </w:r>
    </w:p>
    <w:p w14:paraId="1B68026A" w14:textId="77777777" w:rsidR="00254208" w:rsidRPr="00654EF1" w:rsidRDefault="00254208" w:rsidP="001D5C8C">
      <w:pPr>
        <w:pStyle w:val="EndnoteText"/>
        <w:widowControl w:val="0"/>
        <w:tabs>
          <w:tab w:val="clear" w:pos="567"/>
        </w:tabs>
        <w:rPr>
          <w:color w:val="000000"/>
          <w:szCs w:val="22"/>
        </w:rPr>
      </w:pPr>
    </w:p>
    <w:p w14:paraId="1B68026B" w14:textId="77777777" w:rsidR="000D2060" w:rsidRPr="00654EF1" w:rsidRDefault="000D2060" w:rsidP="001D5C8C">
      <w:pPr>
        <w:pStyle w:val="EndnoteText"/>
        <w:keepNext/>
        <w:widowControl w:val="0"/>
        <w:rPr>
          <w:color w:val="000000"/>
          <w:u w:val="single"/>
          <w:lang w:val="en-US"/>
        </w:rPr>
      </w:pPr>
      <w:r w:rsidRPr="00654EF1">
        <w:rPr>
          <w:color w:val="000000"/>
          <w:u w:val="single"/>
          <w:lang w:val="en-US"/>
        </w:rPr>
        <w:t>Clinical studies in unresectable and/or metastatic GIST</w:t>
      </w:r>
    </w:p>
    <w:p w14:paraId="1B68026C"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One phase II, open-label, randomised, uncontrolled multinational study was conducted in patients with unresectable or metastatic malignant gastrointestinal stromal tumours (GIST). In this study 147 patients were enrolled and randomised to receive either 400 mg or 600 mg orally </w:t>
      </w:r>
      <w:r w:rsidR="00D318EB" w:rsidRPr="00654EF1">
        <w:rPr>
          <w:color w:val="000000"/>
          <w:szCs w:val="22"/>
        </w:rPr>
        <w:t>once daily</w:t>
      </w:r>
      <w:r w:rsidRPr="00654EF1">
        <w:rPr>
          <w:color w:val="000000"/>
          <w:szCs w:val="22"/>
        </w:rPr>
        <w:t xml:space="preserve"> for up </w:t>
      </w:r>
      <w:r w:rsidRPr="00654EF1">
        <w:rPr>
          <w:color w:val="000000"/>
          <w:szCs w:val="22"/>
        </w:rPr>
        <w:lastRenderedPageBreak/>
        <w:t xml:space="preserve">to 36 months. These patients ranged in age from 18 to 83 years old and had a pathologic diagnosis of Kit-positive malignant GIST that was unresectable and/or metastatic. Immunohistochemistry was routinely performed with Kit antibody (A-4502, rabbit polyclonal antiserum, 1:100; DAKO Corporation, </w:t>
      </w:r>
      <w:smartTag w:uri="urn:schemas-microsoft-com:office:smarttags" w:element="place">
        <w:smartTag w:uri="urn:schemas-microsoft-com:office:smarttags" w:element="City">
          <w:r w:rsidRPr="00654EF1">
            <w:rPr>
              <w:color w:val="000000"/>
              <w:szCs w:val="22"/>
            </w:rPr>
            <w:t>Carpinteria</w:t>
          </w:r>
        </w:smartTag>
        <w:r w:rsidRPr="00654EF1">
          <w:rPr>
            <w:color w:val="000000"/>
            <w:szCs w:val="22"/>
          </w:rPr>
          <w:t xml:space="preserve">, </w:t>
        </w:r>
        <w:smartTag w:uri="urn:schemas-microsoft-com:office:smarttags" w:element="State">
          <w:r w:rsidRPr="00654EF1">
            <w:rPr>
              <w:color w:val="000000"/>
              <w:szCs w:val="22"/>
            </w:rPr>
            <w:t>CA</w:t>
          </w:r>
        </w:smartTag>
      </w:smartTag>
      <w:r w:rsidRPr="00654EF1">
        <w:rPr>
          <w:color w:val="000000"/>
          <w:szCs w:val="22"/>
        </w:rPr>
        <w:t>) according to analysis by an avidin-biotin-peroxidase complex method after antigen retrieval.</w:t>
      </w:r>
    </w:p>
    <w:p w14:paraId="1B68026D" w14:textId="77777777" w:rsidR="009B57ED" w:rsidRPr="00654EF1" w:rsidRDefault="009B57ED" w:rsidP="001D5C8C">
      <w:pPr>
        <w:pStyle w:val="EndnoteText"/>
        <w:widowControl w:val="0"/>
        <w:tabs>
          <w:tab w:val="clear" w:pos="567"/>
        </w:tabs>
        <w:rPr>
          <w:color w:val="000000"/>
          <w:szCs w:val="22"/>
        </w:rPr>
      </w:pPr>
    </w:p>
    <w:p w14:paraId="1B68026E" w14:textId="77777777" w:rsidR="004C5C42" w:rsidRPr="00654EF1" w:rsidRDefault="004C5C42" w:rsidP="001D5C8C">
      <w:pPr>
        <w:pStyle w:val="EndnoteText"/>
        <w:widowControl w:val="0"/>
        <w:tabs>
          <w:tab w:val="clear" w:pos="567"/>
        </w:tabs>
        <w:rPr>
          <w:color w:val="000000"/>
          <w:szCs w:val="22"/>
        </w:rPr>
      </w:pPr>
      <w:r w:rsidRPr="00654EF1">
        <w:rPr>
          <w:color w:val="000000"/>
          <w:szCs w:val="22"/>
        </w:rPr>
        <w:t>The primary evidence of efficacy was based on objective response rates. Tumours were required to be measurable in at least one site of disease, and response characterisation based on Southwestern Oncology Group (SWOG) criteria. Results are provided in Table </w:t>
      </w:r>
      <w:r w:rsidR="008F2DE5" w:rsidRPr="00654EF1">
        <w:rPr>
          <w:color w:val="000000"/>
          <w:szCs w:val="22"/>
        </w:rPr>
        <w:t>6</w:t>
      </w:r>
      <w:r w:rsidRPr="00654EF1">
        <w:rPr>
          <w:color w:val="000000"/>
          <w:szCs w:val="22"/>
        </w:rPr>
        <w:t>.</w:t>
      </w:r>
    </w:p>
    <w:p w14:paraId="1B68026F" w14:textId="77777777" w:rsidR="004C5C42" w:rsidRPr="00654EF1" w:rsidRDefault="004C5C42" w:rsidP="001D5C8C">
      <w:pPr>
        <w:pStyle w:val="EndnoteText"/>
        <w:widowControl w:val="0"/>
        <w:tabs>
          <w:tab w:val="clear" w:pos="567"/>
        </w:tabs>
        <w:rPr>
          <w:color w:val="000000"/>
          <w:szCs w:val="22"/>
        </w:rPr>
      </w:pPr>
    </w:p>
    <w:p w14:paraId="1B680270" w14:textId="77777777" w:rsidR="004C5C42" w:rsidRPr="00654EF1" w:rsidRDefault="004C5C42" w:rsidP="001D5C8C">
      <w:pPr>
        <w:pStyle w:val="EndnoteText"/>
        <w:keepNext/>
        <w:widowControl w:val="0"/>
        <w:tabs>
          <w:tab w:val="clear" w:pos="567"/>
        </w:tabs>
        <w:rPr>
          <w:b/>
          <w:color w:val="000000"/>
          <w:szCs w:val="22"/>
        </w:rPr>
      </w:pPr>
      <w:r w:rsidRPr="00654EF1">
        <w:rPr>
          <w:b/>
          <w:color w:val="000000"/>
          <w:szCs w:val="22"/>
        </w:rPr>
        <w:t>Table </w:t>
      </w:r>
      <w:r w:rsidR="008F2DE5" w:rsidRPr="00654EF1">
        <w:rPr>
          <w:b/>
          <w:color w:val="000000"/>
          <w:szCs w:val="22"/>
        </w:rPr>
        <w:t>6</w:t>
      </w:r>
      <w:r w:rsidRPr="00654EF1">
        <w:rPr>
          <w:b/>
          <w:color w:val="000000"/>
          <w:szCs w:val="22"/>
        </w:rPr>
        <w:tab/>
        <w:t>Best tumour response in trial STIB2222 (GIST)</w:t>
      </w:r>
    </w:p>
    <w:p w14:paraId="1B680271" w14:textId="77777777" w:rsidR="009B57ED" w:rsidRPr="00654EF1" w:rsidRDefault="009B57ED"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9B57ED" w:rsidRPr="00654EF1" w14:paraId="1B68027A" w14:textId="77777777">
        <w:tc>
          <w:tcPr>
            <w:tcW w:w="4643" w:type="dxa"/>
            <w:tcBorders>
              <w:left w:val="nil"/>
              <w:bottom w:val="single" w:sz="4" w:space="0" w:color="auto"/>
              <w:right w:val="nil"/>
            </w:tcBorders>
          </w:tcPr>
          <w:p w14:paraId="1B680272" w14:textId="77777777" w:rsidR="009B57ED" w:rsidRPr="00654EF1" w:rsidRDefault="009B57ED" w:rsidP="001D5C8C">
            <w:pPr>
              <w:pStyle w:val="EndnoteText"/>
              <w:keepNext/>
              <w:widowControl w:val="0"/>
              <w:tabs>
                <w:tab w:val="clear" w:pos="567"/>
              </w:tabs>
              <w:rPr>
                <w:color w:val="000000"/>
                <w:szCs w:val="22"/>
              </w:rPr>
            </w:pPr>
          </w:p>
          <w:p w14:paraId="1B680273" w14:textId="77777777" w:rsidR="009B57ED" w:rsidRPr="00654EF1" w:rsidRDefault="009B57ED" w:rsidP="001D5C8C">
            <w:pPr>
              <w:pStyle w:val="EndnoteText"/>
              <w:keepNext/>
              <w:widowControl w:val="0"/>
              <w:tabs>
                <w:tab w:val="clear" w:pos="567"/>
              </w:tabs>
              <w:rPr>
                <w:color w:val="000000"/>
                <w:szCs w:val="22"/>
              </w:rPr>
            </w:pPr>
          </w:p>
          <w:p w14:paraId="1B680274" w14:textId="77777777" w:rsidR="009B57ED" w:rsidRPr="00654EF1" w:rsidRDefault="009B57ED" w:rsidP="001D5C8C">
            <w:pPr>
              <w:pStyle w:val="EndnoteText"/>
              <w:keepNext/>
              <w:widowControl w:val="0"/>
              <w:tabs>
                <w:tab w:val="clear" w:pos="567"/>
              </w:tabs>
              <w:rPr>
                <w:color w:val="000000"/>
                <w:szCs w:val="22"/>
              </w:rPr>
            </w:pPr>
          </w:p>
          <w:p w14:paraId="1B680275"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Best response</w:t>
            </w:r>
          </w:p>
        </w:tc>
        <w:tc>
          <w:tcPr>
            <w:tcW w:w="4643" w:type="dxa"/>
            <w:tcBorders>
              <w:left w:val="nil"/>
              <w:bottom w:val="single" w:sz="4" w:space="0" w:color="auto"/>
              <w:right w:val="nil"/>
            </w:tcBorders>
          </w:tcPr>
          <w:p w14:paraId="1B680276" w14:textId="77777777" w:rsidR="009B57ED" w:rsidRPr="00280050" w:rsidRDefault="009B57ED" w:rsidP="001D5C8C">
            <w:pPr>
              <w:pStyle w:val="EndnoteText"/>
              <w:keepNext/>
              <w:widowControl w:val="0"/>
              <w:tabs>
                <w:tab w:val="clear" w:pos="567"/>
              </w:tabs>
              <w:jc w:val="center"/>
              <w:rPr>
                <w:color w:val="000000"/>
                <w:szCs w:val="22"/>
                <w:lang w:val="pt-PT"/>
              </w:rPr>
            </w:pPr>
            <w:r w:rsidRPr="00280050">
              <w:rPr>
                <w:color w:val="000000"/>
                <w:szCs w:val="22"/>
                <w:lang w:val="pt-PT"/>
              </w:rPr>
              <w:t>All doses (n=147)</w:t>
            </w:r>
          </w:p>
          <w:p w14:paraId="1B680277" w14:textId="77777777" w:rsidR="009B57ED" w:rsidRPr="00280050" w:rsidRDefault="009B57ED" w:rsidP="001D5C8C">
            <w:pPr>
              <w:pStyle w:val="EndnoteText"/>
              <w:keepNext/>
              <w:widowControl w:val="0"/>
              <w:tabs>
                <w:tab w:val="clear" w:pos="567"/>
              </w:tabs>
              <w:jc w:val="center"/>
              <w:rPr>
                <w:color w:val="000000"/>
                <w:szCs w:val="22"/>
                <w:lang w:val="pt-PT"/>
              </w:rPr>
            </w:pPr>
            <w:r w:rsidRPr="00280050">
              <w:rPr>
                <w:color w:val="000000"/>
                <w:szCs w:val="22"/>
                <w:lang w:val="pt-PT"/>
              </w:rPr>
              <w:t>400 mg (n=73)</w:t>
            </w:r>
          </w:p>
          <w:p w14:paraId="1B680278"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600 mg (n=74)</w:t>
            </w:r>
          </w:p>
          <w:p w14:paraId="1B680279" w14:textId="77777777" w:rsidR="009B57ED" w:rsidRPr="00654EF1" w:rsidRDefault="009B57ED" w:rsidP="001D5C8C">
            <w:pPr>
              <w:pStyle w:val="EndnoteText"/>
              <w:keepNext/>
              <w:widowControl w:val="0"/>
              <w:tabs>
                <w:tab w:val="clear" w:pos="567"/>
              </w:tabs>
              <w:jc w:val="center"/>
              <w:rPr>
                <w:color w:val="000000"/>
                <w:szCs w:val="22"/>
              </w:rPr>
            </w:pPr>
            <w:r w:rsidRPr="00654EF1">
              <w:rPr>
                <w:color w:val="000000"/>
                <w:szCs w:val="22"/>
              </w:rPr>
              <w:t>n (%)</w:t>
            </w:r>
          </w:p>
        </w:tc>
      </w:tr>
      <w:tr w:rsidR="009B57ED" w:rsidRPr="00654EF1" w14:paraId="1B68027D" w14:textId="77777777">
        <w:tc>
          <w:tcPr>
            <w:tcW w:w="4643" w:type="dxa"/>
            <w:tcBorders>
              <w:top w:val="nil"/>
              <w:left w:val="nil"/>
              <w:bottom w:val="nil"/>
              <w:right w:val="nil"/>
            </w:tcBorders>
          </w:tcPr>
          <w:p w14:paraId="1B68027B"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Complete response</w:t>
            </w:r>
          </w:p>
        </w:tc>
        <w:tc>
          <w:tcPr>
            <w:tcW w:w="4643" w:type="dxa"/>
            <w:tcBorders>
              <w:top w:val="nil"/>
              <w:left w:val="nil"/>
              <w:bottom w:val="nil"/>
              <w:right w:val="nil"/>
            </w:tcBorders>
          </w:tcPr>
          <w:p w14:paraId="1B68027C" w14:textId="77777777" w:rsidR="009B57ED" w:rsidRPr="00654EF1" w:rsidRDefault="009B57ED" w:rsidP="001D5C8C">
            <w:pPr>
              <w:pStyle w:val="EndnoteText"/>
              <w:keepNext/>
              <w:widowControl w:val="0"/>
              <w:tabs>
                <w:tab w:val="clear" w:pos="567"/>
              </w:tabs>
              <w:jc w:val="center"/>
              <w:rPr>
                <w:color w:val="000000"/>
                <w:szCs w:val="22"/>
              </w:rPr>
            </w:pPr>
            <w:r w:rsidRPr="00654EF1">
              <w:rPr>
                <w:rFonts w:eastAsia="MS Mincho"/>
                <w:color w:val="000000"/>
                <w:szCs w:val="22"/>
              </w:rPr>
              <w:t>1 (0.7)</w:t>
            </w:r>
          </w:p>
        </w:tc>
      </w:tr>
      <w:tr w:rsidR="009B57ED" w:rsidRPr="00654EF1" w14:paraId="1B680280" w14:textId="77777777">
        <w:tc>
          <w:tcPr>
            <w:tcW w:w="4643" w:type="dxa"/>
            <w:tcBorders>
              <w:top w:val="nil"/>
              <w:left w:val="nil"/>
              <w:bottom w:val="nil"/>
              <w:right w:val="nil"/>
            </w:tcBorders>
          </w:tcPr>
          <w:p w14:paraId="1B68027E"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Partial response</w:t>
            </w:r>
          </w:p>
        </w:tc>
        <w:tc>
          <w:tcPr>
            <w:tcW w:w="4643" w:type="dxa"/>
            <w:tcBorders>
              <w:top w:val="nil"/>
              <w:left w:val="nil"/>
              <w:bottom w:val="nil"/>
              <w:right w:val="nil"/>
            </w:tcBorders>
          </w:tcPr>
          <w:p w14:paraId="1B68027F" w14:textId="77777777" w:rsidR="009B57ED" w:rsidRPr="00654EF1" w:rsidRDefault="009B57ED" w:rsidP="001D5C8C">
            <w:pPr>
              <w:pStyle w:val="EndnoteText"/>
              <w:keepNext/>
              <w:widowControl w:val="0"/>
              <w:tabs>
                <w:tab w:val="clear" w:pos="567"/>
              </w:tabs>
              <w:jc w:val="center"/>
              <w:rPr>
                <w:color w:val="000000"/>
                <w:szCs w:val="22"/>
              </w:rPr>
            </w:pPr>
            <w:r w:rsidRPr="00654EF1">
              <w:rPr>
                <w:rFonts w:eastAsia="MS Mincho"/>
                <w:color w:val="000000"/>
                <w:szCs w:val="22"/>
              </w:rPr>
              <w:t>98 (66.7)</w:t>
            </w:r>
          </w:p>
        </w:tc>
      </w:tr>
      <w:tr w:rsidR="009B57ED" w:rsidRPr="00654EF1" w14:paraId="1B680283" w14:textId="77777777">
        <w:tc>
          <w:tcPr>
            <w:tcW w:w="4643" w:type="dxa"/>
            <w:tcBorders>
              <w:top w:val="nil"/>
              <w:left w:val="nil"/>
              <w:bottom w:val="nil"/>
              <w:right w:val="nil"/>
            </w:tcBorders>
          </w:tcPr>
          <w:p w14:paraId="1B680281"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Stable disease</w:t>
            </w:r>
          </w:p>
        </w:tc>
        <w:tc>
          <w:tcPr>
            <w:tcW w:w="4643" w:type="dxa"/>
            <w:tcBorders>
              <w:top w:val="nil"/>
              <w:left w:val="nil"/>
              <w:bottom w:val="nil"/>
              <w:right w:val="nil"/>
            </w:tcBorders>
          </w:tcPr>
          <w:p w14:paraId="1B680282" w14:textId="77777777" w:rsidR="009B57ED" w:rsidRPr="00654EF1" w:rsidRDefault="009B57ED" w:rsidP="001D5C8C">
            <w:pPr>
              <w:pStyle w:val="EndnoteText"/>
              <w:keepNext/>
              <w:widowControl w:val="0"/>
              <w:tabs>
                <w:tab w:val="clear" w:pos="567"/>
              </w:tabs>
              <w:jc w:val="center"/>
              <w:rPr>
                <w:color w:val="000000"/>
                <w:szCs w:val="22"/>
              </w:rPr>
            </w:pPr>
            <w:r w:rsidRPr="00654EF1">
              <w:rPr>
                <w:rFonts w:eastAsia="MS Mincho"/>
                <w:color w:val="000000"/>
                <w:szCs w:val="22"/>
              </w:rPr>
              <w:t>23 (15.6)</w:t>
            </w:r>
          </w:p>
        </w:tc>
      </w:tr>
      <w:tr w:rsidR="009B57ED" w:rsidRPr="00654EF1" w14:paraId="1B680286" w14:textId="77777777">
        <w:tc>
          <w:tcPr>
            <w:tcW w:w="4643" w:type="dxa"/>
            <w:tcBorders>
              <w:top w:val="nil"/>
              <w:left w:val="nil"/>
              <w:bottom w:val="nil"/>
              <w:right w:val="nil"/>
            </w:tcBorders>
          </w:tcPr>
          <w:p w14:paraId="1B680284"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Progressive disease</w:t>
            </w:r>
          </w:p>
        </w:tc>
        <w:tc>
          <w:tcPr>
            <w:tcW w:w="4643" w:type="dxa"/>
            <w:tcBorders>
              <w:top w:val="nil"/>
              <w:left w:val="nil"/>
              <w:bottom w:val="nil"/>
              <w:right w:val="nil"/>
            </w:tcBorders>
          </w:tcPr>
          <w:p w14:paraId="1B680285" w14:textId="77777777" w:rsidR="009B57ED" w:rsidRPr="00654EF1" w:rsidRDefault="009B57ED" w:rsidP="001D5C8C">
            <w:pPr>
              <w:pStyle w:val="EndnoteText"/>
              <w:keepNext/>
              <w:widowControl w:val="0"/>
              <w:tabs>
                <w:tab w:val="clear" w:pos="567"/>
              </w:tabs>
              <w:jc w:val="center"/>
              <w:rPr>
                <w:color w:val="000000"/>
                <w:szCs w:val="22"/>
              </w:rPr>
            </w:pPr>
            <w:r w:rsidRPr="00654EF1">
              <w:rPr>
                <w:rFonts w:eastAsia="MS Mincho"/>
                <w:color w:val="000000"/>
                <w:szCs w:val="22"/>
              </w:rPr>
              <w:t>18 (12.2)</w:t>
            </w:r>
          </w:p>
        </w:tc>
      </w:tr>
      <w:tr w:rsidR="009B57ED" w:rsidRPr="00654EF1" w14:paraId="1B680289" w14:textId="77777777">
        <w:tc>
          <w:tcPr>
            <w:tcW w:w="4643" w:type="dxa"/>
            <w:tcBorders>
              <w:top w:val="nil"/>
              <w:left w:val="nil"/>
              <w:bottom w:val="nil"/>
              <w:right w:val="nil"/>
            </w:tcBorders>
          </w:tcPr>
          <w:p w14:paraId="1B680287"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rPr>
              <w:t>Not evaluable</w:t>
            </w:r>
          </w:p>
        </w:tc>
        <w:tc>
          <w:tcPr>
            <w:tcW w:w="4643" w:type="dxa"/>
            <w:tcBorders>
              <w:top w:val="nil"/>
              <w:left w:val="nil"/>
              <w:bottom w:val="nil"/>
              <w:right w:val="nil"/>
            </w:tcBorders>
          </w:tcPr>
          <w:p w14:paraId="1B680288" w14:textId="77777777" w:rsidR="009B57ED" w:rsidRPr="00654EF1" w:rsidRDefault="009B57ED" w:rsidP="001D5C8C">
            <w:pPr>
              <w:pStyle w:val="EndnoteText"/>
              <w:keepNext/>
              <w:widowControl w:val="0"/>
              <w:tabs>
                <w:tab w:val="clear" w:pos="567"/>
              </w:tabs>
              <w:jc w:val="center"/>
              <w:rPr>
                <w:color w:val="000000"/>
                <w:szCs w:val="22"/>
              </w:rPr>
            </w:pPr>
            <w:r w:rsidRPr="00654EF1">
              <w:rPr>
                <w:rFonts w:eastAsia="MS Mincho"/>
                <w:color w:val="000000"/>
                <w:szCs w:val="22"/>
              </w:rPr>
              <w:t>5 (3.4)</w:t>
            </w:r>
          </w:p>
        </w:tc>
      </w:tr>
      <w:tr w:rsidR="009B57ED" w:rsidRPr="00654EF1" w14:paraId="1B68028C" w14:textId="77777777">
        <w:tc>
          <w:tcPr>
            <w:tcW w:w="4643" w:type="dxa"/>
            <w:tcBorders>
              <w:top w:val="nil"/>
              <w:left w:val="nil"/>
              <w:right w:val="nil"/>
            </w:tcBorders>
          </w:tcPr>
          <w:p w14:paraId="1B68028A"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Unknown</w:t>
            </w:r>
          </w:p>
        </w:tc>
        <w:tc>
          <w:tcPr>
            <w:tcW w:w="4643" w:type="dxa"/>
            <w:tcBorders>
              <w:top w:val="nil"/>
              <w:left w:val="nil"/>
              <w:right w:val="nil"/>
            </w:tcBorders>
          </w:tcPr>
          <w:p w14:paraId="1B68028B" w14:textId="77777777" w:rsidR="009B57ED" w:rsidRPr="00654EF1" w:rsidRDefault="009B57ED" w:rsidP="001D5C8C">
            <w:pPr>
              <w:pStyle w:val="EndnoteText"/>
              <w:widowControl w:val="0"/>
              <w:tabs>
                <w:tab w:val="clear" w:pos="567"/>
              </w:tabs>
              <w:jc w:val="center"/>
              <w:rPr>
                <w:color w:val="000000"/>
                <w:szCs w:val="22"/>
              </w:rPr>
            </w:pPr>
            <w:r w:rsidRPr="00654EF1">
              <w:rPr>
                <w:color w:val="000000"/>
                <w:szCs w:val="22"/>
              </w:rPr>
              <w:t>2 (1.4)</w:t>
            </w:r>
          </w:p>
        </w:tc>
      </w:tr>
    </w:tbl>
    <w:p w14:paraId="1B68028D" w14:textId="77777777" w:rsidR="009B57ED" w:rsidRPr="00654EF1" w:rsidRDefault="009B57ED" w:rsidP="001D5C8C">
      <w:pPr>
        <w:pStyle w:val="EndnoteText"/>
        <w:widowControl w:val="0"/>
        <w:tabs>
          <w:tab w:val="clear" w:pos="567"/>
        </w:tabs>
        <w:rPr>
          <w:color w:val="000000"/>
          <w:szCs w:val="22"/>
        </w:rPr>
      </w:pPr>
    </w:p>
    <w:p w14:paraId="1B68028E" w14:textId="77777777" w:rsidR="009B57ED" w:rsidRPr="00654EF1" w:rsidRDefault="009B57ED" w:rsidP="001D5C8C">
      <w:pPr>
        <w:pStyle w:val="Text"/>
        <w:widowControl w:val="0"/>
        <w:spacing w:before="0"/>
        <w:jc w:val="left"/>
        <w:rPr>
          <w:color w:val="000000"/>
          <w:sz w:val="22"/>
          <w:szCs w:val="22"/>
        </w:rPr>
      </w:pPr>
      <w:r w:rsidRPr="00654EF1">
        <w:rPr>
          <w:color w:val="000000"/>
          <w:sz w:val="22"/>
          <w:szCs w:val="22"/>
        </w:rPr>
        <w:t>There were no differences in response rates between the two dose groups. A significant number of patients who had stable disease at the time of the interim analysis achieved a partial response with longer treatment (median follow-up 31 months). Median time to response was 13 weeks (95% C.I. 12–23). Median time to treatment failure in responders was 122 weeks (95% C.I 106–147), while in the overall study population it was 84 weeks (95% C.I 71–109). The median overall survival has not been reached. The Kaplan-Meier estimate for survival after 36-month follow-up is 68%.</w:t>
      </w:r>
    </w:p>
    <w:p w14:paraId="1B68028F" w14:textId="77777777" w:rsidR="009B57ED" w:rsidRPr="00654EF1" w:rsidRDefault="009B57ED" w:rsidP="001D5C8C">
      <w:pPr>
        <w:pStyle w:val="EndnoteText"/>
        <w:widowControl w:val="0"/>
        <w:tabs>
          <w:tab w:val="clear" w:pos="567"/>
        </w:tabs>
        <w:rPr>
          <w:color w:val="000000"/>
          <w:szCs w:val="22"/>
        </w:rPr>
      </w:pPr>
    </w:p>
    <w:p w14:paraId="1B680290" w14:textId="77777777" w:rsidR="009B57ED" w:rsidRPr="00654EF1" w:rsidRDefault="009B57ED"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In two clinical studies (study B2222 and an intergroup study S0033) the daily dose of Glivec was escalated to 800 mg in patients progressing at the lower daily doses of 400 mg or 600 mg. The daily dose was escalated to 800 mg in a total of 103 patients; 6 patients achieved a partial response and 21 stabilisation of their disease after dose escalation for an overall clinical benefit of 26%. From the safety data available, escalating the dose to 800 mg daily in patients progressing at lower doses of 400 mg or 600 mg daily does not seem to affect the safety profile of Glivec.</w:t>
      </w:r>
    </w:p>
    <w:p w14:paraId="1B680291" w14:textId="77777777" w:rsidR="004C5C42" w:rsidRPr="00654EF1" w:rsidRDefault="004C5C42" w:rsidP="001D5C8C">
      <w:pPr>
        <w:pStyle w:val="Text"/>
        <w:widowControl w:val="0"/>
        <w:spacing w:before="0"/>
        <w:jc w:val="left"/>
        <w:rPr>
          <w:rFonts w:eastAsia="MS Mincho"/>
          <w:color w:val="000000"/>
          <w:sz w:val="22"/>
          <w:szCs w:val="22"/>
          <w:lang w:eastAsia="ja-JP"/>
        </w:rPr>
      </w:pPr>
    </w:p>
    <w:p w14:paraId="1B680292" w14:textId="77777777" w:rsidR="000D2060" w:rsidRPr="00654EF1" w:rsidRDefault="000D2060" w:rsidP="001D5C8C">
      <w:pPr>
        <w:pStyle w:val="Nottoc-headings"/>
        <w:keepLines w:val="0"/>
        <w:widowControl w:val="0"/>
        <w:spacing w:before="0" w:after="0"/>
        <w:rPr>
          <w:rFonts w:ascii="Times New Roman" w:eastAsia="MS Mincho" w:hAnsi="Times New Roman"/>
          <w:b w:val="0"/>
          <w:color w:val="000000"/>
          <w:sz w:val="22"/>
          <w:szCs w:val="22"/>
          <w:u w:val="single"/>
          <w:lang w:eastAsia="ja-JP"/>
        </w:rPr>
      </w:pPr>
      <w:r w:rsidRPr="00654EF1">
        <w:rPr>
          <w:rFonts w:ascii="Times New Roman" w:eastAsia="MS Mincho" w:hAnsi="Times New Roman"/>
          <w:b w:val="0"/>
          <w:color w:val="000000"/>
          <w:sz w:val="22"/>
          <w:szCs w:val="22"/>
          <w:u w:val="single"/>
          <w:lang w:eastAsia="ja-JP"/>
        </w:rPr>
        <w:t xml:space="preserve">Clinical </w:t>
      </w:r>
      <w:r w:rsidR="00505F51" w:rsidRPr="00654EF1">
        <w:rPr>
          <w:rFonts w:ascii="Times New Roman" w:eastAsia="MS Mincho" w:hAnsi="Times New Roman"/>
          <w:b w:val="0"/>
          <w:color w:val="000000"/>
          <w:sz w:val="22"/>
          <w:szCs w:val="22"/>
          <w:u w:val="single"/>
          <w:lang w:eastAsia="ja-JP"/>
        </w:rPr>
        <w:t>studies</w:t>
      </w:r>
      <w:r w:rsidRPr="00654EF1">
        <w:rPr>
          <w:rFonts w:ascii="Times New Roman" w:eastAsia="MS Mincho" w:hAnsi="Times New Roman"/>
          <w:b w:val="0"/>
          <w:color w:val="000000"/>
          <w:sz w:val="22"/>
          <w:szCs w:val="22"/>
          <w:u w:val="single"/>
          <w:lang w:eastAsia="ja-JP"/>
        </w:rPr>
        <w:t xml:space="preserve"> in adjuvant GIST</w:t>
      </w:r>
    </w:p>
    <w:p w14:paraId="1B680293" w14:textId="77777777" w:rsidR="000D2060" w:rsidRPr="00654EF1" w:rsidRDefault="000D2060"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In the adjuvant setting, Glivec was investigated in a multicentre, double-blind, long-term, placebo-controlled phase </w:t>
      </w:r>
      <w:smartTag w:uri="urn:schemas-microsoft-com:office:smarttags" w:element="stockticker">
        <w:r w:rsidRPr="00654EF1">
          <w:rPr>
            <w:rFonts w:eastAsia="MS Mincho"/>
            <w:color w:val="000000"/>
            <w:sz w:val="22"/>
            <w:szCs w:val="22"/>
            <w:lang w:eastAsia="ja-JP"/>
          </w:rPr>
          <w:t>III</w:t>
        </w:r>
      </w:smartTag>
      <w:r w:rsidRPr="00654EF1">
        <w:rPr>
          <w:rFonts w:eastAsia="MS Mincho"/>
          <w:color w:val="000000"/>
          <w:sz w:val="22"/>
          <w:szCs w:val="22"/>
          <w:lang w:eastAsia="ja-JP"/>
        </w:rPr>
        <w:t xml:space="preserve"> study (Z9001) involving 773 patients. The ages of these patients ranged from 18 to 91 years. Patients were included who had a histological diagnosis of primary GIST expressing Kit protein by immunochemistry and a tumour size ≥ 3 cm in maximum dimension, with complete gross resection of primary GIST within 14</w:t>
      </w:r>
      <w:r w:rsidRPr="00654EF1">
        <w:rPr>
          <w:rFonts w:eastAsia="MS Mincho"/>
          <w:color w:val="000000"/>
          <w:sz w:val="22"/>
          <w:szCs w:val="22"/>
          <w:lang w:eastAsia="ja-JP"/>
        </w:rPr>
        <w:noBreakHyphen/>
        <w:t>70 days prior to registration. After resection of primary GIST, patients were randomised to one of the two arms: Glivec at 400 mg/day or matching placebo for one year.</w:t>
      </w:r>
    </w:p>
    <w:p w14:paraId="1B680294" w14:textId="77777777" w:rsidR="000D2060" w:rsidRPr="00654EF1" w:rsidRDefault="000D2060" w:rsidP="001D5C8C">
      <w:pPr>
        <w:pStyle w:val="Text"/>
        <w:widowControl w:val="0"/>
        <w:spacing w:before="0"/>
        <w:jc w:val="left"/>
        <w:rPr>
          <w:rFonts w:eastAsia="MS Mincho"/>
          <w:color w:val="000000"/>
          <w:sz w:val="22"/>
          <w:szCs w:val="22"/>
          <w:lang w:eastAsia="ja-JP"/>
        </w:rPr>
      </w:pPr>
    </w:p>
    <w:p w14:paraId="1B680295" w14:textId="77777777" w:rsidR="000D2060" w:rsidRPr="00654EF1" w:rsidRDefault="000D2060"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The primary endpoint of the study was recurrence-free survival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defined as the time from date of randomisation to the date of recurrence or death from any cause.</w:t>
      </w:r>
    </w:p>
    <w:p w14:paraId="1B680296" w14:textId="77777777" w:rsidR="000D2060" w:rsidRPr="00654EF1" w:rsidRDefault="000D2060" w:rsidP="001D5C8C">
      <w:pPr>
        <w:pStyle w:val="Text"/>
        <w:widowControl w:val="0"/>
        <w:spacing w:before="0"/>
        <w:jc w:val="left"/>
        <w:rPr>
          <w:rFonts w:eastAsia="MS Mincho"/>
          <w:color w:val="000000"/>
          <w:sz w:val="22"/>
          <w:szCs w:val="22"/>
          <w:lang w:eastAsia="ja-JP"/>
        </w:rPr>
      </w:pPr>
    </w:p>
    <w:p w14:paraId="1B680297" w14:textId="77777777" w:rsidR="000D2060" w:rsidRPr="00654EF1" w:rsidRDefault="000D2060"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Glivec significantly prolonged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with 75% of patients being recurrence-free at 38 months in the Glivec group vs. 20 months in the placebo group (95% CIs, [30 - non-estimable]; [14 - non-estimable], respectively); (hazard ratio = 0.398 [0.259</w:t>
      </w:r>
      <w:r w:rsidRPr="00654EF1">
        <w:rPr>
          <w:rFonts w:eastAsia="MS Mincho"/>
          <w:color w:val="000000"/>
          <w:sz w:val="22"/>
          <w:szCs w:val="22"/>
          <w:lang w:eastAsia="ja-JP"/>
        </w:rPr>
        <w:noBreakHyphen/>
        <w:t xml:space="preserve">0.610], p&lt;0.0001). At one year the overall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xml:space="preserve"> was significantly better for Glivec (97.7%) vs. placebo (82.3%), (p&lt;0.0001). The risk of recurrence was thus reduced by approximately 89% as compared with placebo (hazard ratio = 0.113 [0.049</w:t>
      </w:r>
      <w:r w:rsidRPr="00654EF1">
        <w:rPr>
          <w:rFonts w:eastAsia="MS Mincho"/>
          <w:color w:val="000000"/>
          <w:sz w:val="22"/>
          <w:szCs w:val="22"/>
          <w:lang w:eastAsia="ja-JP"/>
        </w:rPr>
        <w:noBreakHyphen/>
        <w:t>0.264]).</w:t>
      </w:r>
    </w:p>
    <w:p w14:paraId="1B680298" w14:textId="77777777" w:rsidR="000D2060" w:rsidRPr="00654EF1" w:rsidRDefault="000D2060" w:rsidP="001D5C8C">
      <w:pPr>
        <w:pStyle w:val="Text"/>
        <w:widowControl w:val="0"/>
        <w:spacing w:before="0"/>
        <w:jc w:val="left"/>
        <w:rPr>
          <w:rFonts w:eastAsia="MS Mincho"/>
          <w:color w:val="000000"/>
          <w:sz w:val="22"/>
          <w:szCs w:val="22"/>
          <w:lang w:eastAsia="ja-JP"/>
        </w:rPr>
      </w:pPr>
    </w:p>
    <w:p w14:paraId="1B680299" w14:textId="77777777" w:rsidR="00936EF9" w:rsidRPr="00654EF1" w:rsidRDefault="00936EF9"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The risk of recurrence in patients after surgery of their primary GIST was retrospectively assessed based on the following prognostic factors: tumour size, mitotic index, tumour location. Mitotic index </w:t>
      </w:r>
      <w:r w:rsidRPr="00654EF1">
        <w:rPr>
          <w:rFonts w:eastAsia="MS Mincho"/>
          <w:color w:val="000000"/>
          <w:sz w:val="22"/>
          <w:szCs w:val="22"/>
          <w:lang w:eastAsia="ja-JP"/>
        </w:rPr>
        <w:lastRenderedPageBreak/>
        <w:t>data were available for 556 of the 7</w:t>
      </w:r>
      <w:r w:rsidR="002F65E8" w:rsidRPr="00654EF1">
        <w:rPr>
          <w:rFonts w:eastAsia="MS Mincho"/>
          <w:color w:val="000000"/>
          <w:sz w:val="22"/>
          <w:szCs w:val="22"/>
          <w:lang w:eastAsia="ja-JP"/>
        </w:rPr>
        <w:t>1</w:t>
      </w:r>
      <w:r w:rsidRPr="00654EF1">
        <w:rPr>
          <w:rFonts w:eastAsia="MS Mincho"/>
          <w:color w:val="000000"/>
          <w:sz w:val="22"/>
          <w:szCs w:val="22"/>
          <w:lang w:eastAsia="ja-JP"/>
        </w:rPr>
        <w:t>3 intention-to-treat (</w:t>
      </w:r>
      <w:smartTag w:uri="urn:schemas-microsoft-com:office:smarttags" w:element="stockticker">
        <w:r w:rsidRPr="00654EF1">
          <w:rPr>
            <w:rFonts w:eastAsia="MS Mincho"/>
            <w:color w:val="000000"/>
            <w:sz w:val="22"/>
            <w:szCs w:val="22"/>
            <w:lang w:eastAsia="ja-JP"/>
          </w:rPr>
          <w:t>ITT</w:t>
        </w:r>
      </w:smartTag>
      <w:r w:rsidRPr="00654EF1">
        <w:rPr>
          <w:rFonts w:eastAsia="MS Mincho"/>
          <w:color w:val="000000"/>
          <w:sz w:val="22"/>
          <w:szCs w:val="22"/>
          <w:lang w:eastAsia="ja-JP"/>
        </w:rPr>
        <w:t>) population. The results of subgroup analyses according to the United States National Institutes of Health (NIH) and the Armed Forces Institute of Pathology (AFIP) risk classifications are shown in Table </w:t>
      </w:r>
      <w:r w:rsidR="008F2DE5" w:rsidRPr="00654EF1">
        <w:rPr>
          <w:rFonts w:eastAsia="MS Mincho"/>
          <w:color w:val="000000"/>
          <w:sz w:val="22"/>
          <w:szCs w:val="22"/>
          <w:lang w:eastAsia="ja-JP"/>
        </w:rPr>
        <w:t>7</w:t>
      </w:r>
      <w:r w:rsidRPr="00654EF1">
        <w:rPr>
          <w:rFonts w:eastAsia="MS Mincho"/>
          <w:color w:val="000000"/>
          <w:sz w:val="22"/>
          <w:szCs w:val="22"/>
          <w:lang w:eastAsia="ja-JP"/>
        </w:rPr>
        <w:t>. No benefit was observed in the low and very low risk groups. No overall survival benefit has been observed.</w:t>
      </w:r>
    </w:p>
    <w:p w14:paraId="1B68029A" w14:textId="77777777" w:rsidR="00936EF9" w:rsidRPr="00654EF1" w:rsidRDefault="00936EF9" w:rsidP="001D5C8C">
      <w:pPr>
        <w:pStyle w:val="Text"/>
        <w:widowControl w:val="0"/>
        <w:spacing w:before="0"/>
        <w:jc w:val="left"/>
        <w:rPr>
          <w:color w:val="000000"/>
        </w:rPr>
      </w:pPr>
    </w:p>
    <w:p w14:paraId="1B68029B" w14:textId="77777777" w:rsidR="00936EF9" w:rsidRPr="00654EF1" w:rsidRDefault="00936EF9" w:rsidP="001D5C8C">
      <w:pPr>
        <w:pStyle w:val="Heading6"/>
        <w:widowControl w:val="0"/>
        <w:tabs>
          <w:tab w:val="clear" w:pos="567"/>
          <w:tab w:val="clear" w:pos="4536"/>
          <w:tab w:val="left" w:pos="1134"/>
        </w:tabs>
        <w:spacing w:line="240" w:lineRule="auto"/>
        <w:rPr>
          <w:rFonts w:eastAsia="MS Mincho"/>
          <w:b/>
          <w:i w:val="0"/>
          <w:color w:val="000000"/>
          <w:szCs w:val="22"/>
          <w:lang w:val="en-US" w:eastAsia="ja-JP"/>
        </w:rPr>
      </w:pPr>
      <w:r w:rsidRPr="00654EF1">
        <w:rPr>
          <w:rFonts w:eastAsia="MS Mincho"/>
          <w:b/>
          <w:i w:val="0"/>
          <w:color w:val="000000"/>
          <w:szCs w:val="22"/>
          <w:lang w:val="en-US" w:eastAsia="ja-JP"/>
        </w:rPr>
        <w:t>Table </w:t>
      </w:r>
      <w:r w:rsidR="008F2DE5" w:rsidRPr="00654EF1">
        <w:rPr>
          <w:rFonts w:eastAsia="MS Mincho"/>
          <w:b/>
          <w:i w:val="0"/>
          <w:color w:val="000000"/>
          <w:szCs w:val="22"/>
          <w:lang w:val="en-US" w:eastAsia="ja-JP"/>
        </w:rPr>
        <w:t>7</w:t>
      </w:r>
      <w:r w:rsidRPr="00654EF1">
        <w:rPr>
          <w:rFonts w:eastAsia="MS Mincho"/>
          <w:b/>
          <w:i w:val="0"/>
          <w:color w:val="000000"/>
          <w:szCs w:val="22"/>
          <w:lang w:val="en-US" w:eastAsia="ja-JP"/>
        </w:rPr>
        <w:tab/>
        <w:t xml:space="preserve">Summary of Z9001 trial </w:t>
      </w:r>
      <w:smartTag w:uri="urn:schemas-microsoft-com:office:smarttags" w:element="stockticker">
        <w:r w:rsidRPr="00654EF1">
          <w:rPr>
            <w:rFonts w:eastAsia="MS Mincho"/>
            <w:b/>
            <w:i w:val="0"/>
            <w:color w:val="000000"/>
            <w:szCs w:val="22"/>
            <w:lang w:val="en-US" w:eastAsia="ja-JP"/>
          </w:rPr>
          <w:t>RFS</w:t>
        </w:r>
      </w:smartTag>
      <w:r w:rsidRPr="00654EF1">
        <w:rPr>
          <w:rFonts w:eastAsia="MS Mincho"/>
          <w:b/>
          <w:i w:val="0"/>
          <w:color w:val="000000"/>
          <w:szCs w:val="22"/>
          <w:lang w:val="en-US" w:eastAsia="ja-JP"/>
        </w:rPr>
        <w:t xml:space="preserve"> analyses by NIH and AFIP risk classifications</w:t>
      </w:r>
    </w:p>
    <w:p w14:paraId="1B68029C" w14:textId="77777777" w:rsidR="00936EF9" w:rsidRPr="00654EF1" w:rsidRDefault="00936EF9" w:rsidP="001D5C8C">
      <w:pPr>
        <w:keepNext/>
        <w:widowControl w:val="0"/>
        <w:spacing w:line="240" w:lineRule="auto"/>
        <w:rPr>
          <w:rFonts w:eastAsia="MS Mincho"/>
          <w:color w:val="000000"/>
          <w:lang w:val="en-US"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936EF9" w:rsidRPr="00654EF1" w14:paraId="1B6802A4" w14:textId="77777777" w:rsidTr="005E7BE5">
        <w:trPr>
          <w:cantSplit/>
        </w:trPr>
        <w:tc>
          <w:tcPr>
            <w:tcW w:w="934" w:type="dxa"/>
            <w:vMerge w:val="restart"/>
          </w:tcPr>
          <w:p w14:paraId="1B68029D"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Risk criteria</w:t>
            </w:r>
          </w:p>
        </w:tc>
        <w:tc>
          <w:tcPr>
            <w:tcW w:w="1417" w:type="dxa"/>
            <w:vMerge w:val="restart"/>
            <w:tcBorders>
              <w:right w:val="single" w:sz="4" w:space="0" w:color="auto"/>
            </w:tcBorders>
          </w:tcPr>
          <w:p w14:paraId="1B68029E" w14:textId="77777777" w:rsidR="00936EF9" w:rsidRPr="00654EF1" w:rsidRDefault="00936EF9" w:rsidP="001D5C8C">
            <w:pPr>
              <w:pStyle w:val="Table"/>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Risk Level</w:t>
            </w:r>
          </w:p>
          <w:p w14:paraId="1B68029F"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val="restart"/>
            <w:tcBorders>
              <w:left w:val="single" w:sz="4" w:space="0" w:color="auto"/>
              <w:right w:val="single" w:sz="4" w:space="0" w:color="auto"/>
            </w:tcBorders>
          </w:tcPr>
          <w:p w14:paraId="1B6802A0"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 of patients</w:t>
            </w:r>
          </w:p>
        </w:tc>
        <w:tc>
          <w:tcPr>
            <w:tcW w:w="2083" w:type="dxa"/>
            <w:vMerge w:val="restart"/>
            <w:tcBorders>
              <w:left w:val="single" w:sz="4" w:space="0" w:color="auto"/>
              <w:right w:val="single" w:sz="4" w:space="0" w:color="auto"/>
            </w:tcBorders>
          </w:tcPr>
          <w:p w14:paraId="1B6802A1"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No. of events /</w:t>
            </w:r>
            <w:r w:rsidRPr="00654EF1">
              <w:rPr>
                <w:rFonts w:ascii="Times New Roman" w:hAnsi="Times New Roman"/>
                <w:b/>
                <w:color w:val="000000"/>
                <w:sz w:val="22"/>
                <w:szCs w:val="22"/>
              </w:rPr>
              <w:br/>
              <w:t>No. of patients</w:t>
            </w:r>
          </w:p>
        </w:tc>
        <w:tc>
          <w:tcPr>
            <w:tcW w:w="1800" w:type="dxa"/>
            <w:vMerge w:val="restart"/>
            <w:tcBorders>
              <w:left w:val="single" w:sz="4" w:space="0" w:color="auto"/>
              <w:right w:val="single" w:sz="4" w:space="0" w:color="auto"/>
            </w:tcBorders>
          </w:tcPr>
          <w:p w14:paraId="1B6802A2"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Overall hazard ratio (95%CI)*</w:t>
            </w:r>
          </w:p>
        </w:tc>
        <w:tc>
          <w:tcPr>
            <w:tcW w:w="2800" w:type="dxa"/>
            <w:gridSpan w:val="2"/>
            <w:tcBorders>
              <w:left w:val="single" w:sz="4" w:space="0" w:color="auto"/>
            </w:tcBorders>
          </w:tcPr>
          <w:p w14:paraId="1B6802A3"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smartTag w:uri="urn:schemas-microsoft-com:office:smarttags" w:element="stockticker">
              <w:r w:rsidRPr="00654EF1">
                <w:rPr>
                  <w:rFonts w:ascii="Times New Roman" w:hAnsi="Times New Roman"/>
                  <w:b/>
                  <w:color w:val="000000"/>
                  <w:sz w:val="22"/>
                  <w:szCs w:val="22"/>
                </w:rPr>
                <w:t>RFS</w:t>
              </w:r>
            </w:smartTag>
            <w:r w:rsidRPr="00654EF1">
              <w:rPr>
                <w:rFonts w:ascii="Times New Roman" w:hAnsi="Times New Roman"/>
                <w:b/>
                <w:color w:val="000000"/>
                <w:sz w:val="22"/>
                <w:szCs w:val="22"/>
              </w:rPr>
              <w:t xml:space="preserve"> rates (%)</w:t>
            </w:r>
          </w:p>
        </w:tc>
      </w:tr>
      <w:tr w:rsidR="00936EF9" w:rsidRPr="00654EF1" w14:paraId="1B6802AC" w14:textId="77777777" w:rsidTr="005E7BE5">
        <w:trPr>
          <w:cantSplit/>
        </w:trPr>
        <w:tc>
          <w:tcPr>
            <w:tcW w:w="934" w:type="dxa"/>
            <w:vMerge/>
          </w:tcPr>
          <w:p w14:paraId="1B6802A5"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vMerge/>
            <w:tcBorders>
              <w:right w:val="single" w:sz="4" w:space="0" w:color="auto"/>
            </w:tcBorders>
          </w:tcPr>
          <w:p w14:paraId="1B6802A6"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1B6802A7"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2083" w:type="dxa"/>
            <w:vMerge/>
            <w:tcBorders>
              <w:left w:val="single" w:sz="4" w:space="0" w:color="auto"/>
              <w:right w:val="single" w:sz="4" w:space="0" w:color="auto"/>
            </w:tcBorders>
          </w:tcPr>
          <w:p w14:paraId="1B6802A8"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1800" w:type="dxa"/>
            <w:vMerge/>
            <w:tcBorders>
              <w:left w:val="single" w:sz="4" w:space="0" w:color="auto"/>
              <w:right w:val="single" w:sz="4" w:space="0" w:color="auto"/>
            </w:tcBorders>
          </w:tcPr>
          <w:p w14:paraId="1B6802A9"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1B6802AA"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12 month</w:t>
            </w:r>
          </w:p>
        </w:tc>
        <w:tc>
          <w:tcPr>
            <w:tcW w:w="1360" w:type="dxa"/>
            <w:tcBorders>
              <w:left w:val="single" w:sz="4" w:space="0" w:color="auto"/>
            </w:tcBorders>
          </w:tcPr>
          <w:p w14:paraId="1B6802AB"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24 month</w:t>
            </w:r>
          </w:p>
        </w:tc>
      </w:tr>
      <w:tr w:rsidR="00936EF9" w:rsidRPr="00654EF1" w14:paraId="1B6802B4" w14:textId="77777777" w:rsidTr="005E7BE5">
        <w:trPr>
          <w:cantSplit/>
        </w:trPr>
        <w:tc>
          <w:tcPr>
            <w:tcW w:w="934" w:type="dxa"/>
            <w:vMerge/>
          </w:tcPr>
          <w:p w14:paraId="1B6802AD"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vMerge/>
            <w:tcBorders>
              <w:right w:val="single" w:sz="4" w:space="0" w:color="auto"/>
            </w:tcBorders>
          </w:tcPr>
          <w:p w14:paraId="1B6802AE"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1B6802AF"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2083" w:type="dxa"/>
            <w:tcBorders>
              <w:left w:val="single" w:sz="4" w:space="0" w:color="auto"/>
              <w:bottom w:val="single" w:sz="4" w:space="0" w:color="auto"/>
              <w:right w:val="single" w:sz="4" w:space="0" w:color="auto"/>
            </w:tcBorders>
          </w:tcPr>
          <w:p w14:paraId="1B6802B0"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c>
          <w:tcPr>
            <w:tcW w:w="1800" w:type="dxa"/>
            <w:vMerge/>
            <w:tcBorders>
              <w:left w:val="single" w:sz="4" w:space="0" w:color="auto"/>
              <w:bottom w:val="single" w:sz="4" w:space="0" w:color="auto"/>
              <w:right w:val="single" w:sz="4" w:space="0" w:color="auto"/>
            </w:tcBorders>
          </w:tcPr>
          <w:p w14:paraId="1B6802B1"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1B6802B2"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c>
          <w:tcPr>
            <w:tcW w:w="1360" w:type="dxa"/>
            <w:tcBorders>
              <w:left w:val="single" w:sz="4" w:space="0" w:color="auto"/>
            </w:tcBorders>
          </w:tcPr>
          <w:p w14:paraId="1B6802B3"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r>
      <w:tr w:rsidR="00936EF9" w:rsidRPr="00654EF1" w14:paraId="1B6802BC" w14:textId="77777777" w:rsidTr="005E7BE5">
        <w:trPr>
          <w:cantSplit/>
        </w:trPr>
        <w:tc>
          <w:tcPr>
            <w:tcW w:w="934" w:type="dxa"/>
            <w:vMerge w:val="restart"/>
            <w:shd w:val="clear" w:color="auto" w:fill="auto"/>
          </w:tcPr>
          <w:p w14:paraId="1B6802B5" w14:textId="77777777" w:rsidR="00936EF9" w:rsidRPr="00654EF1" w:rsidRDefault="00936EF9" w:rsidP="005E7BE5">
            <w:pPr>
              <w:pStyle w:val="Nottoc-headings"/>
              <w:widowControl w:val="0"/>
              <w:spacing w:before="0" w:after="0"/>
              <w:ind w:left="0" w:firstLine="0"/>
              <w:rPr>
                <w:color w:val="000000"/>
                <w:sz w:val="22"/>
                <w:szCs w:val="22"/>
              </w:rPr>
            </w:pPr>
            <w:r w:rsidRPr="00654EF1">
              <w:rPr>
                <w:rFonts w:ascii="Times New Roman" w:hAnsi="Times New Roman"/>
                <w:b w:val="0"/>
                <w:color w:val="000000"/>
                <w:sz w:val="22"/>
                <w:szCs w:val="22"/>
              </w:rPr>
              <w:t>NIH</w:t>
            </w:r>
          </w:p>
        </w:tc>
        <w:tc>
          <w:tcPr>
            <w:tcW w:w="1417" w:type="dxa"/>
            <w:tcBorders>
              <w:bottom w:val="nil"/>
              <w:right w:val="single" w:sz="4" w:space="0" w:color="auto"/>
            </w:tcBorders>
            <w:vAlign w:val="bottom"/>
          </w:tcPr>
          <w:p w14:paraId="1B6802B6" w14:textId="77777777" w:rsidR="00936EF9" w:rsidRPr="00654EF1" w:rsidRDefault="00936EF9" w:rsidP="001D5C8C">
            <w:pPr>
              <w:pStyle w:val="Nottoc-headings"/>
              <w:widowControl w:val="0"/>
              <w:spacing w:before="0" w:after="0"/>
              <w:ind w:left="57" w:hanging="57"/>
              <w:rPr>
                <w:rFonts w:ascii="Times New Roman" w:hAnsi="Times New Roman"/>
                <w:b w:val="0"/>
                <w:color w:val="000000"/>
                <w:sz w:val="22"/>
                <w:szCs w:val="22"/>
              </w:rPr>
            </w:pPr>
            <w:r w:rsidRPr="00654EF1">
              <w:rPr>
                <w:rFonts w:ascii="Times New Roman" w:hAnsi="Times New Roman"/>
                <w:b w:val="0"/>
                <w:color w:val="000000"/>
                <w:sz w:val="22"/>
                <w:szCs w:val="22"/>
              </w:rPr>
              <w:t>Low</w:t>
            </w:r>
          </w:p>
        </w:tc>
        <w:tc>
          <w:tcPr>
            <w:tcW w:w="986" w:type="dxa"/>
            <w:tcBorders>
              <w:left w:val="single" w:sz="4" w:space="0" w:color="auto"/>
              <w:bottom w:val="nil"/>
              <w:right w:val="single" w:sz="4" w:space="0" w:color="auto"/>
            </w:tcBorders>
            <w:vAlign w:val="bottom"/>
          </w:tcPr>
          <w:p w14:paraId="1B6802B7" w14:textId="77777777" w:rsidR="00936EF9" w:rsidRPr="00654EF1" w:rsidRDefault="00936EF9" w:rsidP="001D5C8C">
            <w:pPr>
              <w:pStyle w:val="Nottoc-headings"/>
              <w:widowControl w:val="0"/>
              <w:spacing w:before="0" w:after="0"/>
              <w:ind w:left="57" w:hanging="57"/>
              <w:jc w:val="center"/>
              <w:rPr>
                <w:rFonts w:ascii="Times New Roman" w:hAnsi="Times New Roman"/>
                <w:b w:val="0"/>
                <w:color w:val="000000"/>
                <w:sz w:val="22"/>
                <w:szCs w:val="22"/>
              </w:rPr>
            </w:pPr>
            <w:r w:rsidRPr="00654EF1">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1B6802B8" w14:textId="77777777" w:rsidR="00936EF9" w:rsidRPr="00654EF1" w:rsidRDefault="00936EF9" w:rsidP="001D5C8C">
            <w:pPr>
              <w:pStyle w:val="Nottoc-headings"/>
              <w:widowControl w:val="0"/>
              <w:spacing w:before="0" w:after="0"/>
              <w:ind w:left="57" w:hanging="57"/>
              <w:rPr>
                <w:rFonts w:ascii="Times New Roman" w:hAnsi="Times New Roman"/>
                <w:b w:val="0"/>
                <w:color w:val="000000"/>
                <w:sz w:val="22"/>
                <w:szCs w:val="22"/>
              </w:rPr>
            </w:pPr>
            <w:r w:rsidRPr="00654EF1">
              <w:rPr>
                <w:rFonts w:ascii="Times New Roman" w:hAnsi="Times New Roman"/>
                <w:b w:val="0"/>
                <w:color w:val="000000"/>
                <w:sz w:val="22"/>
                <w:szCs w:val="22"/>
              </w:rPr>
              <w:t>0/86 vs. 2/90</w:t>
            </w:r>
          </w:p>
        </w:tc>
        <w:tc>
          <w:tcPr>
            <w:tcW w:w="1800" w:type="dxa"/>
            <w:tcBorders>
              <w:left w:val="single" w:sz="4" w:space="0" w:color="auto"/>
              <w:bottom w:val="nil"/>
              <w:right w:val="single" w:sz="4" w:space="0" w:color="auto"/>
            </w:tcBorders>
            <w:vAlign w:val="bottom"/>
          </w:tcPr>
          <w:p w14:paraId="1B6802B9" w14:textId="77777777" w:rsidR="00936EF9" w:rsidRPr="00654EF1" w:rsidRDefault="00936EF9" w:rsidP="001D5C8C">
            <w:pPr>
              <w:pStyle w:val="Nottoc-headings"/>
              <w:widowControl w:val="0"/>
              <w:spacing w:before="0" w:after="0"/>
              <w:ind w:left="57" w:hanging="57"/>
              <w:rPr>
                <w:rFonts w:ascii="Times New Roman" w:hAnsi="Times New Roman"/>
                <w:b w:val="0"/>
                <w:color w:val="000000"/>
                <w:sz w:val="22"/>
                <w:szCs w:val="22"/>
              </w:rPr>
            </w:pPr>
            <w:r w:rsidRPr="00654EF1">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1B6802BA" w14:textId="77777777" w:rsidR="00936EF9" w:rsidRPr="00654EF1" w:rsidRDefault="00936EF9" w:rsidP="001D5C8C">
            <w:pPr>
              <w:pStyle w:val="Nottoc-headings"/>
              <w:widowControl w:val="0"/>
              <w:spacing w:before="0" w:after="0"/>
              <w:ind w:left="57" w:hanging="57"/>
              <w:rPr>
                <w:rFonts w:ascii="Times New Roman" w:hAnsi="Times New Roman"/>
                <w:b w:val="0"/>
                <w:color w:val="000000"/>
                <w:sz w:val="22"/>
                <w:szCs w:val="22"/>
              </w:rPr>
            </w:pPr>
            <w:r w:rsidRPr="00654EF1">
              <w:rPr>
                <w:rFonts w:ascii="Times New Roman" w:hAnsi="Times New Roman"/>
                <w:b w:val="0"/>
                <w:color w:val="000000"/>
                <w:sz w:val="22"/>
                <w:szCs w:val="22"/>
              </w:rPr>
              <w:t>100 vs</w:t>
            </w:r>
            <w:r w:rsidR="005545AE" w:rsidRPr="00654EF1">
              <w:rPr>
                <w:rFonts w:ascii="Times New Roman" w:hAnsi="Times New Roman"/>
                <w:b w:val="0"/>
                <w:color w:val="000000"/>
                <w:sz w:val="22"/>
                <w:szCs w:val="22"/>
              </w:rPr>
              <w:t>.</w:t>
            </w:r>
            <w:r w:rsidRPr="00654EF1">
              <w:rPr>
                <w:rFonts w:ascii="Times New Roman" w:hAnsi="Times New Roman"/>
                <w:b w:val="0"/>
                <w:color w:val="000000"/>
                <w:sz w:val="22"/>
                <w:szCs w:val="22"/>
              </w:rPr>
              <w:t xml:space="preserve"> 98.7</w:t>
            </w:r>
          </w:p>
        </w:tc>
        <w:tc>
          <w:tcPr>
            <w:tcW w:w="1360" w:type="dxa"/>
            <w:tcBorders>
              <w:left w:val="single" w:sz="4" w:space="0" w:color="auto"/>
              <w:bottom w:val="nil"/>
            </w:tcBorders>
            <w:vAlign w:val="bottom"/>
          </w:tcPr>
          <w:p w14:paraId="1B6802BB" w14:textId="77777777" w:rsidR="00936EF9" w:rsidRPr="00654EF1" w:rsidRDefault="00936EF9" w:rsidP="001D5C8C">
            <w:pPr>
              <w:pStyle w:val="Nottoc-headings"/>
              <w:widowControl w:val="0"/>
              <w:spacing w:before="0" w:after="0"/>
              <w:ind w:left="57" w:hanging="57"/>
              <w:rPr>
                <w:rFonts w:ascii="Times New Roman" w:hAnsi="Times New Roman"/>
                <w:b w:val="0"/>
                <w:color w:val="000000"/>
                <w:sz w:val="22"/>
                <w:szCs w:val="22"/>
              </w:rPr>
            </w:pPr>
            <w:r w:rsidRPr="00654EF1">
              <w:rPr>
                <w:rFonts w:ascii="Times New Roman" w:hAnsi="Times New Roman"/>
                <w:b w:val="0"/>
                <w:color w:val="000000"/>
                <w:sz w:val="22"/>
                <w:szCs w:val="22"/>
              </w:rPr>
              <w:t>100 vs.</w:t>
            </w:r>
            <w:r w:rsidR="002C1058" w:rsidRPr="00654EF1">
              <w:rPr>
                <w:rFonts w:ascii="Times New Roman" w:hAnsi="Times New Roman"/>
                <w:b w:val="0"/>
                <w:color w:val="000000"/>
                <w:sz w:val="22"/>
                <w:szCs w:val="22"/>
              </w:rPr>
              <w:t xml:space="preserve"> </w:t>
            </w:r>
            <w:r w:rsidRPr="00654EF1">
              <w:rPr>
                <w:rFonts w:ascii="Times New Roman" w:hAnsi="Times New Roman"/>
                <w:b w:val="0"/>
                <w:color w:val="000000"/>
                <w:sz w:val="22"/>
                <w:szCs w:val="22"/>
              </w:rPr>
              <w:t>95.5</w:t>
            </w:r>
          </w:p>
        </w:tc>
      </w:tr>
      <w:tr w:rsidR="00936EF9" w:rsidRPr="00654EF1" w14:paraId="1B6802C4" w14:textId="77777777" w:rsidTr="005E7BE5">
        <w:trPr>
          <w:cantSplit/>
        </w:trPr>
        <w:tc>
          <w:tcPr>
            <w:tcW w:w="934" w:type="dxa"/>
            <w:vMerge/>
            <w:shd w:val="clear" w:color="auto" w:fill="auto"/>
          </w:tcPr>
          <w:p w14:paraId="1B6802BD" w14:textId="77777777" w:rsidR="00936EF9" w:rsidRPr="00654EF1" w:rsidRDefault="00936EF9" w:rsidP="001D5C8C">
            <w:pPr>
              <w:pStyle w:val="Nottoc-headings"/>
              <w:widowControl w:val="0"/>
              <w:spacing w:before="0" w:after="0"/>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1B6802BE"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Intermediate</w:t>
            </w:r>
          </w:p>
        </w:tc>
        <w:tc>
          <w:tcPr>
            <w:tcW w:w="986" w:type="dxa"/>
            <w:tcBorders>
              <w:top w:val="nil"/>
              <w:left w:val="single" w:sz="4" w:space="0" w:color="auto"/>
              <w:bottom w:val="nil"/>
              <w:right w:val="single" w:sz="4" w:space="0" w:color="auto"/>
            </w:tcBorders>
            <w:vAlign w:val="bottom"/>
          </w:tcPr>
          <w:p w14:paraId="1B6802BF"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25.7</w:t>
            </w:r>
          </w:p>
        </w:tc>
        <w:tc>
          <w:tcPr>
            <w:tcW w:w="2083" w:type="dxa"/>
            <w:tcBorders>
              <w:top w:val="nil"/>
              <w:left w:val="single" w:sz="4" w:space="0" w:color="auto"/>
              <w:bottom w:val="nil"/>
              <w:right w:val="single" w:sz="4" w:space="0" w:color="auto"/>
            </w:tcBorders>
            <w:vAlign w:val="bottom"/>
          </w:tcPr>
          <w:p w14:paraId="1B6802C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1B6802C1"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1B6802C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1B6802C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97.8 vs. 89.5</w:t>
            </w:r>
          </w:p>
        </w:tc>
      </w:tr>
      <w:tr w:rsidR="00936EF9" w:rsidRPr="00654EF1" w14:paraId="1B6802CC" w14:textId="77777777" w:rsidTr="005E7BE5">
        <w:trPr>
          <w:cantSplit/>
        </w:trPr>
        <w:tc>
          <w:tcPr>
            <w:tcW w:w="934" w:type="dxa"/>
            <w:vMerge/>
            <w:shd w:val="clear" w:color="auto" w:fill="auto"/>
          </w:tcPr>
          <w:p w14:paraId="1B6802C5"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right w:val="single" w:sz="4" w:space="0" w:color="auto"/>
            </w:tcBorders>
            <w:vAlign w:val="bottom"/>
          </w:tcPr>
          <w:p w14:paraId="1B6802C6"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High</w:t>
            </w:r>
          </w:p>
        </w:tc>
        <w:tc>
          <w:tcPr>
            <w:tcW w:w="986" w:type="dxa"/>
            <w:tcBorders>
              <w:top w:val="nil"/>
              <w:left w:val="single" w:sz="4" w:space="0" w:color="auto"/>
              <w:right w:val="single" w:sz="4" w:space="0" w:color="auto"/>
            </w:tcBorders>
            <w:vAlign w:val="bottom"/>
          </w:tcPr>
          <w:p w14:paraId="1B6802C7"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44.8</w:t>
            </w:r>
          </w:p>
        </w:tc>
        <w:tc>
          <w:tcPr>
            <w:tcW w:w="2083" w:type="dxa"/>
            <w:tcBorders>
              <w:top w:val="nil"/>
              <w:left w:val="single" w:sz="4" w:space="0" w:color="auto"/>
              <w:right w:val="single" w:sz="4" w:space="0" w:color="auto"/>
            </w:tcBorders>
            <w:vAlign w:val="bottom"/>
          </w:tcPr>
          <w:p w14:paraId="1B6802C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1B6802C9"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1B6802C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94.8 vs. 64.0</w:t>
            </w:r>
          </w:p>
        </w:tc>
        <w:tc>
          <w:tcPr>
            <w:tcW w:w="1360" w:type="dxa"/>
            <w:tcBorders>
              <w:top w:val="nil"/>
              <w:left w:val="single" w:sz="4" w:space="0" w:color="auto"/>
            </w:tcBorders>
            <w:vAlign w:val="bottom"/>
          </w:tcPr>
          <w:p w14:paraId="1B6802C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80.7 vs. 46.6</w:t>
            </w:r>
          </w:p>
        </w:tc>
      </w:tr>
      <w:tr w:rsidR="00936EF9" w:rsidRPr="00654EF1" w14:paraId="1B6802D4" w14:textId="77777777" w:rsidTr="005E7BE5">
        <w:trPr>
          <w:cantSplit/>
        </w:trPr>
        <w:tc>
          <w:tcPr>
            <w:tcW w:w="934" w:type="dxa"/>
            <w:vMerge w:val="restart"/>
            <w:shd w:val="clear" w:color="auto" w:fill="auto"/>
          </w:tcPr>
          <w:p w14:paraId="1B6802CD" w14:textId="77777777" w:rsidR="00936EF9" w:rsidRPr="00654EF1" w:rsidRDefault="00936EF9" w:rsidP="005E7BE5">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AFIP</w:t>
            </w:r>
          </w:p>
        </w:tc>
        <w:tc>
          <w:tcPr>
            <w:tcW w:w="1417" w:type="dxa"/>
            <w:tcBorders>
              <w:bottom w:val="nil"/>
              <w:right w:val="single" w:sz="4" w:space="0" w:color="auto"/>
            </w:tcBorders>
            <w:vAlign w:val="bottom"/>
          </w:tcPr>
          <w:p w14:paraId="1B6802CE"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Very Low</w:t>
            </w:r>
          </w:p>
        </w:tc>
        <w:tc>
          <w:tcPr>
            <w:tcW w:w="986" w:type="dxa"/>
            <w:tcBorders>
              <w:left w:val="single" w:sz="4" w:space="0" w:color="auto"/>
              <w:bottom w:val="nil"/>
              <w:right w:val="single" w:sz="4" w:space="0" w:color="auto"/>
            </w:tcBorders>
            <w:vAlign w:val="bottom"/>
          </w:tcPr>
          <w:p w14:paraId="1B6802CF"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20.7</w:t>
            </w:r>
          </w:p>
        </w:tc>
        <w:tc>
          <w:tcPr>
            <w:tcW w:w="2083" w:type="dxa"/>
            <w:tcBorders>
              <w:left w:val="single" w:sz="4" w:space="0" w:color="auto"/>
              <w:bottom w:val="nil"/>
              <w:right w:val="single" w:sz="4" w:space="0" w:color="auto"/>
            </w:tcBorders>
            <w:vAlign w:val="bottom"/>
          </w:tcPr>
          <w:p w14:paraId="1B6802D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1B6802D1"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1B6802D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98.1</w:t>
            </w:r>
          </w:p>
        </w:tc>
        <w:tc>
          <w:tcPr>
            <w:tcW w:w="1360" w:type="dxa"/>
            <w:tcBorders>
              <w:left w:val="single" w:sz="4" w:space="0" w:color="auto"/>
              <w:bottom w:val="nil"/>
            </w:tcBorders>
            <w:vAlign w:val="bottom"/>
          </w:tcPr>
          <w:p w14:paraId="1B6802D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93.0</w:t>
            </w:r>
          </w:p>
        </w:tc>
      </w:tr>
      <w:tr w:rsidR="00936EF9" w:rsidRPr="00654EF1" w14:paraId="1B6802DC" w14:textId="77777777" w:rsidTr="00D174E8">
        <w:tc>
          <w:tcPr>
            <w:tcW w:w="934" w:type="dxa"/>
            <w:vMerge/>
            <w:shd w:val="clear" w:color="auto" w:fill="auto"/>
          </w:tcPr>
          <w:p w14:paraId="1B6802D5"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bottom w:val="nil"/>
              <w:right w:val="single" w:sz="4" w:space="0" w:color="auto"/>
            </w:tcBorders>
            <w:vAlign w:val="bottom"/>
          </w:tcPr>
          <w:p w14:paraId="1B6802D6"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Low</w:t>
            </w:r>
          </w:p>
        </w:tc>
        <w:tc>
          <w:tcPr>
            <w:tcW w:w="986" w:type="dxa"/>
            <w:tcBorders>
              <w:top w:val="nil"/>
              <w:left w:val="single" w:sz="4" w:space="0" w:color="auto"/>
              <w:bottom w:val="nil"/>
              <w:right w:val="single" w:sz="4" w:space="0" w:color="auto"/>
            </w:tcBorders>
            <w:vAlign w:val="bottom"/>
          </w:tcPr>
          <w:p w14:paraId="1B6802D7"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25.0</w:t>
            </w:r>
          </w:p>
        </w:tc>
        <w:tc>
          <w:tcPr>
            <w:tcW w:w="2083" w:type="dxa"/>
            <w:tcBorders>
              <w:top w:val="nil"/>
              <w:left w:val="single" w:sz="4" w:space="0" w:color="auto"/>
              <w:bottom w:val="nil"/>
              <w:right w:val="single" w:sz="4" w:space="0" w:color="auto"/>
            </w:tcBorders>
            <w:vAlign w:val="bottom"/>
          </w:tcPr>
          <w:p w14:paraId="1B6802D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1B6802D9"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1B6802D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1B6802D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97.8 vs. 100</w:t>
            </w:r>
          </w:p>
        </w:tc>
      </w:tr>
      <w:tr w:rsidR="00936EF9" w:rsidRPr="00654EF1" w14:paraId="1B6802E4" w14:textId="77777777" w:rsidTr="00D174E8">
        <w:tc>
          <w:tcPr>
            <w:tcW w:w="934" w:type="dxa"/>
            <w:vMerge/>
            <w:shd w:val="clear" w:color="auto" w:fill="auto"/>
          </w:tcPr>
          <w:p w14:paraId="1B6802DD"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tcBorders>
              <w:top w:val="nil"/>
              <w:bottom w:val="nil"/>
              <w:right w:val="single" w:sz="4" w:space="0" w:color="auto"/>
            </w:tcBorders>
            <w:vAlign w:val="bottom"/>
          </w:tcPr>
          <w:p w14:paraId="1B6802DE"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Moderate</w:t>
            </w:r>
          </w:p>
        </w:tc>
        <w:tc>
          <w:tcPr>
            <w:tcW w:w="986" w:type="dxa"/>
            <w:tcBorders>
              <w:top w:val="nil"/>
              <w:left w:val="single" w:sz="4" w:space="0" w:color="auto"/>
              <w:bottom w:val="nil"/>
              <w:right w:val="single" w:sz="4" w:space="0" w:color="auto"/>
            </w:tcBorders>
            <w:vAlign w:val="bottom"/>
          </w:tcPr>
          <w:p w14:paraId="1B6802DF"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24.6</w:t>
            </w:r>
          </w:p>
        </w:tc>
        <w:tc>
          <w:tcPr>
            <w:tcW w:w="2083" w:type="dxa"/>
            <w:tcBorders>
              <w:top w:val="nil"/>
              <w:left w:val="single" w:sz="4" w:space="0" w:color="auto"/>
              <w:bottom w:val="nil"/>
              <w:right w:val="single" w:sz="4" w:space="0" w:color="auto"/>
            </w:tcBorders>
            <w:vAlign w:val="bottom"/>
          </w:tcPr>
          <w:p w14:paraId="1B6802E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1B6802E1"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1B6802E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1B6802E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97.9 vs. 73.3</w:t>
            </w:r>
          </w:p>
        </w:tc>
      </w:tr>
      <w:tr w:rsidR="00936EF9" w:rsidRPr="00654EF1" w14:paraId="1B6802EC" w14:textId="77777777" w:rsidTr="00D174E8">
        <w:tc>
          <w:tcPr>
            <w:tcW w:w="934" w:type="dxa"/>
            <w:vMerge/>
            <w:tcBorders>
              <w:bottom w:val="single" w:sz="4" w:space="0" w:color="auto"/>
            </w:tcBorders>
            <w:shd w:val="clear" w:color="auto" w:fill="auto"/>
          </w:tcPr>
          <w:p w14:paraId="1B6802E5"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bottom w:val="single" w:sz="4" w:space="0" w:color="auto"/>
              <w:right w:val="single" w:sz="4" w:space="0" w:color="auto"/>
            </w:tcBorders>
            <w:vAlign w:val="bottom"/>
          </w:tcPr>
          <w:p w14:paraId="1B6802E6"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High</w:t>
            </w:r>
          </w:p>
        </w:tc>
        <w:tc>
          <w:tcPr>
            <w:tcW w:w="986" w:type="dxa"/>
            <w:tcBorders>
              <w:top w:val="nil"/>
              <w:left w:val="single" w:sz="4" w:space="0" w:color="auto"/>
              <w:bottom w:val="single" w:sz="4" w:space="0" w:color="auto"/>
              <w:right w:val="single" w:sz="4" w:space="0" w:color="auto"/>
            </w:tcBorders>
            <w:vAlign w:val="bottom"/>
          </w:tcPr>
          <w:p w14:paraId="1B6802E7" w14:textId="77777777" w:rsidR="00936EF9" w:rsidRPr="00654EF1" w:rsidRDefault="00936EF9" w:rsidP="001D5C8C">
            <w:pPr>
              <w:pStyle w:val="Table"/>
              <w:widowControl w:val="0"/>
              <w:spacing w:before="0" w:after="0"/>
              <w:ind w:right="-3"/>
              <w:jc w:val="center"/>
              <w:rPr>
                <w:rFonts w:ascii="Times New Roman" w:hAnsi="Times New Roman"/>
                <w:color w:val="000000"/>
                <w:sz w:val="22"/>
                <w:szCs w:val="22"/>
              </w:rPr>
            </w:pPr>
            <w:r w:rsidRPr="00654EF1">
              <w:rPr>
                <w:rFonts w:ascii="Times New Roman" w:hAnsi="Times New Roman"/>
                <w:color w:val="000000"/>
                <w:sz w:val="22"/>
                <w:szCs w:val="22"/>
              </w:rPr>
              <w:t>29.7</w:t>
            </w:r>
          </w:p>
        </w:tc>
        <w:tc>
          <w:tcPr>
            <w:tcW w:w="2083" w:type="dxa"/>
            <w:tcBorders>
              <w:top w:val="nil"/>
              <w:left w:val="single" w:sz="4" w:space="0" w:color="auto"/>
              <w:bottom w:val="single" w:sz="4" w:space="0" w:color="auto"/>
              <w:right w:val="single" w:sz="4" w:space="0" w:color="auto"/>
            </w:tcBorders>
            <w:vAlign w:val="bottom"/>
          </w:tcPr>
          <w:p w14:paraId="1B6802E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1B6802E9"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1B6802E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1B6802E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79.9 vs. 41.5</w:t>
            </w:r>
          </w:p>
        </w:tc>
      </w:tr>
    </w:tbl>
    <w:p w14:paraId="1B6802ED" w14:textId="77777777" w:rsidR="00936EF9" w:rsidRPr="00654EF1" w:rsidRDefault="00936EF9" w:rsidP="001D5C8C">
      <w:pPr>
        <w:pStyle w:val="Text"/>
        <w:keepNext/>
        <w:widowControl w:val="0"/>
        <w:spacing w:before="0"/>
        <w:rPr>
          <w:color w:val="000000"/>
          <w:sz w:val="22"/>
          <w:szCs w:val="22"/>
        </w:rPr>
      </w:pPr>
      <w:r w:rsidRPr="00654EF1">
        <w:rPr>
          <w:color w:val="000000"/>
          <w:sz w:val="22"/>
          <w:szCs w:val="22"/>
        </w:rPr>
        <w:t>* Full follow-up period; NE – Not estimable</w:t>
      </w:r>
    </w:p>
    <w:p w14:paraId="1B6802EE" w14:textId="77777777" w:rsidR="00955BD0" w:rsidRPr="00654EF1" w:rsidRDefault="00955BD0" w:rsidP="001D5C8C">
      <w:pPr>
        <w:pStyle w:val="Text"/>
        <w:widowControl w:val="0"/>
        <w:spacing w:before="0"/>
        <w:jc w:val="left"/>
        <w:rPr>
          <w:rFonts w:eastAsia="MS Mincho"/>
          <w:color w:val="000000"/>
          <w:sz w:val="22"/>
          <w:szCs w:val="22"/>
          <w:lang w:eastAsia="ja-JP"/>
        </w:rPr>
      </w:pPr>
    </w:p>
    <w:p w14:paraId="1B6802EF" w14:textId="77777777" w:rsidR="00955BD0" w:rsidRPr="00654EF1" w:rsidRDefault="00955BD0" w:rsidP="001D5C8C">
      <w:pPr>
        <w:widowControl w:val="0"/>
        <w:tabs>
          <w:tab w:val="clear" w:pos="567"/>
        </w:tabs>
        <w:spacing w:line="240" w:lineRule="auto"/>
        <w:rPr>
          <w:rFonts w:eastAsia="MS Mincho"/>
          <w:iCs/>
          <w:szCs w:val="22"/>
          <w:lang w:val="en-US" w:eastAsia="ja-JP"/>
        </w:rPr>
      </w:pPr>
      <w:r w:rsidRPr="00654EF1">
        <w:rPr>
          <w:rFonts w:eastAsia="MS Mincho"/>
          <w:szCs w:val="22"/>
          <w:lang w:val="en-US" w:eastAsia="ja-JP"/>
        </w:rPr>
        <w:t xml:space="preserve">A second multicentre, open label phase III study (SSG XVIII/AIO) compared 400 mg/day Glivec 12 months treatment vs. 36 months treatment in patients after surgical resection of GIST and one of the following: </w:t>
      </w:r>
      <w:r w:rsidRPr="00654EF1">
        <w:rPr>
          <w:rFonts w:eastAsia="MS Mincho"/>
          <w:iCs/>
          <w:szCs w:val="22"/>
          <w:lang w:val="en-US" w:eastAsia="ja-JP"/>
        </w:rPr>
        <w:t>tumour diameter &gt; 5</w:t>
      </w:r>
      <w:r w:rsidRPr="00654EF1">
        <w:rPr>
          <w:rFonts w:eastAsia="MS Mincho"/>
          <w:szCs w:val="22"/>
          <w:lang w:val="en-US" w:eastAsia="ja-JP"/>
        </w:rPr>
        <w:t> </w:t>
      </w:r>
      <w:r w:rsidRPr="00654EF1">
        <w:rPr>
          <w:rFonts w:eastAsia="MS Mincho"/>
          <w:iCs/>
          <w:szCs w:val="22"/>
          <w:lang w:val="en-US" w:eastAsia="ja-JP"/>
        </w:rPr>
        <w:t>cm and mitotic count &gt; 5/50 high power fields (HPF); or tumour diameter &gt; 10</w:t>
      </w:r>
      <w:r w:rsidRPr="00654EF1">
        <w:rPr>
          <w:rFonts w:eastAsia="MS Mincho"/>
          <w:szCs w:val="22"/>
          <w:lang w:val="en-US" w:eastAsia="ja-JP"/>
        </w:rPr>
        <w:t> </w:t>
      </w:r>
      <w:r w:rsidRPr="00654EF1">
        <w:rPr>
          <w:rFonts w:eastAsia="MS Mincho"/>
          <w:iCs/>
          <w:szCs w:val="22"/>
          <w:lang w:val="en-US" w:eastAsia="ja-JP"/>
        </w:rPr>
        <w:t>cm and any mitotic count or tumour of any size with mitotic count &gt; 10/50 HPF or tumours ruptured into the peritoneal cavity. There were a total of 397</w:t>
      </w:r>
      <w:r w:rsidRPr="00654EF1">
        <w:rPr>
          <w:rFonts w:eastAsia="MS Mincho"/>
          <w:szCs w:val="22"/>
          <w:lang w:val="en-US" w:eastAsia="ja-JP"/>
        </w:rPr>
        <w:t> </w:t>
      </w:r>
      <w:r w:rsidRPr="00654EF1">
        <w:rPr>
          <w:rFonts w:eastAsia="MS Mincho"/>
          <w:iCs/>
          <w:szCs w:val="22"/>
          <w:lang w:val="en-US" w:eastAsia="ja-JP"/>
        </w:rPr>
        <w:t>patients consented and randomised to the study (199</w:t>
      </w:r>
      <w:r w:rsidRPr="00654EF1">
        <w:rPr>
          <w:rFonts w:eastAsia="MS Mincho"/>
          <w:szCs w:val="22"/>
          <w:lang w:val="en-US" w:eastAsia="ja-JP"/>
        </w:rPr>
        <w:t> </w:t>
      </w:r>
      <w:r w:rsidRPr="00654EF1">
        <w:rPr>
          <w:rFonts w:eastAsia="MS Mincho"/>
          <w:iCs/>
          <w:szCs w:val="22"/>
          <w:lang w:val="en-US" w:eastAsia="ja-JP"/>
        </w:rPr>
        <w:t>patients on 12</w:t>
      </w:r>
      <w:r w:rsidRPr="00654EF1">
        <w:rPr>
          <w:rFonts w:eastAsia="MS Mincho"/>
          <w:szCs w:val="22"/>
          <w:lang w:val="en-US" w:eastAsia="ja-JP"/>
        </w:rPr>
        <w:t>-</w:t>
      </w:r>
      <w:r w:rsidRPr="00654EF1">
        <w:rPr>
          <w:rFonts w:eastAsia="MS Mincho"/>
          <w:iCs/>
          <w:szCs w:val="22"/>
          <w:lang w:val="en-US" w:eastAsia="ja-JP"/>
        </w:rPr>
        <w:t>month arm and 198</w:t>
      </w:r>
      <w:r w:rsidRPr="00654EF1">
        <w:rPr>
          <w:rFonts w:eastAsia="MS Mincho"/>
          <w:szCs w:val="22"/>
          <w:lang w:val="en-US" w:eastAsia="ja-JP"/>
        </w:rPr>
        <w:t> </w:t>
      </w:r>
      <w:r w:rsidRPr="00654EF1">
        <w:rPr>
          <w:rFonts w:eastAsia="MS Mincho"/>
          <w:iCs/>
          <w:szCs w:val="22"/>
          <w:lang w:val="en-US" w:eastAsia="ja-JP"/>
        </w:rPr>
        <w:t>patients on 36</w:t>
      </w:r>
      <w:r w:rsidRPr="00654EF1">
        <w:rPr>
          <w:rFonts w:eastAsia="MS Mincho"/>
          <w:szCs w:val="22"/>
          <w:lang w:val="en-US" w:eastAsia="ja-JP"/>
        </w:rPr>
        <w:t>-</w:t>
      </w:r>
      <w:r w:rsidRPr="00654EF1">
        <w:rPr>
          <w:rFonts w:eastAsia="MS Mincho"/>
          <w:iCs/>
          <w:szCs w:val="22"/>
          <w:lang w:val="en-US" w:eastAsia="ja-JP"/>
        </w:rPr>
        <w:t xml:space="preserve">month arm), median age was </w:t>
      </w:r>
      <w:r w:rsidRPr="00654EF1">
        <w:rPr>
          <w:rFonts w:eastAsia="MS Mincho"/>
          <w:bCs/>
          <w:iCs/>
          <w:szCs w:val="22"/>
          <w:lang w:val="en-US" w:eastAsia="ja-JP"/>
        </w:rPr>
        <w:t>61</w:t>
      </w:r>
      <w:r w:rsidRPr="00654EF1">
        <w:rPr>
          <w:rFonts w:eastAsia="MS Mincho"/>
          <w:szCs w:val="22"/>
          <w:lang w:val="en-US" w:eastAsia="ja-JP"/>
        </w:rPr>
        <w:t> </w:t>
      </w:r>
      <w:r w:rsidRPr="00654EF1">
        <w:rPr>
          <w:rFonts w:eastAsia="MS Mincho"/>
          <w:bCs/>
          <w:iCs/>
          <w:szCs w:val="22"/>
          <w:lang w:val="en-US" w:eastAsia="ja-JP"/>
        </w:rPr>
        <w:t>years</w:t>
      </w:r>
      <w:r w:rsidRPr="00654EF1">
        <w:rPr>
          <w:rFonts w:eastAsia="MS Mincho"/>
          <w:iCs/>
          <w:szCs w:val="22"/>
          <w:lang w:val="en-US" w:eastAsia="ja-JP"/>
        </w:rPr>
        <w:t xml:space="preserve"> (range 22 to 84</w:t>
      </w:r>
      <w:r w:rsidRPr="00654EF1">
        <w:rPr>
          <w:rFonts w:eastAsia="MS Mincho"/>
          <w:szCs w:val="22"/>
          <w:lang w:val="en-US" w:eastAsia="ja-JP"/>
        </w:rPr>
        <w:t> </w:t>
      </w:r>
      <w:r w:rsidRPr="00654EF1">
        <w:rPr>
          <w:rFonts w:eastAsia="MS Mincho"/>
          <w:iCs/>
          <w:szCs w:val="22"/>
          <w:lang w:val="en-US" w:eastAsia="ja-JP"/>
        </w:rPr>
        <w:t>years). The median time of follow-up was 54</w:t>
      </w:r>
      <w:r w:rsidRPr="00654EF1">
        <w:rPr>
          <w:rFonts w:eastAsia="MS Mincho"/>
          <w:szCs w:val="22"/>
          <w:lang w:val="en-US" w:eastAsia="ja-JP"/>
        </w:rPr>
        <w:t> </w:t>
      </w:r>
      <w:r w:rsidRPr="00654EF1">
        <w:rPr>
          <w:rFonts w:eastAsia="MS Mincho"/>
          <w:iCs/>
          <w:szCs w:val="22"/>
          <w:lang w:val="en-US" w:eastAsia="ja-JP"/>
        </w:rPr>
        <w:t>months (from date of randomisation to data cut-off), with a total of 83</w:t>
      </w:r>
      <w:r w:rsidRPr="00654EF1">
        <w:rPr>
          <w:rFonts w:eastAsia="MS Mincho"/>
          <w:szCs w:val="22"/>
          <w:lang w:val="en-US" w:eastAsia="ja-JP"/>
        </w:rPr>
        <w:t> </w:t>
      </w:r>
      <w:r w:rsidRPr="00654EF1">
        <w:rPr>
          <w:rFonts w:eastAsia="MS Mincho"/>
          <w:iCs/>
          <w:szCs w:val="22"/>
          <w:lang w:val="en-US" w:eastAsia="ja-JP"/>
        </w:rPr>
        <w:t>months between the first patient randomised and the cut-off date.</w:t>
      </w:r>
    </w:p>
    <w:p w14:paraId="1B6802F0" w14:textId="77777777" w:rsidR="00955BD0" w:rsidRPr="00654EF1" w:rsidRDefault="00955BD0" w:rsidP="001D5C8C">
      <w:pPr>
        <w:widowControl w:val="0"/>
        <w:tabs>
          <w:tab w:val="clear" w:pos="567"/>
        </w:tabs>
        <w:spacing w:line="240" w:lineRule="auto"/>
        <w:rPr>
          <w:rFonts w:eastAsia="MS Mincho"/>
          <w:iCs/>
          <w:szCs w:val="22"/>
          <w:lang w:val="en-US" w:eastAsia="ja-JP"/>
        </w:rPr>
      </w:pPr>
    </w:p>
    <w:p w14:paraId="1B6802F1" w14:textId="77777777" w:rsidR="00955BD0" w:rsidRPr="00654EF1" w:rsidRDefault="00955BD0" w:rsidP="001D5C8C">
      <w:pPr>
        <w:widowControl w:val="0"/>
        <w:tabs>
          <w:tab w:val="clear" w:pos="567"/>
        </w:tabs>
        <w:spacing w:line="240" w:lineRule="auto"/>
        <w:rPr>
          <w:rFonts w:eastAsia="MS Mincho"/>
          <w:szCs w:val="22"/>
          <w:lang w:eastAsia="ja-JP"/>
        </w:rPr>
      </w:pPr>
      <w:r w:rsidRPr="00654EF1">
        <w:rPr>
          <w:rFonts w:eastAsia="MS Mincho"/>
          <w:szCs w:val="22"/>
          <w:lang w:eastAsia="ja-JP"/>
        </w:rPr>
        <w:t>The primary endpoint of the study was recurrence-free survival (</w:t>
      </w:r>
      <w:smartTag w:uri="urn:schemas-microsoft-com:office:smarttags" w:element="stockticker">
        <w:r w:rsidRPr="00654EF1">
          <w:rPr>
            <w:rFonts w:eastAsia="MS Mincho"/>
            <w:szCs w:val="22"/>
            <w:lang w:eastAsia="ja-JP"/>
          </w:rPr>
          <w:t>RFS</w:t>
        </w:r>
      </w:smartTag>
      <w:r w:rsidRPr="00654EF1">
        <w:rPr>
          <w:rFonts w:eastAsia="MS Mincho"/>
          <w:szCs w:val="22"/>
          <w:lang w:eastAsia="ja-JP"/>
        </w:rPr>
        <w:t>), defined as the time from date of randomisation to the date of recurrence or death from any cause.</w:t>
      </w:r>
    </w:p>
    <w:p w14:paraId="1B6802F2" w14:textId="77777777" w:rsidR="00955BD0" w:rsidRPr="00654EF1" w:rsidRDefault="00955BD0" w:rsidP="001D5C8C">
      <w:pPr>
        <w:widowControl w:val="0"/>
        <w:tabs>
          <w:tab w:val="clear" w:pos="567"/>
        </w:tabs>
        <w:spacing w:line="240" w:lineRule="auto"/>
        <w:rPr>
          <w:rFonts w:eastAsia="MS Mincho"/>
          <w:szCs w:val="22"/>
          <w:lang w:eastAsia="ja-JP"/>
        </w:rPr>
      </w:pPr>
    </w:p>
    <w:p w14:paraId="1B6802F3" w14:textId="77777777" w:rsidR="00955BD0" w:rsidRPr="00654EF1" w:rsidRDefault="00955BD0" w:rsidP="001D5C8C">
      <w:pPr>
        <w:widowControl w:val="0"/>
        <w:tabs>
          <w:tab w:val="clear" w:pos="567"/>
        </w:tabs>
        <w:spacing w:line="240" w:lineRule="auto"/>
        <w:rPr>
          <w:rFonts w:eastAsia="MS Mincho"/>
          <w:iCs/>
          <w:color w:val="000000"/>
          <w:szCs w:val="22"/>
          <w:lang w:val="en-US" w:eastAsia="ja-JP"/>
        </w:rPr>
      </w:pPr>
      <w:r w:rsidRPr="00654EF1">
        <w:rPr>
          <w:rFonts w:eastAsia="MS Mincho"/>
          <w:iCs/>
          <w:szCs w:val="22"/>
          <w:lang w:val="en-US" w:eastAsia="ja-JP"/>
        </w:rPr>
        <w:t>Thirty-six (36) months of Glivec treatment significantly prolonged RFS compared to 12</w:t>
      </w:r>
      <w:r w:rsidRPr="00654EF1">
        <w:rPr>
          <w:rFonts w:eastAsia="MS Mincho"/>
          <w:szCs w:val="22"/>
          <w:lang w:val="en-US" w:eastAsia="ja-JP"/>
        </w:rPr>
        <w:t> </w:t>
      </w:r>
      <w:r w:rsidRPr="00654EF1">
        <w:rPr>
          <w:rFonts w:eastAsia="MS Mincho"/>
          <w:iCs/>
          <w:szCs w:val="22"/>
          <w:lang w:val="en-US" w:eastAsia="ja-JP"/>
        </w:rPr>
        <w:t xml:space="preserve">months of Glivec </w:t>
      </w:r>
      <w:r w:rsidRPr="00654EF1">
        <w:rPr>
          <w:rFonts w:eastAsia="MS Mincho"/>
          <w:iCs/>
          <w:color w:val="000000"/>
          <w:szCs w:val="22"/>
          <w:lang w:val="en-US" w:eastAsia="ja-JP"/>
        </w:rPr>
        <w:t>treatment (with overall Hazard Ratio (HR) = 0.46 [0.32, 0.65], p&lt;0.0001</w:t>
      </w:r>
      <w:r w:rsidR="00701E9B" w:rsidRPr="00654EF1">
        <w:rPr>
          <w:rFonts w:eastAsia="MS Mincho"/>
          <w:iCs/>
          <w:color w:val="000000"/>
          <w:szCs w:val="22"/>
          <w:lang w:val="en-US" w:eastAsia="ja-JP"/>
        </w:rPr>
        <w:t>)</w:t>
      </w:r>
      <w:r w:rsidRPr="00654EF1">
        <w:rPr>
          <w:rFonts w:eastAsia="MS Mincho"/>
          <w:iCs/>
          <w:color w:val="000000"/>
          <w:szCs w:val="22"/>
          <w:lang w:val="en-US" w:eastAsia="ja-JP"/>
        </w:rPr>
        <w:t xml:space="preserve"> (Table</w:t>
      </w:r>
      <w:r w:rsidRPr="00654EF1">
        <w:rPr>
          <w:rFonts w:eastAsia="MS Mincho"/>
          <w:color w:val="000000"/>
          <w:szCs w:val="22"/>
          <w:lang w:val="en-US" w:eastAsia="ja-JP"/>
        </w:rPr>
        <w:t> </w:t>
      </w:r>
      <w:r w:rsidR="008F2DE5" w:rsidRPr="00654EF1">
        <w:rPr>
          <w:rFonts w:eastAsia="MS Mincho"/>
          <w:iCs/>
          <w:color w:val="000000"/>
          <w:szCs w:val="22"/>
          <w:lang w:val="en-US" w:eastAsia="ja-JP"/>
        </w:rPr>
        <w:t>8</w:t>
      </w:r>
      <w:r w:rsidRPr="00654EF1">
        <w:rPr>
          <w:rFonts w:eastAsia="MS Mincho"/>
          <w:iCs/>
          <w:color w:val="000000"/>
          <w:szCs w:val="22"/>
          <w:lang w:val="en-US" w:eastAsia="ja-JP"/>
        </w:rPr>
        <w:t xml:space="preserve">, </w:t>
      </w:r>
      <w:r w:rsidRPr="00654EF1">
        <w:rPr>
          <w:rFonts w:eastAsia="MS Mincho"/>
        </w:rPr>
        <w:t>Figure 1</w:t>
      </w:r>
      <w:r w:rsidRPr="00654EF1">
        <w:rPr>
          <w:rFonts w:eastAsia="MS Mincho"/>
          <w:iCs/>
          <w:color w:val="000000"/>
          <w:szCs w:val="22"/>
          <w:lang w:val="en-US" w:eastAsia="ja-JP"/>
        </w:rPr>
        <w:t>).</w:t>
      </w:r>
    </w:p>
    <w:p w14:paraId="1B6802F4" w14:textId="77777777" w:rsidR="00955BD0" w:rsidRPr="00654EF1" w:rsidRDefault="00955BD0" w:rsidP="001D5C8C">
      <w:pPr>
        <w:widowControl w:val="0"/>
        <w:tabs>
          <w:tab w:val="clear" w:pos="567"/>
        </w:tabs>
        <w:spacing w:line="240" w:lineRule="auto"/>
        <w:rPr>
          <w:rFonts w:eastAsia="MS Mincho"/>
          <w:iCs/>
          <w:color w:val="000000"/>
          <w:szCs w:val="22"/>
          <w:lang w:val="en-US" w:eastAsia="ja-JP"/>
        </w:rPr>
      </w:pPr>
    </w:p>
    <w:p w14:paraId="1B6802F5" w14:textId="77777777" w:rsidR="00F121FF" w:rsidRPr="00654EF1" w:rsidRDefault="00955BD0" w:rsidP="001D5C8C">
      <w:pPr>
        <w:widowControl w:val="0"/>
        <w:tabs>
          <w:tab w:val="clear" w:pos="567"/>
        </w:tabs>
        <w:spacing w:line="240" w:lineRule="auto"/>
        <w:rPr>
          <w:rFonts w:eastAsia="MS Mincho"/>
          <w:iCs/>
          <w:color w:val="000000"/>
          <w:szCs w:val="22"/>
          <w:lang w:val="en-US" w:eastAsia="ja-JP"/>
        </w:rPr>
      </w:pPr>
      <w:r w:rsidRPr="00654EF1">
        <w:rPr>
          <w:rFonts w:eastAsia="MS Mincho"/>
          <w:iCs/>
          <w:color w:val="000000"/>
          <w:szCs w:val="22"/>
          <w:lang w:val="en-US" w:eastAsia="ja-JP"/>
        </w:rPr>
        <w:t>In addition, thirty-six (36) months of Glivec treatment significantly prolonged overall survival (OS) compared to 12</w:t>
      </w:r>
      <w:r w:rsidRPr="00654EF1">
        <w:rPr>
          <w:rFonts w:eastAsia="MS Mincho"/>
          <w:color w:val="000000"/>
          <w:szCs w:val="22"/>
          <w:lang w:val="en-US" w:eastAsia="ja-JP"/>
        </w:rPr>
        <w:t> </w:t>
      </w:r>
      <w:r w:rsidRPr="00654EF1">
        <w:rPr>
          <w:rFonts w:eastAsia="MS Mincho"/>
          <w:iCs/>
          <w:color w:val="000000"/>
          <w:szCs w:val="22"/>
          <w:lang w:val="en-US" w:eastAsia="ja-JP"/>
        </w:rPr>
        <w:t>months of Glivec treatment (HR = 0.45 [0.22, 0.89], p=0.0187) (Table</w:t>
      </w:r>
      <w:r w:rsidRPr="00654EF1">
        <w:rPr>
          <w:rFonts w:eastAsia="MS Mincho"/>
          <w:color w:val="000000"/>
          <w:szCs w:val="22"/>
          <w:lang w:val="en-US" w:eastAsia="ja-JP"/>
        </w:rPr>
        <w:t> </w:t>
      </w:r>
      <w:r w:rsidR="008F2DE5" w:rsidRPr="00654EF1">
        <w:rPr>
          <w:rFonts w:eastAsia="MS Mincho"/>
          <w:iCs/>
          <w:color w:val="000000"/>
          <w:szCs w:val="22"/>
          <w:lang w:val="en-US" w:eastAsia="ja-JP"/>
        </w:rPr>
        <w:t>8</w:t>
      </w:r>
      <w:r w:rsidRPr="00654EF1">
        <w:rPr>
          <w:rFonts w:eastAsia="MS Mincho"/>
          <w:iCs/>
          <w:color w:val="000000"/>
          <w:szCs w:val="22"/>
          <w:lang w:val="en-US" w:eastAsia="ja-JP"/>
        </w:rPr>
        <w:t>, Figure 2).</w:t>
      </w:r>
    </w:p>
    <w:p w14:paraId="1B6802F6" w14:textId="77777777" w:rsidR="00383791" w:rsidRPr="00654EF1" w:rsidRDefault="00383791" w:rsidP="001D5C8C">
      <w:pPr>
        <w:widowControl w:val="0"/>
        <w:spacing w:line="240" w:lineRule="auto"/>
        <w:rPr>
          <w:rFonts w:eastAsia="MS Mincho"/>
          <w:szCs w:val="22"/>
          <w:lang w:eastAsia="ja-JP"/>
        </w:rPr>
      </w:pPr>
    </w:p>
    <w:p w14:paraId="1B6802F7" w14:textId="77777777" w:rsidR="00F121FF" w:rsidRPr="00654EF1" w:rsidRDefault="00F121FF" w:rsidP="001D5C8C">
      <w:pPr>
        <w:widowControl w:val="0"/>
        <w:spacing w:line="240" w:lineRule="auto"/>
        <w:rPr>
          <w:rFonts w:eastAsia="MS Mincho"/>
          <w:szCs w:val="22"/>
          <w:lang w:eastAsia="ja-JP"/>
        </w:rPr>
      </w:pPr>
      <w:r w:rsidRPr="00654EF1">
        <w:rPr>
          <w:rFonts w:eastAsia="MS Mincho"/>
          <w:szCs w:val="22"/>
          <w:lang w:eastAsia="ja-JP"/>
        </w:rPr>
        <w:t>Longer duration of the treatment (&gt;</w:t>
      </w:r>
      <w:r w:rsidR="00383791" w:rsidRPr="00654EF1">
        <w:rPr>
          <w:rFonts w:eastAsia="MS Mincho"/>
          <w:szCs w:val="22"/>
          <w:lang w:eastAsia="ja-JP"/>
        </w:rPr>
        <w:t> </w:t>
      </w:r>
      <w:r w:rsidRPr="00654EF1">
        <w:rPr>
          <w:rFonts w:eastAsia="MS Mincho"/>
          <w:szCs w:val="22"/>
          <w:lang w:eastAsia="ja-JP"/>
        </w:rPr>
        <w:t>36</w:t>
      </w:r>
      <w:r w:rsidR="00383791" w:rsidRPr="00654EF1">
        <w:rPr>
          <w:rFonts w:eastAsia="MS Mincho"/>
          <w:szCs w:val="22"/>
          <w:lang w:eastAsia="ja-JP"/>
        </w:rPr>
        <w:t> </w:t>
      </w:r>
      <w:r w:rsidRPr="00654EF1">
        <w:rPr>
          <w:rFonts w:eastAsia="MS Mincho"/>
          <w:szCs w:val="22"/>
          <w:lang w:eastAsia="ja-JP"/>
        </w:rPr>
        <w:t>months) may delay the onset of further recurrences; however the impact of this finding on the overall survival remain</w:t>
      </w:r>
      <w:r w:rsidR="00383791" w:rsidRPr="00654EF1">
        <w:rPr>
          <w:rFonts w:eastAsia="MS Mincho"/>
          <w:szCs w:val="22"/>
          <w:lang w:eastAsia="ja-JP"/>
        </w:rPr>
        <w:t>s</w:t>
      </w:r>
      <w:r w:rsidRPr="00654EF1">
        <w:rPr>
          <w:rFonts w:eastAsia="MS Mincho"/>
          <w:szCs w:val="22"/>
          <w:lang w:eastAsia="ja-JP"/>
        </w:rPr>
        <w:t xml:space="preserve"> unknown.</w:t>
      </w:r>
    </w:p>
    <w:p w14:paraId="1B6802F8" w14:textId="77777777" w:rsidR="00383791" w:rsidRPr="00654EF1" w:rsidRDefault="00383791" w:rsidP="001D5C8C">
      <w:pPr>
        <w:widowControl w:val="0"/>
        <w:tabs>
          <w:tab w:val="clear" w:pos="567"/>
        </w:tabs>
        <w:spacing w:line="240" w:lineRule="auto"/>
        <w:rPr>
          <w:rFonts w:eastAsia="MS Mincho"/>
          <w:iCs/>
          <w:color w:val="000000"/>
          <w:szCs w:val="22"/>
          <w:lang w:val="en-US" w:eastAsia="ja-JP"/>
        </w:rPr>
      </w:pPr>
    </w:p>
    <w:p w14:paraId="1B6802F9" w14:textId="77777777" w:rsidR="00955BD0" w:rsidRPr="00654EF1" w:rsidRDefault="00955BD0" w:rsidP="001D5C8C">
      <w:pPr>
        <w:widowControl w:val="0"/>
        <w:tabs>
          <w:tab w:val="clear" w:pos="567"/>
        </w:tabs>
        <w:spacing w:line="240" w:lineRule="auto"/>
        <w:rPr>
          <w:rFonts w:eastAsia="MS Mincho"/>
          <w:iCs/>
          <w:color w:val="000000"/>
          <w:szCs w:val="22"/>
          <w:lang w:val="en-US" w:eastAsia="ja-JP"/>
        </w:rPr>
      </w:pPr>
      <w:r w:rsidRPr="00654EF1">
        <w:rPr>
          <w:rFonts w:eastAsia="MS Mincho"/>
          <w:iCs/>
          <w:color w:val="000000"/>
          <w:szCs w:val="22"/>
          <w:lang w:val="en-US" w:eastAsia="ja-JP"/>
        </w:rPr>
        <w:t>The total number of deaths were 25 for the 12-month treatment arm and 12 for the 36-month treatment arm.</w:t>
      </w:r>
    </w:p>
    <w:p w14:paraId="1B6802FA" w14:textId="77777777" w:rsidR="00955BD0" w:rsidRPr="00654EF1" w:rsidRDefault="00955BD0" w:rsidP="001D5C8C">
      <w:pPr>
        <w:widowControl w:val="0"/>
        <w:tabs>
          <w:tab w:val="clear" w:pos="567"/>
        </w:tabs>
        <w:spacing w:line="240" w:lineRule="auto"/>
        <w:rPr>
          <w:rFonts w:eastAsia="MS Mincho"/>
          <w:iCs/>
          <w:szCs w:val="22"/>
          <w:lang w:val="en-US" w:eastAsia="ja-JP"/>
        </w:rPr>
      </w:pPr>
    </w:p>
    <w:p w14:paraId="1B6802FB" w14:textId="77777777" w:rsidR="00362732" w:rsidRPr="00654EF1" w:rsidRDefault="00D40EFA" w:rsidP="001D5C8C">
      <w:pPr>
        <w:widowControl w:val="0"/>
        <w:tabs>
          <w:tab w:val="clear" w:pos="567"/>
        </w:tabs>
        <w:spacing w:line="240" w:lineRule="auto"/>
        <w:rPr>
          <w:rFonts w:eastAsia="MS Mincho"/>
          <w:iCs/>
          <w:szCs w:val="22"/>
          <w:lang w:val="en-US" w:eastAsia="ja-JP"/>
        </w:rPr>
      </w:pPr>
      <w:r w:rsidRPr="00654EF1">
        <w:rPr>
          <w:rFonts w:eastAsia="MS Mincho"/>
          <w:iCs/>
          <w:szCs w:val="22"/>
          <w:lang w:val="en-US" w:eastAsia="ja-JP"/>
        </w:rPr>
        <w:t>Treatment with imatinib for 36</w:t>
      </w:r>
      <w:r w:rsidR="002E56D6" w:rsidRPr="00654EF1">
        <w:rPr>
          <w:rFonts w:eastAsia="MS Mincho"/>
          <w:iCs/>
          <w:szCs w:val="22"/>
          <w:lang w:val="en-US" w:eastAsia="ja-JP"/>
        </w:rPr>
        <w:t> </w:t>
      </w:r>
      <w:r w:rsidRPr="00654EF1">
        <w:rPr>
          <w:rFonts w:eastAsia="MS Mincho"/>
          <w:iCs/>
          <w:szCs w:val="22"/>
          <w:lang w:val="en-US" w:eastAsia="ja-JP"/>
        </w:rPr>
        <w:t>months was superior to treatment for 12</w:t>
      </w:r>
      <w:r w:rsidR="002E56D6" w:rsidRPr="00654EF1">
        <w:rPr>
          <w:rFonts w:eastAsia="MS Mincho"/>
          <w:iCs/>
          <w:szCs w:val="22"/>
          <w:lang w:val="en-US" w:eastAsia="ja-JP"/>
        </w:rPr>
        <w:t> </w:t>
      </w:r>
      <w:r w:rsidRPr="00654EF1">
        <w:rPr>
          <w:rFonts w:eastAsia="MS Mincho"/>
          <w:iCs/>
          <w:szCs w:val="22"/>
          <w:lang w:val="en-US" w:eastAsia="ja-JP"/>
        </w:rPr>
        <w:t xml:space="preserve">months in the ITT analysis, i.e. including the entire study population. In a planned subgroup analysis by mutation type, the HR </w:t>
      </w:r>
      <w:r w:rsidR="00110523" w:rsidRPr="00654EF1">
        <w:rPr>
          <w:rFonts w:eastAsia="MS Mincho"/>
          <w:iCs/>
          <w:szCs w:val="22"/>
          <w:lang w:val="en-US" w:eastAsia="ja-JP"/>
        </w:rPr>
        <w:t xml:space="preserve">for RFS </w:t>
      </w:r>
      <w:r w:rsidRPr="00654EF1">
        <w:rPr>
          <w:rFonts w:eastAsia="MS Mincho"/>
          <w:iCs/>
          <w:szCs w:val="22"/>
          <w:lang w:val="en-US" w:eastAsia="ja-JP"/>
        </w:rPr>
        <w:t>for 36</w:t>
      </w:r>
      <w:r w:rsidR="002E56D6" w:rsidRPr="00654EF1">
        <w:rPr>
          <w:rFonts w:eastAsia="MS Mincho"/>
          <w:iCs/>
          <w:szCs w:val="22"/>
          <w:lang w:val="en-US" w:eastAsia="ja-JP"/>
        </w:rPr>
        <w:t> </w:t>
      </w:r>
      <w:r w:rsidRPr="00654EF1">
        <w:rPr>
          <w:rFonts w:eastAsia="MS Mincho"/>
          <w:iCs/>
          <w:szCs w:val="22"/>
          <w:lang w:val="en-US" w:eastAsia="ja-JP"/>
        </w:rPr>
        <w:t>months of treatment for patients with mutations of exon 11 was 0.35 [95% CI: 0.22, 0.56]. No conclusions can be drawn for other less common mutation subgroups due to the low number of observed events.</w:t>
      </w:r>
    </w:p>
    <w:p w14:paraId="1B6802FC" w14:textId="77777777" w:rsidR="00D40EFA" w:rsidRPr="00654EF1" w:rsidRDefault="00D40EFA" w:rsidP="001D5C8C">
      <w:pPr>
        <w:widowControl w:val="0"/>
        <w:tabs>
          <w:tab w:val="clear" w:pos="567"/>
        </w:tabs>
        <w:spacing w:line="240" w:lineRule="auto"/>
        <w:rPr>
          <w:rFonts w:eastAsia="MS Mincho"/>
          <w:iCs/>
          <w:szCs w:val="22"/>
          <w:lang w:eastAsia="ja-JP"/>
        </w:rPr>
      </w:pPr>
    </w:p>
    <w:p w14:paraId="1B6802FD" w14:textId="77777777" w:rsidR="00955BD0" w:rsidRPr="00654EF1" w:rsidRDefault="00955BD0" w:rsidP="001D5C8C">
      <w:pPr>
        <w:keepNext/>
        <w:widowControl w:val="0"/>
        <w:tabs>
          <w:tab w:val="clear" w:pos="567"/>
        </w:tabs>
        <w:spacing w:line="240" w:lineRule="auto"/>
        <w:ind w:left="1134" w:hanging="1134"/>
        <w:rPr>
          <w:rFonts w:eastAsia="MS Mincho"/>
          <w:b/>
          <w:szCs w:val="22"/>
          <w:lang w:eastAsia="ja-JP"/>
        </w:rPr>
      </w:pPr>
      <w:r w:rsidRPr="00654EF1">
        <w:rPr>
          <w:rFonts w:eastAsia="MS Mincho"/>
          <w:b/>
          <w:szCs w:val="22"/>
          <w:lang w:val="en-US"/>
        </w:rPr>
        <w:lastRenderedPageBreak/>
        <w:t>Table </w:t>
      </w:r>
      <w:r w:rsidR="008F2DE5" w:rsidRPr="00654EF1">
        <w:rPr>
          <w:rFonts w:eastAsia="MS Mincho"/>
          <w:b/>
          <w:szCs w:val="22"/>
          <w:lang w:val="en-US"/>
        </w:rPr>
        <w:t>8</w:t>
      </w:r>
      <w:r w:rsidRPr="00654EF1">
        <w:rPr>
          <w:rFonts w:eastAsia="MS Mincho"/>
          <w:szCs w:val="22"/>
          <w:lang w:val="en-US"/>
        </w:rPr>
        <w:tab/>
      </w:r>
      <w:r w:rsidRPr="00654EF1">
        <w:rPr>
          <w:rFonts w:eastAsia="MS Mincho"/>
          <w:b/>
          <w:szCs w:val="22"/>
          <w:lang w:eastAsia="ja-JP"/>
        </w:rPr>
        <w:t>12-month and 36-month Glivec treatment (SSGXVIII/AIO Trial)</w:t>
      </w:r>
    </w:p>
    <w:p w14:paraId="1B6802FE" w14:textId="77777777" w:rsidR="00955BD0" w:rsidRPr="00654EF1" w:rsidRDefault="00955BD0" w:rsidP="001D5C8C">
      <w:pPr>
        <w:keepNext/>
        <w:widowControl w:val="0"/>
        <w:tabs>
          <w:tab w:val="clear" w:pos="567"/>
        </w:tabs>
        <w:spacing w:line="240" w:lineRule="auto"/>
        <w:rPr>
          <w:rFonts w:eastAsia="MS Mincho"/>
          <w:szCs w:val="22"/>
          <w:lang w:val="en-US"/>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955BD0" w:rsidRPr="00654EF1" w14:paraId="1B680302" w14:textId="77777777" w:rsidTr="005E7BE5">
        <w:trPr>
          <w:cantSplit/>
        </w:trPr>
        <w:tc>
          <w:tcPr>
            <w:tcW w:w="3099" w:type="dxa"/>
            <w:tcBorders>
              <w:top w:val="single" w:sz="4" w:space="0" w:color="auto"/>
              <w:bottom w:val="nil"/>
            </w:tcBorders>
            <w:shd w:val="clear" w:color="auto" w:fill="auto"/>
          </w:tcPr>
          <w:p w14:paraId="1B6802FF"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p>
        </w:tc>
        <w:tc>
          <w:tcPr>
            <w:tcW w:w="3100" w:type="dxa"/>
            <w:tcBorders>
              <w:top w:val="single" w:sz="4" w:space="0" w:color="auto"/>
              <w:bottom w:val="nil"/>
            </w:tcBorders>
            <w:shd w:val="clear" w:color="auto" w:fill="auto"/>
          </w:tcPr>
          <w:p w14:paraId="1B680300"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12-month treatment arm</w:t>
            </w:r>
          </w:p>
        </w:tc>
        <w:tc>
          <w:tcPr>
            <w:tcW w:w="3100" w:type="dxa"/>
            <w:tcBorders>
              <w:top w:val="single" w:sz="4" w:space="0" w:color="auto"/>
              <w:bottom w:val="nil"/>
            </w:tcBorders>
            <w:shd w:val="clear" w:color="auto" w:fill="auto"/>
          </w:tcPr>
          <w:p w14:paraId="1B680301"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36-month treatment arm</w:t>
            </w:r>
          </w:p>
        </w:tc>
      </w:tr>
      <w:tr w:rsidR="00955BD0" w:rsidRPr="00654EF1" w14:paraId="1B680306" w14:textId="77777777" w:rsidTr="005E7BE5">
        <w:trPr>
          <w:cantSplit/>
        </w:trPr>
        <w:tc>
          <w:tcPr>
            <w:tcW w:w="3099" w:type="dxa"/>
            <w:tcBorders>
              <w:top w:val="nil"/>
            </w:tcBorders>
            <w:shd w:val="clear" w:color="auto" w:fill="auto"/>
          </w:tcPr>
          <w:p w14:paraId="1B680303"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RFS</w:t>
            </w:r>
          </w:p>
        </w:tc>
        <w:tc>
          <w:tcPr>
            <w:tcW w:w="3100" w:type="dxa"/>
            <w:tcBorders>
              <w:top w:val="nil"/>
            </w:tcBorders>
            <w:shd w:val="clear" w:color="auto" w:fill="auto"/>
          </w:tcPr>
          <w:p w14:paraId="1B680304"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%(CI)</w:t>
            </w:r>
          </w:p>
        </w:tc>
        <w:tc>
          <w:tcPr>
            <w:tcW w:w="3100" w:type="dxa"/>
            <w:tcBorders>
              <w:top w:val="nil"/>
            </w:tcBorders>
            <w:shd w:val="clear" w:color="auto" w:fill="auto"/>
          </w:tcPr>
          <w:p w14:paraId="1B680305"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%(CI)</w:t>
            </w:r>
          </w:p>
        </w:tc>
      </w:tr>
      <w:tr w:rsidR="00955BD0" w:rsidRPr="00654EF1" w14:paraId="1B68030A" w14:textId="77777777" w:rsidTr="005E7BE5">
        <w:trPr>
          <w:cantSplit/>
        </w:trPr>
        <w:tc>
          <w:tcPr>
            <w:tcW w:w="3099" w:type="dxa"/>
            <w:shd w:val="clear" w:color="auto" w:fill="auto"/>
          </w:tcPr>
          <w:p w14:paraId="1B680307"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12</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08"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93.7 (89.2</w:t>
            </w:r>
            <w:r w:rsidRPr="00654EF1">
              <w:rPr>
                <w:rFonts w:eastAsia="MS Mincho"/>
                <w:szCs w:val="22"/>
                <w:lang w:val="en-US"/>
              </w:rPr>
              <w:noBreakHyphen/>
              <w:t>96.4)</w:t>
            </w:r>
          </w:p>
        </w:tc>
        <w:tc>
          <w:tcPr>
            <w:tcW w:w="3100" w:type="dxa"/>
            <w:shd w:val="clear" w:color="auto" w:fill="auto"/>
          </w:tcPr>
          <w:p w14:paraId="1B680309"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95.9 (91.9</w:t>
            </w:r>
            <w:r w:rsidRPr="00654EF1">
              <w:rPr>
                <w:rFonts w:eastAsia="MS Mincho"/>
                <w:szCs w:val="22"/>
                <w:lang w:val="en-US"/>
              </w:rPr>
              <w:noBreakHyphen/>
              <w:t>97.9)</w:t>
            </w:r>
          </w:p>
        </w:tc>
      </w:tr>
      <w:tr w:rsidR="00955BD0" w:rsidRPr="00654EF1" w14:paraId="1B68030E" w14:textId="77777777" w:rsidTr="005E7BE5">
        <w:trPr>
          <w:cantSplit/>
        </w:trPr>
        <w:tc>
          <w:tcPr>
            <w:tcW w:w="3099" w:type="dxa"/>
            <w:shd w:val="clear" w:color="auto" w:fill="auto"/>
          </w:tcPr>
          <w:p w14:paraId="1B68030B"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24</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0C"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75.4 (68.6</w:t>
            </w:r>
            <w:r w:rsidRPr="00654EF1">
              <w:rPr>
                <w:rFonts w:eastAsia="MS Mincho"/>
                <w:szCs w:val="22"/>
                <w:lang w:val="en-US"/>
              </w:rPr>
              <w:noBreakHyphen/>
              <w:t>81.0)</w:t>
            </w:r>
          </w:p>
        </w:tc>
        <w:tc>
          <w:tcPr>
            <w:tcW w:w="3100" w:type="dxa"/>
            <w:shd w:val="clear" w:color="auto" w:fill="auto"/>
          </w:tcPr>
          <w:p w14:paraId="1B68030D"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90.7 (85.6</w:t>
            </w:r>
            <w:r w:rsidRPr="00654EF1">
              <w:rPr>
                <w:rFonts w:eastAsia="MS Mincho"/>
                <w:szCs w:val="22"/>
                <w:lang w:val="en-US"/>
              </w:rPr>
              <w:noBreakHyphen/>
              <w:t>94</w:t>
            </w:r>
            <w:r w:rsidR="008B2049" w:rsidRPr="00654EF1">
              <w:rPr>
                <w:rFonts w:eastAsia="MS Mincho"/>
                <w:szCs w:val="22"/>
                <w:lang w:val="en-US"/>
              </w:rPr>
              <w:t>.0</w:t>
            </w:r>
            <w:r w:rsidRPr="00654EF1">
              <w:rPr>
                <w:rFonts w:eastAsia="MS Mincho"/>
                <w:szCs w:val="22"/>
                <w:lang w:val="en-US"/>
              </w:rPr>
              <w:t>)</w:t>
            </w:r>
          </w:p>
        </w:tc>
      </w:tr>
      <w:tr w:rsidR="00955BD0" w:rsidRPr="00654EF1" w14:paraId="1B680312" w14:textId="77777777" w:rsidTr="005E7BE5">
        <w:trPr>
          <w:cantSplit/>
        </w:trPr>
        <w:tc>
          <w:tcPr>
            <w:tcW w:w="3099" w:type="dxa"/>
            <w:shd w:val="clear" w:color="auto" w:fill="auto"/>
          </w:tcPr>
          <w:p w14:paraId="1B68030F"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36</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10"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60.1 (52.5</w:t>
            </w:r>
            <w:r w:rsidRPr="00654EF1">
              <w:rPr>
                <w:rFonts w:eastAsia="MS Mincho"/>
                <w:szCs w:val="22"/>
                <w:lang w:val="en-US"/>
              </w:rPr>
              <w:noBreakHyphen/>
              <w:t>66.9)</w:t>
            </w:r>
          </w:p>
        </w:tc>
        <w:tc>
          <w:tcPr>
            <w:tcW w:w="3100" w:type="dxa"/>
            <w:shd w:val="clear" w:color="auto" w:fill="auto"/>
          </w:tcPr>
          <w:p w14:paraId="1B680311"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86.6 (80.8</w:t>
            </w:r>
            <w:r w:rsidRPr="00654EF1">
              <w:rPr>
                <w:rFonts w:eastAsia="MS Mincho"/>
                <w:szCs w:val="22"/>
                <w:lang w:val="en-US"/>
              </w:rPr>
              <w:noBreakHyphen/>
              <w:t>90.8)</w:t>
            </w:r>
          </w:p>
        </w:tc>
      </w:tr>
      <w:tr w:rsidR="00955BD0" w:rsidRPr="00654EF1" w14:paraId="1B680316" w14:textId="77777777" w:rsidTr="005E7BE5">
        <w:trPr>
          <w:cantSplit/>
        </w:trPr>
        <w:tc>
          <w:tcPr>
            <w:tcW w:w="3099" w:type="dxa"/>
            <w:shd w:val="clear" w:color="auto" w:fill="auto"/>
          </w:tcPr>
          <w:p w14:paraId="1B680313"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48</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14"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52.3 (44.0</w:t>
            </w:r>
            <w:r w:rsidRPr="00654EF1">
              <w:rPr>
                <w:rFonts w:eastAsia="MS Mincho"/>
                <w:szCs w:val="22"/>
                <w:lang w:val="en-US"/>
              </w:rPr>
              <w:noBreakHyphen/>
              <w:t>59.8)</w:t>
            </w:r>
          </w:p>
        </w:tc>
        <w:tc>
          <w:tcPr>
            <w:tcW w:w="3100" w:type="dxa"/>
            <w:shd w:val="clear" w:color="auto" w:fill="auto"/>
          </w:tcPr>
          <w:p w14:paraId="1B680315"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78.3 (70.8</w:t>
            </w:r>
            <w:r w:rsidRPr="00654EF1">
              <w:rPr>
                <w:rFonts w:eastAsia="MS Mincho"/>
                <w:szCs w:val="22"/>
                <w:lang w:val="en-US"/>
              </w:rPr>
              <w:noBreakHyphen/>
              <w:t>84.1)</w:t>
            </w:r>
          </w:p>
        </w:tc>
      </w:tr>
      <w:tr w:rsidR="00955BD0" w:rsidRPr="00654EF1" w14:paraId="1B68031A" w14:textId="77777777" w:rsidTr="005E7BE5">
        <w:trPr>
          <w:cantSplit/>
        </w:trPr>
        <w:tc>
          <w:tcPr>
            <w:tcW w:w="3099" w:type="dxa"/>
            <w:shd w:val="clear" w:color="auto" w:fill="auto"/>
          </w:tcPr>
          <w:p w14:paraId="1B680317"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60</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18"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47.9 (39.0</w:t>
            </w:r>
            <w:r w:rsidRPr="00654EF1">
              <w:rPr>
                <w:rFonts w:eastAsia="MS Mincho"/>
                <w:szCs w:val="22"/>
                <w:lang w:val="en-US"/>
              </w:rPr>
              <w:noBreakHyphen/>
              <w:t>56.3)</w:t>
            </w:r>
          </w:p>
        </w:tc>
        <w:tc>
          <w:tcPr>
            <w:tcW w:w="3100" w:type="dxa"/>
            <w:shd w:val="clear" w:color="auto" w:fill="auto"/>
          </w:tcPr>
          <w:p w14:paraId="1B680319"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65.6 (56.1</w:t>
            </w:r>
            <w:r w:rsidRPr="00654EF1">
              <w:rPr>
                <w:rFonts w:eastAsia="MS Mincho"/>
                <w:szCs w:val="22"/>
                <w:lang w:val="en-US"/>
              </w:rPr>
              <w:noBreakHyphen/>
              <w:t>73.4)</w:t>
            </w:r>
          </w:p>
        </w:tc>
      </w:tr>
      <w:tr w:rsidR="00955BD0" w:rsidRPr="00654EF1" w14:paraId="1B68031E" w14:textId="77777777" w:rsidTr="005E7BE5">
        <w:trPr>
          <w:cantSplit/>
        </w:trPr>
        <w:tc>
          <w:tcPr>
            <w:tcW w:w="3099" w:type="dxa"/>
            <w:shd w:val="clear" w:color="auto" w:fill="auto"/>
          </w:tcPr>
          <w:p w14:paraId="1B68031B" w14:textId="77777777" w:rsidR="00955BD0" w:rsidRPr="00654EF1" w:rsidRDefault="00955BD0"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Survival</w:t>
            </w:r>
          </w:p>
        </w:tc>
        <w:tc>
          <w:tcPr>
            <w:tcW w:w="3100" w:type="dxa"/>
            <w:shd w:val="clear" w:color="auto" w:fill="auto"/>
          </w:tcPr>
          <w:p w14:paraId="1B68031C"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1B68031D"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p>
        </w:tc>
      </w:tr>
      <w:tr w:rsidR="00955BD0" w:rsidRPr="00654EF1" w14:paraId="1B680322" w14:textId="77777777" w:rsidTr="005E7BE5">
        <w:trPr>
          <w:cantSplit/>
        </w:trPr>
        <w:tc>
          <w:tcPr>
            <w:tcW w:w="3099" w:type="dxa"/>
            <w:shd w:val="clear" w:color="auto" w:fill="auto"/>
          </w:tcPr>
          <w:p w14:paraId="1B68031F"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36</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20"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94.0 (89.5</w:t>
            </w:r>
            <w:r w:rsidRPr="00654EF1">
              <w:rPr>
                <w:rFonts w:eastAsia="MS Mincho"/>
                <w:szCs w:val="22"/>
                <w:lang w:val="en-US"/>
              </w:rPr>
              <w:noBreakHyphen/>
              <w:t>96.7)</w:t>
            </w:r>
          </w:p>
        </w:tc>
        <w:tc>
          <w:tcPr>
            <w:tcW w:w="3100" w:type="dxa"/>
            <w:shd w:val="clear" w:color="auto" w:fill="auto"/>
          </w:tcPr>
          <w:p w14:paraId="1B680321"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96.3 (92.4</w:t>
            </w:r>
            <w:r w:rsidRPr="00654EF1">
              <w:rPr>
                <w:rFonts w:eastAsia="MS Mincho"/>
                <w:szCs w:val="22"/>
                <w:lang w:val="en-US"/>
              </w:rPr>
              <w:noBreakHyphen/>
              <w:t>98.2)</w:t>
            </w:r>
          </w:p>
        </w:tc>
      </w:tr>
      <w:tr w:rsidR="00955BD0" w:rsidRPr="00654EF1" w14:paraId="1B680326" w14:textId="77777777" w:rsidTr="005E7BE5">
        <w:trPr>
          <w:cantSplit/>
        </w:trPr>
        <w:tc>
          <w:tcPr>
            <w:tcW w:w="3099" w:type="dxa"/>
            <w:shd w:val="clear" w:color="auto" w:fill="auto"/>
          </w:tcPr>
          <w:p w14:paraId="1B680323" w14:textId="77777777" w:rsidR="00955BD0" w:rsidRPr="00654EF1" w:rsidRDefault="00955BD0"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48</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24"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87.9 (81.1</w:t>
            </w:r>
            <w:r w:rsidRPr="00654EF1">
              <w:rPr>
                <w:rFonts w:eastAsia="MS Mincho"/>
                <w:szCs w:val="22"/>
                <w:lang w:val="en-US"/>
              </w:rPr>
              <w:noBreakHyphen/>
              <w:t>92.3)</w:t>
            </w:r>
          </w:p>
        </w:tc>
        <w:tc>
          <w:tcPr>
            <w:tcW w:w="3100" w:type="dxa"/>
            <w:shd w:val="clear" w:color="auto" w:fill="auto"/>
          </w:tcPr>
          <w:p w14:paraId="1B680325" w14:textId="77777777" w:rsidR="00955BD0" w:rsidRPr="00654EF1" w:rsidRDefault="00955BD0"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95.6 (91.2</w:t>
            </w:r>
            <w:r w:rsidRPr="00654EF1">
              <w:rPr>
                <w:rFonts w:eastAsia="MS Mincho"/>
                <w:szCs w:val="22"/>
                <w:lang w:val="en-US"/>
              </w:rPr>
              <w:noBreakHyphen/>
              <w:t>97.8)</w:t>
            </w:r>
          </w:p>
        </w:tc>
      </w:tr>
      <w:tr w:rsidR="00955BD0" w:rsidRPr="00654EF1" w14:paraId="1B68032A" w14:textId="77777777" w:rsidTr="005E7BE5">
        <w:trPr>
          <w:cantSplit/>
        </w:trPr>
        <w:tc>
          <w:tcPr>
            <w:tcW w:w="3099" w:type="dxa"/>
            <w:shd w:val="clear" w:color="auto" w:fill="auto"/>
          </w:tcPr>
          <w:p w14:paraId="1B680327" w14:textId="77777777" w:rsidR="00955BD0" w:rsidRPr="00654EF1" w:rsidRDefault="00955BD0" w:rsidP="005E7BE5">
            <w:pPr>
              <w:widowControl w:val="0"/>
              <w:tabs>
                <w:tab w:val="clear" w:pos="567"/>
              </w:tabs>
              <w:spacing w:line="240" w:lineRule="auto"/>
              <w:ind w:left="284"/>
              <w:rPr>
                <w:rFonts w:eastAsia="MS Mincho"/>
                <w:szCs w:val="22"/>
                <w:lang w:val="en-US"/>
              </w:rPr>
            </w:pPr>
            <w:r w:rsidRPr="00654EF1">
              <w:rPr>
                <w:rFonts w:eastAsia="MS Mincho"/>
                <w:szCs w:val="22"/>
                <w:lang w:val="en-US"/>
              </w:rPr>
              <w:t>60</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328" w14:textId="77777777" w:rsidR="00955BD0" w:rsidRPr="00654EF1" w:rsidRDefault="00955BD0" w:rsidP="005E7BE5">
            <w:pPr>
              <w:widowControl w:val="0"/>
              <w:tabs>
                <w:tab w:val="clear" w:pos="567"/>
                <w:tab w:val="left" w:pos="284"/>
              </w:tabs>
              <w:spacing w:line="240" w:lineRule="auto"/>
              <w:rPr>
                <w:rFonts w:eastAsia="MS Mincho"/>
                <w:szCs w:val="22"/>
                <w:lang w:val="en-US"/>
              </w:rPr>
            </w:pPr>
            <w:r w:rsidRPr="00654EF1">
              <w:rPr>
                <w:rFonts w:eastAsia="MS Mincho"/>
                <w:szCs w:val="22"/>
                <w:lang w:val="en-US"/>
              </w:rPr>
              <w:t>81.7 (73.0</w:t>
            </w:r>
            <w:r w:rsidRPr="00654EF1">
              <w:rPr>
                <w:rFonts w:eastAsia="MS Mincho"/>
                <w:szCs w:val="22"/>
                <w:lang w:val="en-US"/>
              </w:rPr>
              <w:noBreakHyphen/>
              <w:t>87.8)</w:t>
            </w:r>
          </w:p>
        </w:tc>
        <w:tc>
          <w:tcPr>
            <w:tcW w:w="3100" w:type="dxa"/>
            <w:shd w:val="clear" w:color="auto" w:fill="auto"/>
          </w:tcPr>
          <w:p w14:paraId="1B680329" w14:textId="77777777" w:rsidR="00955BD0" w:rsidRPr="00654EF1" w:rsidRDefault="00955BD0" w:rsidP="005E7BE5">
            <w:pPr>
              <w:widowControl w:val="0"/>
              <w:tabs>
                <w:tab w:val="clear" w:pos="567"/>
                <w:tab w:val="left" w:pos="284"/>
              </w:tabs>
              <w:spacing w:line="240" w:lineRule="auto"/>
              <w:rPr>
                <w:rFonts w:eastAsia="MS Mincho"/>
                <w:szCs w:val="22"/>
                <w:lang w:val="en-US"/>
              </w:rPr>
            </w:pPr>
            <w:r w:rsidRPr="00654EF1">
              <w:rPr>
                <w:rFonts w:eastAsia="MS Mincho"/>
                <w:szCs w:val="22"/>
                <w:lang w:val="en-US"/>
              </w:rPr>
              <w:t>92.0 (85.3</w:t>
            </w:r>
            <w:r w:rsidRPr="00654EF1">
              <w:rPr>
                <w:rFonts w:eastAsia="MS Mincho"/>
                <w:szCs w:val="22"/>
                <w:lang w:val="en-US"/>
              </w:rPr>
              <w:noBreakHyphen/>
              <w:t>95.7)</w:t>
            </w:r>
          </w:p>
        </w:tc>
      </w:tr>
    </w:tbl>
    <w:p w14:paraId="1B68032B" w14:textId="77777777" w:rsidR="00955BD0" w:rsidRPr="00654EF1" w:rsidRDefault="00955BD0" w:rsidP="001D5C8C">
      <w:pPr>
        <w:widowControl w:val="0"/>
        <w:tabs>
          <w:tab w:val="clear" w:pos="567"/>
        </w:tabs>
        <w:spacing w:line="240" w:lineRule="auto"/>
        <w:rPr>
          <w:rFonts w:eastAsia="MS Mincho"/>
          <w:szCs w:val="22"/>
          <w:lang w:val="en-US"/>
        </w:rPr>
      </w:pPr>
    </w:p>
    <w:p w14:paraId="1B68032C" w14:textId="77777777" w:rsidR="00955BD0" w:rsidRPr="00654EF1" w:rsidRDefault="00955BD0" w:rsidP="001D5C8C">
      <w:pPr>
        <w:keepNext/>
        <w:widowControl w:val="0"/>
        <w:tabs>
          <w:tab w:val="clear" w:pos="567"/>
          <w:tab w:val="left" w:pos="1134"/>
        </w:tabs>
        <w:spacing w:line="240" w:lineRule="auto"/>
        <w:ind w:left="1134" w:hanging="1134"/>
        <w:outlineLvl w:val="6"/>
        <w:rPr>
          <w:rFonts w:eastAsia="MS Mincho"/>
          <w:b/>
          <w:szCs w:val="22"/>
          <w:lang w:val="en-US"/>
        </w:rPr>
      </w:pPr>
      <w:r w:rsidRPr="00654EF1">
        <w:rPr>
          <w:rFonts w:eastAsia="MS Mincho"/>
          <w:b/>
          <w:szCs w:val="22"/>
          <w:lang w:val="en-US"/>
        </w:rPr>
        <w:t>Figure 1</w:t>
      </w:r>
      <w:r w:rsidRPr="00654EF1">
        <w:rPr>
          <w:rFonts w:eastAsia="MS Mincho"/>
          <w:b/>
          <w:szCs w:val="22"/>
          <w:lang w:val="en-US"/>
        </w:rPr>
        <w:tab/>
        <w:t>Kaplan-Meier estimates for primary recurrence-free survival endpoint (ITT population)</w:t>
      </w:r>
    </w:p>
    <w:p w14:paraId="1B68032D" w14:textId="77777777" w:rsidR="007D0548" w:rsidRPr="00654EF1" w:rsidRDefault="007D0548" w:rsidP="001D5C8C">
      <w:pPr>
        <w:keepNext/>
        <w:widowControl w:val="0"/>
        <w:tabs>
          <w:tab w:val="clear" w:pos="567"/>
          <w:tab w:val="left" w:pos="1134"/>
        </w:tabs>
        <w:spacing w:line="240" w:lineRule="auto"/>
        <w:ind w:left="1134" w:hanging="1134"/>
        <w:outlineLvl w:val="6"/>
        <w:rPr>
          <w:rFonts w:eastAsia="MS Mincho"/>
          <w:szCs w:val="22"/>
          <w:lang w:val="en-US"/>
        </w:rPr>
      </w:pPr>
    </w:p>
    <w:p w14:paraId="1B68032E" w14:textId="77777777" w:rsidR="007D0548" w:rsidRPr="00654EF1" w:rsidRDefault="002B04AE" w:rsidP="001D5C8C">
      <w:pPr>
        <w:widowControl w:val="0"/>
        <w:tabs>
          <w:tab w:val="clear" w:pos="567"/>
          <w:tab w:val="left" w:pos="1134"/>
        </w:tabs>
        <w:spacing w:line="240" w:lineRule="auto"/>
        <w:ind w:left="1134" w:hanging="1134"/>
        <w:outlineLvl w:val="6"/>
        <w:rPr>
          <w:rFonts w:eastAsia="MS Mincho"/>
          <w:szCs w:val="22"/>
          <w:lang w:val="en-US"/>
        </w:rPr>
      </w:pPr>
      <w:r w:rsidRPr="00654EF1">
        <w:rPr>
          <w:noProof/>
          <w:lang w:eastAsia="en-GB"/>
        </w:rPr>
        <mc:AlternateContent>
          <mc:Choice Requires="wps">
            <w:drawing>
              <wp:anchor distT="0" distB="0" distL="114300" distR="114300" simplePos="0" relativeHeight="251652096" behindDoc="0" locked="0" layoutInCell="1" allowOverlap="1" wp14:anchorId="1B6812EF" wp14:editId="1B6812F0">
                <wp:simplePos x="0" y="0"/>
                <wp:positionH relativeFrom="column">
                  <wp:posOffset>-198120</wp:posOffset>
                </wp:positionH>
                <wp:positionV relativeFrom="paragraph">
                  <wp:posOffset>142240</wp:posOffset>
                </wp:positionV>
                <wp:extent cx="335915" cy="229489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94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20" w14:textId="77777777" w:rsidR="00B97E8A" w:rsidRPr="00A33DBA" w:rsidRDefault="00B97E8A" w:rsidP="007D0548">
                            <w:pPr>
                              <w:rPr>
                                <w:rFonts w:ascii="Arial" w:hAnsi="Arial" w:cs="Arial"/>
                                <w:sz w:val="20"/>
                              </w:rPr>
                            </w:pPr>
                            <w:r w:rsidRPr="00A33DBA">
                              <w:rPr>
                                <w:rFonts w:ascii="Arial" w:hAnsi="Arial" w:cs="Arial"/>
                                <w:sz w:val="20"/>
                              </w:rPr>
                              <w:t>Probability of recurrence-free survival</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6812EF" id="_x0000_t202" coordsize="21600,21600" o:spt="202" path="m,l,21600r21600,l21600,xe">
                <v:stroke joinstyle="miter"/>
                <v:path gradientshapeok="t" o:connecttype="rect"/>
              </v:shapetype>
              <v:shape id="Text Box 2" o:spid="_x0000_s1026" type="#_x0000_t202" style="position:absolute;left:0;text-align:left;margin-left:-15.6pt;margin-top:11.2pt;width:26.45pt;height:180.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" stroked="f">
                <v:fill opacity="0"/>
                <v:textbox style="layout-flow:vertical;mso-layout-flow-alt:bottom-to-top">
                  <w:txbxContent>
                    <w:p w14:paraId="1B681320" w14:textId="77777777" w:rsidR="00B97E8A" w:rsidRPr="00A33DBA" w:rsidRDefault="00B97E8A" w:rsidP="007D0548">
                      <w:pPr>
                        <w:rPr>
                          <w:rFonts w:ascii="Arial" w:hAnsi="Arial" w:cs="Arial"/>
                          <w:sz w:val="20"/>
                        </w:rPr>
                      </w:pPr>
                      <w:r w:rsidRPr="00A33DBA">
                        <w:rPr>
                          <w:rFonts w:ascii="Arial" w:hAnsi="Arial" w:cs="Arial"/>
                          <w:sz w:val="20"/>
                        </w:rPr>
                        <w:t>Probability of recurrence-free survival</w:t>
                      </w:r>
                    </w:p>
                  </w:txbxContent>
                </v:textbox>
              </v:shape>
            </w:pict>
          </mc:Fallback>
        </mc:AlternateContent>
      </w:r>
      <w:r w:rsidRPr="00654EF1">
        <w:rPr>
          <w:noProof/>
          <w:lang w:eastAsia="en-GB"/>
        </w:rPr>
        <mc:AlternateContent>
          <mc:Choice Requires="wps">
            <w:drawing>
              <wp:anchor distT="0" distB="0" distL="114300" distR="114300" simplePos="0" relativeHeight="251653120" behindDoc="0" locked="0" layoutInCell="1" allowOverlap="1" wp14:anchorId="1B6812F1" wp14:editId="1B6812F2">
                <wp:simplePos x="0" y="0"/>
                <wp:positionH relativeFrom="column">
                  <wp:posOffset>350520</wp:posOffset>
                </wp:positionH>
                <wp:positionV relativeFrom="paragraph">
                  <wp:posOffset>970915</wp:posOffset>
                </wp:positionV>
                <wp:extent cx="4585335" cy="146621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1321" w14:textId="77777777" w:rsidR="00B97E8A" w:rsidRDefault="00B97E8A"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25" w14:textId="77777777" w:rsidTr="000A6648">
                              <w:trPr>
                                <w:gridAfter w:val="3"/>
                                <w:wAfter w:w="2410" w:type="dxa"/>
                              </w:trPr>
                              <w:tc>
                                <w:tcPr>
                                  <w:tcW w:w="3281" w:type="dxa"/>
                                  <w:gridSpan w:val="2"/>
                                  <w:shd w:val="clear" w:color="auto" w:fill="auto"/>
                                </w:tcPr>
                                <w:p w14:paraId="1B681322" w14:textId="77777777" w:rsidR="00B97E8A" w:rsidRPr="0055776F" w:rsidRDefault="00B97E8A" w:rsidP="0077258C">
                                  <w:pPr>
                                    <w:rPr>
                                      <w:rFonts w:ascii="Arial" w:hAnsi="Arial" w:cs="Arial"/>
                                      <w:sz w:val="20"/>
                                    </w:rPr>
                                  </w:pPr>
                                  <w:r>
                                    <w:rPr>
                                      <w:rFonts w:ascii="Arial" w:hAnsi="Arial" w:cs="Arial"/>
                                      <w:sz w:val="20"/>
                                    </w:rPr>
                                    <w:t>P &lt; 0</w:t>
                                  </w:r>
                                  <w:r w:rsidRPr="0055776F">
                                    <w:rPr>
                                      <w:rFonts w:ascii="Arial" w:hAnsi="Arial" w:cs="Arial"/>
                                      <w:sz w:val="20"/>
                                    </w:rPr>
                                    <w:t>.</w:t>
                                  </w:r>
                                  <w:r>
                                    <w:rPr>
                                      <w:rFonts w:ascii="Arial" w:hAnsi="Arial" w:cs="Arial"/>
                                      <w:sz w:val="20"/>
                                    </w:rPr>
                                    <w:t>0001</w:t>
                                  </w:r>
                                </w:p>
                                <w:p w14:paraId="1B681323" w14:textId="77777777" w:rsidR="00B97E8A" w:rsidRPr="0055776F" w:rsidRDefault="00B97E8A" w:rsidP="0077258C">
                                  <w:pPr>
                                    <w:rPr>
                                      <w:rFonts w:ascii="Arial" w:hAnsi="Arial" w:cs="Arial"/>
                                      <w:sz w:val="20"/>
                                    </w:rPr>
                                  </w:pPr>
                                  <w:r w:rsidRPr="0055776F">
                                    <w:rPr>
                                      <w:rFonts w:ascii="Arial" w:hAnsi="Arial" w:cs="Arial"/>
                                      <w:sz w:val="20"/>
                                    </w:rPr>
                                    <w:t>Hazard ratio 0.4</w:t>
                                  </w:r>
                                  <w:r>
                                    <w:rPr>
                                      <w:rFonts w:ascii="Arial" w:hAnsi="Arial" w:cs="Arial"/>
                                      <w:sz w:val="20"/>
                                    </w:rPr>
                                    <w:t>6</w:t>
                                  </w:r>
                                </w:p>
                                <w:p w14:paraId="1B681324" w14:textId="77777777" w:rsidR="00B97E8A" w:rsidRPr="0055776F" w:rsidRDefault="00B97E8A" w:rsidP="0077258C">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B97E8A" w:rsidRPr="0055776F" w14:paraId="1B68132B" w14:textId="77777777" w:rsidTr="0077258C">
                              <w:tc>
                                <w:tcPr>
                                  <w:tcW w:w="817" w:type="dxa"/>
                                  <w:shd w:val="clear" w:color="auto" w:fill="auto"/>
                                </w:tcPr>
                                <w:p w14:paraId="1B681326" w14:textId="77777777" w:rsidR="00B97E8A" w:rsidRPr="0055776F" w:rsidRDefault="00B97E8A" w:rsidP="0077258C">
                                  <w:pPr>
                                    <w:rPr>
                                      <w:rFonts w:ascii="Arial" w:hAnsi="Arial" w:cs="Arial"/>
                                      <w:sz w:val="20"/>
                                    </w:rPr>
                                  </w:pPr>
                                </w:p>
                              </w:tc>
                              <w:tc>
                                <w:tcPr>
                                  <w:tcW w:w="2464" w:type="dxa"/>
                                  <w:shd w:val="clear" w:color="auto" w:fill="auto"/>
                                </w:tcPr>
                                <w:p w14:paraId="1B681327"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28"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29"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2A"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31" w14:textId="77777777" w:rsidTr="0077258C">
                              <w:tc>
                                <w:tcPr>
                                  <w:tcW w:w="817" w:type="dxa"/>
                                  <w:shd w:val="clear" w:color="auto" w:fill="auto"/>
                                </w:tcPr>
                                <w:p w14:paraId="1B68132C"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2D" w14:textId="77777777" w:rsidR="00B97E8A" w:rsidRPr="0055776F" w:rsidRDefault="00B97E8A" w:rsidP="0077258C">
                                  <w:pPr>
                                    <w:rPr>
                                      <w:rFonts w:ascii="Arial" w:hAnsi="Arial" w:cs="Arial"/>
                                      <w:sz w:val="20"/>
                                    </w:rPr>
                                  </w:pPr>
                                  <w:r w:rsidRPr="0055776F">
                                    <w:rPr>
                                      <w:rFonts w:ascii="Arial" w:hAnsi="Arial" w:cs="Arial"/>
                                      <w:sz w:val="20"/>
                                    </w:rPr>
                                    <w:t xml:space="preserve">(1) </w:t>
                                  </w:r>
                                  <w:r>
                                    <w:rPr>
                                      <w:rFonts w:ascii="Arial" w:hAnsi="Arial" w:cs="Arial"/>
                                      <w:sz w:val="20"/>
                                    </w:rPr>
                                    <w:t>Imatinib 12 </w:t>
                                  </w:r>
                                  <w:r w:rsidRPr="0055776F">
                                    <w:rPr>
                                      <w:rFonts w:ascii="Arial" w:hAnsi="Arial" w:cs="Arial"/>
                                      <w:sz w:val="20"/>
                                    </w:rPr>
                                    <w:t>MO:</w:t>
                                  </w:r>
                                </w:p>
                              </w:tc>
                              <w:tc>
                                <w:tcPr>
                                  <w:tcW w:w="851" w:type="dxa"/>
                                  <w:tcBorders>
                                    <w:top w:val="single" w:sz="4" w:space="0" w:color="auto"/>
                                  </w:tcBorders>
                                  <w:shd w:val="clear" w:color="auto" w:fill="auto"/>
                                </w:tcPr>
                                <w:p w14:paraId="1B68132E"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2F" w14:textId="77777777" w:rsidR="00B97E8A" w:rsidRPr="0055776F" w:rsidRDefault="00B97E8A"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B681330" w14:textId="77777777" w:rsidR="00B97E8A" w:rsidRPr="0055776F" w:rsidRDefault="00B97E8A" w:rsidP="0077258C">
                                  <w:pPr>
                                    <w:rPr>
                                      <w:rFonts w:ascii="Arial" w:hAnsi="Arial" w:cs="Arial"/>
                                      <w:sz w:val="20"/>
                                    </w:rPr>
                                  </w:pPr>
                                  <w:r w:rsidRPr="0055776F">
                                    <w:rPr>
                                      <w:rFonts w:ascii="Arial" w:hAnsi="Arial" w:cs="Arial"/>
                                      <w:sz w:val="20"/>
                                    </w:rPr>
                                    <w:t>115</w:t>
                                  </w:r>
                                </w:p>
                              </w:tc>
                            </w:tr>
                            <w:tr w:rsidR="00B97E8A" w:rsidRPr="0055776F" w14:paraId="1B681337" w14:textId="77777777" w:rsidTr="0077258C">
                              <w:tc>
                                <w:tcPr>
                                  <w:tcW w:w="817" w:type="dxa"/>
                                  <w:shd w:val="clear" w:color="auto" w:fill="auto"/>
                                </w:tcPr>
                                <w:p w14:paraId="1B681332"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33" w14:textId="77777777" w:rsidR="00B97E8A" w:rsidRPr="0055776F" w:rsidRDefault="00B97E8A" w:rsidP="0077258C">
                                  <w:pPr>
                                    <w:rPr>
                                      <w:rFonts w:ascii="Arial" w:hAnsi="Arial" w:cs="Arial"/>
                                      <w:sz w:val="20"/>
                                    </w:rPr>
                                  </w:pPr>
                                  <w:r w:rsidRPr="0055776F">
                                    <w:rPr>
                                      <w:rFonts w:ascii="Arial" w:hAnsi="Arial" w:cs="Arial"/>
                                      <w:sz w:val="20"/>
                                    </w:rPr>
                                    <w:t xml:space="preserve">(2) </w:t>
                                  </w:r>
                                  <w:r>
                                    <w:rPr>
                                      <w:rFonts w:ascii="Arial" w:hAnsi="Arial" w:cs="Arial"/>
                                      <w:sz w:val="20"/>
                                    </w:rPr>
                                    <w:t>Imatinib 36 </w:t>
                                  </w:r>
                                  <w:r w:rsidRPr="0055776F">
                                    <w:rPr>
                                      <w:rFonts w:ascii="Arial" w:hAnsi="Arial" w:cs="Arial"/>
                                      <w:sz w:val="20"/>
                                    </w:rPr>
                                    <w:t>MO:</w:t>
                                  </w:r>
                                </w:p>
                              </w:tc>
                              <w:tc>
                                <w:tcPr>
                                  <w:tcW w:w="851" w:type="dxa"/>
                                  <w:tcBorders>
                                    <w:bottom w:val="single" w:sz="4" w:space="0" w:color="auto"/>
                                  </w:tcBorders>
                                  <w:shd w:val="clear" w:color="auto" w:fill="auto"/>
                                </w:tcPr>
                                <w:p w14:paraId="1B681334"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35" w14:textId="77777777" w:rsidR="00B97E8A" w:rsidRPr="0055776F" w:rsidRDefault="00B97E8A"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B681336" w14:textId="77777777" w:rsidR="00B97E8A" w:rsidRPr="0055776F" w:rsidRDefault="00B97E8A" w:rsidP="0077258C">
                                  <w:pPr>
                                    <w:rPr>
                                      <w:rFonts w:ascii="Arial" w:hAnsi="Arial" w:cs="Arial"/>
                                      <w:sz w:val="20"/>
                                    </w:rPr>
                                  </w:pPr>
                                  <w:r w:rsidRPr="0055776F">
                                    <w:rPr>
                                      <w:rFonts w:ascii="Arial" w:hAnsi="Arial" w:cs="Arial"/>
                                      <w:sz w:val="20"/>
                                    </w:rPr>
                                    <w:t>148</w:t>
                                  </w:r>
                                </w:p>
                              </w:tc>
                            </w:tr>
                            <w:tr w:rsidR="00B97E8A" w:rsidRPr="0055776F" w14:paraId="1B68133D" w14:textId="77777777" w:rsidTr="0077258C">
                              <w:tc>
                                <w:tcPr>
                                  <w:tcW w:w="817" w:type="dxa"/>
                                  <w:shd w:val="clear" w:color="auto" w:fill="auto"/>
                                </w:tcPr>
                                <w:p w14:paraId="1B681338"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39"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3A"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3B"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3C" w14:textId="77777777" w:rsidR="00B97E8A" w:rsidRPr="0055776F" w:rsidRDefault="00B97E8A" w:rsidP="0077258C">
                                  <w:pPr>
                                    <w:rPr>
                                      <w:rFonts w:ascii="Arial" w:hAnsi="Arial" w:cs="Arial"/>
                                      <w:sz w:val="20"/>
                                    </w:rPr>
                                  </w:pPr>
                                </w:p>
                              </w:tc>
                            </w:tr>
                          </w:tbl>
                          <w:p w14:paraId="1B68133E" w14:textId="77777777" w:rsidR="00B97E8A" w:rsidRPr="00A33DBA" w:rsidRDefault="00B97E8A" w:rsidP="007D0548">
                            <w:pPr>
                              <w:rPr>
                                <w:rFonts w:ascii="Arial" w:hAnsi="Arial" w:cs="Arial"/>
                                <w:sz w:val="20"/>
                              </w:rPr>
                            </w:pPr>
                          </w:p>
                          <w:p w14:paraId="1B68133F" w14:textId="77777777" w:rsidR="00B97E8A" w:rsidRPr="00A33DBA" w:rsidRDefault="00B97E8A" w:rsidP="007D05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2F1" id="_x0000_s1027" type="#_x0000_t202" style="position:absolute;left:0;text-align:left;margin-left:27.6pt;margin-top:76.45pt;width:361.05pt;height:11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" filled="f" stroked="f">
                <v:textbox>
                  <w:txbxContent>
                    <w:p w14:paraId="1B681321" w14:textId="77777777" w:rsidR="00B97E8A" w:rsidRDefault="00B97E8A"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25" w14:textId="77777777" w:rsidTr="000A6648">
                        <w:trPr>
                          <w:gridAfter w:val="3"/>
                          <w:wAfter w:w="2410" w:type="dxa"/>
                        </w:trPr>
                        <w:tc>
                          <w:tcPr>
                            <w:tcW w:w="3281" w:type="dxa"/>
                            <w:gridSpan w:val="2"/>
                            <w:shd w:val="clear" w:color="auto" w:fill="auto"/>
                          </w:tcPr>
                          <w:p w14:paraId="1B681322" w14:textId="77777777" w:rsidR="00B97E8A" w:rsidRPr="0055776F" w:rsidRDefault="00B97E8A" w:rsidP="0077258C">
                            <w:pPr>
                              <w:rPr>
                                <w:rFonts w:ascii="Arial" w:hAnsi="Arial" w:cs="Arial"/>
                                <w:sz w:val="20"/>
                              </w:rPr>
                            </w:pPr>
                            <w:r>
                              <w:rPr>
                                <w:rFonts w:ascii="Arial" w:hAnsi="Arial" w:cs="Arial"/>
                                <w:sz w:val="20"/>
                              </w:rPr>
                              <w:t>P &lt; 0</w:t>
                            </w:r>
                            <w:r w:rsidRPr="0055776F">
                              <w:rPr>
                                <w:rFonts w:ascii="Arial" w:hAnsi="Arial" w:cs="Arial"/>
                                <w:sz w:val="20"/>
                              </w:rPr>
                              <w:t>.</w:t>
                            </w:r>
                            <w:r>
                              <w:rPr>
                                <w:rFonts w:ascii="Arial" w:hAnsi="Arial" w:cs="Arial"/>
                                <w:sz w:val="20"/>
                              </w:rPr>
                              <w:t>0001</w:t>
                            </w:r>
                          </w:p>
                          <w:p w14:paraId="1B681323" w14:textId="77777777" w:rsidR="00B97E8A" w:rsidRPr="0055776F" w:rsidRDefault="00B97E8A" w:rsidP="0077258C">
                            <w:pPr>
                              <w:rPr>
                                <w:rFonts w:ascii="Arial" w:hAnsi="Arial" w:cs="Arial"/>
                                <w:sz w:val="20"/>
                              </w:rPr>
                            </w:pPr>
                            <w:r w:rsidRPr="0055776F">
                              <w:rPr>
                                <w:rFonts w:ascii="Arial" w:hAnsi="Arial" w:cs="Arial"/>
                                <w:sz w:val="20"/>
                              </w:rPr>
                              <w:t>Hazard ratio 0.4</w:t>
                            </w:r>
                            <w:r>
                              <w:rPr>
                                <w:rFonts w:ascii="Arial" w:hAnsi="Arial" w:cs="Arial"/>
                                <w:sz w:val="20"/>
                              </w:rPr>
                              <w:t>6</w:t>
                            </w:r>
                          </w:p>
                          <w:p w14:paraId="1B681324" w14:textId="77777777" w:rsidR="00B97E8A" w:rsidRPr="0055776F" w:rsidRDefault="00B97E8A" w:rsidP="0077258C">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B97E8A" w:rsidRPr="0055776F" w14:paraId="1B68132B" w14:textId="77777777" w:rsidTr="0077258C">
                        <w:tc>
                          <w:tcPr>
                            <w:tcW w:w="817" w:type="dxa"/>
                            <w:shd w:val="clear" w:color="auto" w:fill="auto"/>
                          </w:tcPr>
                          <w:p w14:paraId="1B681326" w14:textId="77777777" w:rsidR="00B97E8A" w:rsidRPr="0055776F" w:rsidRDefault="00B97E8A" w:rsidP="0077258C">
                            <w:pPr>
                              <w:rPr>
                                <w:rFonts w:ascii="Arial" w:hAnsi="Arial" w:cs="Arial"/>
                                <w:sz w:val="20"/>
                              </w:rPr>
                            </w:pPr>
                          </w:p>
                        </w:tc>
                        <w:tc>
                          <w:tcPr>
                            <w:tcW w:w="2464" w:type="dxa"/>
                            <w:shd w:val="clear" w:color="auto" w:fill="auto"/>
                          </w:tcPr>
                          <w:p w14:paraId="1B681327"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28"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29"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2A"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31" w14:textId="77777777" w:rsidTr="0077258C">
                        <w:tc>
                          <w:tcPr>
                            <w:tcW w:w="817" w:type="dxa"/>
                            <w:shd w:val="clear" w:color="auto" w:fill="auto"/>
                          </w:tcPr>
                          <w:p w14:paraId="1B68132C"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2D" w14:textId="77777777" w:rsidR="00B97E8A" w:rsidRPr="0055776F" w:rsidRDefault="00B97E8A" w:rsidP="0077258C">
                            <w:pPr>
                              <w:rPr>
                                <w:rFonts w:ascii="Arial" w:hAnsi="Arial" w:cs="Arial"/>
                                <w:sz w:val="20"/>
                              </w:rPr>
                            </w:pPr>
                            <w:r w:rsidRPr="0055776F">
                              <w:rPr>
                                <w:rFonts w:ascii="Arial" w:hAnsi="Arial" w:cs="Arial"/>
                                <w:sz w:val="20"/>
                              </w:rPr>
                              <w:t xml:space="preserve">(1) </w:t>
                            </w:r>
                            <w:r>
                              <w:rPr>
                                <w:rFonts w:ascii="Arial" w:hAnsi="Arial" w:cs="Arial"/>
                                <w:sz w:val="20"/>
                              </w:rPr>
                              <w:t>Imatinib 12 </w:t>
                            </w:r>
                            <w:r w:rsidRPr="0055776F">
                              <w:rPr>
                                <w:rFonts w:ascii="Arial" w:hAnsi="Arial" w:cs="Arial"/>
                                <w:sz w:val="20"/>
                              </w:rPr>
                              <w:t>MO:</w:t>
                            </w:r>
                          </w:p>
                        </w:tc>
                        <w:tc>
                          <w:tcPr>
                            <w:tcW w:w="851" w:type="dxa"/>
                            <w:tcBorders>
                              <w:top w:val="single" w:sz="4" w:space="0" w:color="auto"/>
                            </w:tcBorders>
                            <w:shd w:val="clear" w:color="auto" w:fill="auto"/>
                          </w:tcPr>
                          <w:p w14:paraId="1B68132E"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2F" w14:textId="77777777" w:rsidR="00B97E8A" w:rsidRPr="0055776F" w:rsidRDefault="00B97E8A"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B681330" w14:textId="77777777" w:rsidR="00B97E8A" w:rsidRPr="0055776F" w:rsidRDefault="00B97E8A" w:rsidP="0077258C">
                            <w:pPr>
                              <w:rPr>
                                <w:rFonts w:ascii="Arial" w:hAnsi="Arial" w:cs="Arial"/>
                                <w:sz w:val="20"/>
                              </w:rPr>
                            </w:pPr>
                            <w:r w:rsidRPr="0055776F">
                              <w:rPr>
                                <w:rFonts w:ascii="Arial" w:hAnsi="Arial" w:cs="Arial"/>
                                <w:sz w:val="20"/>
                              </w:rPr>
                              <w:t>115</w:t>
                            </w:r>
                          </w:p>
                        </w:tc>
                      </w:tr>
                      <w:tr w:rsidR="00B97E8A" w:rsidRPr="0055776F" w14:paraId="1B681337" w14:textId="77777777" w:rsidTr="0077258C">
                        <w:tc>
                          <w:tcPr>
                            <w:tcW w:w="817" w:type="dxa"/>
                            <w:shd w:val="clear" w:color="auto" w:fill="auto"/>
                          </w:tcPr>
                          <w:p w14:paraId="1B681332"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33" w14:textId="77777777" w:rsidR="00B97E8A" w:rsidRPr="0055776F" w:rsidRDefault="00B97E8A" w:rsidP="0077258C">
                            <w:pPr>
                              <w:rPr>
                                <w:rFonts w:ascii="Arial" w:hAnsi="Arial" w:cs="Arial"/>
                                <w:sz w:val="20"/>
                              </w:rPr>
                            </w:pPr>
                            <w:r w:rsidRPr="0055776F">
                              <w:rPr>
                                <w:rFonts w:ascii="Arial" w:hAnsi="Arial" w:cs="Arial"/>
                                <w:sz w:val="20"/>
                              </w:rPr>
                              <w:t xml:space="preserve">(2) </w:t>
                            </w:r>
                            <w:r>
                              <w:rPr>
                                <w:rFonts w:ascii="Arial" w:hAnsi="Arial" w:cs="Arial"/>
                                <w:sz w:val="20"/>
                              </w:rPr>
                              <w:t>Imatinib 36 </w:t>
                            </w:r>
                            <w:r w:rsidRPr="0055776F">
                              <w:rPr>
                                <w:rFonts w:ascii="Arial" w:hAnsi="Arial" w:cs="Arial"/>
                                <w:sz w:val="20"/>
                              </w:rPr>
                              <w:t>MO:</w:t>
                            </w:r>
                          </w:p>
                        </w:tc>
                        <w:tc>
                          <w:tcPr>
                            <w:tcW w:w="851" w:type="dxa"/>
                            <w:tcBorders>
                              <w:bottom w:val="single" w:sz="4" w:space="0" w:color="auto"/>
                            </w:tcBorders>
                            <w:shd w:val="clear" w:color="auto" w:fill="auto"/>
                          </w:tcPr>
                          <w:p w14:paraId="1B681334"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35" w14:textId="77777777" w:rsidR="00B97E8A" w:rsidRPr="0055776F" w:rsidRDefault="00B97E8A"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B681336" w14:textId="77777777" w:rsidR="00B97E8A" w:rsidRPr="0055776F" w:rsidRDefault="00B97E8A" w:rsidP="0077258C">
                            <w:pPr>
                              <w:rPr>
                                <w:rFonts w:ascii="Arial" w:hAnsi="Arial" w:cs="Arial"/>
                                <w:sz w:val="20"/>
                              </w:rPr>
                            </w:pPr>
                            <w:r w:rsidRPr="0055776F">
                              <w:rPr>
                                <w:rFonts w:ascii="Arial" w:hAnsi="Arial" w:cs="Arial"/>
                                <w:sz w:val="20"/>
                              </w:rPr>
                              <w:t>148</w:t>
                            </w:r>
                          </w:p>
                        </w:tc>
                      </w:tr>
                      <w:tr w:rsidR="00B97E8A" w:rsidRPr="0055776F" w14:paraId="1B68133D" w14:textId="77777777" w:rsidTr="0077258C">
                        <w:tc>
                          <w:tcPr>
                            <w:tcW w:w="817" w:type="dxa"/>
                            <w:shd w:val="clear" w:color="auto" w:fill="auto"/>
                          </w:tcPr>
                          <w:p w14:paraId="1B681338"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39"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3A"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3B"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3C" w14:textId="77777777" w:rsidR="00B97E8A" w:rsidRPr="0055776F" w:rsidRDefault="00B97E8A" w:rsidP="0077258C">
                            <w:pPr>
                              <w:rPr>
                                <w:rFonts w:ascii="Arial" w:hAnsi="Arial" w:cs="Arial"/>
                                <w:sz w:val="20"/>
                              </w:rPr>
                            </w:pPr>
                          </w:p>
                        </w:tc>
                      </w:tr>
                    </w:tbl>
                    <w:p w14:paraId="1B68133E" w14:textId="77777777" w:rsidR="00B97E8A" w:rsidRPr="00A33DBA" w:rsidRDefault="00B97E8A" w:rsidP="007D0548">
                      <w:pPr>
                        <w:rPr>
                          <w:rFonts w:ascii="Arial" w:hAnsi="Arial" w:cs="Arial"/>
                          <w:sz w:val="20"/>
                        </w:rPr>
                      </w:pPr>
                    </w:p>
                    <w:p w14:paraId="1B68133F" w14:textId="77777777" w:rsidR="00B97E8A" w:rsidRPr="00A33DBA" w:rsidRDefault="00B97E8A" w:rsidP="007D0548">
                      <w:pPr>
                        <w:rPr>
                          <w:rFonts w:ascii="Arial" w:hAnsi="Arial" w:cs="Arial"/>
                          <w:sz w:val="20"/>
                        </w:rPr>
                      </w:pPr>
                    </w:p>
                  </w:txbxContent>
                </v:textbox>
              </v:shape>
            </w:pict>
          </mc:Fallback>
        </mc:AlternateContent>
      </w:r>
      <w:r w:rsidRPr="00654EF1">
        <w:rPr>
          <w:noProof/>
          <w:lang w:eastAsia="en-GB"/>
        </w:rPr>
        <w:drawing>
          <wp:inline distT="0" distB="0" distL="0" distR="0" wp14:anchorId="1B6812F3" wp14:editId="1B6812F4">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1B68032F" w14:textId="77777777" w:rsidR="007D0548" w:rsidRPr="00654EF1" w:rsidRDefault="002B04AE" w:rsidP="001D5C8C">
      <w:pPr>
        <w:widowControl w:val="0"/>
        <w:tabs>
          <w:tab w:val="clear" w:pos="567"/>
          <w:tab w:val="left" w:pos="1134"/>
        </w:tabs>
        <w:spacing w:line="240" w:lineRule="auto"/>
        <w:ind w:left="1134" w:hanging="1134"/>
        <w:outlineLvl w:val="6"/>
        <w:rPr>
          <w:rFonts w:eastAsia="MS Mincho"/>
          <w:szCs w:val="22"/>
          <w:lang w:val="en-US"/>
        </w:rPr>
      </w:pPr>
      <w:r w:rsidRPr="00654EF1">
        <w:rPr>
          <w:rFonts w:eastAsia="MS Mincho"/>
          <w:noProof/>
          <w:szCs w:val="22"/>
          <w:lang w:eastAsia="en-GB"/>
        </w:rPr>
        <mc:AlternateContent>
          <mc:Choice Requires="wps">
            <w:drawing>
              <wp:anchor distT="0" distB="0" distL="114300" distR="114300" simplePos="0" relativeHeight="251654144" behindDoc="0" locked="0" layoutInCell="1" allowOverlap="1" wp14:anchorId="1B6812F5" wp14:editId="1B6812F6">
                <wp:simplePos x="0" y="0"/>
                <wp:positionH relativeFrom="column">
                  <wp:posOffset>2329815</wp:posOffset>
                </wp:positionH>
                <wp:positionV relativeFrom="paragraph">
                  <wp:posOffset>10795</wp:posOffset>
                </wp:positionV>
                <wp:extent cx="1540510"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40" w14:textId="77777777" w:rsidR="00B97E8A" w:rsidRPr="00A33DBA" w:rsidRDefault="00B97E8A" w:rsidP="007D0548">
                            <w:pPr>
                              <w:rPr>
                                <w:rFonts w:ascii="Arial" w:hAnsi="Arial" w:cs="Arial"/>
                                <w:sz w:val="20"/>
                              </w:rPr>
                            </w:pPr>
                            <w:r w:rsidRPr="00A33DBA">
                              <w:rPr>
                                <w:rFonts w:ascii="Arial" w:hAnsi="Arial" w:cs="Arial"/>
                                <w:sz w:val="20"/>
                                <w:lang w:val="de-DE"/>
                              </w:rPr>
                              <w:t>Survival time in months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2F5" id="_x0000_s1028" type="#_x0000_t202" style="position:absolute;left:0;text-align:left;margin-left:183.45pt;margin-top:.85pt;width:121.3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" stroked="f">
                <v:fill opacity="0"/>
                <v:textbox>
                  <w:txbxContent>
                    <w:p w14:paraId="1B681340" w14:textId="77777777" w:rsidR="00B97E8A" w:rsidRPr="00A33DBA" w:rsidRDefault="00B97E8A" w:rsidP="007D0548">
                      <w:pPr>
                        <w:rPr>
                          <w:rFonts w:ascii="Arial" w:hAnsi="Arial" w:cs="Arial"/>
                          <w:sz w:val="20"/>
                        </w:rPr>
                      </w:pPr>
                      <w:r w:rsidRPr="00A33DBA">
                        <w:rPr>
                          <w:rFonts w:ascii="Arial" w:hAnsi="Arial" w:cs="Arial"/>
                          <w:sz w:val="20"/>
                          <w:lang w:val="de-DE"/>
                        </w:rPr>
                        <w:t>Survival time in months</w:t>
                      </w:r>
                    </w:p>
                  </w:txbxContent>
                </v:textbox>
              </v:shape>
            </w:pict>
          </mc:Fallback>
        </mc:AlternateContent>
      </w:r>
    </w:p>
    <w:p w14:paraId="1B680330" w14:textId="77777777" w:rsidR="007D0548" w:rsidRPr="00654EF1" w:rsidRDefault="007D0548" w:rsidP="001D5C8C">
      <w:pPr>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7D0548" w:rsidRPr="00654EF1" w14:paraId="1B680332" w14:textId="77777777" w:rsidTr="0077258C">
        <w:tc>
          <w:tcPr>
            <w:tcW w:w="10599" w:type="dxa"/>
            <w:gridSpan w:val="16"/>
            <w:shd w:val="clear" w:color="auto" w:fill="auto"/>
          </w:tcPr>
          <w:p w14:paraId="1B680331" w14:textId="77777777" w:rsidR="007D0548" w:rsidRPr="00654EF1" w:rsidRDefault="007D0548" w:rsidP="001D5C8C">
            <w:pPr>
              <w:widowControl w:val="0"/>
              <w:spacing w:line="240" w:lineRule="auto"/>
              <w:ind w:left="-27"/>
              <w:rPr>
                <w:rFonts w:ascii="Arial" w:hAnsi="Arial" w:cs="Arial"/>
                <w:sz w:val="16"/>
                <w:szCs w:val="16"/>
              </w:rPr>
            </w:pPr>
            <w:r w:rsidRPr="00654EF1">
              <w:rPr>
                <w:rFonts w:ascii="Arial" w:hAnsi="Arial" w:cs="Arial"/>
                <w:sz w:val="20"/>
              </w:rPr>
              <w:t>At-risk : Events</w:t>
            </w:r>
          </w:p>
        </w:tc>
      </w:tr>
      <w:tr w:rsidR="007D0548" w:rsidRPr="00654EF1" w14:paraId="1B680343" w14:textId="77777777" w:rsidTr="0077258C">
        <w:tc>
          <w:tcPr>
            <w:tcW w:w="450" w:type="dxa"/>
            <w:shd w:val="clear" w:color="auto" w:fill="auto"/>
          </w:tcPr>
          <w:p w14:paraId="1B680333" w14:textId="77777777" w:rsidR="007D0548" w:rsidRPr="00654EF1" w:rsidRDefault="007D0548" w:rsidP="001D5C8C">
            <w:pPr>
              <w:widowControl w:val="0"/>
              <w:spacing w:line="240" w:lineRule="auto"/>
              <w:rPr>
                <w:sz w:val="18"/>
                <w:szCs w:val="18"/>
              </w:rPr>
            </w:pPr>
            <w:r w:rsidRPr="00654EF1">
              <w:rPr>
                <w:sz w:val="18"/>
                <w:szCs w:val="18"/>
              </w:rPr>
              <w:t>(1)</w:t>
            </w:r>
          </w:p>
        </w:tc>
        <w:tc>
          <w:tcPr>
            <w:tcW w:w="646" w:type="dxa"/>
            <w:shd w:val="clear" w:color="auto" w:fill="auto"/>
          </w:tcPr>
          <w:p w14:paraId="1B680334" w14:textId="77777777" w:rsidR="007D0548" w:rsidRPr="00654EF1" w:rsidRDefault="007D0548" w:rsidP="001D5C8C">
            <w:pPr>
              <w:widowControl w:val="0"/>
              <w:spacing w:line="240" w:lineRule="auto"/>
              <w:ind w:left="-27"/>
              <w:rPr>
                <w:sz w:val="18"/>
                <w:szCs w:val="18"/>
              </w:rPr>
            </w:pPr>
            <w:r w:rsidRPr="00654EF1">
              <w:rPr>
                <w:sz w:val="18"/>
                <w:szCs w:val="18"/>
              </w:rPr>
              <w:t>199:0</w:t>
            </w:r>
          </w:p>
        </w:tc>
        <w:tc>
          <w:tcPr>
            <w:tcW w:w="645" w:type="dxa"/>
            <w:shd w:val="clear" w:color="auto" w:fill="auto"/>
          </w:tcPr>
          <w:p w14:paraId="1B680335" w14:textId="77777777" w:rsidR="007D0548" w:rsidRPr="00654EF1" w:rsidRDefault="007D0548" w:rsidP="001D5C8C">
            <w:pPr>
              <w:widowControl w:val="0"/>
              <w:spacing w:line="240" w:lineRule="auto"/>
              <w:ind w:left="-27"/>
              <w:rPr>
                <w:sz w:val="18"/>
                <w:szCs w:val="18"/>
              </w:rPr>
            </w:pPr>
            <w:r w:rsidRPr="00654EF1">
              <w:rPr>
                <w:sz w:val="18"/>
                <w:szCs w:val="18"/>
              </w:rPr>
              <w:t>182:8</w:t>
            </w:r>
          </w:p>
        </w:tc>
        <w:tc>
          <w:tcPr>
            <w:tcW w:w="745" w:type="dxa"/>
            <w:shd w:val="clear" w:color="auto" w:fill="auto"/>
          </w:tcPr>
          <w:p w14:paraId="1B680336" w14:textId="77777777" w:rsidR="007D0548" w:rsidRPr="00654EF1" w:rsidRDefault="007D0548" w:rsidP="001D5C8C">
            <w:pPr>
              <w:widowControl w:val="0"/>
              <w:spacing w:line="240" w:lineRule="auto"/>
              <w:ind w:left="-27"/>
              <w:rPr>
                <w:sz w:val="18"/>
                <w:szCs w:val="18"/>
              </w:rPr>
            </w:pPr>
            <w:r w:rsidRPr="00654EF1">
              <w:rPr>
                <w:sz w:val="18"/>
                <w:szCs w:val="18"/>
              </w:rPr>
              <w:t>177:12</w:t>
            </w:r>
          </w:p>
        </w:tc>
        <w:tc>
          <w:tcPr>
            <w:tcW w:w="745" w:type="dxa"/>
            <w:shd w:val="clear" w:color="auto" w:fill="auto"/>
          </w:tcPr>
          <w:p w14:paraId="1B680337" w14:textId="77777777" w:rsidR="007D0548" w:rsidRPr="00654EF1" w:rsidRDefault="007D0548" w:rsidP="001D5C8C">
            <w:pPr>
              <w:widowControl w:val="0"/>
              <w:spacing w:line="240" w:lineRule="auto"/>
              <w:ind w:left="-27"/>
              <w:rPr>
                <w:sz w:val="18"/>
                <w:szCs w:val="18"/>
              </w:rPr>
            </w:pPr>
            <w:r w:rsidRPr="00654EF1">
              <w:rPr>
                <w:sz w:val="18"/>
                <w:szCs w:val="18"/>
              </w:rPr>
              <w:t>163:25</w:t>
            </w:r>
          </w:p>
        </w:tc>
        <w:tc>
          <w:tcPr>
            <w:tcW w:w="745" w:type="dxa"/>
            <w:shd w:val="clear" w:color="auto" w:fill="auto"/>
          </w:tcPr>
          <w:p w14:paraId="1B680338" w14:textId="77777777" w:rsidR="007D0548" w:rsidRPr="00654EF1" w:rsidRDefault="007D0548" w:rsidP="001D5C8C">
            <w:pPr>
              <w:widowControl w:val="0"/>
              <w:spacing w:line="240" w:lineRule="auto"/>
              <w:ind w:left="-27"/>
              <w:rPr>
                <w:sz w:val="18"/>
                <w:szCs w:val="18"/>
              </w:rPr>
            </w:pPr>
            <w:r w:rsidRPr="00654EF1">
              <w:rPr>
                <w:sz w:val="18"/>
                <w:szCs w:val="18"/>
              </w:rPr>
              <w:t>137:46</w:t>
            </w:r>
          </w:p>
        </w:tc>
        <w:tc>
          <w:tcPr>
            <w:tcW w:w="752" w:type="dxa"/>
            <w:shd w:val="clear" w:color="auto" w:fill="auto"/>
          </w:tcPr>
          <w:p w14:paraId="1B680339" w14:textId="77777777" w:rsidR="007D0548" w:rsidRPr="00654EF1" w:rsidRDefault="007D0548" w:rsidP="001D5C8C">
            <w:pPr>
              <w:widowControl w:val="0"/>
              <w:spacing w:line="240" w:lineRule="auto"/>
              <w:ind w:left="-27"/>
              <w:rPr>
                <w:sz w:val="18"/>
                <w:szCs w:val="18"/>
              </w:rPr>
            </w:pPr>
            <w:r w:rsidRPr="00654EF1">
              <w:rPr>
                <w:sz w:val="18"/>
                <w:szCs w:val="18"/>
              </w:rPr>
              <w:t>105:65</w:t>
            </w:r>
          </w:p>
        </w:tc>
        <w:tc>
          <w:tcPr>
            <w:tcW w:w="745" w:type="dxa"/>
            <w:shd w:val="clear" w:color="auto" w:fill="auto"/>
          </w:tcPr>
          <w:p w14:paraId="1B68033A" w14:textId="77777777" w:rsidR="007D0548" w:rsidRPr="00654EF1" w:rsidRDefault="007D0548" w:rsidP="001D5C8C">
            <w:pPr>
              <w:widowControl w:val="0"/>
              <w:spacing w:line="240" w:lineRule="auto"/>
              <w:ind w:left="-27"/>
              <w:rPr>
                <w:sz w:val="18"/>
                <w:szCs w:val="18"/>
              </w:rPr>
            </w:pPr>
            <w:r w:rsidRPr="00654EF1">
              <w:rPr>
                <w:sz w:val="18"/>
                <w:szCs w:val="18"/>
              </w:rPr>
              <w:t>88:72</w:t>
            </w:r>
          </w:p>
        </w:tc>
        <w:tc>
          <w:tcPr>
            <w:tcW w:w="745" w:type="dxa"/>
            <w:shd w:val="clear" w:color="auto" w:fill="auto"/>
          </w:tcPr>
          <w:p w14:paraId="1B68033B" w14:textId="77777777" w:rsidR="007D0548" w:rsidRPr="00654EF1" w:rsidRDefault="007D0548" w:rsidP="001D5C8C">
            <w:pPr>
              <w:widowControl w:val="0"/>
              <w:spacing w:line="240" w:lineRule="auto"/>
              <w:ind w:left="-27"/>
              <w:rPr>
                <w:sz w:val="18"/>
                <w:szCs w:val="18"/>
              </w:rPr>
            </w:pPr>
            <w:r w:rsidRPr="00654EF1">
              <w:rPr>
                <w:sz w:val="18"/>
                <w:szCs w:val="18"/>
              </w:rPr>
              <w:t>61:77</w:t>
            </w:r>
          </w:p>
        </w:tc>
        <w:tc>
          <w:tcPr>
            <w:tcW w:w="652" w:type="dxa"/>
            <w:shd w:val="clear" w:color="auto" w:fill="auto"/>
          </w:tcPr>
          <w:p w14:paraId="1B68033C" w14:textId="77777777" w:rsidR="007D0548" w:rsidRPr="00654EF1" w:rsidRDefault="007D0548" w:rsidP="001D5C8C">
            <w:pPr>
              <w:widowControl w:val="0"/>
              <w:spacing w:line="240" w:lineRule="auto"/>
              <w:ind w:left="-27"/>
              <w:rPr>
                <w:sz w:val="18"/>
                <w:szCs w:val="18"/>
              </w:rPr>
            </w:pPr>
            <w:r w:rsidRPr="00654EF1">
              <w:rPr>
                <w:sz w:val="18"/>
                <w:szCs w:val="18"/>
              </w:rPr>
              <w:t>49:81</w:t>
            </w:r>
          </w:p>
        </w:tc>
        <w:tc>
          <w:tcPr>
            <w:tcW w:w="652" w:type="dxa"/>
            <w:shd w:val="clear" w:color="auto" w:fill="auto"/>
          </w:tcPr>
          <w:p w14:paraId="1B68033D" w14:textId="77777777" w:rsidR="007D0548" w:rsidRPr="00654EF1" w:rsidRDefault="007D0548" w:rsidP="001D5C8C">
            <w:pPr>
              <w:widowControl w:val="0"/>
              <w:spacing w:line="240" w:lineRule="auto"/>
              <w:ind w:left="-27"/>
              <w:rPr>
                <w:sz w:val="18"/>
                <w:szCs w:val="18"/>
              </w:rPr>
            </w:pPr>
            <w:r w:rsidRPr="00654EF1">
              <w:rPr>
                <w:sz w:val="18"/>
                <w:szCs w:val="18"/>
              </w:rPr>
              <w:t>36:83</w:t>
            </w:r>
          </w:p>
        </w:tc>
        <w:tc>
          <w:tcPr>
            <w:tcW w:w="649" w:type="dxa"/>
            <w:shd w:val="clear" w:color="auto" w:fill="auto"/>
          </w:tcPr>
          <w:p w14:paraId="1B68033E" w14:textId="77777777" w:rsidR="007D0548" w:rsidRPr="00654EF1" w:rsidRDefault="007D0548" w:rsidP="001D5C8C">
            <w:pPr>
              <w:widowControl w:val="0"/>
              <w:spacing w:line="240" w:lineRule="auto"/>
              <w:ind w:left="-27"/>
              <w:rPr>
                <w:sz w:val="18"/>
                <w:szCs w:val="18"/>
              </w:rPr>
            </w:pPr>
            <w:r w:rsidRPr="00654EF1">
              <w:rPr>
                <w:sz w:val="18"/>
                <w:szCs w:val="18"/>
              </w:rPr>
              <w:t>27:84</w:t>
            </w:r>
          </w:p>
        </w:tc>
        <w:tc>
          <w:tcPr>
            <w:tcW w:w="660" w:type="dxa"/>
            <w:shd w:val="clear" w:color="auto" w:fill="auto"/>
          </w:tcPr>
          <w:p w14:paraId="1B68033F" w14:textId="77777777" w:rsidR="007D0548" w:rsidRPr="00654EF1" w:rsidRDefault="007D0548" w:rsidP="001D5C8C">
            <w:pPr>
              <w:widowControl w:val="0"/>
              <w:spacing w:line="240" w:lineRule="auto"/>
              <w:ind w:left="-27"/>
              <w:rPr>
                <w:sz w:val="18"/>
                <w:szCs w:val="18"/>
              </w:rPr>
            </w:pPr>
            <w:r w:rsidRPr="00654EF1">
              <w:rPr>
                <w:sz w:val="18"/>
                <w:szCs w:val="18"/>
              </w:rPr>
              <w:t>14:84</w:t>
            </w:r>
          </w:p>
        </w:tc>
        <w:tc>
          <w:tcPr>
            <w:tcW w:w="649" w:type="dxa"/>
            <w:shd w:val="clear" w:color="auto" w:fill="auto"/>
          </w:tcPr>
          <w:p w14:paraId="1B680340" w14:textId="77777777" w:rsidR="007D0548" w:rsidRPr="00654EF1" w:rsidRDefault="007D0548" w:rsidP="001D5C8C">
            <w:pPr>
              <w:widowControl w:val="0"/>
              <w:spacing w:line="240" w:lineRule="auto"/>
              <w:ind w:left="-27"/>
              <w:rPr>
                <w:sz w:val="18"/>
                <w:szCs w:val="18"/>
              </w:rPr>
            </w:pPr>
            <w:r w:rsidRPr="00654EF1">
              <w:rPr>
                <w:sz w:val="18"/>
                <w:szCs w:val="18"/>
              </w:rPr>
              <w:t>10:84</w:t>
            </w:r>
          </w:p>
        </w:tc>
        <w:tc>
          <w:tcPr>
            <w:tcW w:w="564" w:type="dxa"/>
            <w:shd w:val="clear" w:color="auto" w:fill="auto"/>
          </w:tcPr>
          <w:p w14:paraId="1B680341" w14:textId="77777777" w:rsidR="007D0548" w:rsidRPr="00654EF1" w:rsidRDefault="007D0548" w:rsidP="001D5C8C">
            <w:pPr>
              <w:widowControl w:val="0"/>
              <w:spacing w:line="240" w:lineRule="auto"/>
              <w:ind w:left="-27"/>
              <w:rPr>
                <w:sz w:val="18"/>
                <w:szCs w:val="18"/>
              </w:rPr>
            </w:pPr>
            <w:r w:rsidRPr="00654EF1">
              <w:rPr>
                <w:sz w:val="18"/>
                <w:szCs w:val="18"/>
              </w:rPr>
              <w:t>2:84</w:t>
            </w:r>
          </w:p>
        </w:tc>
        <w:tc>
          <w:tcPr>
            <w:tcW w:w="555" w:type="dxa"/>
            <w:shd w:val="clear" w:color="auto" w:fill="auto"/>
          </w:tcPr>
          <w:p w14:paraId="1B680342" w14:textId="77777777" w:rsidR="007D0548" w:rsidRPr="00654EF1" w:rsidRDefault="007D0548" w:rsidP="001D5C8C">
            <w:pPr>
              <w:widowControl w:val="0"/>
              <w:spacing w:line="240" w:lineRule="auto"/>
              <w:ind w:left="-27"/>
              <w:rPr>
                <w:sz w:val="18"/>
                <w:szCs w:val="18"/>
              </w:rPr>
            </w:pPr>
            <w:r w:rsidRPr="00654EF1">
              <w:rPr>
                <w:sz w:val="18"/>
                <w:szCs w:val="18"/>
              </w:rPr>
              <w:t>0:84</w:t>
            </w:r>
          </w:p>
        </w:tc>
      </w:tr>
      <w:tr w:rsidR="007D0548" w:rsidRPr="00654EF1" w14:paraId="1B680354" w14:textId="77777777" w:rsidTr="0077258C">
        <w:tc>
          <w:tcPr>
            <w:tcW w:w="450" w:type="dxa"/>
            <w:shd w:val="clear" w:color="auto" w:fill="auto"/>
          </w:tcPr>
          <w:p w14:paraId="1B680344" w14:textId="77777777" w:rsidR="007D0548" w:rsidRPr="00654EF1" w:rsidRDefault="007D0548" w:rsidP="001D5C8C">
            <w:pPr>
              <w:widowControl w:val="0"/>
              <w:spacing w:line="240" w:lineRule="auto"/>
              <w:rPr>
                <w:sz w:val="18"/>
                <w:szCs w:val="18"/>
              </w:rPr>
            </w:pPr>
            <w:r w:rsidRPr="00654EF1">
              <w:rPr>
                <w:sz w:val="18"/>
                <w:szCs w:val="18"/>
              </w:rPr>
              <w:t>(2)</w:t>
            </w:r>
          </w:p>
        </w:tc>
        <w:tc>
          <w:tcPr>
            <w:tcW w:w="646" w:type="dxa"/>
            <w:shd w:val="clear" w:color="auto" w:fill="auto"/>
          </w:tcPr>
          <w:p w14:paraId="1B680345" w14:textId="77777777" w:rsidR="007D0548" w:rsidRPr="00654EF1" w:rsidRDefault="007D0548" w:rsidP="001D5C8C">
            <w:pPr>
              <w:widowControl w:val="0"/>
              <w:spacing w:line="240" w:lineRule="auto"/>
              <w:ind w:left="-27"/>
              <w:rPr>
                <w:sz w:val="18"/>
                <w:szCs w:val="18"/>
              </w:rPr>
            </w:pPr>
            <w:r w:rsidRPr="00654EF1">
              <w:rPr>
                <w:sz w:val="18"/>
                <w:szCs w:val="18"/>
              </w:rPr>
              <w:t>198:0</w:t>
            </w:r>
          </w:p>
        </w:tc>
        <w:tc>
          <w:tcPr>
            <w:tcW w:w="645" w:type="dxa"/>
            <w:shd w:val="clear" w:color="auto" w:fill="auto"/>
          </w:tcPr>
          <w:p w14:paraId="1B680346" w14:textId="77777777" w:rsidR="007D0548" w:rsidRPr="00654EF1" w:rsidRDefault="007D0548" w:rsidP="001D5C8C">
            <w:pPr>
              <w:widowControl w:val="0"/>
              <w:spacing w:line="240" w:lineRule="auto"/>
              <w:ind w:left="-27"/>
              <w:rPr>
                <w:sz w:val="18"/>
                <w:szCs w:val="18"/>
              </w:rPr>
            </w:pPr>
            <w:r w:rsidRPr="00654EF1">
              <w:rPr>
                <w:sz w:val="18"/>
                <w:szCs w:val="18"/>
              </w:rPr>
              <w:t>189:5</w:t>
            </w:r>
          </w:p>
        </w:tc>
        <w:tc>
          <w:tcPr>
            <w:tcW w:w="745" w:type="dxa"/>
            <w:shd w:val="clear" w:color="auto" w:fill="auto"/>
          </w:tcPr>
          <w:p w14:paraId="1B680347" w14:textId="77777777" w:rsidR="007D0548" w:rsidRPr="00654EF1" w:rsidRDefault="007D0548" w:rsidP="001D5C8C">
            <w:pPr>
              <w:widowControl w:val="0"/>
              <w:spacing w:line="240" w:lineRule="auto"/>
              <w:ind w:left="-27"/>
              <w:rPr>
                <w:sz w:val="18"/>
                <w:szCs w:val="18"/>
              </w:rPr>
            </w:pPr>
            <w:r w:rsidRPr="00654EF1">
              <w:rPr>
                <w:sz w:val="18"/>
                <w:szCs w:val="18"/>
              </w:rPr>
              <w:t>184:8</w:t>
            </w:r>
          </w:p>
        </w:tc>
        <w:tc>
          <w:tcPr>
            <w:tcW w:w="745" w:type="dxa"/>
            <w:shd w:val="clear" w:color="auto" w:fill="auto"/>
          </w:tcPr>
          <w:p w14:paraId="1B680348" w14:textId="77777777" w:rsidR="007D0548" w:rsidRPr="00654EF1" w:rsidRDefault="007D0548" w:rsidP="001D5C8C">
            <w:pPr>
              <w:widowControl w:val="0"/>
              <w:spacing w:line="240" w:lineRule="auto"/>
              <w:ind w:left="-27"/>
              <w:rPr>
                <w:sz w:val="18"/>
                <w:szCs w:val="18"/>
              </w:rPr>
            </w:pPr>
            <w:r w:rsidRPr="00654EF1">
              <w:rPr>
                <w:sz w:val="18"/>
                <w:szCs w:val="18"/>
              </w:rPr>
              <w:t>181:11</w:t>
            </w:r>
          </w:p>
        </w:tc>
        <w:tc>
          <w:tcPr>
            <w:tcW w:w="745" w:type="dxa"/>
            <w:shd w:val="clear" w:color="auto" w:fill="auto"/>
          </w:tcPr>
          <w:p w14:paraId="1B680349" w14:textId="77777777" w:rsidR="007D0548" w:rsidRPr="00654EF1" w:rsidRDefault="007D0548" w:rsidP="001D5C8C">
            <w:pPr>
              <w:widowControl w:val="0"/>
              <w:spacing w:line="240" w:lineRule="auto"/>
              <w:ind w:left="-27"/>
              <w:rPr>
                <w:sz w:val="18"/>
                <w:szCs w:val="18"/>
              </w:rPr>
            </w:pPr>
            <w:r w:rsidRPr="00654EF1">
              <w:rPr>
                <w:sz w:val="18"/>
                <w:szCs w:val="18"/>
              </w:rPr>
              <w:t>173:18</w:t>
            </w:r>
          </w:p>
        </w:tc>
        <w:tc>
          <w:tcPr>
            <w:tcW w:w="752" w:type="dxa"/>
            <w:shd w:val="clear" w:color="auto" w:fill="auto"/>
          </w:tcPr>
          <w:p w14:paraId="1B68034A" w14:textId="77777777" w:rsidR="007D0548" w:rsidRPr="00654EF1" w:rsidRDefault="007D0548" w:rsidP="001D5C8C">
            <w:pPr>
              <w:widowControl w:val="0"/>
              <w:spacing w:line="240" w:lineRule="auto"/>
              <w:ind w:left="-27"/>
              <w:rPr>
                <w:sz w:val="18"/>
                <w:szCs w:val="18"/>
              </w:rPr>
            </w:pPr>
            <w:r w:rsidRPr="00654EF1">
              <w:rPr>
                <w:sz w:val="18"/>
                <w:szCs w:val="18"/>
              </w:rPr>
              <w:t>152:22</w:t>
            </w:r>
          </w:p>
        </w:tc>
        <w:tc>
          <w:tcPr>
            <w:tcW w:w="745" w:type="dxa"/>
            <w:shd w:val="clear" w:color="auto" w:fill="auto"/>
          </w:tcPr>
          <w:p w14:paraId="1B68034B" w14:textId="77777777" w:rsidR="007D0548" w:rsidRPr="00654EF1" w:rsidRDefault="007D0548" w:rsidP="001D5C8C">
            <w:pPr>
              <w:widowControl w:val="0"/>
              <w:spacing w:line="240" w:lineRule="auto"/>
              <w:ind w:left="-27"/>
              <w:rPr>
                <w:sz w:val="18"/>
                <w:szCs w:val="18"/>
              </w:rPr>
            </w:pPr>
            <w:r w:rsidRPr="00654EF1">
              <w:rPr>
                <w:sz w:val="18"/>
                <w:szCs w:val="18"/>
              </w:rPr>
              <w:t>133:25</w:t>
            </w:r>
          </w:p>
        </w:tc>
        <w:tc>
          <w:tcPr>
            <w:tcW w:w="745" w:type="dxa"/>
            <w:shd w:val="clear" w:color="auto" w:fill="auto"/>
          </w:tcPr>
          <w:p w14:paraId="1B68034C" w14:textId="77777777" w:rsidR="007D0548" w:rsidRPr="00654EF1" w:rsidRDefault="007D0548" w:rsidP="001D5C8C">
            <w:pPr>
              <w:widowControl w:val="0"/>
              <w:spacing w:line="240" w:lineRule="auto"/>
              <w:ind w:left="-27"/>
              <w:rPr>
                <w:sz w:val="18"/>
                <w:szCs w:val="18"/>
              </w:rPr>
            </w:pPr>
            <w:r w:rsidRPr="00654EF1">
              <w:rPr>
                <w:sz w:val="18"/>
                <w:szCs w:val="18"/>
              </w:rPr>
              <w:t>102:29</w:t>
            </w:r>
          </w:p>
        </w:tc>
        <w:tc>
          <w:tcPr>
            <w:tcW w:w="652" w:type="dxa"/>
            <w:shd w:val="clear" w:color="auto" w:fill="auto"/>
          </w:tcPr>
          <w:p w14:paraId="1B68034D" w14:textId="77777777" w:rsidR="007D0548" w:rsidRPr="00654EF1" w:rsidRDefault="007D0548" w:rsidP="001D5C8C">
            <w:pPr>
              <w:widowControl w:val="0"/>
              <w:spacing w:line="240" w:lineRule="auto"/>
              <w:ind w:left="-27"/>
              <w:rPr>
                <w:sz w:val="18"/>
                <w:szCs w:val="18"/>
              </w:rPr>
            </w:pPr>
            <w:r w:rsidRPr="00654EF1">
              <w:rPr>
                <w:sz w:val="18"/>
                <w:szCs w:val="18"/>
              </w:rPr>
              <w:t>82:35</w:t>
            </w:r>
          </w:p>
        </w:tc>
        <w:tc>
          <w:tcPr>
            <w:tcW w:w="652" w:type="dxa"/>
            <w:shd w:val="clear" w:color="auto" w:fill="auto"/>
          </w:tcPr>
          <w:p w14:paraId="1B68034E" w14:textId="77777777" w:rsidR="007D0548" w:rsidRPr="00654EF1" w:rsidRDefault="007D0548" w:rsidP="001D5C8C">
            <w:pPr>
              <w:widowControl w:val="0"/>
              <w:spacing w:line="240" w:lineRule="auto"/>
              <w:ind w:left="-27"/>
              <w:rPr>
                <w:sz w:val="18"/>
                <w:szCs w:val="18"/>
              </w:rPr>
            </w:pPr>
            <w:r w:rsidRPr="00654EF1">
              <w:rPr>
                <w:sz w:val="18"/>
                <w:szCs w:val="18"/>
              </w:rPr>
              <w:t>54:46</w:t>
            </w:r>
          </w:p>
        </w:tc>
        <w:tc>
          <w:tcPr>
            <w:tcW w:w="649" w:type="dxa"/>
            <w:shd w:val="clear" w:color="auto" w:fill="auto"/>
          </w:tcPr>
          <w:p w14:paraId="1B68034F" w14:textId="77777777" w:rsidR="007D0548" w:rsidRPr="00654EF1" w:rsidRDefault="007D0548" w:rsidP="001D5C8C">
            <w:pPr>
              <w:widowControl w:val="0"/>
              <w:spacing w:line="240" w:lineRule="auto"/>
              <w:ind w:left="-27"/>
              <w:rPr>
                <w:sz w:val="18"/>
                <w:szCs w:val="18"/>
              </w:rPr>
            </w:pPr>
            <w:r w:rsidRPr="00654EF1">
              <w:rPr>
                <w:sz w:val="18"/>
                <w:szCs w:val="18"/>
              </w:rPr>
              <w:t>39:47</w:t>
            </w:r>
          </w:p>
        </w:tc>
        <w:tc>
          <w:tcPr>
            <w:tcW w:w="660" w:type="dxa"/>
            <w:shd w:val="clear" w:color="auto" w:fill="auto"/>
          </w:tcPr>
          <w:p w14:paraId="1B680350" w14:textId="77777777" w:rsidR="007D0548" w:rsidRPr="00654EF1" w:rsidRDefault="007D0548" w:rsidP="001D5C8C">
            <w:pPr>
              <w:widowControl w:val="0"/>
              <w:spacing w:line="240" w:lineRule="auto"/>
              <w:ind w:left="-27"/>
              <w:rPr>
                <w:sz w:val="18"/>
                <w:szCs w:val="18"/>
              </w:rPr>
            </w:pPr>
            <w:r w:rsidRPr="00654EF1">
              <w:rPr>
                <w:sz w:val="18"/>
                <w:szCs w:val="18"/>
              </w:rPr>
              <w:t>21:49</w:t>
            </w:r>
          </w:p>
        </w:tc>
        <w:tc>
          <w:tcPr>
            <w:tcW w:w="649" w:type="dxa"/>
            <w:shd w:val="clear" w:color="auto" w:fill="auto"/>
          </w:tcPr>
          <w:p w14:paraId="1B680351" w14:textId="77777777" w:rsidR="007D0548" w:rsidRPr="00654EF1" w:rsidRDefault="007D0548" w:rsidP="001D5C8C">
            <w:pPr>
              <w:widowControl w:val="0"/>
              <w:spacing w:line="240" w:lineRule="auto"/>
              <w:ind w:left="-27"/>
              <w:rPr>
                <w:sz w:val="18"/>
                <w:szCs w:val="18"/>
              </w:rPr>
            </w:pPr>
            <w:r w:rsidRPr="00654EF1">
              <w:rPr>
                <w:sz w:val="18"/>
                <w:szCs w:val="18"/>
              </w:rPr>
              <w:t>8:50</w:t>
            </w:r>
          </w:p>
        </w:tc>
        <w:tc>
          <w:tcPr>
            <w:tcW w:w="564" w:type="dxa"/>
            <w:shd w:val="clear" w:color="auto" w:fill="auto"/>
          </w:tcPr>
          <w:p w14:paraId="1B680352" w14:textId="77777777" w:rsidR="007D0548" w:rsidRPr="00654EF1" w:rsidRDefault="007D0548" w:rsidP="001D5C8C">
            <w:pPr>
              <w:widowControl w:val="0"/>
              <w:spacing w:line="240" w:lineRule="auto"/>
              <w:ind w:left="-27"/>
              <w:rPr>
                <w:sz w:val="18"/>
                <w:szCs w:val="18"/>
              </w:rPr>
            </w:pPr>
            <w:r w:rsidRPr="00654EF1">
              <w:rPr>
                <w:sz w:val="18"/>
                <w:szCs w:val="18"/>
              </w:rPr>
              <w:t>0:50</w:t>
            </w:r>
          </w:p>
        </w:tc>
        <w:tc>
          <w:tcPr>
            <w:tcW w:w="555" w:type="dxa"/>
            <w:shd w:val="clear" w:color="auto" w:fill="auto"/>
          </w:tcPr>
          <w:p w14:paraId="1B680353" w14:textId="77777777" w:rsidR="007D0548" w:rsidRPr="00654EF1" w:rsidRDefault="007D0548" w:rsidP="001D5C8C">
            <w:pPr>
              <w:widowControl w:val="0"/>
              <w:spacing w:line="240" w:lineRule="auto"/>
              <w:ind w:left="-27"/>
              <w:rPr>
                <w:sz w:val="18"/>
                <w:szCs w:val="18"/>
              </w:rPr>
            </w:pPr>
          </w:p>
        </w:tc>
      </w:tr>
    </w:tbl>
    <w:p w14:paraId="1B680355" w14:textId="77777777" w:rsidR="00955BD0" w:rsidRPr="00654EF1" w:rsidRDefault="00955BD0" w:rsidP="001D5C8C">
      <w:pPr>
        <w:widowControl w:val="0"/>
        <w:tabs>
          <w:tab w:val="clear" w:pos="567"/>
        </w:tabs>
        <w:spacing w:line="240" w:lineRule="auto"/>
        <w:rPr>
          <w:rFonts w:eastAsia="MS Mincho"/>
          <w:szCs w:val="22"/>
          <w:lang w:val="en-US"/>
        </w:rPr>
      </w:pPr>
    </w:p>
    <w:p w14:paraId="1B680356" w14:textId="77777777" w:rsidR="00955BD0" w:rsidRPr="00654EF1" w:rsidRDefault="00955BD0" w:rsidP="001D5C8C">
      <w:pPr>
        <w:keepNext/>
        <w:widowControl w:val="0"/>
        <w:tabs>
          <w:tab w:val="clear" w:pos="567"/>
        </w:tabs>
        <w:spacing w:line="240" w:lineRule="auto"/>
        <w:ind w:left="1134" w:hanging="1134"/>
        <w:outlineLvl w:val="6"/>
        <w:rPr>
          <w:rFonts w:eastAsia="MS Mincho"/>
          <w:b/>
          <w:szCs w:val="22"/>
          <w:lang w:val="en-US"/>
        </w:rPr>
      </w:pPr>
      <w:r w:rsidRPr="00654EF1">
        <w:rPr>
          <w:rFonts w:eastAsia="MS Mincho"/>
          <w:b/>
          <w:szCs w:val="22"/>
          <w:lang w:val="en-US"/>
        </w:rPr>
        <w:lastRenderedPageBreak/>
        <w:t>Figure 2</w:t>
      </w:r>
      <w:r w:rsidRPr="00654EF1">
        <w:rPr>
          <w:rFonts w:eastAsia="MS Mincho"/>
          <w:b/>
          <w:szCs w:val="22"/>
          <w:lang w:val="en-US"/>
        </w:rPr>
        <w:tab/>
        <w:t>Kaplan-Meier estimates for overall survival (ITT population)</w:t>
      </w:r>
    </w:p>
    <w:p w14:paraId="1B680357" w14:textId="77777777" w:rsidR="007D0548" w:rsidRPr="00654EF1" w:rsidRDefault="007D0548" w:rsidP="001D5C8C">
      <w:pPr>
        <w:keepNext/>
        <w:widowControl w:val="0"/>
        <w:tabs>
          <w:tab w:val="clear" w:pos="567"/>
        </w:tabs>
        <w:spacing w:line="240" w:lineRule="auto"/>
        <w:ind w:left="1134" w:hanging="1134"/>
        <w:outlineLvl w:val="6"/>
        <w:rPr>
          <w:rFonts w:eastAsia="MS Mincho"/>
          <w:szCs w:val="22"/>
          <w:lang w:val="en-US"/>
        </w:rPr>
      </w:pPr>
    </w:p>
    <w:p w14:paraId="1B680358" w14:textId="77777777" w:rsidR="007D0548" w:rsidRPr="00654EF1" w:rsidRDefault="002B04AE" w:rsidP="001D5C8C">
      <w:pPr>
        <w:keepNext/>
        <w:widowControl w:val="0"/>
        <w:tabs>
          <w:tab w:val="clear" w:pos="567"/>
        </w:tabs>
        <w:spacing w:line="240" w:lineRule="auto"/>
        <w:ind w:left="1134" w:hanging="1134"/>
        <w:outlineLvl w:val="6"/>
        <w:rPr>
          <w:rFonts w:eastAsia="MS Mincho"/>
          <w:szCs w:val="22"/>
          <w:lang w:val="en-US"/>
        </w:rPr>
      </w:pPr>
      <w:r w:rsidRPr="00654EF1">
        <w:rPr>
          <w:noProof/>
          <w:lang w:eastAsia="en-GB"/>
        </w:rPr>
        <mc:AlternateContent>
          <mc:Choice Requires="wps">
            <w:drawing>
              <wp:anchor distT="0" distB="0" distL="114300" distR="114300" simplePos="0" relativeHeight="251655168" behindDoc="0" locked="0" layoutInCell="1" allowOverlap="1" wp14:anchorId="1B6812F7" wp14:editId="1B6812F8">
                <wp:simplePos x="0" y="0"/>
                <wp:positionH relativeFrom="column">
                  <wp:posOffset>-217170</wp:posOffset>
                </wp:positionH>
                <wp:positionV relativeFrom="paragraph">
                  <wp:posOffset>227330</wp:posOffset>
                </wp:positionV>
                <wp:extent cx="335915" cy="18135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13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41" w14:textId="77777777" w:rsidR="00B97E8A" w:rsidRPr="00A33DBA" w:rsidRDefault="00B97E8A" w:rsidP="007D0548">
                            <w:pPr>
                              <w:rPr>
                                <w:rFonts w:ascii="Arial" w:hAnsi="Arial" w:cs="Arial"/>
                                <w:sz w:val="20"/>
                              </w:rPr>
                            </w:pPr>
                            <w:r w:rsidRPr="00A33DBA">
                              <w:rPr>
                                <w:rFonts w:ascii="Arial" w:hAnsi="Arial" w:cs="Arial"/>
                                <w:sz w:val="20"/>
                              </w:rPr>
                              <w:t>Probability of overall survival</w:t>
                            </w:r>
                          </w:p>
                          <w:p w14:paraId="1B681342" w14:textId="77777777" w:rsidR="00B97E8A" w:rsidRPr="00A33DBA" w:rsidRDefault="00B97E8A" w:rsidP="007D0548">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2F7" id="_x0000_s1029" type="#_x0000_t202" style="position:absolute;left:0;text-align:left;margin-left:-17.1pt;margin-top:17.9pt;width:26.45pt;height:14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" stroked="f">
                <v:fill opacity="0"/>
                <v:textbox style="layout-flow:vertical;mso-layout-flow-alt:bottom-to-top">
                  <w:txbxContent>
                    <w:p w14:paraId="1B681341" w14:textId="77777777" w:rsidR="00B97E8A" w:rsidRPr="00A33DBA" w:rsidRDefault="00B97E8A" w:rsidP="007D0548">
                      <w:pPr>
                        <w:rPr>
                          <w:rFonts w:ascii="Arial" w:hAnsi="Arial" w:cs="Arial"/>
                          <w:sz w:val="20"/>
                        </w:rPr>
                      </w:pPr>
                      <w:r w:rsidRPr="00A33DBA">
                        <w:rPr>
                          <w:rFonts w:ascii="Arial" w:hAnsi="Arial" w:cs="Arial"/>
                          <w:sz w:val="20"/>
                        </w:rPr>
                        <w:t>Probability of overall survival</w:t>
                      </w:r>
                    </w:p>
                    <w:p w14:paraId="1B681342" w14:textId="77777777" w:rsidR="00B97E8A" w:rsidRPr="00A33DBA" w:rsidRDefault="00B97E8A" w:rsidP="007D0548">
                      <w:pPr>
                        <w:rPr>
                          <w:rFonts w:ascii="Arial" w:hAnsi="Arial" w:cs="Arial"/>
                          <w:sz w:val="20"/>
                        </w:rPr>
                      </w:pPr>
                    </w:p>
                  </w:txbxContent>
                </v:textbox>
              </v:shape>
            </w:pict>
          </mc:Fallback>
        </mc:AlternateContent>
      </w:r>
      <w:r w:rsidRPr="00654EF1">
        <w:rPr>
          <w:noProof/>
          <w:lang w:eastAsia="en-GB"/>
        </w:rPr>
        <mc:AlternateContent>
          <mc:Choice Requires="wps">
            <w:drawing>
              <wp:anchor distT="0" distB="0" distL="114300" distR="114300" simplePos="0" relativeHeight="251656192" behindDoc="0" locked="0" layoutInCell="1" allowOverlap="1" wp14:anchorId="1B6812F9" wp14:editId="1B6812FA">
                <wp:simplePos x="0" y="0"/>
                <wp:positionH relativeFrom="column">
                  <wp:posOffset>350520</wp:posOffset>
                </wp:positionH>
                <wp:positionV relativeFrom="paragraph">
                  <wp:posOffset>866140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1343" w14:textId="77777777" w:rsidR="00B97E8A" w:rsidRDefault="00B97E8A"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47" w14:textId="77777777" w:rsidTr="0077258C">
                              <w:tc>
                                <w:tcPr>
                                  <w:tcW w:w="5691" w:type="dxa"/>
                                  <w:gridSpan w:val="5"/>
                                  <w:shd w:val="clear" w:color="auto" w:fill="auto"/>
                                </w:tcPr>
                                <w:p w14:paraId="1B681344" w14:textId="77777777" w:rsidR="00B97E8A" w:rsidRPr="0055776F" w:rsidRDefault="00B97E8A"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1B681345" w14:textId="77777777" w:rsidR="00B97E8A" w:rsidRPr="0055776F" w:rsidRDefault="00B97E8A" w:rsidP="0077258C">
                                  <w:pPr>
                                    <w:rPr>
                                      <w:rFonts w:ascii="Arial" w:hAnsi="Arial" w:cs="Arial"/>
                                      <w:sz w:val="20"/>
                                    </w:rPr>
                                  </w:pPr>
                                  <w:r w:rsidRPr="0055776F">
                                    <w:rPr>
                                      <w:rFonts w:ascii="Arial" w:hAnsi="Arial" w:cs="Arial"/>
                                      <w:sz w:val="20"/>
                                    </w:rPr>
                                    <w:t>Hazard ratio 0.45</w:t>
                                  </w:r>
                                </w:p>
                                <w:p w14:paraId="1B681346" w14:textId="77777777" w:rsidR="00B97E8A" w:rsidRPr="0055776F" w:rsidRDefault="00B97E8A" w:rsidP="0077258C">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0.22</w:t>
                                  </w:r>
                                  <w:r>
                                    <w:rPr>
                                      <w:rFonts w:ascii="Arial" w:hAnsi="Arial" w:cs="Arial"/>
                                      <w:sz w:val="20"/>
                                    </w:rPr>
                                    <w:noBreakHyphen/>
                                  </w:r>
                                  <w:r w:rsidRPr="0055776F">
                                    <w:rPr>
                                      <w:rFonts w:ascii="Arial" w:hAnsi="Arial" w:cs="Arial"/>
                                      <w:sz w:val="20"/>
                                    </w:rPr>
                                    <w:t>0.89)</w:t>
                                  </w:r>
                                </w:p>
                              </w:tc>
                            </w:tr>
                            <w:tr w:rsidR="00B97E8A" w:rsidRPr="0055776F" w14:paraId="1B68134D" w14:textId="77777777" w:rsidTr="0077258C">
                              <w:tc>
                                <w:tcPr>
                                  <w:tcW w:w="817" w:type="dxa"/>
                                  <w:shd w:val="clear" w:color="auto" w:fill="auto"/>
                                </w:tcPr>
                                <w:p w14:paraId="1B681348" w14:textId="77777777" w:rsidR="00B97E8A" w:rsidRPr="0055776F" w:rsidRDefault="00B97E8A" w:rsidP="0077258C">
                                  <w:pPr>
                                    <w:rPr>
                                      <w:rFonts w:ascii="Arial" w:hAnsi="Arial" w:cs="Arial"/>
                                      <w:sz w:val="20"/>
                                    </w:rPr>
                                  </w:pPr>
                                </w:p>
                              </w:tc>
                              <w:tc>
                                <w:tcPr>
                                  <w:tcW w:w="2464" w:type="dxa"/>
                                  <w:shd w:val="clear" w:color="auto" w:fill="auto"/>
                                </w:tcPr>
                                <w:p w14:paraId="1B681349"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4A"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4B"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4C"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53" w14:textId="77777777" w:rsidTr="0077258C">
                              <w:tc>
                                <w:tcPr>
                                  <w:tcW w:w="817" w:type="dxa"/>
                                  <w:shd w:val="clear" w:color="auto" w:fill="auto"/>
                                </w:tcPr>
                                <w:p w14:paraId="1B68134E"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4F" w14:textId="77777777" w:rsidR="00B97E8A" w:rsidRPr="0055776F" w:rsidRDefault="00B97E8A" w:rsidP="0077258C">
                                  <w:pPr>
                                    <w:rPr>
                                      <w:rFonts w:ascii="Arial" w:hAnsi="Arial" w:cs="Arial"/>
                                      <w:sz w:val="20"/>
                                    </w:rPr>
                                  </w:pPr>
                                  <w:r>
                                    <w:rPr>
                                      <w:rFonts w:ascii="Arial" w:hAnsi="Arial" w:cs="Arial"/>
                                      <w:sz w:val="20"/>
                                    </w:rPr>
                                    <w:t>(1) Imatinib 12 </w:t>
                                  </w:r>
                                  <w:r w:rsidRPr="0055776F">
                                    <w:rPr>
                                      <w:rFonts w:ascii="Arial" w:hAnsi="Arial" w:cs="Arial"/>
                                      <w:sz w:val="20"/>
                                    </w:rPr>
                                    <w:t>MO:</w:t>
                                  </w:r>
                                </w:p>
                              </w:tc>
                              <w:tc>
                                <w:tcPr>
                                  <w:tcW w:w="851" w:type="dxa"/>
                                  <w:tcBorders>
                                    <w:top w:val="single" w:sz="4" w:space="0" w:color="auto"/>
                                  </w:tcBorders>
                                  <w:shd w:val="clear" w:color="auto" w:fill="auto"/>
                                </w:tcPr>
                                <w:p w14:paraId="1B681350"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51" w14:textId="77777777" w:rsidR="00B97E8A" w:rsidRPr="0055776F" w:rsidRDefault="00B97E8A"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B681352" w14:textId="77777777" w:rsidR="00B97E8A" w:rsidRPr="0055776F" w:rsidRDefault="00B97E8A" w:rsidP="0077258C">
                                  <w:pPr>
                                    <w:rPr>
                                      <w:rFonts w:ascii="Arial" w:hAnsi="Arial" w:cs="Arial"/>
                                      <w:sz w:val="20"/>
                                    </w:rPr>
                                  </w:pPr>
                                  <w:r w:rsidRPr="0055776F">
                                    <w:rPr>
                                      <w:rFonts w:ascii="Arial" w:hAnsi="Arial" w:cs="Arial"/>
                                      <w:sz w:val="20"/>
                                    </w:rPr>
                                    <w:t>174</w:t>
                                  </w:r>
                                </w:p>
                              </w:tc>
                            </w:tr>
                            <w:tr w:rsidR="00B97E8A" w:rsidRPr="0055776F" w14:paraId="1B681359" w14:textId="77777777" w:rsidTr="0077258C">
                              <w:tc>
                                <w:tcPr>
                                  <w:tcW w:w="817" w:type="dxa"/>
                                  <w:shd w:val="clear" w:color="auto" w:fill="auto"/>
                                </w:tcPr>
                                <w:p w14:paraId="1B681354"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55" w14:textId="77777777" w:rsidR="00B97E8A" w:rsidRPr="0055776F" w:rsidRDefault="00B97E8A" w:rsidP="0077258C">
                                  <w:pPr>
                                    <w:rPr>
                                      <w:rFonts w:ascii="Arial" w:hAnsi="Arial" w:cs="Arial"/>
                                      <w:sz w:val="20"/>
                                    </w:rPr>
                                  </w:pPr>
                                  <w:r>
                                    <w:rPr>
                                      <w:rFonts w:ascii="Arial" w:hAnsi="Arial" w:cs="Arial"/>
                                      <w:sz w:val="20"/>
                                    </w:rPr>
                                    <w:t>(2) Imatinib 36 </w:t>
                                  </w:r>
                                  <w:r w:rsidRPr="0055776F">
                                    <w:rPr>
                                      <w:rFonts w:ascii="Arial" w:hAnsi="Arial" w:cs="Arial"/>
                                      <w:sz w:val="20"/>
                                    </w:rPr>
                                    <w:t>MO:</w:t>
                                  </w:r>
                                </w:p>
                              </w:tc>
                              <w:tc>
                                <w:tcPr>
                                  <w:tcW w:w="851" w:type="dxa"/>
                                  <w:tcBorders>
                                    <w:bottom w:val="single" w:sz="4" w:space="0" w:color="auto"/>
                                  </w:tcBorders>
                                  <w:shd w:val="clear" w:color="auto" w:fill="auto"/>
                                </w:tcPr>
                                <w:p w14:paraId="1B681356"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57" w14:textId="77777777" w:rsidR="00B97E8A" w:rsidRPr="0055776F" w:rsidRDefault="00B97E8A"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B681358" w14:textId="77777777" w:rsidR="00B97E8A" w:rsidRPr="0055776F" w:rsidRDefault="00B97E8A" w:rsidP="0077258C">
                                  <w:pPr>
                                    <w:rPr>
                                      <w:rFonts w:ascii="Arial" w:hAnsi="Arial" w:cs="Arial"/>
                                      <w:sz w:val="20"/>
                                    </w:rPr>
                                  </w:pPr>
                                  <w:r w:rsidRPr="0055776F">
                                    <w:rPr>
                                      <w:rFonts w:ascii="Arial" w:hAnsi="Arial" w:cs="Arial"/>
                                      <w:sz w:val="20"/>
                                    </w:rPr>
                                    <w:t>186</w:t>
                                  </w:r>
                                </w:p>
                              </w:tc>
                            </w:tr>
                            <w:tr w:rsidR="00B97E8A" w:rsidRPr="0055776F" w14:paraId="1B68135F" w14:textId="77777777" w:rsidTr="0077258C">
                              <w:tc>
                                <w:tcPr>
                                  <w:tcW w:w="817" w:type="dxa"/>
                                  <w:shd w:val="clear" w:color="auto" w:fill="auto"/>
                                </w:tcPr>
                                <w:p w14:paraId="1B68135A"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5B"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5C"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5D"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5E" w14:textId="77777777" w:rsidR="00B97E8A" w:rsidRPr="0055776F" w:rsidRDefault="00B97E8A" w:rsidP="0077258C">
                                  <w:pPr>
                                    <w:rPr>
                                      <w:rFonts w:ascii="Arial" w:hAnsi="Arial" w:cs="Arial"/>
                                      <w:sz w:val="20"/>
                                    </w:rPr>
                                  </w:pPr>
                                </w:p>
                              </w:tc>
                            </w:tr>
                          </w:tbl>
                          <w:p w14:paraId="1B681360" w14:textId="77777777" w:rsidR="00B97E8A" w:rsidRPr="00A33DBA" w:rsidRDefault="00B97E8A" w:rsidP="007D0548">
                            <w:pPr>
                              <w:rPr>
                                <w:rFonts w:ascii="Arial" w:hAnsi="Arial" w:cs="Arial"/>
                                <w:sz w:val="20"/>
                              </w:rPr>
                            </w:pPr>
                          </w:p>
                          <w:p w14:paraId="1B681361" w14:textId="77777777" w:rsidR="00B97E8A" w:rsidRPr="00A33DBA" w:rsidRDefault="00B97E8A" w:rsidP="007D05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2F9" id="_x0000_s1030" type="#_x0000_t202" style="position:absolute;left:0;text-align:left;margin-left:27.6pt;margin-top:68.2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" filled="f" stroked="f">
                <v:textbox>
                  <w:txbxContent>
                    <w:p w14:paraId="1B681343" w14:textId="77777777" w:rsidR="00B97E8A" w:rsidRDefault="00B97E8A"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47" w14:textId="77777777" w:rsidTr="0077258C">
                        <w:tc>
                          <w:tcPr>
                            <w:tcW w:w="5691" w:type="dxa"/>
                            <w:gridSpan w:val="5"/>
                            <w:shd w:val="clear" w:color="auto" w:fill="auto"/>
                          </w:tcPr>
                          <w:p w14:paraId="1B681344" w14:textId="77777777" w:rsidR="00B97E8A" w:rsidRPr="0055776F" w:rsidRDefault="00B97E8A"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1B681345" w14:textId="77777777" w:rsidR="00B97E8A" w:rsidRPr="0055776F" w:rsidRDefault="00B97E8A" w:rsidP="0077258C">
                            <w:pPr>
                              <w:rPr>
                                <w:rFonts w:ascii="Arial" w:hAnsi="Arial" w:cs="Arial"/>
                                <w:sz w:val="20"/>
                              </w:rPr>
                            </w:pPr>
                            <w:r w:rsidRPr="0055776F">
                              <w:rPr>
                                <w:rFonts w:ascii="Arial" w:hAnsi="Arial" w:cs="Arial"/>
                                <w:sz w:val="20"/>
                              </w:rPr>
                              <w:t>Hazard ratio 0.45</w:t>
                            </w:r>
                          </w:p>
                          <w:p w14:paraId="1B681346" w14:textId="77777777" w:rsidR="00B97E8A" w:rsidRPr="0055776F" w:rsidRDefault="00B97E8A" w:rsidP="0077258C">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0.22</w:t>
                            </w:r>
                            <w:r>
                              <w:rPr>
                                <w:rFonts w:ascii="Arial" w:hAnsi="Arial" w:cs="Arial"/>
                                <w:sz w:val="20"/>
                              </w:rPr>
                              <w:noBreakHyphen/>
                            </w:r>
                            <w:r w:rsidRPr="0055776F">
                              <w:rPr>
                                <w:rFonts w:ascii="Arial" w:hAnsi="Arial" w:cs="Arial"/>
                                <w:sz w:val="20"/>
                              </w:rPr>
                              <w:t>0.89)</w:t>
                            </w:r>
                          </w:p>
                        </w:tc>
                      </w:tr>
                      <w:tr w:rsidR="00B97E8A" w:rsidRPr="0055776F" w14:paraId="1B68134D" w14:textId="77777777" w:rsidTr="0077258C">
                        <w:tc>
                          <w:tcPr>
                            <w:tcW w:w="817" w:type="dxa"/>
                            <w:shd w:val="clear" w:color="auto" w:fill="auto"/>
                          </w:tcPr>
                          <w:p w14:paraId="1B681348" w14:textId="77777777" w:rsidR="00B97E8A" w:rsidRPr="0055776F" w:rsidRDefault="00B97E8A" w:rsidP="0077258C">
                            <w:pPr>
                              <w:rPr>
                                <w:rFonts w:ascii="Arial" w:hAnsi="Arial" w:cs="Arial"/>
                                <w:sz w:val="20"/>
                              </w:rPr>
                            </w:pPr>
                          </w:p>
                        </w:tc>
                        <w:tc>
                          <w:tcPr>
                            <w:tcW w:w="2464" w:type="dxa"/>
                            <w:shd w:val="clear" w:color="auto" w:fill="auto"/>
                          </w:tcPr>
                          <w:p w14:paraId="1B681349"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4A"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4B"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4C"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53" w14:textId="77777777" w:rsidTr="0077258C">
                        <w:tc>
                          <w:tcPr>
                            <w:tcW w:w="817" w:type="dxa"/>
                            <w:shd w:val="clear" w:color="auto" w:fill="auto"/>
                          </w:tcPr>
                          <w:p w14:paraId="1B68134E"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4F" w14:textId="77777777" w:rsidR="00B97E8A" w:rsidRPr="0055776F" w:rsidRDefault="00B97E8A" w:rsidP="0077258C">
                            <w:pPr>
                              <w:rPr>
                                <w:rFonts w:ascii="Arial" w:hAnsi="Arial" w:cs="Arial"/>
                                <w:sz w:val="20"/>
                              </w:rPr>
                            </w:pPr>
                            <w:r>
                              <w:rPr>
                                <w:rFonts w:ascii="Arial" w:hAnsi="Arial" w:cs="Arial"/>
                                <w:sz w:val="20"/>
                              </w:rPr>
                              <w:t>(1) Imatinib 12 </w:t>
                            </w:r>
                            <w:r w:rsidRPr="0055776F">
                              <w:rPr>
                                <w:rFonts w:ascii="Arial" w:hAnsi="Arial" w:cs="Arial"/>
                                <w:sz w:val="20"/>
                              </w:rPr>
                              <w:t>MO:</w:t>
                            </w:r>
                          </w:p>
                        </w:tc>
                        <w:tc>
                          <w:tcPr>
                            <w:tcW w:w="851" w:type="dxa"/>
                            <w:tcBorders>
                              <w:top w:val="single" w:sz="4" w:space="0" w:color="auto"/>
                            </w:tcBorders>
                            <w:shd w:val="clear" w:color="auto" w:fill="auto"/>
                          </w:tcPr>
                          <w:p w14:paraId="1B681350"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51" w14:textId="77777777" w:rsidR="00B97E8A" w:rsidRPr="0055776F" w:rsidRDefault="00B97E8A"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B681352" w14:textId="77777777" w:rsidR="00B97E8A" w:rsidRPr="0055776F" w:rsidRDefault="00B97E8A" w:rsidP="0077258C">
                            <w:pPr>
                              <w:rPr>
                                <w:rFonts w:ascii="Arial" w:hAnsi="Arial" w:cs="Arial"/>
                                <w:sz w:val="20"/>
                              </w:rPr>
                            </w:pPr>
                            <w:r w:rsidRPr="0055776F">
                              <w:rPr>
                                <w:rFonts w:ascii="Arial" w:hAnsi="Arial" w:cs="Arial"/>
                                <w:sz w:val="20"/>
                              </w:rPr>
                              <w:t>174</w:t>
                            </w:r>
                          </w:p>
                        </w:tc>
                      </w:tr>
                      <w:tr w:rsidR="00B97E8A" w:rsidRPr="0055776F" w14:paraId="1B681359" w14:textId="77777777" w:rsidTr="0077258C">
                        <w:tc>
                          <w:tcPr>
                            <w:tcW w:w="817" w:type="dxa"/>
                            <w:shd w:val="clear" w:color="auto" w:fill="auto"/>
                          </w:tcPr>
                          <w:p w14:paraId="1B681354"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55" w14:textId="77777777" w:rsidR="00B97E8A" w:rsidRPr="0055776F" w:rsidRDefault="00B97E8A" w:rsidP="0077258C">
                            <w:pPr>
                              <w:rPr>
                                <w:rFonts w:ascii="Arial" w:hAnsi="Arial" w:cs="Arial"/>
                                <w:sz w:val="20"/>
                              </w:rPr>
                            </w:pPr>
                            <w:r>
                              <w:rPr>
                                <w:rFonts w:ascii="Arial" w:hAnsi="Arial" w:cs="Arial"/>
                                <w:sz w:val="20"/>
                              </w:rPr>
                              <w:t>(2) Imatinib 36 </w:t>
                            </w:r>
                            <w:r w:rsidRPr="0055776F">
                              <w:rPr>
                                <w:rFonts w:ascii="Arial" w:hAnsi="Arial" w:cs="Arial"/>
                                <w:sz w:val="20"/>
                              </w:rPr>
                              <w:t>MO:</w:t>
                            </w:r>
                          </w:p>
                        </w:tc>
                        <w:tc>
                          <w:tcPr>
                            <w:tcW w:w="851" w:type="dxa"/>
                            <w:tcBorders>
                              <w:bottom w:val="single" w:sz="4" w:space="0" w:color="auto"/>
                            </w:tcBorders>
                            <w:shd w:val="clear" w:color="auto" w:fill="auto"/>
                          </w:tcPr>
                          <w:p w14:paraId="1B681356"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57" w14:textId="77777777" w:rsidR="00B97E8A" w:rsidRPr="0055776F" w:rsidRDefault="00B97E8A"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B681358" w14:textId="77777777" w:rsidR="00B97E8A" w:rsidRPr="0055776F" w:rsidRDefault="00B97E8A" w:rsidP="0077258C">
                            <w:pPr>
                              <w:rPr>
                                <w:rFonts w:ascii="Arial" w:hAnsi="Arial" w:cs="Arial"/>
                                <w:sz w:val="20"/>
                              </w:rPr>
                            </w:pPr>
                            <w:r w:rsidRPr="0055776F">
                              <w:rPr>
                                <w:rFonts w:ascii="Arial" w:hAnsi="Arial" w:cs="Arial"/>
                                <w:sz w:val="20"/>
                              </w:rPr>
                              <w:t>186</w:t>
                            </w:r>
                          </w:p>
                        </w:tc>
                      </w:tr>
                      <w:tr w:rsidR="00B97E8A" w:rsidRPr="0055776F" w14:paraId="1B68135F" w14:textId="77777777" w:rsidTr="0077258C">
                        <w:tc>
                          <w:tcPr>
                            <w:tcW w:w="817" w:type="dxa"/>
                            <w:shd w:val="clear" w:color="auto" w:fill="auto"/>
                          </w:tcPr>
                          <w:p w14:paraId="1B68135A"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5B"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5C"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5D"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5E" w14:textId="77777777" w:rsidR="00B97E8A" w:rsidRPr="0055776F" w:rsidRDefault="00B97E8A" w:rsidP="0077258C">
                            <w:pPr>
                              <w:rPr>
                                <w:rFonts w:ascii="Arial" w:hAnsi="Arial" w:cs="Arial"/>
                                <w:sz w:val="20"/>
                              </w:rPr>
                            </w:pPr>
                          </w:p>
                        </w:tc>
                      </w:tr>
                    </w:tbl>
                    <w:p w14:paraId="1B681360" w14:textId="77777777" w:rsidR="00B97E8A" w:rsidRPr="00A33DBA" w:rsidRDefault="00B97E8A" w:rsidP="007D0548">
                      <w:pPr>
                        <w:rPr>
                          <w:rFonts w:ascii="Arial" w:hAnsi="Arial" w:cs="Arial"/>
                          <w:sz w:val="20"/>
                        </w:rPr>
                      </w:pPr>
                    </w:p>
                    <w:p w14:paraId="1B681361" w14:textId="77777777" w:rsidR="00B97E8A" w:rsidRPr="00A33DBA" w:rsidRDefault="00B97E8A" w:rsidP="007D0548">
                      <w:pPr>
                        <w:rPr>
                          <w:rFonts w:ascii="Arial" w:hAnsi="Arial" w:cs="Arial"/>
                          <w:sz w:val="20"/>
                        </w:rPr>
                      </w:pPr>
                    </w:p>
                  </w:txbxContent>
                </v:textbox>
              </v:shape>
            </w:pict>
          </mc:Fallback>
        </mc:AlternateContent>
      </w:r>
      <w:r w:rsidRPr="00654EF1">
        <w:rPr>
          <w:noProof/>
          <w:lang w:eastAsia="en-GB"/>
        </w:rPr>
        <w:drawing>
          <wp:inline distT="0" distB="0" distL="0" distR="0" wp14:anchorId="1B6812FB" wp14:editId="1B6812FC">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1B680359" w14:textId="77777777" w:rsidR="007D0548" w:rsidRPr="00654EF1" w:rsidRDefault="002B04AE" w:rsidP="001D5C8C">
      <w:pPr>
        <w:keepNext/>
        <w:widowControl w:val="0"/>
        <w:tabs>
          <w:tab w:val="clear" w:pos="567"/>
        </w:tabs>
        <w:spacing w:line="240" w:lineRule="auto"/>
        <w:ind w:left="1134" w:hanging="1134"/>
        <w:outlineLvl w:val="6"/>
        <w:rPr>
          <w:rFonts w:eastAsia="MS Mincho"/>
          <w:szCs w:val="22"/>
          <w:lang w:val="en-US"/>
        </w:rPr>
      </w:pPr>
      <w:r w:rsidRPr="00654EF1">
        <w:rPr>
          <w:rFonts w:eastAsia="MS Mincho"/>
          <w:noProof/>
          <w:szCs w:val="22"/>
          <w:lang w:eastAsia="en-GB"/>
        </w:rPr>
        <mc:AlternateContent>
          <mc:Choice Requires="wps">
            <w:drawing>
              <wp:anchor distT="0" distB="0" distL="114300" distR="114300" simplePos="0" relativeHeight="251657216" behindDoc="0" locked="0" layoutInCell="1" allowOverlap="1" wp14:anchorId="1B6812FD" wp14:editId="1B6812FE">
                <wp:simplePos x="0" y="0"/>
                <wp:positionH relativeFrom="column">
                  <wp:posOffset>2329815</wp:posOffset>
                </wp:positionH>
                <wp:positionV relativeFrom="paragraph">
                  <wp:posOffset>73660</wp:posOffset>
                </wp:positionV>
                <wp:extent cx="1619250" cy="3035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62" w14:textId="77777777" w:rsidR="00B97E8A" w:rsidRPr="00A33DBA" w:rsidRDefault="00B97E8A" w:rsidP="007D0548">
                            <w:pPr>
                              <w:rPr>
                                <w:rFonts w:ascii="Arial" w:hAnsi="Arial" w:cs="Arial"/>
                                <w:sz w:val="20"/>
                              </w:rPr>
                            </w:pPr>
                            <w:r w:rsidRPr="00A33DBA">
                              <w:rPr>
                                <w:rFonts w:ascii="Arial" w:hAnsi="Arial" w:cs="Arial"/>
                                <w:sz w:val="20"/>
                                <w:lang w:val="de-DE"/>
                              </w:rPr>
                              <w:t>Survival time in months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2FD" id="_x0000_s1031" type="#_x0000_t202" style="position:absolute;left:0;text-align:left;margin-left:183.45pt;margin-top:5.8pt;width:127.5pt;height:2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" stroked="f">
                <v:fill opacity="0"/>
                <v:textbox>
                  <w:txbxContent>
                    <w:p w14:paraId="1B681362" w14:textId="77777777" w:rsidR="00B97E8A" w:rsidRPr="00A33DBA" w:rsidRDefault="00B97E8A" w:rsidP="007D0548">
                      <w:pPr>
                        <w:rPr>
                          <w:rFonts w:ascii="Arial" w:hAnsi="Arial" w:cs="Arial"/>
                          <w:sz w:val="20"/>
                        </w:rPr>
                      </w:pPr>
                      <w:r w:rsidRPr="00A33DBA">
                        <w:rPr>
                          <w:rFonts w:ascii="Arial" w:hAnsi="Arial" w:cs="Arial"/>
                          <w:sz w:val="20"/>
                          <w:lang w:val="de-DE"/>
                        </w:rPr>
                        <w:t>Survival time in months</w:t>
                      </w:r>
                    </w:p>
                  </w:txbxContent>
                </v:textbox>
              </v:shape>
            </w:pict>
          </mc:Fallback>
        </mc:AlternateContent>
      </w:r>
    </w:p>
    <w:p w14:paraId="1B68035A" w14:textId="77777777" w:rsidR="007D0548" w:rsidRPr="00654EF1" w:rsidRDefault="007D0548" w:rsidP="001D5C8C">
      <w:pPr>
        <w:keepNext/>
        <w:widowControl w:val="0"/>
        <w:tabs>
          <w:tab w:val="clear" w:pos="567"/>
        </w:tabs>
        <w:spacing w:line="240" w:lineRule="auto"/>
        <w:ind w:left="1134" w:hanging="1134"/>
        <w:outlineLvl w:val="6"/>
        <w:rPr>
          <w:rFonts w:eastAsia="MS Mincho"/>
          <w:szCs w:val="22"/>
          <w:lang w:val="en-US"/>
        </w:rPr>
      </w:pPr>
    </w:p>
    <w:p w14:paraId="1B68035B" w14:textId="77777777" w:rsidR="007D0548" w:rsidRPr="00654EF1" w:rsidRDefault="007D0548" w:rsidP="001D5C8C">
      <w:pPr>
        <w:keepNext/>
        <w:widowControl w:val="0"/>
        <w:spacing w:line="240" w:lineRule="auto"/>
        <w:ind w:left="1134" w:hanging="1134"/>
        <w:outlineLvl w:val="6"/>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7D0548" w:rsidRPr="00654EF1" w14:paraId="1B68035D" w14:textId="77777777" w:rsidTr="0077258C">
        <w:tc>
          <w:tcPr>
            <w:tcW w:w="10632" w:type="dxa"/>
            <w:gridSpan w:val="16"/>
            <w:shd w:val="clear" w:color="auto" w:fill="auto"/>
          </w:tcPr>
          <w:p w14:paraId="1B68035C" w14:textId="77777777" w:rsidR="007D0548" w:rsidRPr="00654EF1" w:rsidRDefault="007D0548" w:rsidP="001D5C8C">
            <w:pPr>
              <w:keepNext/>
              <w:widowControl w:val="0"/>
              <w:spacing w:line="240" w:lineRule="auto"/>
              <w:ind w:left="1134" w:hanging="1134"/>
              <w:outlineLvl w:val="6"/>
              <w:rPr>
                <w:rFonts w:ascii="Arial" w:hAnsi="Arial" w:cs="Arial"/>
                <w:sz w:val="16"/>
                <w:szCs w:val="16"/>
              </w:rPr>
            </w:pPr>
            <w:r w:rsidRPr="00654EF1">
              <w:rPr>
                <w:rFonts w:ascii="Arial" w:hAnsi="Arial" w:cs="Arial"/>
                <w:sz w:val="20"/>
              </w:rPr>
              <w:t>At-risk : Events</w:t>
            </w:r>
          </w:p>
        </w:tc>
      </w:tr>
      <w:tr w:rsidR="007D0548" w:rsidRPr="00654EF1" w14:paraId="1B68036E" w14:textId="77777777" w:rsidTr="004D0467">
        <w:tc>
          <w:tcPr>
            <w:tcW w:w="450" w:type="dxa"/>
            <w:shd w:val="clear" w:color="auto" w:fill="auto"/>
          </w:tcPr>
          <w:p w14:paraId="1B68035E" w14:textId="77777777" w:rsidR="007D0548" w:rsidRPr="00654EF1" w:rsidRDefault="007D0548" w:rsidP="001D5C8C">
            <w:pPr>
              <w:widowControl w:val="0"/>
              <w:spacing w:line="240" w:lineRule="auto"/>
              <w:rPr>
                <w:sz w:val="20"/>
              </w:rPr>
            </w:pPr>
            <w:r w:rsidRPr="00654EF1">
              <w:rPr>
                <w:sz w:val="20"/>
              </w:rPr>
              <w:t>(1)</w:t>
            </w:r>
          </w:p>
        </w:tc>
        <w:tc>
          <w:tcPr>
            <w:tcW w:w="687" w:type="dxa"/>
            <w:shd w:val="clear" w:color="auto" w:fill="auto"/>
          </w:tcPr>
          <w:p w14:paraId="1B68035F" w14:textId="77777777" w:rsidR="007D0548" w:rsidRPr="00654EF1" w:rsidRDefault="007D0548" w:rsidP="001D5C8C">
            <w:pPr>
              <w:widowControl w:val="0"/>
              <w:spacing w:line="240" w:lineRule="auto"/>
              <w:ind w:left="-45"/>
              <w:rPr>
                <w:sz w:val="20"/>
              </w:rPr>
            </w:pPr>
            <w:r w:rsidRPr="00654EF1">
              <w:rPr>
                <w:sz w:val="20"/>
              </w:rPr>
              <w:t>199:0</w:t>
            </w:r>
          </w:p>
        </w:tc>
        <w:tc>
          <w:tcPr>
            <w:tcW w:w="670" w:type="dxa"/>
            <w:shd w:val="clear" w:color="auto" w:fill="auto"/>
          </w:tcPr>
          <w:p w14:paraId="1B680360" w14:textId="77777777" w:rsidR="007D0548" w:rsidRPr="00654EF1" w:rsidRDefault="007D0548" w:rsidP="001D5C8C">
            <w:pPr>
              <w:widowControl w:val="0"/>
              <w:spacing w:line="240" w:lineRule="auto"/>
              <w:ind w:left="-45"/>
              <w:rPr>
                <w:sz w:val="20"/>
              </w:rPr>
            </w:pPr>
            <w:r w:rsidRPr="00654EF1">
              <w:rPr>
                <w:sz w:val="20"/>
              </w:rPr>
              <w:t>190:2</w:t>
            </w:r>
          </w:p>
        </w:tc>
        <w:tc>
          <w:tcPr>
            <w:tcW w:w="710" w:type="dxa"/>
            <w:shd w:val="clear" w:color="auto" w:fill="auto"/>
          </w:tcPr>
          <w:p w14:paraId="1B680361" w14:textId="77777777" w:rsidR="007D0548" w:rsidRPr="00654EF1" w:rsidRDefault="007D0548" w:rsidP="001D5C8C">
            <w:pPr>
              <w:widowControl w:val="0"/>
              <w:spacing w:line="240" w:lineRule="auto"/>
              <w:ind w:left="-45"/>
              <w:rPr>
                <w:sz w:val="20"/>
              </w:rPr>
            </w:pPr>
            <w:r w:rsidRPr="00654EF1">
              <w:rPr>
                <w:sz w:val="20"/>
              </w:rPr>
              <w:t>188:2</w:t>
            </w:r>
          </w:p>
        </w:tc>
        <w:tc>
          <w:tcPr>
            <w:tcW w:w="717" w:type="dxa"/>
            <w:shd w:val="clear" w:color="auto" w:fill="auto"/>
          </w:tcPr>
          <w:p w14:paraId="1B680362" w14:textId="77777777" w:rsidR="007D0548" w:rsidRPr="00654EF1" w:rsidRDefault="007D0548" w:rsidP="001D5C8C">
            <w:pPr>
              <w:widowControl w:val="0"/>
              <w:spacing w:line="240" w:lineRule="auto"/>
              <w:ind w:left="-45"/>
              <w:rPr>
                <w:sz w:val="20"/>
              </w:rPr>
            </w:pPr>
            <w:r w:rsidRPr="00654EF1">
              <w:rPr>
                <w:sz w:val="20"/>
              </w:rPr>
              <w:t>183:6</w:t>
            </w:r>
          </w:p>
        </w:tc>
        <w:tc>
          <w:tcPr>
            <w:tcW w:w="691" w:type="dxa"/>
            <w:shd w:val="clear" w:color="auto" w:fill="auto"/>
          </w:tcPr>
          <w:p w14:paraId="1B680363" w14:textId="77777777" w:rsidR="007D0548" w:rsidRPr="00654EF1" w:rsidRDefault="007D0548" w:rsidP="001D5C8C">
            <w:pPr>
              <w:widowControl w:val="0"/>
              <w:spacing w:line="240" w:lineRule="auto"/>
              <w:ind w:left="-45"/>
              <w:rPr>
                <w:sz w:val="20"/>
              </w:rPr>
            </w:pPr>
            <w:r w:rsidRPr="00654EF1">
              <w:rPr>
                <w:sz w:val="20"/>
              </w:rPr>
              <w:t>176:8</w:t>
            </w:r>
          </w:p>
        </w:tc>
        <w:tc>
          <w:tcPr>
            <w:tcW w:w="770" w:type="dxa"/>
            <w:shd w:val="clear" w:color="auto" w:fill="auto"/>
          </w:tcPr>
          <w:p w14:paraId="1B680364" w14:textId="77777777" w:rsidR="007D0548" w:rsidRPr="00654EF1" w:rsidRDefault="007D0548" w:rsidP="001D5C8C">
            <w:pPr>
              <w:widowControl w:val="0"/>
              <w:spacing w:line="240" w:lineRule="auto"/>
              <w:ind w:left="-45"/>
              <w:rPr>
                <w:sz w:val="20"/>
              </w:rPr>
            </w:pPr>
            <w:r w:rsidRPr="00654EF1">
              <w:rPr>
                <w:sz w:val="20"/>
              </w:rPr>
              <w:t>156:10</w:t>
            </w:r>
          </w:p>
        </w:tc>
        <w:tc>
          <w:tcPr>
            <w:tcW w:w="779" w:type="dxa"/>
            <w:shd w:val="clear" w:color="auto" w:fill="auto"/>
          </w:tcPr>
          <w:p w14:paraId="1B680365" w14:textId="77777777" w:rsidR="007D0548" w:rsidRPr="00654EF1" w:rsidRDefault="007D0548" w:rsidP="001D5C8C">
            <w:pPr>
              <w:widowControl w:val="0"/>
              <w:spacing w:line="240" w:lineRule="auto"/>
              <w:ind w:left="-45"/>
              <w:rPr>
                <w:sz w:val="20"/>
              </w:rPr>
            </w:pPr>
            <w:r w:rsidRPr="00654EF1">
              <w:rPr>
                <w:sz w:val="20"/>
              </w:rPr>
              <w:t>140:11</w:t>
            </w:r>
          </w:p>
        </w:tc>
        <w:tc>
          <w:tcPr>
            <w:tcW w:w="794" w:type="dxa"/>
            <w:shd w:val="clear" w:color="auto" w:fill="auto"/>
          </w:tcPr>
          <w:p w14:paraId="1B680366" w14:textId="77777777" w:rsidR="007D0548" w:rsidRPr="00654EF1" w:rsidRDefault="007D0548" w:rsidP="001D5C8C">
            <w:pPr>
              <w:widowControl w:val="0"/>
              <w:spacing w:line="240" w:lineRule="auto"/>
              <w:ind w:left="-45"/>
              <w:rPr>
                <w:sz w:val="20"/>
              </w:rPr>
            </w:pPr>
            <w:r w:rsidRPr="00654EF1">
              <w:rPr>
                <w:sz w:val="20"/>
              </w:rPr>
              <w:t>105:14</w:t>
            </w:r>
          </w:p>
        </w:tc>
        <w:tc>
          <w:tcPr>
            <w:tcW w:w="653" w:type="dxa"/>
            <w:shd w:val="clear" w:color="auto" w:fill="auto"/>
          </w:tcPr>
          <w:p w14:paraId="1B680367" w14:textId="77777777" w:rsidR="007D0548" w:rsidRPr="00654EF1" w:rsidRDefault="007D0548" w:rsidP="001D5C8C">
            <w:pPr>
              <w:widowControl w:val="0"/>
              <w:spacing w:line="240" w:lineRule="auto"/>
              <w:ind w:left="-45"/>
              <w:rPr>
                <w:sz w:val="20"/>
              </w:rPr>
            </w:pPr>
            <w:r w:rsidRPr="00654EF1">
              <w:rPr>
                <w:sz w:val="20"/>
              </w:rPr>
              <w:t>87:18</w:t>
            </w:r>
          </w:p>
        </w:tc>
        <w:tc>
          <w:tcPr>
            <w:tcW w:w="630" w:type="dxa"/>
            <w:shd w:val="clear" w:color="auto" w:fill="auto"/>
          </w:tcPr>
          <w:p w14:paraId="1B680368" w14:textId="77777777" w:rsidR="007D0548" w:rsidRPr="00654EF1" w:rsidRDefault="007D0548" w:rsidP="001D5C8C">
            <w:pPr>
              <w:widowControl w:val="0"/>
              <w:spacing w:line="240" w:lineRule="auto"/>
              <w:ind w:left="-45"/>
              <w:rPr>
                <w:sz w:val="20"/>
              </w:rPr>
            </w:pPr>
            <w:r w:rsidRPr="00654EF1">
              <w:rPr>
                <w:sz w:val="20"/>
              </w:rPr>
              <w:t>64:22</w:t>
            </w:r>
          </w:p>
        </w:tc>
        <w:tc>
          <w:tcPr>
            <w:tcW w:w="643" w:type="dxa"/>
            <w:shd w:val="clear" w:color="auto" w:fill="auto"/>
          </w:tcPr>
          <w:p w14:paraId="1B680369" w14:textId="77777777" w:rsidR="007D0548" w:rsidRPr="00654EF1" w:rsidRDefault="007D0548" w:rsidP="001D5C8C">
            <w:pPr>
              <w:widowControl w:val="0"/>
              <w:spacing w:line="240" w:lineRule="auto"/>
              <w:ind w:left="-45"/>
              <w:rPr>
                <w:sz w:val="20"/>
              </w:rPr>
            </w:pPr>
            <w:r w:rsidRPr="00654EF1">
              <w:rPr>
                <w:sz w:val="20"/>
              </w:rPr>
              <w:t>46:23</w:t>
            </w:r>
          </w:p>
        </w:tc>
        <w:tc>
          <w:tcPr>
            <w:tcW w:w="670" w:type="dxa"/>
            <w:shd w:val="clear" w:color="auto" w:fill="auto"/>
          </w:tcPr>
          <w:p w14:paraId="1B68036A" w14:textId="77777777" w:rsidR="007D0548" w:rsidRPr="00654EF1" w:rsidRDefault="007D0548" w:rsidP="001D5C8C">
            <w:pPr>
              <w:widowControl w:val="0"/>
              <w:spacing w:line="240" w:lineRule="auto"/>
              <w:ind w:left="-45"/>
              <w:rPr>
                <w:sz w:val="20"/>
              </w:rPr>
            </w:pPr>
            <w:r w:rsidRPr="00654EF1">
              <w:rPr>
                <w:sz w:val="20"/>
              </w:rPr>
              <w:t>27:25</w:t>
            </w:r>
          </w:p>
        </w:tc>
        <w:tc>
          <w:tcPr>
            <w:tcW w:w="683" w:type="dxa"/>
            <w:shd w:val="clear" w:color="auto" w:fill="auto"/>
          </w:tcPr>
          <w:p w14:paraId="1B68036B" w14:textId="77777777" w:rsidR="007D0548" w:rsidRPr="00654EF1" w:rsidRDefault="007D0548" w:rsidP="001D5C8C">
            <w:pPr>
              <w:widowControl w:val="0"/>
              <w:spacing w:line="240" w:lineRule="auto"/>
              <w:ind w:left="-45"/>
              <w:rPr>
                <w:sz w:val="20"/>
              </w:rPr>
            </w:pPr>
            <w:r w:rsidRPr="00654EF1">
              <w:rPr>
                <w:sz w:val="20"/>
              </w:rPr>
              <w:t>20:25</w:t>
            </w:r>
          </w:p>
        </w:tc>
        <w:tc>
          <w:tcPr>
            <w:tcW w:w="558" w:type="dxa"/>
            <w:shd w:val="clear" w:color="auto" w:fill="auto"/>
          </w:tcPr>
          <w:p w14:paraId="1B68036C" w14:textId="77777777" w:rsidR="007D0548" w:rsidRPr="00654EF1" w:rsidRDefault="007D0548" w:rsidP="001D5C8C">
            <w:pPr>
              <w:widowControl w:val="0"/>
              <w:spacing w:line="240" w:lineRule="auto"/>
              <w:ind w:left="-45"/>
              <w:rPr>
                <w:sz w:val="20"/>
              </w:rPr>
            </w:pPr>
            <w:r w:rsidRPr="00654EF1">
              <w:rPr>
                <w:sz w:val="20"/>
              </w:rPr>
              <w:t>2:25</w:t>
            </w:r>
          </w:p>
        </w:tc>
        <w:tc>
          <w:tcPr>
            <w:tcW w:w="527" w:type="dxa"/>
            <w:shd w:val="clear" w:color="auto" w:fill="auto"/>
          </w:tcPr>
          <w:p w14:paraId="1B68036D" w14:textId="77777777" w:rsidR="007D0548" w:rsidRPr="00654EF1" w:rsidRDefault="007D0548" w:rsidP="001D5C8C">
            <w:pPr>
              <w:widowControl w:val="0"/>
              <w:spacing w:line="240" w:lineRule="auto"/>
              <w:ind w:left="-45"/>
              <w:rPr>
                <w:sz w:val="20"/>
              </w:rPr>
            </w:pPr>
            <w:r w:rsidRPr="00654EF1">
              <w:rPr>
                <w:sz w:val="20"/>
              </w:rPr>
              <w:t>0:25</w:t>
            </w:r>
          </w:p>
        </w:tc>
      </w:tr>
      <w:tr w:rsidR="007D0548" w:rsidRPr="00654EF1" w14:paraId="1B68037F" w14:textId="77777777" w:rsidTr="004D0467">
        <w:tc>
          <w:tcPr>
            <w:tcW w:w="450" w:type="dxa"/>
            <w:shd w:val="clear" w:color="auto" w:fill="auto"/>
          </w:tcPr>
          <w:p w14:paraId="1B68036F" w14:textId="77777777" w:rsidR="007D0548" w:rsidRPr="00654EF1" w:rsidRDefault="007D0548" w:rsidP="001D5C8C">
            <w:pPr>
              <w:widowControl w:val="0"/>
              <w:spacing w:line="240" w:lineRule="auto"/>
              <w:rPr>
                <w:sz w:val="20"/>
              </w:rPr>
            </w:pPr>
            <w:r w:rsidRPr="00654EF1">
              <w:rPr>
                <w:sz w:val="20"/>
              </w:rPr>
              <w:t>(2)</w:t>
            </w:r>
          </w:p>
        </w:tc>
        <w:tc>
          <w:tcPr>
            <w:tcW w:w="687" w:type="dxa"/>
            <w:shd w:val="clear" w:color="auto" w:fill="auto"/>
          </w:tcPr>
          <w:p w14:paraId="1B680370" w14:textId="77777777" w:rsidR="007D0548" w:rsidRPr="00654EF1" w:rsidRDefault="007D0548" w:rsidP="001D5C8C">
            <w:pPr>
              <w:widowControl w:val="0"/>
              <w:spacing w:line="240" w:lineRule="auto"/>
              <w:ind w:left="-45"/>
              <w:rPr>
                <w:sz w:val="20"/>
              </w:rPr>
            </w:pPr>
            <w:r w:rsidRPr="00654EF1">
              <w:rPr>
                <w:sz w:val="20"/>
              </w:rPr>
              <w:t>198:0</w:t>
            </w:r>
          </w:p>
        </w:tc>
        <w:tc>
          <w:tcPr>
            <w:tcW w:w="670" w:type="dxa"/>
            <w:shd w:val="clear" w:color="auto" w:fill="auto"/>
          </w:tcPr>
          <w:p w14:paraId="1B680371" w14:textId="77777777" w:rsidR="007D0548" w:rsidRPr="00654EF1" w:rsidRDefault="007D0548" w:rsidP="001D5C8C">
            <w:pPr>
              <w:widowControl w:val="0"/>
              <w:spacing w:line="240" w:lineRule="auto"/>
              <w:ind w:left="-45"/>
              <w:rPr>
                <w:sz w:val="20"/>
              </w:rPr>
            </w:pPr>
            <w:r w:rsidRPr="00654EF1">
              <w:rPr>
                <w:sz w:val="20"/>
              </w:rPr>
              <w:t>196:0</w:t>
            </w:r>
          </w:p>
        </w:tc>
        <w:tc>
          <w:tcPr>
            <w:tcW w:w="710" w:type="dxa"/>
            <w:shd w:val="clear" w:color="auto" w:fill="auto"/>
          </w:tcPr>
          <w:p w14:paraId="1B680372" w14:textId="77777777" w:rsidR="007D0548" w:rsidRPr="00654EF1" w:rsidRDefault="007D0548" w:rsidP="001D5C8C">
            <w:pPr>
              <w:widowControl w:val="0"/>
              <w:spacing w:line="240" w:lineRule="auto"/>
              <w:ind w:left="-45"/>
              <w:rPr>
                <w:sz w:val="20"/>
              </w:rPr>
            </w:pPr>
            <w:r w:rsidRPr="00654EF1">
              <w:rPr>
                <w:sz w:val="20"/>
              </w:rPr>
              <w:t>192:0</w:t>
            </w:r>
          </w:p>
        </w:tc>
        <w:tc>
          <w:tcPr>
            <w:tcW w:w="717" w:type="dxa"/>
            <w:shd w:val="clear" w:color="auto" w:fill="auto"/>
          </w:tcPr>
          <w:p w14:paraId="1B680373" w14:textId="77777777" w:rsidR="007D0548" w:rsidRPr="00654EF1" w:rsidRDefault="007D0548" w:rsidP="001D5C8C">
            <w:pPr>
              <w:widowControl w:val="0"/>
              <w:spacing w:line="240" w:lineRule="auto"/>
              <w:ind w:left="-45"/>
              <w:rPr>
                <w:sz w:val="20"/>
              </w:rPr>
            </w:pPr>
            <w:r w:rsidRPr="00654EF1">
              <w:rPr>
                <w:sz w:val="20"/>
              </w:rPr>
              <w:t>187:4</w:t>
            </w:r>
          </w:p>
        </w:tc>
        <w:tc>
          <w:tcPr>
            <w:tcW w:w="691" w:type="dxa"/>
            <w:shd w:val="clear" w:color="auto" w:fill="auto"/>
          </w:tcPr>
          <w:p w14:paraId="1B680374" w14:textId="77777777" w:rsidR="007D0548" w:rsidRPr="00654EF1" w:rsidRDefault="007D0548" w:rsidP="001D5C8C">
            <w:pPr>
              <w:widowControl w:val="0"/>
              <w:spacing w:line="240" w:lineRule="auto"/>
              <w:ind w:left="-45"/>
              <w:rPr>
                <w:sz w:val="20"/>
              </w:rPr>
            </w:pPr>
            <w:r w:rsidRPr="00654EF1">
              <w:rPr>
                <w:sz w:val="20"/>
              </w:rPr>
              <w:t>184:5</w:t>
            </w:r>
          </w:p>
        </w:tc>
        <w:tc>
          <w:tcPr>
            <w:tcW w:w="770" w:type="dxa"/>
            <w:shd w:val="clear" w:color="auto" w:fill="auto"/>
          </w:tcPr>
          <w:p w14:paraId="1B680375" w14:textId="77777777" w:rsidR="007D0548" w:rsidRPr="00654EF1" w:rsidRDefault="007D0548" w:rsidP="001D5C8C">
            <w:pPr>
              <w:widowControl w:val="0"/>
              <w:spacing w:line="240" w:lineRule="auto"/>
              <w:ind w:left="-45"/>
              <w:rPr>
                <w:sz w:val="20"/>
              </w:rPr>
            </w:pPr>
            <w:r w:rsidRPr="00654EF1">
              <w:rPr>
                <w:sz w:val="20"/>
              </w:rPr>
              <w:t>164:7</w:t>
            </w:r>
          </w:p>
        </w:tc>
        <w:tc>
          <w:tcPr>
            <w:tcW w:w="779" w:type="dxa"/>
            <w:shd w:val="clear" w:color="auto" w:fill="auto"/>
          </w:tcPr>
          <w:p w14:paraId="1B680376" w14:textId="77777777" w:rsidR="007D0548" w:rsidRPr="00654EF1" w:rsidRDefault="007D0548" w:rsidP="001D5C8C">
            <w:pPr>
              <w:widowControl w:val="0"/>
              <w:spacing w:line="240" w:lineRule="auto"/>
              <w:ind w:left="-45"/>
              <w:rPr>
                <w:sz w:val="20"/>
              </w:rPr>
            </w:pPr>
            <w:r w:rsidRPr="00654EF1">
              <w:rPr>
                <w:sz w:val="20"/>
              </w:rPr>
              <w:t>152:7</w:t>
            </w:r>
          </w:p>
        </w:tc>
        <w:tc>
          <w:tcPr>
            <w:tcW w:w="794" w:type="dxa"/>
            <w:shd w:val="clear" w:color="auto" w:fill="auto"/>
          </w:tcPr>
          <w:p w14:paraId="1B680377" w14:textId="77777777" w:rsidR="007D0548" w:rsidRPr="00654EF1" w:rsidRDefault="007D0548" w:rsidP="001D5C8C">
            <w:pPr>
              <w:widowControl w:val="0"/>
              <w:spacing w:line="240" w:lineRule="auto"/>
              <w:ind w:left="-45"/>
              <w:rPr>
                <w:sz w:val="20"/>
              </w:rPr>
            </w:pPr>
            <w:r w:rsidRPr="00654EF1">
              <w:rPr>
                <w:sz w:val="20"/>
              </w:rPr>
              <w:t>119:8</w:t>
            </w:r>
          </w:p>
        </w:tc>
        <w:tc>
          <w:tcPr>
            <w:tcW w:w="653" w:type="dxa"/>
            <w:shd w:val="clear" w:color="auto" w:fill="auto"/>
          </w:tcPr>
          <w:p w14:paraId="1B680378" w14:textId="77777777" w:rsidR="007D0548" w:rsidRPr="00654EF1" w:rsidRDefault="007D0548" w:rsidP="001D5C8C">
            <w:pPr>
              <w:widowControl w:val="0"/>
              <w:spacing w:line="240" w:lineRule="auto"/>
              <w:ind w:left="-45"/>
              <w:rPr>
                <w:sz w:val="20"/>
              </w:rPr>
            </w:pPr>
            <w:r w:rsidRPr="00654EF1">
              <w:rPr>
                <w:sz w:val="20"/>
              </w:rPr>
              <w:t>100:8</w:t>
            </w:r>
          </w:p>
        </w:tc>
        <w:tc>
          <w:tcPr>
            <w:tcW w:w="630" w:type="dxa"/>
            <w:shd w:val="clear" w:color="auto" w:fill="auto"/>
          </w:tcPr>
          <w:p w14:paraId="1B680379" w14:textId="77777777" w:rsidR="007D0548" w:rsidRPr="00654EF1" w:rsidRDefault="007D0548" w:rsidP="001D5C8C">
            <w:pPr>
              <w:widowControl w:val="0"/>
              <w:spacing w:line="240" w:lineRule="auto"/>
              <w:ind w:left="-45"/>
              <w:rPr>
                <w:sz w:val="20"/>
              </w:rPr>
            </w:pPr>
            <w:r w:rsidRPr="00654EF1">
              <w:rPr>
                <w:sz w:val="20"/>
              </w:rPr>
              <w:t>76:10</w:t>
            </w:r>
          </w:p>
        </w:tc>
        <w:tc>
          <w:tcPr>
            <w:tcW w:w="643" w:type="dxa"/>
            <w:shd w:val="clear" w:color="auto" w:fill="auto"/>
          </w:tcPr>
          <w:p w14:paraId="1B68037A" w14:textId="77777777" w:rsidR="007D0548" w:rsidRPr="00654EF1" w:rsidRDefault="007D0548" w:rsidP="001D5C8C">
            <w:pPr>
              <w:widowControl w:val="0"/>
              <w:spacing w:line="240" w:lineRule="auto"/>
              <w:ind w:left="-45"/>
              <w:rPr>
                <w:sz w:val="20"/>
              </w:rPr>
            </w:pPr>
            <w:r w:rsidRPr="00654EF1">
              <w:rPr>
                <w:sz w:val="20"/>
              </w:rPr>
              <w:t>56:11</w:t>
            </w:r>
          </w:p>
        </w:tc>
        <w:tc>
          <w:tcPr>
            <w:tcW w:w="670" w:type="dxa"/>
            <w:shd w:val="clear" w:color="auto" w:fill="auto"/>
          </w:tcPr>
          <w:p w14:paraId="1B68037B" w14:textId="77777777" w:rsidR="007D0548" w:rsidRPr="00654EF1" w:rsidRDefault="007D0548" w:rsidP="001D5C8C">
            <w:pPr>
              <w:widowControl w:val="0"/>
              <w:spacing w:line="240" w:lineRule="auto"/>
              <w:ind w:left="-45"/>
              <w:rPr>
                <w:sz w:val="20"/>
              </w:rPr>
            </w:pPr>
            <w:r w:rsidRPr="00654EF1">
              <w:rPr>
                <w:sz w:val="20"/>
              </w:rPr>
              <w:t>31:11</w:t>
            </w:r>
          </w:p>
        </w:tc>
        <w:tc>
          <w:tcPr>
            <w:tcW w:w="683" w:type="dxa"/>
            <w:shd w:val="clear" w:color="auto" w:fill="auto"/>
          </w:tcPr>
          <w:p w14:paraId="1B68037C" w14:textId="77777777" w:rsidR="007D0548" w:rsidRPr="00654EF1" w:rsidRDefault="007D0548" w:rsidP="001D5C8C">
            <w:pPr>
              <w:widowControl w:val="0"/>
              <w:spacing w:line="240" w:lineRule="auto"/>
              <w:ind w:left="-45"/>
              <w:rPr>
                <w:sz w:val="20"/>
              </w:rPr>
            </w:pPr>
            <w:r w:rsidRPr="00654EF1">
              <w:rPr>
                <w:sz w:val="20"/>
              </w:rPr>
              <w:t>13:12</w:t>
            </w:r>
          </w:p>
        </w:tc>
        <w:tc>
          <w:tcPr>
            <w:tcW w:w="558" w:type="dxa"/>
            <w:shd w:val="clear" w:color="auto" w:fill="auto"/>
          </w:tcPr>
          <w:p w14:paraId="1B68037D" w14:textId="77777777" w:rsidR="007D0548" w:rsidRPr="00654EF1" w:rsidRDefault="009845D2" w:rsidP="001D5C8C">
            <w:pPr>
              <w:widowControl w:val="0"/>
              <w:spacing w:line="240" w:lineRule="auto"/>
              <w:ind w:left="-45"/>
              <w:rPr>
                <w:sz w:val="20"/>
              </w:rPr>
            </w:pPr>
            <w:r w:rsidRPr="00654EF1">
              <w:rPr>
                <w:sz w:val="20"/>
              </w:rPr>
              <w:t>0</w:t>
            </w:r>
            <w:r w:rsidR="007D0548" w:rsidRPr="00654EF1">
              <w:rPr>
                <w:sz w:val="20"/>
              </w:rPr>
              <w:t>:12</w:t>
            </w:r>
          </w:p>
        </w:tc>
        <w:tc>
          <w:tcPr>
            <w:tcW w:w="527" w:type="dxa"/>
            <w:shd w:val="clear" w:color="auto" w:fill="auto"/>
          </w:tcPr>
          <w:p w14:paraId="1B68037E" w14:textId="77777777" w:rsidR="007D0548" w:rsidRPr="00654EF1" w:rsidRDefault="007D0548" w:rsidP="001D5C8C">
            <w:pPr>
              <w:widowControl w:val="0"/>
              <w:spacing w:line="240" w:lineRule="auto"/>
              <w:ind w:left="-45"/>
              <w:rPr>
                <w:sz w:val="20"/>
              </w:rPr>
            </w:pPr>
          </w:p>
        </w:tc>
      </w:tr>
    </w:tbl>
    <w:p w14:paraId="1B680380" w14:textId="77777777" w:rsidR="004D0467" w:rsidRPr="00654EF1" w:rsidRDefault="004D0467" w:rsidP="001D5C8C">
      <w:pPr>
        <w:pStyle w:val="Text"/>
        <w:widowControl w:val="0"/>
        <w:spacing w:before="0"/>
        <w:jc w:val="left"/>
        <w:rPr>
          <w:rFonts w:eastAsia="MS Mincho"/>
          <w:color w:val="000000"/>
          <w:sz w:val="22"/>
          <w:szCs w:val="22"/>
          <w:lang w:eastAsia="ja-JP"/>
        </w:rPr>
      </w:pPr>
    </w:p>
    <w:p w14:paraId="1B680381" w14:textId="77777777" w:rsidR="001F2B41" w:rsidRPr="00654EF1" w:rsidRDefault="001F2B41" w:rsidP="001D5C8C">
      <w:pPr>
        <w:pStyle w:val="Text"/>
        <w:widowControl w:val="0"/>
        <w:spacing w:before="0"/>
        <w:jc w:val="left"/>
        <w:rPr>
          <w:rStyle w:val="CommentReference"/>
          <w:sz w:val="22"/>
          <w:szCs w:val="22"/>
        </w:rPr>
      </w:pPr>
      <w:r w:rsidRPr="00654EF1">
        <w:rPr>
          <w:rFonts w:eastAsia="MS Mincho"/>
          <w:sz w:val="22"/>
          <w:szCs w:val="22"/>
          <w:lang w:eastAsia="ja-JP"/>
        </w:rPr>
        <w:t>There are no controlled trials in paediatric patients with c-Kit positive GIST. Seventeen (17)</w:t>
      </w:r>
      <w:r w:rsidRPr="00654EF1">
        <w:rPr>
          <w:color w:val="000000"/>
          <w:sz w:val="22"/>
          <w:szCs w:val="22"/>
        </w:rPr>
        <w:t> </w:t>
      </w:r>
      <w:r w:rsidRPr="00654EF1">
        <w:rPr>
          <w:rFonts w:eastAsia="MS Mincho"/>
          <w:sz w:val="22"/>
          <w:szCs w:val="22"/>
          <w:lang w:eastAsia="ja-JP"/>
        </w:rPr>
        <w:t>patients with GIST (with or without Kit and PDGFR mutations) were reported in 7</w:t>
      </w:r>
      <w:r w:rsidRPr="00654EF1">
        <w:rPr>
          <w:color w:val="000000"/>
          <w:sz w:val="22"/>
          <w:szCs w:val="22"/>
        </w:rPr>
        <w:t> </w:t>
      </w:r>
      <w:r w:rsidRPr="00654EF1">
        <w:rPr>
          <w:rFonts w:eastAsia="MS Mincho"/>
          <w:sz w:val="22"/>
          <w:szCs w:val="22"/>
          <w:lang w:eastAsia="ja-JP"/>
        </w:rPr>
        <w:t>publications. The age of these patients ranged from 8 to 18</w:t>
      </w:r>
      <w:r w:rsidRPr="00654EF1">
        <w:rPr>
          <w:color w:val="000000"/>
          <w:sz w:val="22"/>
          <w:szCs w:val="22"/>
        </w:rPr>
        <w:t> </w:t>
      </w:r>
      <w:r w:rsidRPr="00654EF1">
        <w:rPr>
          <w:rFonts w:eastAsia="MS Mincho"/>
          <w:sz w:val="22"/>
          <w:szCs w:val="22"/>
          <w:lang w:eastAsia="ja-JP"/>
        </w:rPr>
        <w:t>years and imatinib was given in both adjuvant and metastatic settings at doses ranging from 300 to 800</w:t>
      </w:r>
      <w:r w:rsidRPr="00654EF1">
        <w:rPr>
          <w:color w:val="000000"/>
          <w:sz w:val="22"/>
          <w:szCs w:val="22"/>
        </w:rPr>
        <w:t> </w:t>
      </w:r>
      <w:r w:rsidRPr="00654EF1">
        <w:rPr>
          <w:rFonts w:eastAsia="MS Mincho"/>
          <w:sz w:val="22"/>
          <w:szCs w:val="22"/>
          <w:lang w:eastAsia="ja-JP"/>
        </w:rPr>
        <w:t>mg daily. The majority of paediatric patients treated for GIST lacked data confirming c-kit or PDGFR mutations which may have led to mixed clinical outcomes.</w:t>
      </w:r>
    </w:p>
    <w:p w14:paraId="1B680382" w14:textId="77777777" w:rsidR="00936EF9" w:rsidRPr="00654EF1" w:rsidRDefault="00936EF9" w:rsidP="001D5C8C">
      <w:pPr>
        <w:pStyle w:val="Text"/>
        <w:widowControl w:val="0"/>
        <w:spacing w:before="0"/>
        <w:jc w:val="left"/>
        <w:rPr>
          <w:rFonts w:eastAsia="MS Mincho"/>
          <w:color w:val="000000"/>
          <w:sz w:val="22"/>
          <w:szCs w:val="22"/>
          <w:lang w:eastAsia="ja-JP"/>
        </w:rPr>
      </w:pPr>
    </w:p>
    <w:p w14:paraId="1B680383" w14:textId="77777777" w:rsidR="004C5C42" w:rsidRPr="00654EF1" w:rsidRDefault="004C5C42" w:rsidP="001D5C8C">
      <w:pPr>
        <w:pStyle w:val="Nottoc-headings"/>
        <w:widowControl w:val="0"/>
        <w:spacing w:before="0" w:after="0"/>
        <w:rPr>
          <w:rFonts w:ascii="Times New Roman" w:eastAsia="MS Mincho" w:hAnsi="Times New Roman"/>
          <w:b w:val="0"/>
          <w:color w:val="000000"/>
          <w:sz w:val="22"/>
          <w:szCs w:val="22"/>
          <w:u w:val="single"/>
          <w:lang w:eastAsia="ja-JP"/>
        </w:rPr>
      </w:pPr>
      <w:r w:rsidRPr="00654EF1">
        <w:rPr>
          <w:rFonts w:ascii="Times New Roman" w:eastAsia="MS Mincho" w:hAnsi="Times New Roman"/>
          <w:b w:val="0"/>
          <w:color w:val="000000"/>
          <w:sz w:val="22"/>
          <w:szCs w:val="22"/>
          <w:u w:val="single"/>
          <w:lang w:eastAsia="ja-JP"/>
        </w:rPr>
        <w:t>Clinical studies in DFSP</w:t>
      </w:r>
    </w:p>
    <w:p w14:paraId="1B680384" w14:textId="77777777" w:rsidR="004C5C42" w:rsidRPr="00654EF1" w:rsidRDefault="004C5C42" w:rsidP="001D5C8C">
      <w:pPr>
        <w:pStyle w:val="Text"/>
        <w:widowControl w:val="0"/>
        <w:spacing w:before="0"/>
        <w:jc w:val="left"/>
        <w:rPr>
          <w:rFonts w:eastAsia="MS Mincho"/>
          <w:strike/>
          <w:color w:val="000000"/>
          <w:sz w:val="22"/>
          <w:szCs w:val="22"/>
          <w:lang w:eastAsia="ja-JP"/>
        </w:rPr>
      </w:pPr>
      <w:r w:rsidRPr="00654EF1">
        <w:rPr>
          <w:color w:val="000000"/>
          <w:sz w:val="22"/>
          <w:szCs w:val="22"/>
          <w:lang w:eastAsia="ja-JP"/>
        </w:rPr>
        <w:t xml:space="preserve">One phase II, open label, multicentre clinical trial (study B2225) was conducted including 12 patients with DFSP treated with Glivec 800 mg daily. The age of the DFSP patients ranged from 23 to 75 years; DFSP was metastatic, locally recurrent following initial resective surgery and not considered amenable to further resective surgery at the time of study entry. The primary evidence of efficacy was based on objective response rates. Out of the 12 patients enrolled, 9 responded, one completely and 8 partially. </w:t>
      </w:r>
      <w:r w:rsidRPr="00654EF1">
        <w:rPr>
          <w:color w:val="000000"/>
          <w:sz w:val="22"/>
          <w:szCs w:val="22"/>
        </w:rPr>
        <w:t>Three of the partial responders were subsequently rendered disease free by surgery</w:t>
      </w:r>
      <w:r w:rsidRPr="00654EF1">
        <w:rPr>
          <w:color w:val="000000"/>
          <w:sz w:val="22"/>
          <w:szCs w:val="22"/>
          <w:lang w:eastAsia="ja-JP"/>
        </w:rPr>
        <w:t xml:space="preserve">. The median duration of therapy in study B2225 was 6.2 months, with a maximum duration of 24.3 months. A further 6 DFSP patients treated with Glivec were reported in 5 published case reports, their ages ranging from 18 months to 49 years. The adult patients reported in the published literature were treated with either 400 mg (4 cases) or 800 mg (1 case) Glivec daily. </w:t>
      </w:r>
      <w:r w:rsidR="00025611" w:rsidRPr="00654EF1">
        <w:rPr>
          <w:color w:val="000000"/>
          <w:sz w:val="22"/>
          <w:szCs w:val="22"/>
          <w:lang w:eastAsia="ja-JP"/>
        </w:rPr>
        <w:t>Five (</w:t>
      </w:r>
      <w:r w:rsidRPr="00654EF1">
        <w:rPr>
          <w:color w:val="000000"/>
          <w:sz w:val="22"/>
          <w:szCs w:val="22"/>
          <w:lang w:eastAsia="ja-JP"/>
        </w:rPr>
        <w:t>5</w:t>
      </w:r>
      <w:r w:rsidR="00025611" w:rsidRPr="00654EF1">
        <w:rPr>
          <w:color w:val="000000"/>
          <w:sz w:val="22"/>
          <w:szCs w:val="22"/>
          <w:lang w:eastAsia="ja-JP"/>
        </w:rPr>
        <w:t>)</w:t>
      </w:r>
      <w:r w:rsidRPr="00654EF1">
        <w:rPr>
          <w:color w:val="000000"/>
          <w:sz w:val="22"/>
          <w:szCs w:val="22"/>
          <w:lang w:eastAsia="ja-JP"/>
        </w:rPr>
        <w:t> patients responded, 3 completely and 2 partially. The median duration of therapy in the published literature ranged between 4 weeks and more than 20 months. The translocation t(</w:t>
      </w:r>
      <w:smartTag w:uri="urn:schemas-microsoft-com:office:smarttags" w:element="time">
        <w:smartTagPr>
          <w:attr w:name="Minute" w:val="22"/>
          <w:attr w:name="Hour" w:val="17"/>
        </w:smartTagPr>
        <w:r w:rsidRPr="00654EF1">
          <w:rPr>
            <w:color w:val="000000"/>
            <w:sz w:val="22"/>
            <w:szCs w:val="22"/>
            <w:lang w:eastAsia="ja-JP"/>
          </w:rPr>
          <w:t>17:22</w:t>
        </w:r>
      </w:smartTag>
      <w:r w:rsidRPr="00654EF1">
        <w:rPr>
          <w:color w:val="000000"/>
          <w:sz w:val="22"/>
          <w:szCs w:val="22"/>
          <w:lang w:eastAsia="ja-JP"/>
        </w:rPr>
        <w:t>)[(q22:q13)], or its gene product, was present in nearly all responders to Glivec treatment.</w:t>
      </w:r>
    </w:p>
    <w:p w14:paraId="1B680385" w14:textId="77777777" w:rsidR="004D0467" w:rsidRPr="00654EF1" w:rsidRDefault="004D0467" w:rsidP="001D5C8C">
      <w:pPr>
        <w:pStyle w:val="Text"/>
        <w:widowControl w:val="0"/>
        <w:spacing w:before="0"/>
        <w:jc w:val="left"/>
        <w:rPr>
          <w:color w:val="000000"/>
          <w:sz w:val="22"/>
          <w:szCs w:val="22"/>
          <w:lang w:eastAsia="ja-JP"/>
        </w:rPr>
      </w:pPr>
    </w:p>
    <w:p w14:paraId="1B680386" w14:textId="77777777" w:rsidR="001F2B41" w:rsidRPr="00654EF1" w:rsidRDefault="001F2B41" w:rsidP="001D5C8C">
      <w:pPr>
        <w:pStyle w:val="Text"/>
        <w:widowControl w:val="0"/>
        <w:spacing w:before="0"/>
        <w:jc w:val="left"/>
        <w:rPr>
          <w:color w:val="000000"/>
          <w:sz w:val="22"/>
          <w:szCs w:val="22"/>
          <w:lang w:eastAsia="ja-JP"/>
        </w:rPr>
      </w:pPr>
      <w:r w:rsidRPr="00654EF1">
        <w:rPr>
          <w:color w:val="000000"/>
          <w:sz w:val="22"/>
          <w:szCs w:val="22"/>
          <w:lang w:eastAsia="ja-JP"/>
        </w:rPr>
        <w:t>There are no controlled trials in paediatric patients with DFSP. Five (5)</w:t>
      </w:r>
      <w:r w:rsidRPr="00654EF1">
        <w:rPr>
          <w:color w:val="000000"/>
          <w:sz w:val="22"/>
          <w:szCs w:val="22"/>
        </w:rPr>
        <w:t> </w:t>
      </w:r>
      <w:r w:rsidRPr="00654EF1">
        <w:rPr>
          <w:color w:val="000000"/>
          <w:sz w:val="22"/>
          <w:szCs w:val="22"/>
          <w:lang w:eastAsia="ja-JP"/>
        </w:rPr>
        <w:t>patients with DFSP and PDGFR gene re-arrangements were reported in 3</w:t>
      </w:r>
      <w:r w:rsidRPr="00654EF1">
        <w:rPr>
          <w:color w:val="000000"/>
          <w:sz w:val="22"/>
          <w:szCs w:val="22"/>
        </w:rPr>
        <w:t> </w:t>
      </w:r>
      <w:r w:rsidRPr="00654EF1">
        <w:rPr>
          <w:color w:val="000000"/>
          <w:sz w:val="22"/>
          <w:szCs w:val="22"/>
          <w:lang w:eastAsia="ja-JP"/>
        </w:rPr>
        <w:t>publications. The age of these patients ranged from newborn to 14</w:t>
      </w:r>
      <w:r w:rsidRPr="00654EF1">
        <w:rPr>
          <w:color w:val="000000"/>
          <w:sz w:val="22"/>
          <w:szCs w:val="22"/>
        </w:rPr>
        <w:t> </w:t>
      </w:r>
      <w:r w:rsidRPr="00654EF1">
        <w:rPr>
          <w:color w:val="000000"/>
          <w:sz w:val="22"/>
          <w:szCs w:val="22"/>
          <w:lang w:eastAsia="ja-JP"/>
        </w:rPr>
        <w:t>years and imatinib was given at dose 50 mg daily or doses ranging from 400 to 520</w:t>
      </w:r>
      <w:r w:rsidRPr="00654EF1">
        <w:rPr>
          <w:color w:val="000000"/>
          <w:sz w:val="22"/>
          <w:szCs w:val="22"/>
        </w:rPr>
        <w:t> </w:t>
      </w:r>
      <w:r w:rsidRPr="00654EF1">
        <w:rPr>
          <w:color w:val="000000"/>
          <w:sz w:val="22"/>
          <w:szCs w:val="22"/>
          <w:lang w:eastAsia="ja-JP"/>
        </w:rPr>
        <w:t>mg/m</w:t>
      </w:r>
      <w:r w:rsidRPr="00654EF1">
        <w:rPr>
          <w:color w:val="000000"/>
          <w:sz w:val="22"/>
          <w:szCs w:val="22"/>
          <w:vertAlign w:val="superscript"/>
          <w:lang w:eastAsia="ja-JP"/>
        </w:rPr>
        <w:t>2</w:t>
      </w:r>
      <w:r w:rsidRPr="00654EF1">
        <w:rPr>
          <w:color w:val="000000"/>
          <w:sz w:val="22"/>
          <w:szCs w:val="22"/>
          <w:lang w:eastAsia="ja-JP"/>
        </w:rPr>
        <w:t xml:space="preserve"> daily. All patients achieved partial and/or complete response.</w:t>
      </w:r>
    </w:p>
    <w:p w14:paraId="1B680387" w14:textId="77777777" w:rsidR="006B732B" w:rsidRPr="00654EF1" w:rsidRDefault="006B732B" w:rsidP="001D5C8C">
      <w:pPr>
        <w:widowControl w:val="0"/>
        <w:numPr>
          <w:ilvl w:val="12"/>
          <w:numId w:val="0"/>
        </w:numPr>
        <w:spacing w:line="240" w:lineRule="auto"/>
        <w:ind w:right="-2"/>
        <w:rPr>
          <w:color w:val="000000"/>
          <w:szCs w:val="22"/>
          <w:lang w:val="en-US"/>
        </w:rPr>
      </w:pPr>
    </w:p>
    <w:p w14:paraId="1B680388"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5.2</w:t>
      </w:r>
      <w:r w:rsidRPr="00654EF1">
        <w:rPr>
          <w:b/>
          <w:color w:val="000000"/>
          <w:szCs w:val="22"/>
        </w:rPr>
        <w:tab/>
        <w:t>Pharmacokinetic properties</w:t>
      </w:r>
    </w:p>
    <w:p w14:paraId="1B680389" w14:textId="77777777" w:rsidR="009B57ED" w:rsidRPr="00654EF1" w:rsidRDefault="009B57ED" w:rsidP="001D5C8C">
      <w:pPr>
        <w:pStyle w:val="EndnoteText"/>
        <w:keepNext/>
        <w:widowControl w:val="0"/>
        <w:tabs>
          <w:tab w:val="clear" w:pos="567"/>
        </w:tabs>
        <w:rPr>
          <w:color w:val="000000"/>
          <w:szCs w:val="22"/>
        </w:rPr>
      </w:pPr>
    </w:p>
    <w:p w14:paraId="1B68038A"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t>Pharmacokinetics of Glivec</w:t>
      </w:r>
    </w:p>
    <w:p w14:paraId="1B68038B"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The pharmacokinetics of Glivec have been evaluated over a dosage range of 25 to 1,000 mg. Plasma pharmacokinetic profiles were analysed on day 1 and on either day 7 or day 28, by which time plasma </w:t>
      </w:r>
      <w:r w:rsidRPr="00654EF1">
        <w:rPr>
          <w:color w:val="000000"/>
          <w:szCs w:val="22"/>
        </w:rPr>
        <w:lastRenderedPageBreak/>
        <w:t>concentrations had reached steady state.</w:t>
      </w:r>
    </w:p>
    <w:p w14:paraId="1B68038C" w14:textId="77777777" w:rsidR="009B57ED" w:rsidRPr="00654EF1" w:rsidRDefault="009B57ED" w:rsidP="001D5C8C">
      <w:pPr>
        <w:pStyle w:val="EndnoteText"/>
        <w:widowControl w:val="0"/>
        <w:tabs>
          <w:tab w:val="clear" w:pos="567"/>
        </w:tabs>
        <w:rPr>
          <w:color w:val="000000"/>
          <w:szCs w:val="22"/>
        </w:rPr>
      </w:pPr>
    </w:p>
    <w:p w14:paraId="1B68038D"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Absorption</w:t>
      </w:r>
    </w:p>
    <w:p w14:paraId="1B68038E"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Mean absolute bioavailability for the capsule formulation is 98%. There was high between-patient variability in plasma imatinib AUC levels after an oral dose. When given with a high-fat meal, the rate of absorption of imatinib was minimally reduced (11% decrease in C</w:t>
      </w:r>
      <w:r w:rsidRPr="00654EF1">
        <w:rPr>
          <w:color w:val="000000"/>
          <w:szCs w:val="22"/>
          <w:vertAlign w:val="subscript"/>
        </w:rPr>
        <w:t>max</w:t>
      </w:r>
      <w:r w:rsidRPr="00654EF1">
        <w:rPr>
          <w:color w:val="000000"/>
          <w:szCs w:val="22"/>
        </w:rPr>
        <w:t xml:space="preserve"> and prolongation of t</w:t>
      </w:r>
      <w:r w:rsidRPr="00654EF1">
        <w:rPr>
          <w:color w:val="000000"/>
          <w:szCs w:val="22"/>
          <w:vertAlign w:val="subscript"/>
        </w:rPr>
        <w:t>max</w:t>
      </w:r>
      <w:r w:rsidRPr="00654EF1">
        <w:rPr>
          <w:color w:val="000000"/>
          <w:szCs w:val="22"/>
        </w:rPr>
        <w:t xml:space="preserve"> by 1.5 h), with a small reduction in AUC (7.4%) compared to fasting conditions. The effect of prior gastrointestinal surgery on drug absorption has not been investigated.</w:t>
      </w:r>
    </w:p>
    <w:p w14:paraId="1B68038F" w14:textId="77777777" w:rsidR="009B57ED" w:rsidRPr="00654EF1" w:rsidRDefault="009B57ED" w:rsidP="001D5C8C">
      <w:pPr>
        <w:pStyle w:val="EndnoteText"/>
        <w:widowControl w:val="0"/>
        <w:tabs>
          <w:tab w:val="clear" w:pos="567"/>
        </w:tabs>
        <w:rPr>
          <w:color w:val="000000"/>
          <w:szCs w:val="22"/>
        </w:rPr>
      </w:pPr>
    </w:p>
    <w:p w14:paraId="1B680390"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Distribution</w:t>
      </w:r>
    </w:p>
    <w:p w14:paraId="1B680391"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At clinically relevant concentrations of imatinib, binding to plasma proteins was approximately 95% on the basis of </w:t>
      </w:r>
      <w:r w:rsidRPr="00654EF1">
        <w:rPr>
          <w:i/>
          <w:color w:val="000000"/>
          <w:szCs w:val="22"/>
        </w:rPr>
        <w:t>in vitro</w:t>
      </w:r>
      <w:r w:rsidRPr="00654EF1">
        <w:rPr>
          <w:color w:val="000000"/>
          <w:szCs w:val="22"/>
        </w:rPr>
        <w:t xml:space="preserve"> experiments, mostly to albumin and alpha-acid-glycoprotein, with little binding to lipoprotein.</w:t>
      </w:r>
    </w:p>
    <w:p w14:paraId="1B680392" w14:textId="77777777" w:rsidR="009B57ED" w:rsidRPr="00654EF1" w:rsidRDefault="009B57ED" w:rsidP="001D5C8C">
      <w:pPr>
        <w:pStyle w:val="EndnoteText"/>
        <w:widowControl w:val="0"/>
        <w:tabs>
          <w:tab w:val="clear" w:pos="567"/>
        </w:tabs>
        <w:rPr>
          <w:color w:val="000000"/>
          <w:szCs w:val="22"/>
        </w:rPr>
      </w:pPr>
    </w:p>
    <w:p w14:paraId="1B680393" w14:textId="77777777" w:rsidR="009B57ED" w:rsidRPr="00654EF1" w:rsidRDefault="004D53F4" w:rsidP="001D5C8C">
      <w:pPr>
        <w:pStyle w:val="EndnoteText"/>
        <w:keepNext/>
        <w:widowControl w:val="0"/>
        <w:tabs>
          <w:tab w:val="clear" w:pos="567"/>
        </w:tabs>
        <w:rPr>
          <w:color w:val="000000"/>
          <w:szCs w:val="22"/>
          <w:u w:val="single"/>
        </w:rPr>
      </w:pPr>
      <w:r w:rsidRPr="00654EF1">
        <w:rPr>
          <w:u w:val="single"/>
        </w:rPr>
        <w:t>Biotransformation</w:t>
      </w:r>
    </w:p>
    <w:p w14:paraId="1B680394"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The main circulating metabolite in humans is the N-demethylated piperazine derivative, which shows similar </w:t>
      </w:r>
      <w:r w:rsidRPr="00654EF1">
        <w:rPr>
          <w:i/>
          <w:color w:val="000000"/>
          <w:szCs w:val="22"/>
        </w:rPr>
        <w:t>in vitro</w:t>
      </w:r>
      <w:r w:rsidRPr="00654EF1">
        <w:rPr>
          <w:color w:val="000000"/>
          <w:szCs w:val="22"/>
        </w:rPr>
        <w:t xml:space="preserve"> potency to the parent. The plasma AUC for this metabolite was found to be only 16% of the AUC for imatinib. </w:t>
      </w:r>
      <w:r w:rsidRPr="00654EF1">
        <w:rPr>
          <w:color w:val="000000"/>
        </w:rPr>
        <w:t>The plasma protein binding of the N-demethylated metabolite is similar to that of the parent compound.</w:t>
      </w:r>
    </w:p>
    <w:p w14:paraId="1B680395" w14:textId="77777777" w:rsidR="009B57ED" w:rsidRPr="00654EF1" w:rsidRDefault="009B57ED" w:rsidP="001D5C8C">
      <w:pPr>
        <w:pStyle w:val="EndnoteText"/>
        <w:widowControl w:val="0"/>
        <w:tabs>
          <w:tab w:val="clear" w:pos="567"/>
        </w:tabs>
        <w:rPr>
          <w:color w:val="000000"/>
          <w:szCs w:val="22"/>
        </w:rPr>
      </w:pPr>
    </w:p>
    <w:p w14:paraId="1B680396"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Imatinib and the N-demethyl metabolite together accounted for about 65% of the circulating radioactivity (AUC</w:t>
      </w:r>
      <w:r w:rsidRPr="00654EF1">
        <w:rPr>
          <w:color w:val="000000"/>
          <w:sz w:val="22"/>
          <w:szCs w:val="22"/>
          <w:vertAlign w:val="subscript"/>
          <w:lang w:val="en-GB"/>
        </w:rPr>
        <w:t>(0-48h)</w:t>
      </w:r>
      <w:r w:rsidRPr="00654EF1">
        <w:rPr>
          <w:color w:val="000000"/>
          <w:sz w:val="22"/>
          <w:szCs w:val="22"/>
          <w:lang w:val="en-GB"/>
        </w:rPr>
        <w:t>). The remaining circulating radioactivity consisted of a number of minor metabolites.</w:t>
      </w:r>
    </w:p>
    <w:p w14:paraId="1B680397" w14:textId="77777777" w:rsidR="009B57ED" w:rsidRPr="00654EF1" w:rsidRDefault="009B57ED" w:rsidP="001D5C8C">
      <w:pPr>
        <w:pStyle w:val="Text"/>
        <w:widowControl w:val="0"/>
        <w:spacing w:before="0"/>
        <w:jc w:val="left"/>
        <w:rPr>
          <w:color w:val="000000"/>
          <w:sz w:val="22"/>
          <w:szCs w:val="22"/>
          <w:lang w:val="en-GB"/>
        </w:rPr>
      </w:pPr>
    </w:p>
    <w:p w14:paraId="1B680398"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The </w:t>
      </w:r>
      <w:r w:rsidRPr="00654EF1">
        <w:rPr>
          <w:i/>
          <w:color w:val="000000"/>
          <w:sz w:val="22"/>
          <w:szCs w:val="22"/>
          <w:lang w:val="en-GB"/>
        </w:rPr>
        <w:t>in vitro</w:t>
      </w:r>
      <w:r w:rsidRPr="00654EF1">
        <w:rPr>
          <w:color w:val="000000"/>
          <w:sz w:val="22"/>
          <w:szCs w:val="22"/>
          <w:lang w:val="en-GB"/>
        </w:rPr>
        <w:t xml:space="preserve"> results showed that CYP3A4 was the major human P450 enzyme catalysing the biotransformation of imatinib. Of a panel of potential comedications (acetaminophen, aciclovir, allopurinol, amphotericin, cytarabine, erythromycin, fluconazole, hydroxyurea, norfloxacin, penicillin V) only erythromycin (IC</w:t>
      </w:r>
      <w:r w:rsidRPr="00654EF1">
        <w:rPr>
          <w:color w:val="000000"/>
          <w:sz w:val="22"/>
          <w:szCs w:val="22"/>
          <w:vertAlign w:val="subscript"/>
          <w:lang w:val="en-GB"/>
        </w:rPr>
        <w:t>50</w:t>
      </w:r>
      <w:r w:rsidRPr="00654EF1">
        <w:rPr>
          <w:color w:val="000000"/>
          <w:sz w:val="22"/>
          <w:szCs w:val="22"/>
          <w:lang w:val="en-GB"/>
        </w:rPr>
        <w:t xml:space="preserve"> 50 µM) and fluconazole (IC</w:t>
      </w:r>
      <w:r w:rsidRPr="00654EF1">
        <w:rPr>
          <w:color w:val="000000"/>
          <w:sz w:val="22"/>
          <w:szCs w:val="22"/>
          <w:vertAlign w:val="subscript"/>
          <w:lang w:val="en-GB"/>
        </w:rPr>
        <w:t>50</w:t>
      </w:r>
      <w:r w:rsidRPr="00654EF1">
        <w:rPr>
          <w:color w:val="000000"/>
          <w:sz w:val="22"/>
          <w:szCs w:val="22"/>
          <w:lang w:val="en-GB"/>
        </w:rPr>
        <w:t xml:space="preserve"> 118 µM) showed inhibition of imatinib metabolism which could have clinical relevance.</w:t>
      </w:r>
    </w:p>
    <w:p w14:paraId="1B680399" w14:textId="77777777" w:rsidR="009B57ED" w:rsidRPr="00654EF1" w:rsidRDefault="009B57ED" w:rsidP="001D5C8C">
      <w:pPr>
        <w:pStyle w:val="Text"/>
        <w:widowControl w:val="0"/>
        <w:spacing w:before="0"/>
        <w:jc w:val="left"/>
        <w:rPr>
          <w:color w:val="000000"/>
          <w:sz w:val="22"/>
          <w:szCs w:val="22"/>
          <w:lang w:val="en-GB"/>
        </w:rPr>
      </w:pPr>
    </w:p>
    <w:p w14:paraId="1B68039A"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Imatinib was shown </w:t>
      </w:r>
      <w:r w:rsidRPr="00654EF1">
        <w:rPr>
          <w:i/>
          <w:color w:val="000000"/>
          <w:sz w:val="22"/>
          <w:szCs w:val="22"/>
          <w:lang w:val="en-GB"/>
        </w:rPr>
        <w:t>in vitro</w:t>
      </w:r>
      <w:r w:rsidRPr="00654EF1">
        <w:rPr>
          <w:color w:val="000000"/>
          <w:sz w:val="22"/>
          <w:szCs w:val="22"/>
          <w:lang w:val="en-GB"/>
        </w:rPr>
        <w:t xml:space="preserve"> to be a competitive inhibitor of marker substrates for CYP2C9, CYP2D6 and CYP3A4/5. K</w:t>
      </w:r>
      <w:r w:rsidRPr="00654EF1">
        <w:rPr>
          <w:color w:val="000000"/>
          <w:sz w:val="22"/>
          <w:szCs w:val="22"/>
          <w:vertAlign w:val="subscript"/>
          <w:lang w:val="en-GB"/>
        </w:rPr>
        <w:t>i</w:t>
      </w:r>
      <w:r w:rsidRPr="00654EF1">
        <w:rPr>
          <w:color w:val="000000"/>
          <w:sz w:val="22"/>
          <w:szCs w:val="22"/>
          <w:lang w:val="en-GB"/>
        </w:rPr>
        <w:t xml:space="preserve"> values in human liver microsomes were 27, 7.5 and 7.9 </w:t>
      </w:r>
      <w:r w:rsidRPr="00654EF1">
        <w:rPr>
          <w:color w:val="000000"/>
          <w:sz w:val="22"/>
          <w:szCs w:val="22"/>
          <w:lang w:val="en-GB"/>
        </w:rPr>
        <w:sym w:font="Symbol" w:char="F06D"/>
      </w:r>
      <w:r w:rsidRPr="00654EF1">
        <w:rPr>
          <w:color w:val="000000"/>
          <w:sz w:val="22"/>
          <w:szCs w:val="22"/>
          <w:lang w:val="en-GB"/>
        </w:rPr>
        <w:t>mol/l, respectively. Maximal plasma concentrations of imatinib in patients are 2</w:t>
      </w:r>
      <w:r w:rsidRPr="00654EF1">
        <w:rPr>
          <w:color w:val="000000"/>
          <w:sz w:val="22"/>
          <w:szCs w:val="22"/>
        </w:rPr>
        <w:t>–</w:t>
      </w:r>
      <w:r w:rsidRPr="00654EF1">
        <w:rPr>
          <w:color w:val="000000"/>
          <w:sz w:val="22"/>
          <w:szCs w:val="22"/>
          <w:lang w:val="en-GB"/>
        </w:rPr>
        <w:t>4 </w:t>
      </w:r>
      <w:r w:rsidRPr="00654EF1">
        <w:rPr>
          <w:color w:val="000000"/>
          <w:sz w:val="22"/>
          <w:szCs w:val="22"/>
          <w:lang w:val="en-GB"/>
        </w:rPr>
        <w:sym w:font="Symbol" w:char="F06D"/>
      </w:r>
      <w:r w:rsidRPr="00654EF1">
        <w:rPr>
          <w:color w:val="000000"/>
          <w:sz w:val="22"/>
          <w:szCs w:val="22"/>
          <w:lang w:val="en-GB"/>
        </w:rPr>
        <w:t>mol/l, consequently an inhibition of CYP2D6 and/or CYP3A4/5-mediated metabolism of co-administered drugs is possible. Imatinib did not interfere with the biotransformation of 5-fluorouracil, but it inhibited paclitaxel metabolism as a result of competitive inhibition of CYP2C8 (K</w:t>
      </w:r>
      <w:r w:rsidRPr="00654EF1">
        <w:rPr>
          <w:color w:val="000000"/>
          <w:sz w:val="22"/>
          <w:szCs w:val="22"/>
          <w:vertAlign w:val="subscript"/>
          <w:lang w:val="en-GB"/>
        </w:rPr>
        <w:t>i</w:t>
      </w:r>
      <w:r w:rsidRPr="00654EF1">
        <w:rPr>
          <w:color w:val="000000"/>
          <w:sz w:val="22"/>
          <w:szCs w:val="22"/>
          <w:lang w:val="en-GB"/>
        </w:rPr>
        <w:t xml:space="preserve"> = 34.7 µM). This K</w:t>
      </w:r>
      <w:r w:rsidRPr="00654EF1">
        <w:rPr>
          <w:color w:val="000000"/>
          <w:sz w:val="22"/>
          <w:szCs w:val="22"/>
          <w:vertAlign w:val="subscript"/>
          <w:lang w:val="en-GB"/>
        </w:rPr>
        <w:t>i</w:t>
      </w:r>
      <w:r w:rsidRPr="00654EF1">
        <w:rPr>
          <w:color w:val="000000"/>
          <w:sz w:val="22"/>
          <w:szCs w:val="22"/>
          <w:lang w:val="en-GB"/>
        </w:rPr>
        <w:t xml:space="preserve"> value is far higher than the expected plasma levels of imatinib in patients, consequently no interaction is expected upon co-administration of either 5-fluorouracil or paclitaxel and imatinib.</w:t>
      </w:r>
    </w:p>
    <w:p w14:paraId="1B68039B" w14:textId="77777777" w:rsidR="009B57ED" w:rsidRPr="00654EF1" w:rsidRDefault="009B57ED" w:rsidP="001D5C8C">
      <w:pPr>
        <w:pStyle w:val="EndnoteText"/>
        <w:widowControl w:val="0"/>
        <w:tabs>
          <w:tab w:val="clear" w:pos="567"/>
        </w:tabs>
        <w:rPr>
          <w:color w:val="000000"/>
          <w:szCs w:val="22"/>
        </w:rPr>
      </w:pPr>
    </w:p>
    <w:p w14:paraId="1B68039C"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Elimination</w:t>
      </w:r>
    </w:p>
    <w:p w14:paraId="1B68039D"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 xml:space="preserve">Based on the recovery of compound(s) after an oral </w:t>
      </w:r>
      <w:r w:rsidRPr="00654EF1">
        <w:rPr>
          <w:color w:val="000000"/>
          <w:szCs w:val="22"/>
          <w:vertAlign w:val="superscript"/>
        </w:rPr>
        <w:t>14</w:t>
      </w:r>
      <w:r w:rsidRPr="00654EF1">
        <w:rPr>
          <w:color w:val="000000"/>
          <w:szCs w:val="22"/>
        </w:rPr>
        <w:t>C-labelled dose of imatinib, approximately 81% of the dose was recovered within 7 days in faeces (68% of dose) and urine (13% of dose). Unchanged imatinib accounted for 25% of the dose (5% urine, 20% faeces), the remainder being metabolites.</w:t>
      </w:r>
    </w:p>
    <w:p w14:paraId="1B68039E" w14:textId="77777777" w:rsidR="009B57ED" w:rsidRPr="00654EF1" w:rsidRDefault="009B57ED" w:rsidP="001D5C8C">
      <w:pPr>
        <w:pStyle w:val="EndnoteText"/>
        <w:widowControl w:val="0"/>
        <w:tabs>
          <w:tab w:val="clear" w:pos="567"/>
        </w:tabs>
        <w:rPr>
          <w:color w:val="000000"/>
          <w:szCs w:val="22"/>
        </w:rPr>
      </w:pPr>
    </w:p>
    <w:p w14:paraId="1B68039F"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Plasma pharmacokinetics</w:t>
      </w:r>
    </w:p>
    <w:p w14:paraId="1B6803A0"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Following oral administration in healthy volunteers, the t</w:t>
      </w:r>
      <w:r w:rsidRPr="00654EF1">
        <w:rPr>
          <w:color w:val="000000"/>
          <w:szCs w:val="22"/>
          <w:vertAlign w:val="subscript"/>
        </w:rPr>
        <w:t>½</w:t>
      </w:r>
      <w:r w:rsidRPr="00654EF1">
        <w:rPr>
          <w:color w:val="000000"/>
          <w:szCs w:val="22"/>
        </w:rPr>
        <w:t xml:space="preserve"> was approximately 18 h, suggesting that once-daily dosing is appropriate. The increase in mean AUC with increasing dose was linear and dose proportional in the range of 25–1,000 mg imatinib after oral administration. There was no change in the kinetics of imatinib on repeated dosing, and accumulation was 1.5–2.5-fold at steady state when dosed once daily.</w:t>
      </w:r>
    </w:p>
    <w:p w14:paraId="1B6803A1" w14:textId="77777777" w:rsidR="009B57ED" w:rsidRPr="00654EF1" w:rsidRDefault="009B57ED" w:rsidP="001D5C8C">
      <w:pPr>
        <w:pStyle w:val="EndnoteText"/>
        <w:widowControl w:val="0"/>
        <w:tabs>
          <w:tab w:val="clear" w:pos="567"/>
        </w:tabs>
        <w:rPr>
          <w:color w:val="000000"/>
          <w:szCs w:val="22"/>
        </w:rPr>
      </w:pPr>
    </w:p>
    <w:p w14:paraId="1B6803A2"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t>Pharmacokinetics in GIST patients</w:t>
      </w:r>
    </w:p>
    <w:p w14:paraId="1B6803A3" w14:textId="77777777" w:rsidR="009B57ED" w:rsidRPr="00654EF1" w:rsidRDefault="009B57ED" w:rsidP="001D5C8C">
      <w:pPr>
        <w:pStyle w:val="Text"/>
        <w:widowControl w:val="0"/>
        <w:spacing w:before="0"/>
        <w:jc w:val="left"/>
        <w:rPr>
          <w:color w:val="000000"/>
          <w:sz w:val="22"/>
          <w:szCs w:val="22"/>
        </w:rPr>
      </w:pPr>
      <w:r w:rsidRPr="00654EF1">
        <w:rPr>
          <w:snapToGrid w:val="0"/>
          <w:color w:val="000000"/>
          <w:sz w:val="22"/>
          <w:szCs w:val="22"/>
        </w:rPr>
        <w:t xml:space="preserve">In patients with GIST steady-state exposure was 1.5-fold higher than that observed for CML patients for the same dosage (400 mg daily). </w:t>
      </w:r>
      <w:r w:rsidRPr="00654EF1">
        <w:rPr>
          <w:color w:val="000000"/>
          <w:sz w:val="22"/>
          <w:szCs w:val="22"/>
        </w:rPr>
        <w:t xml:space="preserve">Based on preliminary population pharmacokinetic analysis in GIST patients, there were three variables (albumin, WBC and bilirubin) found to have a statistically significant relationship with imatinib pharmacokinetics. Decreased values of albumin caused a reduced clearance (CL/f); and higher levels of WBC led to a reduction of CL/f. However, these </w:t>
      </w:r>
      <w:r w:rsidRPr="00654EF1">
        <w:rPr>
          <w:color w:val="000000"/>
          <w:sz w:val="22"/>
          <w:szCs w:val="22"/>
        </w:rPr>
        <w:lastRenderedPageBreak/>
        <w:t>associations are not sufficiently pronounced to warrant dose adjustment. In this patient population, the presence of hepatic metastases could potentially lead to hepatic insufficiency and reduced metabolism.</w:t>
      </w:r>
    </w:p>
    <w:p w14:paraId="1B6803A4" w14:textId="77777777" w:rsidR="009B57ED" w:rsidRPr="00654EF1" w:rsidRDefault="009B57ED" w:rsidP="001D5C8C">
      <w:pPr>
        <w:pStyle w:val="EndnoteText"/>
        <w:widowControl w:val="0"/>
        <w:tabs>
          <w:tab w:val="clear" w:pos="567"/>
        </w:tabs>
        <w:rPr>
          <w:color w:val="000000"/>
          <w:szCs w:val="22"/>
        </w:rPr>
      </w:pPr>
    </w:p>
    <w:p w14:paraId="1B6803A5" w14:textId="77777777" w:rsidR="009B57ED" w:rsidRPr="00654EF1" w:rsidRDefault="009B57ED" w:rsidP="001D5C8C">
      <w:pPr>
        <w:pStyle w:val="EndnoteText"/>
        <w:keepNext/>
        <w:widowControl w:val="0"/>
        <w:tabs>
          <w:tab w:val="clear" w:pos="567"/>
        </w:tabs>
        <w:rPr>
          <w:color w:val="000000"/>
          <w:szCs w:val="22"/>
        </w:rPr>
      </w:pPr>
      <w:r w:rsidRPr="00654EF1">
        <w:rPr>
          <w:color w:val="000000"/>
          <w:szCs w:val="22"/>
          <w:u w:val="single"/>
        </w:rPr>
        <w:t>Population pharmacokinetics</w:t>
      </w:r>
    </w:p>
    <w:p w14:paraId="1B6803A6"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Based on population pharmacokinetic analysis in CML patients, there was a small effect of age on the volume of distribution (12% increase in patients &gt; 65 years old). This change is not thought to be clinically significant. The effect of bodyweight on the clearance of imatinib is such that for a patient weighing 50 kg the mean clearance is expected to be 8.5 l/h, while for a patient weighing 100 kg the clearance will rise to 11.8 l/h. These changes are not considered sufficient to warrant dose adjustment based on kg bodyweight. There is no effect of gender on the kinetics of imatinib.</w:t>
      </w:r>
    </w:p>
    <w:p w14:paraId="1B6803A7" w14:textId="77777777" w:rsidR="009B57ED" w:rsidRPr="00654EF1" w:rsidRDefault="009B57ED" w:rsidP="001D5C8C">
      <w:pPr>
        <w:pStyle w:val="EndnoteText"/>
        <w:widowControl w:val="0"/>
        <w:tabs>
          <w:tab w:val="clear" w:pos="567"/>
        </w:tabs>
        <w:rPr>
          <w:color w:val="000000"/>
          <w:szCs w:val="22"/>
        </w:rPr>
      </w:pPr>
    </w:p>
    <w:p w14:paraId="1B6803A8"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t>Pharmacokinetics in children</w:t>
      </w:r>
    </w:p>
    <w:p w14:paraId="1B6803A9" w14:textId="77777777" w:rsidR="009B57ED" w:rsidRPr="00654EF1" w:rsidRDefault="008F1C56" w:rsidP="001D5C8C">
      <w:pPr>
        <w:pStyle w:val="EndnoteText"/>
        <w:widowControl w:val="0"/>
        <w:rPr>
          <w:color w:val="000000"/>
          <w:szCs w:val="22"/>
        </w:rPr>
      </w:pPr>
      <w:r w:rsidRPr="00654EF1">
        <w:rPr>
          <w:color w:val="000000"/>
          <w:szCs w:val="22"/>
        </w:rPr>
        <w:t>As in adult patients, imatinib was rapidly absorbed after oral administration in paediatric patients in both phase I and phase II studies. Dosing</w:t>
      </w:r>
      <w:r w:rsidR="009B57ED" w:rsidRPr="00654EF1">
        <w:rPr>
          <w:color w:val="000000"/>
          <w:szCs w:val="22"/>
        </w:rPr>
        <w:t xml:space="preserve"> in children at 260 and 340 mg/m</w:t>
      </w:r>
      <w:r w:rsidR="009B57ED" w:rsidRPr="00654EF1">
        <w:rPr>
          <w:color w:val="000000"/>
          <w:szCs w:val="22"/>
          <w:vertAlign w:val="superscript"/>
        </w:rPr>
        <w:t>2</w:t>
      </w:r>
      <w:r w:rsidR="009B57ED" w:rsidRPr="00654EF1">
        <w:rPr>
          <w:color w:val="000000"/>
          <w:szCs w:val="22"/>
        </w:rPr>
        <w:t>/day achieved the same exposure, respectively, as doses of 400 mg and 600 mg in adult patients. The comparison of AUC</w:t>
      </w:r>
      <w:r w:rsidR="009B57ED" w:rsidRPr="00654EF1">
        <w:rPr>
          <w:color w:val="000000"/>
          <w:szCs w:val="22"/>
          <w:vertAlign w:val="subscript"/>
        </w:rPr>
        <w:t>(0-24)</w:t>
      </w:r>
      <w:r w:rsidR="009B57ED" w:rsidRPr="00654EF1">
        <w:rPr>
          <w:color w:val="000000"/>
          <w:szCs w:val="22"/>
        </w:rPr>
        <w:t xml:space="preserve"> on day 8 and day 1 at the 340 mg/m</w:t>
      </w:r>
      <w:r w:rsidR="009B57ED" w:rsidRPr="00654EF1">
        <w:rPr>
          <w:color w:val="000000"/>
          <w:szCs w:val="22"/>
          <w:vertAlign w:val="superscript"/>
        </w:rPr>
        <w:t>2</w:t>
      </w:r>
      <w:r w:rsidR="009B57ED" w:rsidRPr="00654EF1">
        <w:rPr>
          <w:color w:val="000000"/>
          <w:szCs w:val="22"/>
        </w:rPr>
        <w:t>/day dose level revealed a 1.7-fold drug accumulation after repeated once-daily dosing.</w:t>
      </w:r>
    </w:p>
    <w:p w14:paraId="1B6803AA" w14:textId="77777777" w:rsidR="00505F51" w:rsidRPr="00654EF1" w:rsidRDefault="00505F51" w:rsidP="001D5C8C">
      <w:pPr>
        <w:pStyle w:val="EndnoteText"/>
        <w:widowControl w:val="0"/>
        <w:rPr>
          <w:color w:val="000000"/>
          <w:szCs w:val="22"/>
        </w:rPr>
      </w:pPr>
    </w:p>
    <w:p w14:paraId="1B6803AB" w14:textId="77777777" w:rsidR="00505F51" w:rsidRPr="00654EF1" w:rsidRDefault="00505F51" w:rsidP="001D5C8C">
      <w:pPr>
        <w:pStyle w:val="EndnoteText"/>
        <w:widowControl w:val="0"/>
        <w:rPr>
          <w:color w:val="000000"/>
          <w:szCs w:val="22"/>
        </w:rPr>
      </w:pPr>
      <w:r w:rsidRPr="00654EF1">
        <w:rPr>
          <w:color w:val="000000"/>
          <w:szCs w:val="22"/>
        </w:rPr>
        <w:t>Based on pooled population pharmacokinetic analysis in paediatric patients with haematological disorders (CML, Ph+ALL, or other haematological disorders treated with imatinib), clearance of imatinib increases with increasing body surface area (BSA). After correcting for the BSA effect, other demographics such as age, body weight and body mass index did not have clinically significant effects on the exposure of imatinib. The analysis confirmed that exposure of imatinib in paediatric patients receiving 260 mg/m</w:t>
      </w:r>
      <w:r w:rsidRPr="00654EF1">
        <w:rPr>
          <w:color w:val="000000"/>
          <w:szCs w:val="22"/>
          <w:vertAlign w:val="superscript"/>
        </w:rPr>
        <w:t>2</w:t>
      </w:r>
      <w:r w:rsidRPr="00654EF1">
        <w:rPr>
          <w:color w:val="000000"/>
          <w:szCs w:val="22"/>
        </w:rPr>
        <w:t xml:space="preserve"> once daily (not exceeding 400 mg once daily) or 340 mg/m</w:t>
      </w:r>
      <w:r w:rsidRPr="00654EF1">
        <w:rPr>
          <w:color w:val="000000"/>
          <w:szCs w:val="22"/>
          <w:vertAlign w:val="superscript"/>
        </w:rPr>
        <w:t>2</w:t>
      </w:r>
      <w:r w:rsidRPr="00654EF1">
        <w:rPr>
          <w:color w:val="000000"/>
          <w:szCs w:val="22"/>
        </w:rPr>
        <w:t xml:space="preserve"> once daily (not exceeding 600 mg once daily) were similar to those in adult patients who received imatinib 400 mg or 600 mg once daily.</w:t>
      </w:r>
    </w:p>
    <w:p w14:paraId="1B6803AC" w14:textId="77777777" w:rsidR="00E7064F" w:rsidRPr="00654EF1" w:rsidRDefault="00E7064F" w:rsidP="001D5C8C">
      <w:pPr>
        <w:pStyle w:val="EndnoteText"/>
        <w:widowControl w:val="0"/>
        <w:tabs>
          <w:tab w:val="clear" w:pos="567"/>
        </w:tabs>
        <w:rPr>
          <w:color w:val="000000"/>
          <w:szCs w:val="22"/>
          <w:u w:val="single"/>
        </w:rPr>
      </w:pPr>
    </w:p>
    <w:p w14:paraId="1B6803AD" w14:textId="77777777" w:rsidR="009B57ED" w:rsidRPr="00654EF1" w:rsidRDefault="009B57ED" w:rsidP="001D5C8C">
      <w:pPr>
        <w:pStyle w:val="EndnoteText"/>
        <w:keepNext/>
        <w:widowControl w:val="0"/>
        <w:tabs>
          <w:tab w:val="clear" w:pos="567"/>
        </w:tabs>
        <w:rPr>
          <w:color w:val="000000"/>
          <w:szCs w:val="22"/>
          <w:u w:val="single"/>
        </w:rPr>
      </w:pPr>
      <w:r w:rsidRPr="00654EF1">
        <w:rPr>
          <w:color w:val="000000"/>
          <w:szCs w:val="22"/>
          <w:u w:val="single"/>
        </w:rPr>
        <w:t>Organ function impairment</w:t>
      </w:r>
    </w:p>
    <w:p w14:paraId="1B6803AE" w14:textId="77777777" w:rsidR="007C4AB0" w:rsidRPr="00654EF1" w:rsidRDefault="009B57ED" w:rsidP="001D5C8C">
      <w:pPr>
        <w:pStyle w:val="EndnoteText"/>
        <w:widowControl w:val="0"/>
        <w:tabs>
          <w:tab w:val="clear" w:pos="567"/>
        </w:tabs>
        <w:rPr>
          <w:color w:val="000000"/>
        </w:rPr>
      </w:pPr>
      <w:r w:rsidRPr="00654EF1">
        <w:rPr>
          <w:color w:val="000000"/>
          <w:szCs w:val="22"/>
        </w:rPr>
        <w:t>Imatinib and its metabolites are not excreted via the kidney to a significant extent.</w:t>
      </w:r>
      <w:r w:rsidRPr="00654EF1">
        <w:rPr>
          <w:color w:val="000000"/>
        </w:rPr>
        <w:t xml:space="preserve"> </w:t>
      </w:r>
      <w:r w:rsidR="00815E5E" w:rsidRPr="00654EF1">
        <w:rPr>
          <w:color w:val="000000"/>
        </w:rPr>
        <w:t>Patients with mild and moderate impairment of renal function appear to have a higher plasma exposure than patients with normal renal function. The increase is approximately 1.5- to 2-fold, corresponding to a 1.5-fold elevation of plasma AGP, to which imatinib binds strongly. The free drug clearance of imatinib is probably similar between patients with renal impairment and those with normal renal function, since renal excretion represents only a minor elimination pathway for imatinib (see sections 4.2 and 4.4).</w:t>
      </w:r>
    </w:p>
    <w:p w14:paraId="1B6803AF" w14:textId="77777777" w:rsidR="00197E16" w:rsidRPr="00654EF1" w:rsidRDefault="00197E16" w:rsidP="001D5C8C">
      <w:pPr>
        <w:pStyle w:val="EndnoteText"/>
        <w:widowControl w:val="0"/>
        <w:tabs>
          <w:tab w:val="clear" w:pos="567"/>
        </w:tabs>
        <w:rPr>
          <w:color w:val="000000"/>
        </w:rPr>
      </w:pPr>
    </w:p>
    <w:p w14:paraId="1B6803B0" w14:textId="77777777" w:rsidR="009B57ED" w:rsidRPr="00654EF1" w:rsidRDefault="009B57ED" w:rsidP="001D5C8C">
      <w:pPr>
        <w:pStyle w:val="EndnoteText"/>
        <w:widowControl w:val="0"/>
        <w:tabs>
          <w:tab w:val="clear" w:pos="567"/>
        </w:tabs>
        <w:rPr>
          <w:color w:val="000000"/>
          <w:szCs w:val="22"/>
        </w:rPr>
      </w:pPr>
      <w:r w:rsidRPr="00654EF1">
        <w:rPr>
          <w:color w:val="000000"/>
        </w:rPr>
        <w:t xml:space="preserve">Although the results of pharmacokinetic analysis showed that there is considerable inter-subject variation, the mean exposure to imatinib did not increase in patients with varying degrees of liver dysfunction as compared to patients with normal liver function </w:t>
      </w:r>
      <w:r w:rsidRPr="00654EF1">
        <w:rPr>
          <w:color w:val="000000"/>
          <w:szCs w:val="22"/>
        </w:rPr>
        <w:t>(see sections 4.2, 4.4 and 4.8).</w:t>
      </w:r>
    </w:p>
    <w:p w14:paraId="1B6803B1" w14:textId="77777777" w:rsidR="009B57ED" w:rsidRPr="00654EF1" w:rsidRDefault="009B57ED" w:rsidP="001D5C8C">
      <w:pPr>
        <w:pStyle w:val="EndnoteText"/>
        <w:widowControl w:val="0"/>
        <w:tabs>
          <w:tab w:val="clear" w:pos="567"/>
        </w:tabs>
        <w:rPr>
          <w:color w:val="000000"/>
          <w:szCs w:val="22"/>
        </w:rPr>
      </w:pPr>
    </w:p>
    <w:p w14:paraId="1B6803B2"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5.3</w:t>
      </w:r>
      <w:r w:rsidRPr="00654EF1">
        <w:rPr>
          <w:b/>
          <w:color w:val="000000"/>
          <w:szCs w:val="22"/>
        </w:rPr>
        <w:tab/>
        <w:t>Preclinical safety data</w:t>
      </w:r>
    </w:p>
    <w:p w14:paraId="1B6803B3" w14:textId="77777777" w:rsidR="009B57ED" w:rsidRPr="00654EF1" w:rsidRDefault="009B57ED" w:rsidP="001D5C8C">
      <w:pPr>
        <w:pStyle w:val="EndnoteText"/>
        <w:keepNext/>
        <w:widowControl w:val="0"/>
        <w:tabs>
          <w:tab w:val="clear" w:pos="567"/>
        </w:tabs>
        <w:rPr>
          <w:color w:val="000000"/>
          <w:szCs w:val="22"/>
        </w:rPr>
      </w:pPr>
    </w:p>
    <w:p w14:paraId="1B6803B4"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The preclinical safety profile of imatinib was assessed in rats, dogs, monkeys and rabbits.</w:t>
      </w:r>
    </w:p>
    <w:p w14:paraId="1B6803B5" w14:textId="77777777" w:rsidR="009B57ED" w:rsidRPr="00654EF1" w:rsidRDefault="009B57ED" w:rsidP="001D5C8C">
      <w:pPr>
        <w:widowControl w:val="0"/>
        <w:tabs>
          <w:tab w:val="clear" w:pos="567"/>
        </w:tabs>
        <w:spacing w:line="240" w:lineRule="auto"/>
        <w:rPr>
          <w:color w:val="000000"/>
          <w:szCs w:val="22"/>
        </w:rPr>
      </w:pPr>
    </w:p>
    <w:p w14:paraId="1B6803B6" w14:textId="77777777" w:rsidR="009B57ED" w:rsidRPr="00654EF1" w:rsidRDefault="009B57ED" w:rsidP="001D5C8C">
      <w:pPr>
        <w:pStyle w:val="Text"/>
        <w:widowControl w:val="0"/>
        <w:spacing w:before="0"/>
        <w:jc w:val="left"/>
        <w:outlineLvl w:val="0"/>
        <w:rPr>
          <w:color w:val="000000"/>
          <w:sz w:val="22"/>
          <w:szCs w:val="22"/>
          <w:lang w:val="en-GB"/>
        </w:rPr>
      </w:pPr>
      <w:r w:rsidRPr="00654EF1">
        <w:rPr>
          <w:color w:val="000000"/>
          <w:sz w:val="22"/>
          <w:szCs w:val="22"/>
          <w:lang w:val="en-GB"/>
        </w:rPr>
        <w:t>Multiple dose toxicity studies revealed mild to moderate haematological changes in rats, dogs and monkeys, accompanied by bone marrow changes in rats and dogs.</w:t>
      </w:r>
    </w:p>
    <w:p w14:paraId="1B6803B7" w14:textId="77777777" w:rsidR="009B57ED" w:rsidRPr="00654EF1" w:rsidRDefault="009B57ED" w:rsidP="001D5C8C">
      <w:pPr>
        <w:pStyle w:val="Text"/>
        <w:widowControl w:val="0"/>
        <w:spacing w:before="0"/>
        <w:jc w:val="left"/>
        <w:outlineLvl w:val="0"/>
        <w:rPr>
          <w:color w:val="000000"/>
          <w:sz w:val="22"/>
          <w:szCs w:val="22"/>
          <w:lang w:val="en-GB"/>
        </w:rPr>
      </w:pPr>
    </w:p>
    <w:p w14:paraId="1B6803B8" w14:textId="77777777" w:rsidR="009B57ED" w:rsidRPr="00654EF1" w:rsidRDefault="009B57ED" w:rsidP="001D5C8C">
      <w:pPr>
        <w:pStyle w:val="Text"/>
        <w:widowControl w:val="0"/>
        <w:spacing w:before="0"/>
        <w:jc w:val="left"/>
        <w:outlineLvl w:val="0"/>
        <w:rPr>
          <w:color w:val="000000"/>
          <w:sz w:val="22"/>
          <w:szCs w:val="22"/>
          <w:lang w:val="en-GB"/>
        </w:rPr>
      </w:pPr>
      <w:r w:rsidRPr="00654EF1">
        <w:rPr>
          <w:color w:val="000000"/>
          <w:sz w:val="22"/>
          <w:szCs w:val="22"/>
          <w:lang w:val="en-GB"/>
        </w:rPr>
        <w:t>The liver was a target organ in rats and dogs. Mild to moderate increases in transaminases and slight decreases in cholesterol, triglycerides, total protein and albumin levels were observed in both species. No histopathological changes were seen in rat liver. Severe liver toxicity was observed in dogs treated for 2 weeks, with elevated liver enzymes, hepatocellular necrosis, bile duct necrosis, and bile duct hyperplasia.</w:t>
      </w:r>
    </w:p>
    <w:p w14:paraId="1B6803B9" w14:textId="77777777" w:rsidR="009B57ED" w:rsidRPr="00654EF1" w:rsidRDefault="009B57ED" w:rsidP="001D5C8C">
      <w:pPr>
        <w:pStyle w:val="Text"/>
        <w:widowControl w:val="0"/>
        <w:spacing w:before="0"/>
        <w:outlineLvl w:val="0"/>
        <w:rPr>
          <w:color w:val="000000"/>
          <w:sz w:val="22"/>
          <w:szCs w:val="22"/>
          <w:lang w:val="en-GB"/>
        </w:rPr>
      </w:pPr>
    </w:p>
    <w:p w14:paraId="1B6803BA" w14:textId="77777777" w:rsidR="009B57ED" w:rsidRPr="00654EF1" w:rsidRDefault="009B57ED" w:rsidP="001D5C8C">
      <w:pPr>
        <w:pStyle w:val="Text"/>
        <w:widowControl w:val="0"/>
        <w:spacing w:before="0"/>
        <w:jc w:val="left"/>
        <w:outlineLvl w:val="0"/>
        <w:rPr>
          <w:color w:val="000000"/>
          <w:sz w:val="22"/>
          <w:szCs w:val="22"/>
          <w:lang w:val="en-GB"/>
        </w:rPr>
      </w:pPr>
      <w:r w:rsidRPr="00654EF1">
        <w:rPr>
          <w:color w:val="000000"/>
          <w:sz w:val="22"/>
          <w:szCs w:val="22"/>
          <w:lang w:val="en-GB"/>
        </w:rPr>
        <w:t xml:space="preserve">Renal toxicity was observed in monkeys treated for 2 weeks, with focal mineralisation and dilation of the renal tubules and tubular nephrosis. Increased </w:t>
      </w:r>
      <w:r w:rsidRPr="00654EF1">
        <w:rPr>
          <w:color w:val="000000"/>
          <w:sz w:val="22"/>
          <w:szCs w:val="22"/>
        </w:rPr>
        <w:t>blood urea nitrogen (</w:t>
      </w:r>
      <w:r w:rsidRPr="00654EF1">
        <w:rPr>
          <w:color w:val="000000"/>
          <w:sz w:val="22"/>
          <w:szCs w:val="22"/>
          <w:lang w:val="en-GB"/>
        </w:rPr>
        <w:t xml:space="preserve">BUN) and creatinine were observed in several of these animals. In rats, hyperplasia of the transitional epithelium in the renal papilla and in the urinary bladder was observed at doses </w:t>
      </w:r>
      <w:r w:rsidRPr="00654EF1">
        <w:rPr>
          <w:color w:val="000000"/>
          <w:sz w:val="22"/>
          <w:szCs w:val="22"/>
          <w:lang w:val="en-GB"/>
        </w:rPr>
        <w:sym w:font="Symbol" w:char="F0B3"/>
      </w:r>
      <w:r w:rsidRPr="00654EF1">
        <w:rPr>
          <w:color w:val="000000"/>
          <w:sz w:val="22"/>
          <w:szCs w:val="22"/>
          <w:lang w:val="en-GB"/>
        </w:rPr>
        <w:t xml:space="preserve"> 6 mg/kg in the 13-week study, without changes in serum or urinary parameters. An increased rate of opportunistic infections was observed </w:t>
      </w:r>
      <w:r w:rsidRPr="00654EF1">
        <w:rPr>
          <w:color w:val="000000"/>
          <w:sz w:val="22"/>
          <w:szCs w:val="22"/>
          <w:lang w:val="en-GB"/>
        </w:rPr>
        <w:lastRenderedPageBreak/>
        <w:t>with chronic imatinib treatment.</w:t>
      </w:r>
    </w:p>
    <w:p w14:paraId="1B6803BB" w14:textId="77777777" w:rsidR="009B57ED" w:rsidRPr="00654EF1" w:rsidRDefault="009B57ED" w:rsidP="001D5C8C">
      <w:pPr>
        <w:pStyle w:val="Text"/>
        <w:widowControl w:val="0"/>
        <w:spacing w:before="0"/>
        <w:jc w:val="left"/>
        <w:outlineLvl w:val="0"/>
        <w:rPr>
          <w:color w:val="000000"/>
          <w:sz w:val="22"/>
          <w:szCs w:val="22"/>
          <w:lang w:val="en-GB"/>
        </w:rPr>
      </w:pPr>
    </w:p>
    <w:p w14:paraId="1B6803BC" w14:textId="77777777" w:rsidR="009B57ED" w:rsidRPr="00654EF1" w:rsidRDefault="009B57ED" w:rsidP="001D5C8C">
      <w:pPr>
        <w:pStyle w:val="Text"/>
        <w:widowControl w:val="0"/>
        <w:spacing w:before="0"/>
        <w:jc w:val="left"/>
        <w:outlineLvl w:val="0"/>
        <w:rPr>
          <w:color w:val="000000"/>
          <w:sz w:val="22"/>
          <w:szCs w:val="22"/>
          <w:lang w:val="en-GB"/>
        </w:rPr>
      </w:pPr>
      <w:r w:rsidRPr="00654EF1">
        <w:rPr>
          <w:color w:val="000000"/>
          <w:sz w:val="22"/>
          <w:szCs w:val="22"/>
          <w:lang w:val="en-GB"/>
        </w:rPr>
        <w:t xml:space="preserve">In a 39-week monkey study, no NOAEL </w:t>
      </w:r>
      <w:r w:rsidRPr="00654EF1">
        <w:rPr>
          <w:color w:val="000000"/>
          <w:sz w:val="22"/>
          <w:lang w:val="en-GB"/>
        </w:rPr>
        <w:t xml:space="preserve">(no observed adverse effect level) </w:t>
      </w:r>
      <w:r w:rsidRPr="00654EF1">
        <w:rPr>
          <w:color w:val="000000"/>
          <w:sz w:val="22"/>
          <w:szCs w:val="22"/>
          <w:lang w:val="en-GB"/>
        </w:rPr>
        <w:t>was established at the lowest dose of 15 mg/kg, approximately one-third the maximum human dose of 800 mg based on body surface. Treatment resulted in worsening of normally suppressed malarial infections in these animals.</w:t>
      </w:r>
    </w:p>
    <w:p w14:paraId="1B6803BD" w14:textId="77777777" w:rsidR="009B57ED" w:rsidRPr="00654EF1" w:rsidRDefault="009B57ED" w:rsidP="001D5C8C">
      <w:pPr>
        <w:pStyle w:val="Text"/>
        <w:widowControl w:val="0"/>
        <w:spacing w:before="0"/>
        <w:jc w:val="left"/>
        <w:outlineLvl w:val="0"/>
        <w:rPr>
          <w:color w:val="000000"/>
          <w:sz w:val="22"/>
          <w:szCs w:val="22"/>
          <w:lang w:val="en-GB"/>
        </w:rPr>
      </w:pPr>
    </w:p>
    <w:p w14:paraId="1B6803BE" w14:textId="77777777" w:rsidR="009B57ED" w:rsidRPr="00654EF1" w:rsidRDefault="009B57ED" w:rsidP="001D5C8C">
      <w:pPr>
        <w:pStyle w:val="Text"/>
        <w:widowControl w:val="0"/>
        <w:spacing w:before="0"/>
        <w:jc w:val="left"/>
        <w:outlineLvl w:val="0"/>
        <w:rPr>
          <w:color w:val="000000"/>
          <w:sz w:val="22"/>
          <w:szCs w:val="22"/>
          <w:lang w:val="en-GB"/>
        </w:rPr>
      </w:pPr>
      <w:r w:rsidRPr="00654EF1">
        <w:rPr>
          <w:color w:val="000000"/>
          <w:sz w:val="22"/>
          <w:szCs w:val="22"/>
          <w:lang w:val="en-GB"/>
        </w:rPr>
        <w:t xml:space="preserve">Imatinib was not considered genotoxic when tested in an </w:t>
      </w:r>
      <w:r w:rsidRPr="00654EF1">
        <w:rPr>
          <w:i/>
          <w:color w:val="000000"/>
          <w:sz w:val="22"/>
          <w:szCs w:val="22"/>
          <w:lang w:val="en-GB"/>
        </w:rPr>
        <w:t xml:space="preserve">in vitro </w:t>
      </w:r>
      <w:r w:rsidRPr="00654EF1">
        <w:rPr>
          <w:color w:val="000000"/>
          <w:sz w:val="22"/>
          <w:szCs w:val="22"/>
          <w:lang w:val="en-GB"/>
        </w:rPr>
        <w:t xml:space="preserve">bacterial cell assay (Ames test), an </w:t>
      </w:r>
      <w:r w:rsidRPr="00654EF1">
        <w:rPr>
          <w:i/>
          <w:color w:val="000000"/>
          <w:sz w:val="22"/>
          <w:szCs w:val="22"/>
          <w:lang w:val="en-GB"/>
        </w:rPr>
        <w:t xml:space="preserve">in vitro </w:t>
      </w:r>
      <w:r w:rsidRPr="00654EF1">
        <w:rPr>
          <w:color w:val="000000"/>
          <w:sz w:val="22"/>
          <w:szCs w:val="22"/>
          <w:lang w:val="en-GB"/>
        </w:rPr>
        <w:t xml:space="preserve">mammalian cell assay (mouse lymphoma) and an </w:t>
      </w:r>
      <w:r w:rsidRPr="00654EF1">
        <w:rPr>
          <w:i/>
          <w:color w:val="000000"/>
          <w:sz w:val="22"/>
          <w:szCs w:val="22"/>
          <w:lang w:val="en-GB"/>
        </w:rPr>
        <w:t xml:space="preserve">in vivo </w:t>
      </w:r>
      <w:r w:rsidRPr="00654EF1">
        <w:rPr>
          <w:color w:val="000000"/>
          <w:sz w:val="22"/>
          <w:szCs w:val="22"/>
          <w:lang w:val="en-GB"/>
        </w:rPr>
        <w:t xml:space="preserve">rat micronucleus test. Positive genotoxic effects were obtained for imatinib in an </w:t>
      </w:r>
      <w:r w:rsidRPr="00654EF1">
        <w:rPr>
          <w:i/>
          <w:color w:val="000000"/>
          <w:sz w:val="22"/>
          <w:szCs w:val="22"/>
          <w:lang w:val="en-GB"/>
        </w:rPr>
        <w:t xml:space="preserve">in vitro </w:t>
      </w:r>
      <w:r w:rsidRPr="00654EF1">
        <w:rPr>
          <w:color w:val="000000"/>
          <w:sz w:val="22"/>
          <w:szCs w:val="22"/>
          <w:lang w:val="en-GB"/>
        </w:rPr>
        <w:t xml:space="preserve">mammalian cell assay (Chinese hamster ovary) for clastogenicity (chromosome aberration) in the presence of metabolic activation. Two intermediates of the manufacturing process, which are also present in the final product, are positive for mutagenesis in the </w:t>
      </w:r>
      <w:smartTag w:uri="urn:schemas-microsoft-com:office:smarttags" w:element="City">
        <w:smartTag w:uri="urn:schemas-microsoft-com:office:smarttags" w:element="place">
          <w:r w:rsidRPr="00654EF1">
            <w:rPr>
              <w:color w:val="000000"/>
              <w:sz w:val="22"/>
              <w:szCs w:val="22"/>
              <w:lang w:val="en-GB"/>
            </w:rPr>
            <w:t>Ames</w:t>
          </w:r>
        </w:smartTag>
      </w:smartTag>
      <w:r w:rsidRPr="00654EF1">
        <w:rPr>
          <w:color w:val="000000"/>
          <w:sz w:val="22"/>
          <w:szCs w:val="22"/>
          <w:lang w:val="en-GB"/>
        </w:rPr>
        <w:t xml:space="preserve"> assay. One of these intermediates was also positive in the mouse lymphoma assay.</w:t>
      </w:r>
    </w:p>
    <w:p w14:paraId="1B6803BF" w14:textId="77777777" w:rsidR="009B57ED" w:rsidRPr="00654EF1" w:rsidRDefault="009B57ED" w:rsidP="001D5C8C">
      <w:pPr>
        <w:pStyle w:val="Text"/>
        <w:widowControl w:val="0"/>
        <w:spacing w:before="0"/>
        <w:jc w:val="left"/>
        <w:outlineLvl w:val="0"/>
        <w:rPr>
          <w:color w:val="000000"/>
          <w:sz w:val="22"/>
          <w:szCs w:val="22"/>
          <w:lang w:val="en-GB"/>
        </w:rPr>
      </w:pPr>
    </w:p>
    <w:p w14:paraId="1B6803C0"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 xml:space="preserve">In a study of fertility, in male rats dosed for 70 days prior to mating, testicular and epididymal weights and percent motile sperm were decreased at 60 mg/kg, approximately equal to the maximum clinical dose of 800 mg/day, based on body surface area. This was not seen at doses ≤ 20 mg/kg. A slight to moderate reduction in spermatogenesis was also observed in the dog at oral doses </w:t>
      </w:r>
      <w:r w:rsidRPr="00654EF1">
        <w:rPr>
          <w:color w:val="000000"/>
          <w:sz w:val="22"/>
          <w:szCs w:val="22"/>
          <w:lang w:val="en-GB"/>
        </w:rPr>
        <w:sym w:font="Symbol" w:char="F0B3"/>
      </w:r>
      <w:r w:rsidRPr="00654EF1">
        <w:rPr>
          <w:color w:val="000000"/>
          <w:sz w:val="22"/>
          <w:szCs w:val="22"/>
          <w:lang w:val="en-GB"/>
        </w:rPr>
        <w:t> 30 mg/kg. When female rats were dosed 14 days prior to mating and through to gestational day 6, there was no effect on mating or on number of pregnant females. At a dose of 60 mg/kg, female rats had significant post-implantation foetal loss and a reduced number of live foetuses. This was not seen at doses ≤ 20 mg/kg.</w:t>
      </w:r>
    </w:p>
    <w:p w14:paraId="1B6803C1" w14:textId="77777777" w:rsidR="009B57ED" w:rsidRPr="00654EF1" w:rsidRDefault="009B57ED" w:rsidP="001D5C8C">
      <w:pPr>
        <w:pStyle w:val="Text"/>
        <w:widowControl w:val="0"/>
        <w:spacing w:before="0"/>
        <w:jc w:val="left"/>
        <w:rPr>
          <w:color w:val="000000"/>
          <w:sz w:val="22"/>
          <w:szCs w:val="22"/>
          <w:lang w:val="en-GB"/>
        </w:rPr>
      </w:pPr>
    </w:p>
    <w:p w14:paraId="1B6803C2" w14:textId="77777777" w:rsidR="009B57ED" w:rsidRPr="00654EF1" w:rsidRDefault="009B57ED" w:rsidP="001D5C8C">
      <w:pPr>
        <w:pStyle w:val="Text"/>
        <w:widowControl w:val="0"/>
        <w:spacing w:before="0"/>
        <w:jc w:val="left"/>
        <w:rPr>
          <w:color w:val="000000"/>
          <w:sz w:val="22"/>
          <w:szCs w:val="22"/>
        </w:rPr>
      </w:pPr>
      <w:r w:rsidRPr="00654EF1">
        <w:rPr>
          <w:color w:val="000000"/>
          <w:sz w:val="22"/>
          <w:szCs w:val="22"/>
        </w:rPr>
        <w:t>In an oral pre</w:t>
      </w:r>
      <w:r w:rsidRPr="00654EF1">
        <w:rPr>
          <w:color w:val="000000"/>
          <w:sz w:val="22"/>
          <w:szCs w:val="22"/>
        </w:rPr>
        <w:noBreakHyphen/>
        <w:t xml:space="preserve"> and postnatal development study in rats, red vaginal discharge was noted in the 45 mg/kg/day group on either day 14 or day 15 of gestation. At the same dose, the number of stillborn pups as well as those dying between postpartum days 0 and 4 was increased. In the F</w:t>
      </w:r>
      <w:r w:rsidRPr="00654EF1">
        <w:rPr>
          <w:color w:val="000000"/>
          <w:sz w:val="22"/>
          <w:szCs w:val="22"/>
          <w:vertAlign w:val="subscript"/>
        </w:rPr>
        <w:t>1</w:t>
      </w:r>
      <w:r w:rsidRPr="00654EF1">
        <w:rPr>
          <w:color w:val="000000"/>
          <w:sz w:val="22"/>
          <w:szCs w:val="22"/>
        </w:rPr>
        <w:t xml:space="preserve"> offspring, at the same dose level, mean body weights were reduced from birth until terminal sacrifice and the number of litters achieving criterion for preputial separation was slightly decreased. F</w:t>
      </w:r>
      <w:r w:rsidRPr="00654EF1">
        <w:rPr>
          <w:color w:val="000000"/>
          <w:sz w:val="22"/>
          <w:szCs w:val="22"/>
          <w:vertAlign w:val="subscript"/>
        </w:rPr>
        <w:t>1</w:t>
      </w:r>
      <w:r w:rsidRPr="00654EF1">
        <w:rPr>
          <w:color w:val="000000"/>
          <w:sz w:val="22"/>
          <w:szCs w:val="22"/>
        </w:rPr>
        <w:t xml:space="preserve"> fertility was not affected, while an increased number of resorptions and a decreased number of viable foetuses was noted at 45 mg/kg/day. The no </w:t>
      </w:r>
      <w:r w:rsidRPr="00654EF1">
        <w:rPr>
          <w:color w:val="000000"/>
          <w:sz w:val="22"/>
        </w:rPr>
        <w:t>observed effect level (NOEL)</w:t>
      </w:r>
      <w:r w:rsidRPr="00654EF1">
        <w:rPr>
          <w:color w:val="000000"/>
          <w:sz w:val="22"/>
          <w:szCs w:val="22"/>
        </w:rPr>
        <w:t xml:space="preserve"> for both the maternal animals and the F</w:t>
      </w:r>
      <w:r w:rsidRPr="00654EF1">
        <w:rPr>
          <w:color w:val="000000"/>
          <w:sz w:val="22"/>
          <w:szCs w:val="22"/>
          <w:vertAlign w:val="subscript"/>
        </w:rPr>
        <w:t>1</w:t>
      </w:r>
      <w:r w:rsidRPr="00654EF1">
        <w:rPr>
          <w:color w:val="000000"/>
          <w:sz w:val="22"/>
          <w:szCs w:val="22"/>
        </w:rPr>
        <w:t xml:space="preserve"> generation was 15 mg/kg/day (one quarter of the maximum human dose of 800 mg).</w:t>
      </w:r>
    </w:p>
    <w:p w14:paraId="1B6803C3" w14:textId="77777777" w:rsidR="009B57ED" w:rsidRPr="00654EF1" w:rsidRDefault="009B57ED" w:rsidP="001D5C8C">
      <w:pPr>
        <w:pStyle w:val="Text"/>
        <w:widowControl w:val="0"/>
        <w:spacing w:before="0"/>
        <w:jc w:val="left"/>
        <w:rPr>
          <w:color w:val="000000"/>
          <w:sz w:val="22"/>
          <w:szCs w:val="22"/>
          <w:lang w:val="en-GB"/>
        </w:rPr>
      </w:pPr>
    </w:p>
    <w:p w14:paraId="1B6803C4" w14:textId="77777777" w:rsidR="009B57ED" w:rsidRPr="00654EF1" w:rsidRDefault="009B57ED" w:rsidP="001D5C8C">
      <w:pPr>
        <w:pStyle w:val="Text"/>
        <w:widowControl w:val="0"/>
        <w:spacing w:before="0"/>
        <w:jc w:val="left"/>
        <w:rPr>
          <w:color w:val="000000"/>
          <w:sz w:val="22"/>
          <w:szCs w:val="22"/>
          <w:lang w:val="en-GB"/>
        </w:rPr>
      </w:pPr>
      <w:r w:rsidRPr="00654EF1">
        <w:rPr>
          <w:color w:val="000000"/>
          <w:sz w:val="22"/>
          <w:szCs w:val="22"/>
          <w:lang w:val="en-GB"/>
        </w:rPr>
        <w:t>Imatinib was teratogenic in rats when administered during organogenesis at doses ≥ 100 mg/kg, approximately equal to the maximum clinical dose of 800 mg/day, based on body surface area. Teratogenic effects included exencephaly or encephalocele, absent/reduced frontal and absent parietal bones. These effects were not seen at doses ≤ 30 mg/kg.</w:t>
      </w:r>
    </w:p>
    <w:p w14:paraId="1B6803C5" w14:textId="77777777" w:rsidR="00244ABD" w:rsidRPr="00654EF1" w:rsidRDefault="00244ABD" w:rsidP="001D5C8C">
      <w:pPr>
        <w:pStyle w:val="Text"/>
        <w:widowControl w:val="0"/>
        <w:spacing w:before="0"/>
        <w:jc w:val="left"/>
        <w:rPr>
          <w:color w:val="000000"/>
          <w:sz w:val="22"/>
          <w:szCs w:val="22"/>
          <w:lang w:val="en-GB"/>
        </w:rPr>
      </w:pPr>
    </w:p>
    <w:p w14:paraId="1B6803C6" w14:textId="77777777" w:rsidR="00244ABD" w:rsidRPr="00654EF1" w:rsidRDefault="00244ABD" w:rsidP="001D5C8C">
      <w:pPr>
        <w:pStyle w:val="Text"/>
        <w:widowControl w:val="0"/>
        <w:spacing w:before="0"/>
        <w:jc w:val="left"/>
        <w:rPr>
          <w:color w:val="000000"/>
          <w:sz w:val="22"/>
          <w:szCs w:val="22"/>
          <w:lang w:val="en-GB"/>
        </w:rPr>
      </w:pPr>
      <w:r w:rsidRPr="00654EF1">
        <w:rPr>
          <w:color w:val="000000"/>
          <w:sz w:val="22"/>
          <w:szCs w:val="22"/>
          <w:lang w:val="en-GB"/>
        </w:rPr>
        <w:t>No new target organs were identified in the rat juvenile development toxicology study (day 10 to 70 postpartum)</w:t>
      </w:r>
      <w:r w:rsidR="001B0C17" w:rsidRPr="00654EF1">
        <w:rPr>
          <w:color w:val="000000"/>
          <w:sz w:val="22"/>
          <w:szCs w:val="22"/>
          <w:lang w:val="en-GB"/>
        </w:rPr>
        <w:t xml:space="preserve"> with respect to the known target organs in adult rats</w:t>
      </w:r>
      <w:r w:rsidRPr="00654EF1">
        <w:rPr>
          <w:color w:val="000000"/>
          <w:sz w:val="22"/>
          <w:szCs w:val="22"/>
          <w:lang w:val="en-GB"/>
        </w:rPr>
        <w:t>. In the juvenile toxicology study, effects upon growth, delay in vaginal opening and preputial separation were observed at approximately 0.3 to 2 times the average paediatric exposure at the highest recommended dose of 340 mg/m</w:t>
      </w:r>
      <w:r w:rsidRPr="00654EF1">
        <w:rPr>
          <w:color w:val="000000"/>
          <w:sz w:val="22"/>
          <w:szCs w:val="22"/>
          <w:vertAlign w:val="superscript"/>
          <w:lang w:val="en-GB"/>
        </w:rPr>
        <w:t>2</w:t>
      </w:r>
      <w:r w:rsidRPr="00654EF1">
        <w:rPr>
          <w:color w:val="000000"/>
          <w:sz w:val="22"/>
          <w:szCs w:val="22"/>
          <w:lang w:val="en-GB"/>
        </w:rPr>
        <w:t>. In addition, mortality was observed in juvenile animals (around weaning phase) at approximately 2 times the average paediatric exposure at the highest recommended dose of 340 mg/m</w:t>
      </w:r>
      <w:r w:rsidRPr="00654EF1">
        <w:rPr>
          <w:color w:val="000000"/>
          <w:sz w:val="22"/>
          <w:szCs w:val="22"/>
          <w:vertAlign w:val="superscript"/>
          <w:lang w:val="en-GB"/>
        </w:rPr>
        <w:t>2</w:t>
      </w:r>
      <w:r w:rsidRPr="00654EF1">
        <w:rPr>
          <w:color w:val="000000"/>
          <w:sz w:val="22"/>
          <w:szCs w:val="22"/>
          <w:lang w:val="en-GB"/>
        </w:rPr>
        <w:t>.</w:t>
      </w:r>
    </w:p>
    <w:p w14:paraId="1B6803C7" w14:textId="77777777" w:rsidR="009B57ED" w:rsidRPr="00654EF1" w:rsidRDefault="009B57ED" w:rsidP="001D5C8C">
      <w:pPr>
        <w:pStyle w:val="Text"/>
        <w:widowControl w:val="0"/>
        <w:spacing w:before="0"/>
        <w:jc w:val="left"/>
        <w:rPr>
          <w:color w:val="000000"/>
          <w:sz w:val="22"/>
          <w:szCs w:val="22"/>
          <w:lang w:val="en-GB"/>
        </w:rPr>
      </w:pPr>
    </w:p>
    <w:p w14:paraId="1B6803C8" w14:textId="77777777" w:rsidR="009B57ED" w:rsidRPr="00654EF1" w:rsidRDefault="009B57ED" w:rsidP="001D5C8C">
      <w:pPr>
        <w:widowControl w:val="0"/>
        <w:spacing w:line="240" w:lineRule="auto"/>
        <w:rPr>
          <w:color w:val="000000"/>
        </w:rPr>
      </w:pPr>
      <w:r w:rsidRPr="00654EF1">
        <w:rPr>
          <w:color w:val="000000"/>
        </w:rPr>
        <w:t>In the 2-year rat carcinogenicity study administration of imatinib at 15, 30 and 60 mg/kg/day resulted in a statistically significant reduction in the longevity of males at 60 mg/kg/day and females at ≥30 mg/kg/day. Histopathological examination of decedents revealed cardiomyopathy (both sexes), chronic progressive nephropathy (females) and preputial gland papilloma as principal causes of death or reasons for sacrifice. Target organs for neoplastic changes were the kidneys, urinary bladder, urethra, preputial and clitoral gland, small intestine, parathyroid glands, adrenal glands and non-glandular stomach.</w:t>
      </w:r>
    </w:p>
    <w:p w14:paraId="1B6803C9" w14:textId="77777777" w:rsidR="009B57ED" w:rsidRPr="00654EF1" w:rsidRDefault="009B57ED" w:rsidP="001D5C8C">
      <w:pPr>
        <w:widowControl w:val="0"/>
        <w:spacing w:line="240" w:lineRule="auto"/>
        <w:rPr>
          <w:color w:val="000000"/>
        </w:rPr>
      </w:pPr>
    </w:p>
    <w:p w14:paraId="1B6803CA" w14:textId="77777777" w:rsidR="009B57ED" w:rsidRPr="00654EF1" w:rsidRDefault="009B57ED" w:rsidP="001D5C8C">
      <w:pPr>
        <w:widowControl w:val="0"/>
        <w:spacing w:line="240" w:lineRule="auto"/>
        <w:rPr>
          <w:bCs/>
          <w:color w:val="000000"/>
        </w:rPr>
      </w:pPr>
      <w:r w:rsidRPr="00654EF1">
        <w:rPr>
          <w:bCs/>
          <w:color w:val="000000"/>
        </w:rPr>
        <w:t>Papilloma/carcinoma of the preputial/clitoral gland were noted from 30 mg/kg/day onwards, representing approximately 0.5 or 0.3 times the human daily exposure (based on AUC) at 400 mg/day or 800 mg/day, respectively, and 0.4 times the daily exposure in children (based on AUC) at 340 mg/m</w:t>
      </w:r>
      <w:r w:rsidRPr="00654EF1">
        <w:rPr>
          <w:bCs/>
          <w:color w:val="000000"/>
          <w:szCs w:val="22"/>
          <w:vertAlign w:val="superscript"/>
        </w:rPr>
        <w:t>2</w:t>
      </w:r>
      <w:r w:rsidRPr="00654EF1">
        <w:rPr>
          <w:bCs/>
          <w:color w:val="000000"/>
          <w:szCs w:val="22"/>
        </w:rPr>
        <w:t>/day</w:t>
      </w:r>
      <w:r w:rsidRPr="00654EF1">
        <w:rPr>
          <w:bCs/>
          <w:color w:val="000000"/>
        </w:rPr>
        <w:t xml:space="preserve">. The no observed effect level (NOEL) was 15 mg/kg/day. The renal </w:t>
      </w:r>
      <w:r w:rsidRPr="00654EF1">
        <w:rPr>
          <w:bCs/>
          <w:color w:val="000000"/>
        </w:rPr>
        <w:lastRenderedPageBreak/>
        <w:t>adenoma/carcinoma, the urinary bladder and urethra papilloma, the small intestine adenocarcinomas, the parathyroid glands adenomas, the benign and malignant medullary tumours of the adrenal glands and the non-glandular stomach papillomas/carcinomas were noted at 60 mg/kg/day, representing approximately 1.7 or 1 times the human daily exposure (based on AUC) at 400 mg/day or 800 mg/day, respectively, and 1.2 times the daily exposure in children (based on AUC) at 340 mg/m</w:t>
      </w:r>
      <w:r w:rsidRPr="00654EF1">
        <w:rPr>
          <w:bCs/>
          <w:color w:val="000000"/>
          <w:szCs w:val="22"/>
          <w:vertAlign w:val="superscript"/>
        </w:rPr>
        <w:t>2</w:t>
      </w:r>
      <w:r w:rsidRPr="00654EF1">
        <w:rPr>
          <w:bCs/>
          <w:color w:val="000000"/>
          <w:szCs w:val="22"/>
        </w:rPr>
        <w:t>/day</w:t>
      </w:r>
      <w:r w:rsidRPr="00654EF1">
        <w:rPr>
          <w:bCs/>
          <w:color w:val="000000"/>
        </w:rPr>
        <w:t>. The no observed effect level (NOEL) was 30 mg/kg/day.</w:t>
      </w:r>
    </w:p>
    <w:p w14:paraId="1B6803CB" w14:textId="77777777" w:rsidR="009B57ED" w:rsidRPr="00654EF1" w:rsidRDefault="009B57ED" w:rsidP="001D5C8C">
      <w:pPr>
        <w:widowControl w:val="0"/>
        <w:spacing w:line="240" w:lineRule="auto"/>
        <w:rPr>
          <w:bCs/>
          <w:color w:val="000000"/>
        </w:rPr>
      </w:pPr>
    </w:p>
    <w:p w14:paraId="1B6803CC" w14:textId="77777777" w:rsidR="009B57ED" w:rsidRPr="00654EF1" w:rsidRDefault="009B57ED" w:rsidP="001D5C8C">
      <w:pPr>
        <w:widowControl w:val="0"/>
        <w:spacing w:line="240" w:lineRule="auto"/>
        <w:rPr>
          <w:color w:val="000000"/>
          <w:szCs w:val="22"/>
        </w:rPr>
      </w:pPr>
      <w:r w:rsidRPr="00654EF1">
        <w:rPr>
          <w:bCs/>
          <w:color w:val="000000"/>
        </w:rPr>
        <w:t>The mechanism and relevance of these findings in the rat carcinogenicity study for humans are not yet clarified.</w:t>
      </w:r>
    </w:p>
    <w:p w14:paraId="1B6803CD" w14:textId="77777777" w:rsidR="00025611" w:rsidRPr="00654EF1" w:rsidRDefault="00025611" w:rsidP="001D5C8C">
      <w:pPr>
        <w:widowControl w:val="0"/>
        <w:spacing w:line="240" w:lineRule="auto"/>
        <w:rPr>
          <w:bCs/>
          <w:color w:val="000000"/>
        </w:rPr>
      </w:pPr>
    </w:p>
    <w:p w14:paraId="1B6803CE" w14:textId="77777777" w:rsidR="009B57ED" w:rsidRPr="00654EF1" w:rsidRDefault="009B57ED" w:rsidP="001D5C8C">
      <w:pPr>
        <w:widowControl w:val="0"/>
        <w:spacing w:line="240" w:lineRule="auto"/>
        <w:rPr>
          <w:bCs/>
          <w:color w:val="000000"/>
        </w:rPr>
      </w:pPr>
      <w:r w:rsidRPr="00654EF1">
        <w:rPr>
          <w:bCs/>
          <w:color w:val="000000"/>
        </w:rPr>
        <w:t>Non-neoplastic lesions not identified in earlier preclinical studies were the cardiovascular system, pancreas, endocrine organs and teeth. The most important changes included cardiac hypertrophy and dilatation, leading to signs of cardiac insufficiency in some animals.</w:t>
      </w:r>
    </w:p>
    <w:p w14:paraId="1B6803CF" w14:textId="77777777" w:rsidR="00885B4E" w:rsidRPr="00654EF1" w:rsidRDefault="00885B4E" w:rsidP="001D5C8C">
      <w:pPr>
        <w:widowControl w:val="0"/>
        <w:spacing w:line="240" w:lineRule="auto"/>
        <w:rPr>
          <w:bCs/>
          <w:color w:val="000000"/>
        </w:rPr>
      </w:pPr>
    </w:p>
    <w:p w14:paraId="1B6803D0" w14:textId="77777777" w:rsidR="00025611" w:rsidRPr="00654EF1" w:rsidRDefault="00025611" w:rsidP="001D5C8C">
      <w:pPr>
        <w:widowControl w:val="0"/>
        <w:spacing w:line="240" w:lineRule="auto"/>
        <w:rPr>
          <w:color w:val="000000"/>
        </w:rPr>
      </w:pPr>
      <w:r w:rsidRPr="00654EF1">
        <w:rPr>
          <w:bCs/>
          <w:color w:val="000000"/>
        </w:rPr>
        <w:t xml:space="preserve">The active </w:t>
      </w:r>
      <w:r w:rsidR="004B2BC2" w:rsidRPr="00654EF1">
        <w:rPr>
          <w:bCs/>
          <w:color w:val="000000"/>
        </w:rPr>
        <w:t>substance</w:t>
      </w:r>
      <w:r w:rsidRPr="00654EF1">
        <w:rPr>
          <w:bCs/>
          <w:color w:val="000000"/>
        </w:rPr>
        <w:t xml:space="preserve"> </w:t>
      </w:r>
      <w:r w:rsidR="00885B4E" w:rsidRPr="00654EF1">
        <w:rPr>
          <w:bCs/>
          <w:color w:val="000000"/>
        </w:rPr>
        <w:t>i</w:t>
      </w:r>
      <w:r w:rsidRPr="00654EF1">
        <w:rPr>
          <w:bCs/>
          <w:color w:val="000000"/>
        </w:rPr>
        <w:t>matinib demonstrates an environmental risk for sediment organisms.</w:t>
      </w:r>
    </w:p>
    <w:p w14:paraId="1B6803D1" w14:textId="77777777" w:rsidR="009B57ED" w:rsidRPr="00654EF1" w:rsidRDefault="009B57ED" w:rsidP="001D5C8C">
      <w:pPr>
        <w:pStyle w:val="EndnoteText"/>
        <w:widowControl w:val="0"/>
        <w:tabs>
          <w:tab w:val="clear" w:pos="567"/>
        </w:tabs>
        <w:rPr>
          <w:color w:val="000000"/>
        </w:rPr>
      </w:pPr>
    </w:p>
    <w:p w14:paraId="1B6803D2" w14:textId="77777777" w:rsidR="009B57ED" w:rsidRPr="00654EF1" w:rsidRDefault="009B57ED" w:rsidP="001D5C8C">
      <w:pPr>
        <w:pStyle w:val="EndnoteText"/>
        <w:widowControl w:val="0"/>
        <w:tabs>
          <w:tab w:val="clear" w:pos="567"/>
        </w:tabs>
        <w:rPr>
          <w:color w:val="000000"/>
          <w:szCs w:val="22"/>
        </w:rPr>
      </w:pPr>
    </w:p>
    <w:p w14:paraId="1B6803D3" w14:textId="77777777" w:rsidR="009B57ED" w:rsidRPr="00654EF1" w:rsidRDefault="009B57ED" w:rsidP="001D5C8C">
      <w:pPr>
        <w:keepNext/>
        <w:widowControl w:val="0"/>
        <w:tabs>
          <w:tab w:val="clear" w:pos="567"/>
        </w:tabs>
        <w:spacing w:line="240" w:lineRule="auto"/>
        <w:ind w:left="567" w:hanging="567"/>
        <w:rPr>
          <w:b/>
          <w:color w:val="000000"/>
          <w:szCs w:val="22"/>
        </w:rPr>
      </w:pPr>
      <w:r w:rsidRPr="00654EF1">
        <w:rPr>
          <w:b/>
          <w:color w:val="000000"/>
          <w:szCs w:val="22"/>
        </w:rPr>
        <w:t>6.</w:t>
      </w:r>
      <w:r w:rsidRPr="00654EF1">
        <w:rPr>
          <w:b/>
          <w:color w:val="000000"/>
          <w:szCs w:val="22"/>
        </w:rPr>
        <w:tab/>
        <w:t>PHARMACEUTICAL PARTICULARS</w:t>
      </w:r>
    </w:p>
    <w:p w14:paraId="1B6803D4" w14:textId="77777777" w:rsidR="009B57ED" w:rsidRPr="00654EF1" w:rsidRDefault="009B57ED" w:rsidP="001D5C8C">
      <w:pPr>
        <w:pStyle w:val="EndnoteText"/>
        <w:keepNext/>
        <w:widowControl w:val="0"/>
        <w:tabs>
          <w:tab w:val="clear" w:pos="567"/>
        </w:tabs>
        <w:rPr>
          <w:color w:val="000000"/>
          <w:szCs w:val="22"/>
        </w:rPr>
      </w:pPr>
    </w:p>
    <w:p w14:paraId="1B6803D5"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6.1</w:t>
      </w:r>
      <w:r w:rsidRPr="00654EF1">
        <w:rPr>
          <w:b/>
          <w:color w:val="000000"/>
          <w:szCs w:val="22"/>
        </w:rPr>
        <w:tab/>
        <w:t>List of excipients</w:t>
      </w:r>
    </w:p>
    <w:p w14:paraId="1B6803D6" w14:textId="77777777" w:rsidR="009B57ED" w:rsidRPr="00654EF1" w:rsidRDefault="009B57ED" w:rsidP="001D5C8C">
      <w:pPr>
        <w:keepNext/>
        <w:widowControl w:val="0"/>
        <w:tabs>
          <w:tab w:val="clear" w:pos="567"/>
        </w:tabs>
        <w:spacing w:line="240" w:lineRule="auto"/>
        <w:ind w:left="567" w:hanging="567"/>
        <w:rPr>
          <w:color w:val="000000"/>
          <w:szCs w:val="22"/>
        </w:rPr>
      </w:pPr>
    </w:p>
    <w:p w14:paraId="1B6803E6" w14:textId="77777777" w:rsidR="002823B9" w:rsidRPr="00280050" w:rsidRDefault="002823B9" w:rsidP="008808E5">
      <w:pPr>
        <w:keepNext/>
        <w:widowControl w:val="0"/>
        <w:tabs>
          <w:tab w:val="clear" w:pos="567"/>
        </w:tabs>
        <w:spacing w:line="240" w:lineRule="auto"/>
        <w:rPr>
          <w:color w:val="000000"/>
          <w:szCs w:val="22"/>
        </w:rPr>
      </w:pPr>
      <w:r w:rsidRPr="00280050">
        <w:rPr>
          <w:color w:val="000000"/>
          <w:szCs w:val="22"/>
        </w:rPr>
        <w:t>Capsule content:</w:t>
      </w:r>
      <w:r w:rsidRPr="00280050">
        <w:rPr>
          <w:color w:val="000000"/>
          <w:szCs w:val="22"/>
        </w:rPr>
        <w:tab/>
        <w:t>Cellulose microcrystalline</w:t>
      </w:r>
    </w:p>
    <w:p w14:paraId="1B6803E7" w14:textId="77777777" w:rsidR="002823B9" w:rsidRPr="00280050" w:rsidRDefault="002823B9" w:rsidP="001D5C8C">
      <w:pPr>
        <w:keepNext/>
        <w:widowControl w:val="0"/>
        <w:tabs>
          <w:tab w:val="clear" w:pos="567"/>
        </w:tabs>
        <w:spacing w:line="240" w:lineRule="auto"/>
        <w:ind w:left="1134" w:firstLine="567"/>
        <w:rPr>
          <w:color w:val="000000"/>
          <w:szCs w:val="22"/>
        </w:rPr>
      </w:pPr>
      <w:r w:rsidRPr="00280050">
        <w:rPr>
          <w:color w:val="000000"/>
          <w:szCs w:val="22"/>
        </w:rPr>
        <w:t>Crospovidone</w:t>
      </w:r>
    </w:p>
    <w:p w14:paraId="1B6803E8" w14:textId="77777777" w:rsidR="002823B9" w:rsidRPr="00280050" w:rsidRDefault="002823B9" w:rsidP="001D5C8C">
      <w:pPr>
        <w:keepNext/>
        <w:widowControl w:val="0"/>
        <w:tabs>
          <w:tab w:val="clear" w:pos="567"/>
        </w:tabs>
        <w:spacing w:line="240" w:lineRule="auto"/>
        <w:ind w:left="1701"/>
        <w:rPr>
          <w:color w:val="000000"/>
          <w:szCs w:val="22"/>
        </w:rPr>
      </w:pPr>
      <w:r w:rsidRPr="00280050">
        <w:rPr>
          <w:color w:val="000000"/>
          <w:szCs w:val="22"/>
        </w:rPr>
        <w:t>Magnesium stearate</w:t>
      </w:r>
    </w:p>
    <w:p w14:paraId="1B6803E9" w14:textId="77777777" w:rsidR="002823B9" w:rsidRPr="00280050" w:rsidRDefault="002823B9" w:rsidP="001D5C8C">
      <w:pPr>
        <w:widowControl w:val="0"/>
        <w:tabs>
          <w:tab w:val="clear" w:pos="567"/>
        </w:tabs>
        <w:spacing w:line="240" w:lineRule="auto"/>
        <w:ind w:left="1701"/>
        <w:rPr>
          <w:color w:val="000000"/>
          <w:szCs w:val="22"/>
        </w:rPr>
      </w:pPr>
      <w:r w:rsidRPr="00280050">
        <w:rPr>
          <w:color w:val="000000"/>
          <w:szCs w:val="22"/>
        </w:rPr>
        <w:t>Silica colloidal, anhydrous</w:t>
      </w:r>
    </w:p>
    <w:p w14:paraId="1B6803EA" w14:textId="77777777" w:rsidR="002823B9" w:rsidRPr="00280050" w:rsidRDefault="002823B9" w:rsidP="001D5C8C">
      <w:pPr>
        <w:widowControl w:val="0"/>
        <w:tabs>
          <w:tab w:val="clear" w:pos="567"/>
        </w:tabs>
        <w:spacing w:line="240" w:lineRule="auto"/>
        <w:rPr>
          <w:color w:val="000000"/>
          <w:szCs w:val="22"/>
        </w:rPr>
      </w:pPr>
    </w:p>
    <w:p w14:paraId="1B6803EB" w14:textId="77777777" w:rsidR="002823B9" w:rsidRPr="00654EF1" w:rsidRDefault="002823B9" w:rsidP="001D5C8C">
      <w:pPr>
        <w:keepNext/>
        <w:widowControl w:val="0"/>
        <w:tabs>
          <w:tab w:val="clear" w:pos="567"/>
        </w:tabs>
        <w:spacing w:line="240" w:lineRule="auto"/>
        <w:rPr>
          <w:color w:val="000000"/>
          <w:szCs w:val="22"/>
        </w:rPr>
      </w:pPr>
      <w:r w:rsidRPr="00654EF1">
        <w:rPr>
          <w:color w:val="000000"/>
          <w:szCs w:val="22"/>
        </w:rPr>
        <w:t>Capsule shell:</w:t>
      </w:r>
      <w:r w:rsidRPr="00654EF1">
        <w:rPr>
          <w:color w:val="000000"/>
          <w:szCs w:val="22"/>
        </w:rPr>
        <w:tab/>
        <w:t>Gelatin</w:t>
      </w:r>
    </w:p>
    <w:p w14:paraId="1B6803EC" w14:textId="77777777" w:rsidR="002823B9" w:rsidRPr="00280050" w:rsidRDefault="002823B9" w:rsidP="001D5C8C">
      <w:pPr>
        <w:keepNext/>
        <w:widowControl w:val="0"/>
        <w:tabs>
          <w:tab w:val="clear" w:pos="567"/>
        </w:tabs>
        <w:spacing w:line="240" w:lineRule="auto"/>
        <w:ind w:left="1701"/>
        <w:rPr>
          <w:color w:val="000000"/>
          <w:szCs w:val="22"/>
          <w:lang w:val="es-ES_tradnl"/>
        </w:rPr>
      </w:pPr>
      <w:r w:rsidRPr="00280050">
        <w:rPr>
          <w:color w:val="000000"/>
          <w:szCs w:val="22"/>
          <w:lang w:val="es-ES_tradnl"/>
        </w:rPr>
        <w:t>Iron oxide, red (E172)</w:t>
      </w:r>
    </w:p>
    <w:p w14:paraId="1B6803ED" w14:textId="77777777" w:rsidR="002823B9" w:rsidRPr="00280050" w:rsidRDefault="002823B9" w:rsidP="001D5C8C">
      <w:pPr>
        <w:keepNext/>
        <w:widowControl w:val="0"/>
        <w:tabs>
          <w:tab w:val="clear" w:pos="567"/>
        </w:tabs>
        <w:spacing w:line="240" w:lineRule="auto"/>
        <w:ind w:left="1134" w:firstLine="567"/>
        <w:rPr>
          <w:color w:val="000000"/>
          <w:szCs w:val="22"/>
          <w:lang w:val="es-ES_tradnl"/>
        </w:rPr>
      </w:pPr>
      <w:r w:rsidRPr="00280050">
        <w:rPr>
          <w:color w:val="000000"/>
          <w:szCs w:val="22"/>
          <w:lang w:val="es-ES_tradnl"/>
        </w:rPr>
        <w:t>Iron oxide, yellow (E172)</w:t>
      </w:r>
    </w:p>
    <w:p w14:paraId="1B6803EE" w14:textId="77777777" w:rsidR="002823B9" w:rsidRPr="00280050" w:rsidRDefault="002823B9" w:rsidP="001D5C8C">
      <w:pPr>
        <w:widowControl w:val="0"/>
        <w:tabs>
          <w:tab w:val="clear" w:pos="567"/>
        </w:tabs>
        <w:spacing w:line="240" w:lineRule="auto"/>
        <w:ind w:left="1134" w:firstLine="567"/>
        <w:rPr>
          <w:color w:val="000000"/>
          <w:szCs w:val="22"/>
          <w:lang w:val="es-ES_tradnl"/>
        </w:rPr>
      </w:pPr>
      <w:r w:rsidRPr="00280050">
        <w:rPr>
          <w:color w:val="000000"/>
          <w:szCs w:val="22"/>
          <w:lang w:val="es-ES_tradnl"/>
        </w:rPr>
        <w:t>Titanium dioxide (E171)</w:t>
      </w:r>
    </w:p>
    <w:p w14:paraId="1B6803EF" w14:textId="77777777" w:rsidR="002823B9" w:rsidRPr="00280050" w:rsidRDefault="002823B9" w:rsidP="001D5C8C">
      <w:pPr>
        <w:widowControl w:val="0"/>
        <w:tabs>
          <w:tab w:val="clear" w:pos="567"/>
        </w:tabs>
        <w:spacing w:line="240" w:lineRule="auto"/>
        <w:rPr>
          <w:color w:val="000000"/>
          <w:szCs w:val="22"/>
          <w:lang w:val="es-ES_tradnl"/>
        </w:rPr>
      </w:pPr>
    </w:p>
    <w:p w14:paraId="1B6803F0" w14:textId="77777777" w:rsidR="002823B9" w:rsidRPr="00654EF1" w:rsidRDefault="002823B9" w:rsidP="001D5C8C">
      <w:pPr>
        <w:keepNext/>
        <w:widowControl w:val="0"/>
        <w:tabs>
          <w:tab w:val="clear" w:pos="567"/>
          <w:tab w:val="left" w:pos="1701"/>
        </w:tabs>
        <w:spacing w:line="240" w:lineRule="auto"/>
        <w:rPr>
          <w:color w:val="000000"/>
          <w:szCs w:val="22"/>
          <w:lang w:val="es-ES"/>
        </w:rPr>
      </w:pPr>
      <w:r w:rsidRPr="00654EF1">
        <w:rPr>
          <w:color w:val="000000"/>
          <w:szCs w:val="22"/>
          <w:lang w:val="es-ES"/>
        </w:rPr>
        <w:t>Printing ink:</w:t>
      </w:r>
      <w:r w:rsidRPr="00654EF1">
        <w:rPr>
          <w:color w:val="000000"/>
          <w:szCs w:val="22"/>
          <w:lang w:val="es-ES"/>
        </w:rPr>
        <w:tab/>
        <w:t>Iron oxide, red (E172)</w:t>
      </w:r>
    </w:p>
    <w:p w14:paraId="1B6803F1" w14:textId="77777777" w:rsidR="002823B9" w:rsidRPr="00280050" w:rsidRDefault="002823B9" w:rsidP="001D5C8C">
      <w:pPr>
        <w:widowControl w:val="0"/>
        <w:tabs>
          <w:tab w:val="clear" w:pos="567"/>
        </w:tabs>
        <w:spacing w:line="240" w:lineRule="auto"/>
        <w:ind w:left="1701"/>
        <w:rPr>
          <w:color w:val="000000"/>
          <w:szCs w:val="22"/>
          <w:lang w:val="es-ES_tradnl"/>
        </w:rPr>
      </w:pPr>
      <w:r w:rsidRPr="00280050">
        <w:rPr>
          <w:color w:val="000000"/>
          <w:szCs w:val="22"/>
          <w:lang w:val="es-ES_tradnl"/>
        </w:rPr>
        <w:t>Shellac</w:t>
      </w:r>
    </w:p>
    <w:p w14:paraId="1B6803F2" w14:textId="77777777" w:rsidR="009B57ED" w:rsidRPr="00280050" w:rsidRDefault="009B57ED" w:rsidP="001D5C8C">
      <w:pPr>
        <w:widowControl w:val="0"/>
        <w:tabs>
          <w:tab w:val="clear" w:pos="567"/>
        </w:tabs>
        <w:spacing w:line="240" w:lineRule="auto"/>
        <w:rPr>
          <w:color w:val="000000"/>
          <w:szCs w:val="22"/>
          <w:lang w:val="es-ES_tradnl"/>
        </w:rPr>
      </w:pPr>
    </w:p>
    <w:p w14:paraId="1B6803F3"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6.2</w:t>
      </w:r>
      <w:r w:rsidRPr="00654EF1">
        <w:rPr>
          <w:b/>
          <w:color w:val="000000"/>
          <w:szCs w:val="22"/>
        </w:rPr>
        <w:tab/>
        <w:t>Incompatibilities</w:t>
      </w:r>
    </w:p>
    <w:p w14:paraId="1B6803F4" w14:textId="77777777" w:rsidR="009B57ED" w:rsidRPr="00654EF1" w:rsidRDefault="009B57ED" w:rsidP="001D5C8C">
      <w:pPr>
        <w:keepNext/>
        <w:widowControl w:val="0"/>
        <w:tabs>
          <w:tab w:val="clear" w:pos="567"/>
        </w:tabs>
        <w:spacing w:line="240" w:lineRule="auto"/>
        <w:rPr>
          <w:color w:val="000000"/>
          <w:szCs w:val="22"/>
        </w:rPr>
      </w:pPr>
    </w:p>
    <w:p w14:paraId="1B6803F5"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Not applicable.</w:t>
      </w:r>
    </w:p>
    <w:p w14:paraId="1B6803F6" w14:textId="77777777" w:rsidR="009B57ED" w:rsidRPr="00654EF1" w:rsidRDefault="009B57ED" w:rsidP="001D5C8C">
      <w:pPr>
        <w:pStyle w:val="EndnoteText"/>
        <w:widowControl w:val="0"/>
        <w:tabs>
          <w:tab w:val="clear" w:pos="567"/>
        </w:tabs>
        <w:rPr>
          <w:color w:val="000000"/>
          <w:szCs w:val="22"/>
        </w:rPr>
      </w:pPr>
    </w:p>
    <w:p w14:paraId="1B6803F7"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6.3</w:t>
      </w:r>
      <w:r w:rsidRPr="00654EF1">
        <w:rPr>
          <w:b/>
          <w:color w:val="000000"/>
          <w:szCs w:val="22"/>
        </w:rPr>
        <w:tab/>
        <w:t>Shelf life</w:t>
      </w:r>
    </w:p>
    <w:p w14:paraId="1B6803F8" w14:textId="77777777" w:rsidR="009B57ED" w:rsidRPr="00654EF1" w:rsidRDefault="009B57ED" w:rsidP="001D5C8C">
      <w:pPr>
        <w:keepNext/>
        <w:widowControl w:val="0"/>
        <w:tabs>
          <w:tab w:val="clear" w:pos="567"/>
        </w:tabs>
        <w:spacing w:line="240" w:lineRule="auto"/>
        <w:rPr>
          <w:color w:val="000000"/>
          <w:szCs w:val="22"/>
        </w:rPr>
      </w:pPr>
    </w:p>
    <w:p w14:paraId="1B6803F9"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2 years</w:t>
      </w:r>
    </w:p>
    <w:p w14:paraId="1B6803FA" w14:textId="77777777" w:rsidR="009B57ED" w:rsidRPr="00654EF1" w:rsidRDefault="009B57ED" w:rsidP="001D5C8C">
      <w:pPr>
        <w:pStyle w:val="EndnoteText"/>
        <w:widowControl w:val="0"/>
        <w:tabs>
          <w:tab w:val="clear" w:pos="567"/>
        </w:tabs>
        <w:rPr>
          <w:color w:val="000000"/>
          <w:szCs w:val="22"/>
        </w:rPr>
      </w:pPr>
    </w:p>
    <w:p w14:paraId="1B6803FB"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6.4</w:t>
      </w:r>
      <w:r w:rsidRPr="00654EF1">
        <w:rPr>
          <w:b/>
          <w:color w:val="000000"/>
          <w:szCs w:val="22"/>
        </w:rPr>
        <w:tab/>
        <w:t>Special precautions for storage</w:t>
      </w:r>
    </w:p>
    <w:p w14:paraId="1B6803FC" w14:textId="77777777" w:rsidR="009B57ED" w:rsidRPr="00654EF1" w:rsidRDefault="009B57ED" w:rsidP="001D5C8C">
      <w:pPr>
        <w:keepNext/>
        <w:widowControl w:val="0"/>
        <w:tabs>
          <w:tab w:val="clear" w:pos="567"/>
        </w:tabs>
        <w:spacing w:line="240" w:lineRule="auto"/>
        <w:rPr>
          <w:color w:val="000000"/>
          <w:szCs w:val="22"/>
        </w:rPr>
      </w:pPr>
    </w:p>
    <w:p w14:paraId="1B6803FD"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Do not store above 30</w:t>
      </w:r>
      <w:r w:rsidRPr="00654EF1">
        <w:rPr>
          <w:color w:val="000000"/>
          <w:szCs w:val="22"/>
        </w:rPr>
        <w:sym w:font="Symbol" w:char="F0B0"/>
      </w:r>
      <w:r w:rsidRPr="00654EF1">
        <w:rPr>
          <w:color w:val="000000"/>
          <w:szCs w:val="22"/>
        </w:rPr>
        <w:t>C.</w:t>
      </w:r>
    </w:p>
    <w:p w14:paraId="1B6803FE" w14:textId="77777777" w:rsidR="009B57ED" w:rsidRPr="00654EF1" w:rsidRDefault="009B57ED" w:rsidP="001D5C8C">
      <w:pPr>
        <w:widowControl w:val="0"/>
        <w:tabs>
          <w:tab w:val="clear" w:pos="567"/>
        </w:tabs>
        <w:spacing w:line="240" w:lineRule="auto"/>
        <w:rPr>
          <w:color w:val="000000"/>
          <w:szCs w:val="22"/>
        </w:rPr>
      </w:pPr>
    </w:p>
    <w:p w14:paraId="1B6803FF"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Store in the original package</w:t>
      </w:r>
      <w:r w:rsidRPr="00654EF1">
        <w:rPr>
          <w:noProof/>
          <w:color w:val="000000"/>
        </w:rPr>
        <w:t xml:space="preserve"> in order to protect from moisture</w:t>
      </w:r>
      <w:r w:rsidRPr="00654EF1">
        <w:rPr>
          <w:color w:val="000000"/>
          <w:szCs w:val="22"/>
        </w:rPr>
        <w:t>.</w:t>
      </w:r>
    </w:p>
    <w:p w14:paraId="1B680400" w14:textId="77777777" w:rsidR="009B57ED" w:rsidRPr="00654EF1" w:rsidRDefault="009B57ED" w:rsidP="001D5C8C">
      <w:pPr>
        <w:widowControl w:val="0"/>
        <w:tabs>
          <w:tab w:val="clear" w:pos="567"/>
        </w:tabs>
        <w:spacing w:line="240" w:lineRule="auto"/>
        <w:rPr>
          <w:color w:val="000000"/>
          <w:szCs w:val="22"/>
        </w:rPr>
      </w:pPr>
    </w:p>
    <w:p w14:paraId="1B680401"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6.5</w:t>
      </w:r>
      <w:r w:rsidRPr="00654EF1">
        <w:rPr>
          <w:b/>
          <w:color w:val="000000"/>
          <w:szCs w:val="22"/>
        </w:rPr>
        <w:tab/>
        <w:t>Nature and contents of container</w:t>
      </w:r>
    </w:p>
    <w:p w14:paraId="1B680402" w14:textId="77777777" w:rsidR="009B57ED" w:rsidRPr="00654EF1" w:rsidRDefault="009B57ED" w:rsidP="001D5C8C">
      <w:pPr>
        <w:pStyle w:val="EndnoteText"/>
        <w:keepNext/>
        <w:widowControl w:val="0"/>
        <w:tabs>
          <w:tab w:val="clear" w:pos="567"/>
        </w:tabs>
        <w:rPr>
          <w:color w:val="000000"/>
          <w:szCs w:val="22"/>
        </w:rPr>
      </w:pPr>
    </w:p>
    <w:p w14:paraId="1B680403" w14:textId="77777777" w:rsidR="009B57ED" w:rsidRPr="00654EF1" w:rsidRDefault="009B57ED" w:rsidP="001D5C8C">
      <w:pPr>
        <w:pStyle w:val="EndnoteText"/>
        <w:widowControl w:val="0"/>
        <w:tabs>
          <w:tab w:val="clear" w:pos="567"/>
        </w:tabs>
        <w:rPr>
          <w:color w:val="000000"/>
          <w:szCs w:val="22"/>
        </w:rPr>
      </w:pPr>
      <w:r w:rsidRPr="00654EF1">
        <w:rPr>
          <w:color w:val="000000"/>
          <w:szCs w:val="22"/>
        </w:rPr>
        <w:t>PVC/aluminium blisters</w:t>
      </w:r>
    </w:p>
    <w:p w14:paraId="1B680404" w14:textId="77777777" w:rsidR="009B57ED" w:rsidRPr="00654EF1" w:rsidRDefault="009B57ED" w:rsidP="001D5C8C">
      <w:pPr>
        <w:widowControl w:val="0"/>
        <w:tabs>
          <w:tab w:val="clear" w:pos="567"/>
        </w:tabs>
        <w:spacing w:line="240" w:lineRule="auto"/>
        <w:ind w:left="567" w:hanging="567"/>
        <w:rPr>
          <w:color w:val="000000"/>
          <w:szCs w:val="22"/>
        </w:rPr>
      </w:pPr>
    </w:p>
    <w:p w14:paraId="1B680409" w14:textId="77777777" w:rsidR="002823B9" w:rsidRPr="00654EF1" w:rsidRDefault="002823B9" w:rsidP="008808E5">
      <w:pPr>
        <w:pStyle w:val="EndnoteText"/>
        <w:widowControl w:val="0"/>
        <w:tabs>
          <w:tab w:val="clear" w:pos="567"/>
        </w:tabs>
        <w:rPr>
          <w:color w:val="000000"/>
          <w:szCs w:val="22"/>
        </w:rPr>
      </w:pPr>
      <w:r w:rsidRPr="00654EF1">
        <w:rPr>
          <w:color w:val="000000"/>
          <w:szCs w:val="22"/>
        </w:rPr>
        <w:t>Packs containing 24, 48, 96, 120 and 180 capsules.</w:t>
      </w:r>
    </w:p>
    <w:p w14:paraId="1B68040A" w14:textId="77777777" w:rsidR="002823B9" w:rsidRPr="00654EF1" w:rsidRDefault="002823B9" w:rsidP="001D5C8C">
      <w:pPr>
        <w:pStyle w:val="EndnoteText"/>
        <w:widowControl w:val="0"/>
        <w:tabs>
          <w:tab w:val="clear" w:pos="567"/>
        </w:tabs>
        <w:rPr>
          <w:color w:val="000000"/>
          <w:szCs w:val="22"/>
        </w:rPr>
      </w:pPr>
    </w:p>
    <w:p w14:paraId="1B68040B" w14:textId="77777777" w:rsidR="002823B9" w:rsidRPr="00654EF1" w:rsidRDefault="002823B9" w:rsidP="001D5C8C">
      <w:pPr>
        <w:pStyle w:val="EndnoteText"/>
        <w:widowControl w:val="0"/>
        <w:tabs>
          <w:tab w:val="clear" w:pos="567"/>
        </w:tabs>
        <w:rPr>
          <w:color w:val="000000"/>
          <w:szCs w:val="22"/>
        </w:rPr>
      </w:pPr>
      <w:r w:rsidRPr="00654EF1">
        <w:rPr>
          <w:color w:val="000000"/>
          <w:szCs w:val="22"/>
        </w:rPr>
        <w:t>Not all pack sizes may be marketed.</w:t>
      </w:r>
    </w:p>
    <w:p w14:paraId="1B68040C" w14:textId="77777777" w:rsidR="009B57ED" w:rsidRPr="00654EF1" w:rsidRDefault="009B57ED" w:rsidP="001D5C8C">
      <w:pPr>
        <w:pStyle w:val="EndnoteText"/>
        <w:widowControl w:val="0"/>
        <w:tabs>
          <w:tab w:val="clear" w:pos="567"/>
        </w:tabs>
        <w:rPr>
          <w:color w:val="000000"/>
          <w:szCs w:val="22"/>
        </w:rPr>
      </w:pPr>
    </w:p>
    <w:p w14:paraId="1B68040D"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lastRenderedPageBreak/>
        <w:t>6.6</w:t>
      </w:r>
      <w:r w:rsidRPr="00654EF1">
        <w:rPr>
          <w:b/>
          <w:color w:val="000000"/>
          <w:szCs w:val="22"/>
        </w:rPr>
        <w:tab/>
        <w:t>Special precautions for disposal</w:t>
      </w:r>
    </w:p>
    <w:p w14:paraId="1B68040E" w14:textId="77777777" w:rsidR="009B57ED" w:rsidRPr="00654EF1" w:rsidRDefault="009B57ED" w:rsidP="001D5C8C">
      <w:pPr>
        <w:pStyle w:val="EndnoteText"/>
        <w:keepNext/>
        <w:widowControl w:val="0"/>
        <w:tabs>
          <w:tab w:val="clear" w:pos="567"/>
        </w:tabs>
        <w:rPr>
          <w:color w:val="000000"/>
          <w:szCs w:val="22"/>
        </w:rPr>
      </w:pPr>
    </w:p>
    <w:p w14:paraId="1B68040F" w14:textId="77777777" w:rsidR="009B57ED" w:rsidRPr="00654EF1" w:rsidRDefault="00025611" w:rsidP="001D5C8C">
      <w:pPr>
        <w:pStyle w:val="EndnoteText"/>
        <w:widowControl w:val="0"/>
        <w:tabs>
          <w:tab w:val="clear" w:pos="567"/>
        </w:tabs>
        <w:rPr>
          <w:color w:val="000000"/>
          <w:szCs w:val="22"/>
        </w:rPr>
      </w:pPr>
      <w:r w:rsidRPr="00654EF1">
        <w:rPr>
          <w:color w:val="000000"/>
          <w:szCs w:val="22"/>
        </w:rPr>
        <w:t>Any unused medicinal product</w:t>
      </w:r>
      <w:r w:rsidR="000852F8" w:rsidRPr="00654EF1">
        <w:rPr>
          <w:color w:val="000000"/>
          <w:szCs w:val="22"/>
        </w:rPr>
        <w:t xml:space="preserve"> or waste material</w:t>
      </w:r>
      <w:r w:rsidRPr="00654EF1">
        <w:rPr>
          <w:color w:val="000000"/>
          <w:szCs w:val="22"/>
        </w:rPr>
        <w:t xml:space="preserve"> should be disposed of in accordance with local requirements.</w:t>
      </w:r>
    </w:p>
    <w:p w14:paraId="1B680410" w14:textId="77777777" w:rsidR="009B57ED" w:rsidRPr="00654EF1" w:rsidRDefault="009B57ED" w:rsidP="001D5C8C">
      <w:pPr>
        <w:pStyle w:val="EndnoteText"/>
        <w:widowControl w:val="0"/>
        <w:tabs>
          <w:tab w:val="clear" w:pos="567"/>
        </w:tabs>
        <w:rPr>
          <w:color w:val="000000"/>
          <w:szCs w:val="22"/>
        </w:rPr>
      </w:pPr>
    </w:p>
    <w:p w14:paraId="1B680411" w14:textId="77777777" w:rsidR="009B57ED" w:rsidRPr="00654EF1" w:rsidRDefault="009B57ED" w:rsidP="001D5C8C">
      <w:pPr>
        <w:pStyle w:val="EndnoteText"/>
        <w:widowControl w:val="0"/>
        <w:tabs>
          <w:tab w:val="clear" w:pos="567"/>
        </w:tabs>
        <w:rPr>
          <w:color w:val="000000"/>
          <w:szCs w:val="22"/>
        </w:rPr>
      </w:pPr>
    </w:p>
    <w:p w14:paraId="1B680412"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7.</w:t>
      </w:r>
      <w:r w:rsidRPr="00654EF1">
        <w:rPr>
          <w:b/>
          <w:color w:val="000000"/>
          <w:szCs w:val="22"/>
        </w:rPr>
        <w:tab/>
        <w:t>MARKETING AUTHORISATION HOLDER</w:t>
      </w:r>
    </w:p>
    <w:p w14:paraId="1B680413" w14:textId="77777777" w:rsidR="009B57ED" w:rsidRPr="00654EF1" w:rsidRDefault="009B57ED" w:rsidP="001D5C8C">
      <w:pPr>
        <w:pStyle w:val="EndnoteText"/>
        <w:keepNext/>
        <w:widowControl w:val="0"/>
        <w:tabs>
          <w:tab w:val="clear" w:pos="567"/>
        </w:tabs>
        <w:rPr>
          <w:color w:val="000000"/>
          <w:szCs w:val="22"/>
        </w:rPr>
      </w:pPr>
    </w:p>
    <w:p w14:paraId="1B680414"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415" w14:textId="77777777" w:rsidR="005716CE" w:rsidRPr="00654EF1" w:rsidRDefault="005716CE" w:rsidP="001D5C8C">
      <w:pPr>
        <w:keepNext/>
        <w:widowControl w:val="0"/>
        <w:spacing w:line="240" w:lineRule="auto"/>
        <w:rPr>
          <w:color w:val="000000"/>
        </w:rPr>
      </w:pPr>
      <w:r w:rsidRPr="00654EF1">
        <w:rPr>
          <w:color w:val="000000"/>
        </w:rPr>
        <w:t>Vista Building</w:t>
      </w:r>
    </w:p>
    <w:p w14:paraId="1B680416"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417" w14:textId="77777777" w:rsidR="005716CE" w:rsidRPr="00654EF1" w:rsidRDefault="005716CE" w:rsidP="001D5C8C">
      <w:pPr>
        <w:keepNext/>
        <w:widowControl w:val="0"/>
        <w:spacing w:line="240" w:lineRule="auto"/>
        <w:rPr>
          <w:color w:val="000000"/>
        </w:rPr>
      </w:pPr>
      <w:r w:rsidRPr="00654EF1">
        <w:rPr>
          <w:color w:val="000000"/>
        </w:rPr>
        <w:t>Dublin 4</w:t>
      </w:r>
    </w:p>
    <w:p w14:paraId="1B680418" w14:textId="77777777" w:rsidR="005716CE" w:rsidRPr="00654EF1" w:rsidRDefault="005716CE" w:rsidP="001D5C8C">
      <w:pPr>
        <w:spacing w:line="240" w:lineRule="auto"/>
        <w:rPr>
          <w:color w:val="000000"/>
        </w:rPr>
      </w:pPr>
      <w:r w:rsidRPr="00654EF1">
        <w:rPr>
          <w:color w:val="000000"/>
        </w:rPr>
        <w:t>Ireland</w:t>
      </w:r>
    </w:p>
    <w:p w14:paraId="1B680419" w14:textId="77777777" w:rsidR="009B57ED" w:rsidRPr="00654EF1" w:rsidRDefault="009B57ED" w:rsidP="001D5C8C">
      <w:pPr>
        <w:widowControl w:val="0"/>
        <w:tabs>
          <w:tab w:val="clear" w:pos="567"/>
        </w:tabs>
        <w:spacing w:line="240" w:lineRule="auto"/>
        <w:rPr>
          <w:color w:val="000000"/>
          <w:szCs w:val="22"/>
        </w:rPr>
      </w:pPr>
    </w:p>
    <w:p w14:paraId="1B68041A" w14:textId="77777777" w:rsidR="009B57ED" w:rsidRPr="00654EF1" w:rsidRDefault="009B57ED" w:rsidP="001D5C8C">
      <w:pPr>
        <w:pStyle w:val="EndnoteText"/>
        <w:widowControl w:val="0"/>
        <w:tabs>
          <w:tab w:val="clear" w:pos="567"/>
        </w:tabs>
        <w:rPr>
          <w:color w:val="000000"/>
          <w:szCs w:val="22"/>
        </w:rPr>
      </w:pPr>
    </w:p>
    <w:p w14:paraId="1B68041B" w14:textId="77777777" w:rsidR="009B57ED" w:rsidRPr="00654EF1" w:rsidRDefault="009B57ED" w:rsidP="001D5C8C">
      <w:pPr>
        <w:pStyle w:val="BodyTextIndent"/>
        <w:keepNext/>
        <w:widowControl w:val="0"/>
        <w:rPr>
          <w:color w:val="000000"/>
          <w:szCs w:val="22"/>
        </w:rPr>
      </w:pPr>
      <w:r w:rsidRPr="00654EF1">
        <w:rPr>
          <w:color w:val="000000"/>
          <w:szCs w:val="22"/>
        </w:rPr>
        <w:t>8.</w:t>
      </w:r>
      <w:r w:rsidRPr="00654EF1">
        <w:rPr>
          <w:color w:val="000000"/>
          <w:szCs w:val="22"/>
        </w:rPr>
        <w:tab/>
        <w:t>MARKETING AUTHORISATION NUMBER(S)</w:t>
      </w:r>
    </w:p>
    <w:p w14:paraId="1B68041C" w14:textId="77777777" w:rsidR="009B57ED" w:rsidRPr="00654EF1" w:rsidRDefault="009B57ED" w:rsidP="001D5C8C">
      <w:pPr>
        <w:pStyle w:val="EndnoteText"/>
        <w:keepNext/>
        <w:widowControl w:val="0"/>
        <w:tabs>
          <w:tab w:val="clear" w:pos="567"/>
          <w:tab w:val="left" w:pos="4962"/>
        </w:tabs>
        <w:rPr>
          <w:color w:val="000000"/>
          <w:szCs w:val="22"/>
        </w:rPr>
      </w:pPr>
    </w:p>
    <w:p w14:paraId="1B680421" w14:textId="77777777" w:rsidR="002823B9" w:rsidRPr="008808E5" w:rsidRDefault="002823B9" w:rsidP="008808E5">
      <w:pPr>
        <w:pStyle w:val="EndnoteText"/>
        <w:widowControl w:val="0"/>
        <w:tabs>
          <w:tab w:val="clear" w:pos="567"/>
        </w:tabs>
        <w:rPr>
          <w:color w:val="000000"/>
          <w:szCs w:val="22"/>
          <w:lang w:val="en-US"/>
        </w:rPr>
      </w:pPr>
      <w:r w:rsidRPr="008808E5">
        <w:rPr>
          <w:color w:val="000000"/>
          <w:szCs w:val="22"/>
          <w:lang w:val="en-US"/>
        </w:rPr>
        <w:t>EU/1/01/198/002-006</w:t>
      </w:r>
    </w:p>
    <w:p w14:paraId="1B680422" w14:textId="77777777" w:rsidR="009B57ED" w:rsidRPr="008808E5" w:rsidRDefault="009B57ED" w:rsidP="001D5C8C">
      <w:pPr>
        <w:pStyle w:val="EndnoteText"/>
        <w:widowControl w:val="0"/>
        <w:tabs>
          <w:tab w:val="clear" w:pos="567"/>
        </w:tabs>
        <w:rPr>
          <w:color w:val="000000"/>
          <w:szCs w:val="22"/>
          <w:lang w:val="en-US"/>
        </w:rPr>
      </w:pPr>
    </w:p>
    <w:p w14:paraId="1B680423" w14:textId="77777777" w:rsidR="009B57ED" w:rsidRPr="008808E5" w:rsidRDefault="009B57ED" w:rsidP="001D5C8C">
      <w:pPr>
        <w:widowControl w:val="0"/>
        <w:tabs>
          <w:tab w:val="clear" w:pos="567"/>
        </w:tabs>
        <w:spacing w:line="240" w:lineRule="auto"/>
        <w:rPr>
          <w:color w:val="000000"/>
          <w:szCs w:val="22"/>
          <w:lang w:val="en-US"/>
        </w:rPr>
      </w:pPr>
    </w:p>
    <w:p w14:paraId="1B680424" w14:textId="77777777" w:rsidR="009B57ED" w:rsidRPr="00654EF1" w:rsidRDefault="009B57ED" w:rsidP="001D5C8C">
      <w:pPr>
        <w:keepNext/>
        <w:widowControl w:val="0"/>
        <w:tabs>
          <w:tab w:val="clear" w:pos="567"/>
        </w:tabs>
        <w:spacing w:line="240" w:lineRule="auto"/>
        <w:ind w:left="567" w:hanging="567"/>
        <w:rPr>
          <w:color w:val="000000"/>
          <w:szCs w:val="22"/>
        </w:rPr>
      </w:pPr>
      <w:r w:rsidRPr="00654EF1">
        <w:rPr>
          <w:b/>
          <w:color w:val="000000"/>
          <w:szCs w:val="22"/>
        </w:rPr>
        <w:t>9.</w:t>
      </w:r>
      <w:r w:rsidRPr="00654EF1">
        <w:rPr>
          <w:b/>
          <w:color w:val="000000"/>
          <w:szCs w:val="22"/>
        </w:rPr>
        <w:tab/>
        <w:t>DATE OF FIRST AUTHORISATION/RENEWAL OF THE AUTHORISATION</w:t>
      </w:r>
    </w:p>
    <w:p w14:paraId="1B680425" w14:textId="77777777" w:rsidR="009B57ED" w:rsidRPr="00654EF1" w:rsidRDefault="009B57ED" w:rsidP="001D5C8C">
      <w:pPr>
        <w:keepNext/>
        <w:widowControl w:val="0"/>
        <w:spacing w:line="240" w:lineRule="auto"/>
        <w:rPr>
          <w:color w:val="000000"/>
          <w:szCs w:val="22"/>
          <w:lang w:val="en-US"/>
        </w:rPr>
      </w:pPr>
    </w:p>
    <w:p w14:paraId="1B680426" w14:textId="77777777" w:rsidR="009B57ED" w:rsidRPr="00654EF1" w:rsidRDefault="009B57ED" w:rsidP="001D5C8C">
      <w:pPr>
        <w:keepNext/>
        <w:widowControl w:val="0"/>
        <w:spacing w:line="240" w:lineRule="auto"/>
        <w:rPr>
          <w:color w:val="000000"/>
          <w:szCs w:val="22"/>
          <w:lang w:val="en-US"/>
        </w:rPr>
      </w:pPr>
      <w:r w:rsidRPr="00654EF1">
        <w:rPr>
          <w:color w:val="000000"/>
          <w:szCs w:val="22"/>
        </w:rPr>
        <w:t xml:space="preserve">Date of first authorisation: </w:t>
      </w:r>
      <w:r w:rsidRPr="00654EF1">
        <w:rPr>
          <w:color w:val="000000"/>
          <w:szCs w:val="22"/>
          <w:lang w:val="en-US"/>
        </w:rPr>
        <w:t>07</w:t>
      </w:r>
      <w:r w:rsidR="00F11614" w:rsidRPr="00654EF1">
        <w:rPr>
          <w:color w:val="000000"/>
          <w:szCs w:val="22"/>
          <w:lang w:val="en-US"/>
        </w:rPr>
        <w:t xml:space="preserve"> November </w:t>
      </w:r>
      <w:r w:rsidRPr="00654EF1">
        <w:rPr>
          <w:color w:val="000000"/>
          <w:szCs w:val="22"/>
          <w:lang w:val="en-US"/>
        </w:rPr>
        <w:t>2001</w:t>
      </w:r>
    </w:p>
    <w:p w14:paraId="1B680427" w14:textId="77777777" w:rsidR="009B57ED" w:rsidRPr="00654EF1" w:rsidRDefault="009B57ED" w:rsidP="001D5C8C">
      <w:pPr>
        <w:widowControl w:val="0"/>
        <w:tabs>
          <w:tab w:val="clear" w:pos="567"/>
        </w:tabs>
        <w:spacing w:line="240" w:lineRule="auto"/>
        <w:rPr>
          <w:color w:val="000000"/>
          <w:szCs w:val="22"/>
        </w:rPr>
      </w:pPr>
      <w:r w:rsidRPr="00654EF1">
        <w:rPr>
          <w:color w:val="000000"/>
          <w:szCs w:val="22"/>
        </w:rPr>
        <w:t xml:space="preserve">Date of </w:t>
      </w:r>
      <w:r w:rsidR="001D623C" w:rsidRPr="00654EF1">
        <w:rPr>
          <w:color w:val="000000"/>
          <w:szCs w:val="22"/>
        </w:rPr>
        <w:t xml:space="preserve">latest </w:t>
      </w:r>
      <w:r w:rsidRPr="00654EF1">
        <w:rPr>
          <w:color w:val="000000"/>
          <w:szCs w:val="22"/>
        </w:rPr>
        <w:t>renewal:</w:t>
      </w:r>
      <w:r w:rsidR="007C4AB0" w:rsidRPr="00654EF1">
        <w:rPr>
          <w:color w:val="000000"/>
          <w:szCs w:val="22"/>
        </w:rPr>
        <w:t xml:space="preserve"> 07</w:t>
      </w:r>
      <w:r w:rsidR="00F11614" w:rsidRPr="00654EF1">
        <w:rPr>
          <w:color w:val="000000"/>
          <w:szCs w:val="22"/>
        </w:rPr>
        <w:t xml:space="preserve"> November </w:t>
      </w:r>
      <w:r w:rsidR="007C4AB0" w:rsidRPr="00654EF1">
        <w:rPr>
          <w:color w:val="000000"/>
          <w:szCs w:val="22"/>
        </w:rPr>
        <w:t>2006</w:t>
      </w:r>
    </w:p>
    <w:p w14:paraId="1B680428" w14:textId="77777777" w:rsidR="009B57ED" w:rsidRPr="00654EF1" w:rsidRDefault="009B57ED" w:rsidP="001D5C8C">
      <w:pPr>
        <w:widowControl w:val="0"/>
        <w:tabs>
          <w:tab w:val="clear" w:pos="567"/>
        </w:tabs>
        <w:spacing w:line="240" w:lineRule="auto"/>
        <w:rPr>
          <w:color w:val="000000"/>
          <w:szCs w:val="22"/>
        </w:rPr>
      </w:pPr>
    </w:p>
    <w:p w14:paraId="1B680429" w14:textId="77777777" w:rsidR="009B57ED" w:rsidRPr="00654EF1" w:rsidRDefault="009B57ED" w:rsidP="001D5C8C">
      <w:pPr>
        <w:widowControl w:val="0"/>
        <w:tabs>
          <w:tab w:val="clear" w:pos="567"/>
        </w:tabs>
        <w:spacing w:line="240" w:lineRule="auto"/>
        <w:rPr>
          <w:color w:val="000000"/>
          <w:szCs w:val="22"/>
        </w:rPr>
      </w:pPr>
    </w:p>
    <w:p w14:paraId="1B68042A" w14:textId="77777777" w:rsidR="009B57ED" w:rsidRPr="00654EF1" w:rsidRDefault="009B57ED" w:rsidP="001D5C8C">
      <w:pPr>
        <w:widowControl w:val="0"/>
        <w:tabs>
          <w:tab w:val="clear" w:pos="567"/>
        </w:tabs>
        <w:spacing w:line="240" w:lineRule="auto"/>
        <w:ind w:left="567" w:hanging="567"/>
        <w:rPr>
          <w:b/>
          <w:color w:val="000000"/>
          <w:szCs w:val="22"/>
        </w:rPr>
      </w:pPr>
      <w:r w:rsidRPr="00654EF1">
        <w:rPr>
          <w:b/>
          <w:color w:val="000000"/>
          <w:szCs w:val="22"/>
        </w:rPr>
        <w:t>10.</w:t>
      </w:r>
      <w:r w:rsidRPr="00654EF1">
        <w:rPr>
          <w:b/>
          <w:color w:val="000000"/>
          <w:szCs w:val="22"/>
        </w:rPr>
        <w:tab/>
        <w:t>DATE OF REVISION OF THE TEXT</w:t>
      </w:r>
    </w:p>
    <w:p w14:paraId="1B68042B" w14:textId="77777777" w:rsidR="00681006" w:rsidRPr="00654EF1" w:rsidRDefault="00681006" w:rsidP="001D5C8C">
      <w:pPr>
        <w:widowControl w:val="0"/>
        <w:tabs>
          <w:tab w:val="clear" w:pos="567"/>
        </w:tabs>
        <w:spacing w:line="240" w:lineRule="auto"/>
        <w:ind w:left="567" w:hanging="567"/>
        <w:rPr>
          <w:bCs/>
          <w:color w:val="000000"/>
          <w:szCs w:val="22"/>
        </w:rPr>
      </w:pPr>
    </w:p>
    <w:p w14:paraId="1B68042C" w14:textId="77777777" w:rsidR="00681006" w:rsidRPr="00654EF1" w:rsidRDefault="00681006" w:rsidP="001D5C8C">
      <w:pPr>
        <w:widowControl w:val="0"/>
        <w:tabs>
          <w:tab w:val="clear" w:pos="567"/>
        </w:tabs>
        <w:spacing w:line="240" w:lineRule="auto"/>
        <w:ind w:left="567" w:hanging="567"/>
        <w:rPr>
          <w:bCs/>
          <w:color w:val="000000"/>
          <w:szCs w:val="22"/>
        </w:rPr>
      </w:pPr>
    </w:p>
    <w:p w14:paraId="1B68042D" w14:textId="77777777" w:rsidR="00681006" w:rsidRPr="00654EF1" w:rsidRDefault="00681006" w:rsidP="001D5C8C">
      <w:pPr>
        <w:widowControl w:val="0"/>
        <w:tabs>
          <w:tab w:val="clear" w:pos="567"/>
        </w:tabs>
        <w:spacing w:line="240" w:lineRule="auto"/>
        <w:rPr>
          <w:color w:val="000000"/>
          <w:szCs w:val="22"/>
        </w:rPr>
      </w:pPr>
      <w:r w:rsidRPr="00654EF1">
        <w:rPr>
          <w:iCs/>
          <w:noProof/>
          <w:color w:val="000000"/>
        </w:rPr>
        <w:t>Detailed information on this</w:t>
      </w:r>
      <w:r w:rsidR="00206E2D" w:rsidRPr="00654EF1">
        <w:rPr>
          <w:iCs/>
          <w:noProof/>
          <w:color w:val="000000"/>
        </w:rPr>
        <w:t xml:space="preserve"> medicinal</w:t>
      </w:r>
      <w:r w:rsidRPr="00654EF1">
        <w:rPr>
          <w:iCs/>
          <w:noProof/>
          <w:color w:val="000000"/>
        </w:rPr>
        <w:t xml:space="preserve"> product </w:t>
      </w:r>
      <w:r w:rsidRPr="00654EF1">
        <w:rPr>
          <w:noProof/>
          <w:color w:val="000000"/>
        </w:rPr>
        <w:t>is available on the website of the European Medicines Agency http://www.ema.europa.eu</w:t>
      </w:r>
    </w:p>
    <w:p w14:paraId="1B68042E" w14:textId="77777777" w:rsidR="006F3324" w:rsidRPr="00654EF1" w:rsidRDefault="00BB30F2" w:rsidP="001D5C8C">
      <w:pPr>
        <w:widowControl w:val="0"/>
        <w:tabs>
          <w:tab w:val="clear" w:pos="567"/>
        </w:tabs>
        <w:spacing w:line="240" w:lineRule="auto"/>
        <w:outlineLvl w:val="0"/>
        <w:rPr>
          <w:szCs w:val="22"/>
        </w:rPr>
      </w:pPr>
      <w:r w:rsidRPr="00654EF1">
        <w:rPr>
          <w:b/>
          <w:color w:val="000000"/>
          <w:szCs w:val="22"/>
        </w:rPr>
        <w:br w:type="page"/>
      </w:r>
      <w:r w:rsidR="002B04AE" w:rsidRPr="00654EF1">
        <w:rPr>
          <w:noProof/>
          <w:lang w:eastAsia="en-GB"/>
        </w:rPr>
        <w:lastRenderedPageBreak/>
        <w:drawing>
          <wp:inline distT="0" distB="0" distL="0" distR="0" wp14:anchorId="1B6812FF" wp14:editId="1B681300">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F3324" w:rsidRPr="00654EF1">
        <w:rPr>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14:paraId="1B68042F" w14:textId="77777777" w:rsidR="006F3324" w:rsidRPr="00654EF1" w:rsidRDefault="006F3324" w:rsidP="001D5C8C">
      <w:pPr>
        <w:widowControl w:val="0"/>
        <w:spacing w:line="240" w:lineRule="auto"/>
        <w:ind w:left="567" w:hanging="567"/>
        <w:outlineLvl w:val="0"/>
        <w:rPr>
          <w:noProof/>
          <w:szCs w:val="22"/>
        </w:rPr>
      </w:pPr>
    </w:p>
    <w:p w14:paraId="1B680430" w14:textId="77777777" w:rsidR="006F3324" w:rsidRPr="00654EF1" w:rsidRDefault="006F3324" w:rsidP="001D5C8C">
      <w:pPr>
        <w:widowControl w:val="0"/>
        <w:spacing w:line="240" w:lineRule="auto"/>
        <w:ind w:left="567" w:hanging="567"/>
        <w:outlineLvl w:val="0"/>
        <w:rPr>
          <w:noProof/>
          <w:szCs w:val="22"/>
        </w:rPr>
      </w:pPr>
    </w:p>
    <w:p w14:paraId="1B680431"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1.</w:t>
      </w:r>
      <w:r w:rsidRPr="00654EF1">
        <w:rPr>
          <w:b/>
          <w:color w:val="000000"/>
          <w:szCs w:val="22"/>
        </w:rPr>
        <w:tab/>
        <w:t>NAME OF THE MEDICINAL PRODUCT</w:t>
      </w:r>
    </w:p>
    <w:p w14:paraId="1B680432" w14:textId="77777777" w:rsidR="006237AB" w:rsidRPr="00654EF1" w:rsidRDefault="006237AB" w:rsidP="001D5C8C">
      <w:pPr>
        <w:pStyle w:val="EndnoteText"/>
        <w:keepNext/>
        <w:widowControl w:val="0"/>
        <w:tabs>
          <w:tab w:val="clear" w:pos="567"/>
        </w:tabs>
        <w:rPr>
          <w:color w:val="000000"/>
          <w:szCs w:val="22"/>
        </w:rPr>
      </w:pPr>
    </w:p>
    <w:p w14:paraId="1B680433"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G</w:t>
      </w:r>
      <w:r w:rsidR="0044597E" w:rsidRPr="00654EF1">
        <w:rPr>
          <w:color w:val="000000"/>
          <w:szCs w:val="22"/>
        </w:rPr>
        <w:t>livec</w:t>
      </w:r>
      <w:r w:rsidRPr="00654EF1">
        <w:rPr>
          <w:color w:val="000000"/>
          <w:szCs w:val="22"/>
        </w:rPr>
        <w:t xml:space="preserve"> 100</w:t>
      </w:r>
      <w:r w:rsidR="002D524A" w:rsidRPr="00654EF1">
        <w:rPr>
          <w:color w:val="000000"/>
          <w:szCs w:val="22"/>
        </w:rPr>
        <w:t> mg</w:t>
      </w:r>
      <w:r w:rsidRPr="00654EF1">
        <w:rPr>
          <w:color w:val="000000"/>
          <w:szCs w:val="22"/>
        </w:rPr>
        <w:t xml:space="preserve"> film-coated tablets</w:t>
      </w:r>
    </w:p>
    <w:p w14:paraId="1B680434" w14:textId="77777777" w:rsidR="002823B9" w:rsidRPr="00654EF1" w:rsidRDefault="002823B9" w:rsidP="001D5C8C">
      <w:pPr>
        <w:pStyle w:val="EndnoteText"/>
        <w:widowControl w:val="0"/>
        <w:tabs>
          <w:tab w:val="clear" w:pos="567"/>
        </w:tabs>
        <w:rPr>
          <w:color w:val="000000"/>
          <w:szCs w:val="22"/>
        </w:rPr>
      </w:pPr>
      <w:r w:rsidRPr="00654EF1">
        <w:rPr>
          <w:color w:val="000000"/>
          <w:szCs w:val="22"/>
        </w:rPr>
        <w:t>Glivec 400 mg film-coated tablets</w:t>
      </w:r>
    </w:p>
    <w:p w14:paraId="1B680435" w14:textId="77777777" w:rsidR="006237AB" w:rsidRPr="00654EF1" w:rsidRDefault="006237AB" w:rsidP="001D5C8C">
      <w:pPr>
        <w:pStyle w:val="EndnoteText"/>
        <w:widowControl w:val="0"/>
        <w:tabs>
          <w:tab w:val="clear" w:pos="567"/>
        </w:tabs>
        <w:rPr>
          <w:color w:val="000000"/>
          <w:szCs w:val="22"/>
        </w:rPr>
      </w:pPr>
    </w:p>
    <w:p w14:paraId="1B680436" w14:textId="77777777" w:rsidR="006237AB" w:rsidRPr="00654EF1" w:rsidRDefault="006237AB" w:rsidP="001D5C8C">
      <w:pPr>
        <w:pStyle w:val="EndnoteText"/>
        <w:widowControl w:val="0"/>
        <w:tabs>
          <w:tab w:val="clear" w:pos="567"/>
        </w:tabs>
        <w:rPr>
          <w:color w:val="000000"/>
          <w:szCs w:val="22"/>
        </w:rPr>
      </w:pPr>
    </w:p>
    <w:p w14:paraId="1B680437"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2.</w:t>
      </w:r>
      <w:r w:rsidRPr="00654EF1">
        <w:rPr>
          <w:b/>
          <w:color w:val="000000"/>
          <w:szCs w:val="22"/>
        </w:rPr>
        <w:tab/>
        <w:t xml:space="preserve">QUALITATIVE </w:t>
      </w:r>
      <w:smartTag w:uri="urn:schemas-microsoft-com:office:smarttags" w:element="stockticker">
        <w:r w:rsidRPr="00654EF1">
          <w:rPr>
            <w:b/>
            <w:color w:val="000000"/>
            <w:szCs w:val="22"/>
          </w:rPr>
          <w:t>AND</w:t>
        </w:r>
      </w:smartTag>
      <w:r w:rsidRPr="00654EF1">
        <w:rPr>
          <w:b/>
          <w:color w:val="000000"/>
          <w:szCs w:val="22"/>
        </w:rPr>
        <w:t xml:space="preserve"> QUANTITATIVE COMPOSITION</w:t>
      </w:r>
    </w:p>
    <w:p w14:paraId="1B680438" w14:textId="77777777" w:rsidR="006237AB" w:rsidRPr="00654EF1" w:rsidRDefault="006237AB" w:rsidP="001D5C8C">
      <w:pPr>
        <w:keepNext/>
        <w:widowControl w:val="0"/>
        <w:tabs>
          <w:tab w:val="clear" w:pos="567"/>
        </w:tabs>
        <w:spacing w:line="240" w:lineRule="auto"/>
        <w:rPr>
          <w:i/>
          <w:color w:val="000000"/>
          <w:szCs w:val="22"/>
        </w:rPr>
      </w:pPr>
    </w:p>
    <w:p w14:paraId="1B680439" w14:textId="77777777" w:rsidR="002823B9" w:rsidRPr="00654EF1" w:rsidRDefault="002823B9" w:rsidP="001D5C8C">
      <w:pPr>
        <w:keepNext/>
        <w:widowControl w:val="0"/>
        <w:tabs>
          <w:tab w:val="clear" w:pos="567"/>
        </w:tabs>
        <w:spacing w:line="240" w:lineRule="auto"/>
        <w:rPr>
          <w:color w:val="000000"/>
          <w:szCs w:val="22"/>
          <w:u w:val="single"/>
        </w:rPr>
      </w:pPr>
      <w:r w:rsidRPr="00654EF1">
        <w:rPr>
          <w:color w:val="000000"/>
          <w:szCs w:val="22"/>
          <w:u w:val="single"/>
        </w:rPr>
        <w:t>Glivec 100 mg film-coated tablets</w:t>
      </w:r>
    </w:p>
    <w:p w14:paraId="1B68043A"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Each film-coated tablet contains 100</w:t>
      </w:r>
      <w:r w:rsidR="002D524A" w:rsidRPr="00654EF1">
        <w:rPr>
          <w:color w:val="000000"/>
          <w:szCs w:val="22"/>
        </w:rPr>
        <w:t> mg</w:t>
      </w:r>
      <w:r w:rsidRPr="00654EF1">
        <w:rPr>
          <w:color w:val="000000"/>
          <w:szCs w:val="22"/>
        </w:rPr>
        <w:t xml:space="preserve"> imatinib (as mesilate).</w:t>
      </w:r>
    </w:p>
    <w:p w14:paraId="1B68043B" w14:textId="77777777" w:rsidR="002823B9" w:rsidRPr="00654EF1" w:rsidRDefault="002823B9" w:rsidP="001D5C8C">
      <w:pPr>
        <w:widowControl w:val="0"/>
        <w:tabs>
          <w:tab w:val="clear" w:pos="567"/>
        </w:tabs>
        <w:spacing w:line="240" w:lineRule="auto"/>
        <w:rPr>
          <w:color w:val="000000"/>
          <w:szCs w:val="22"/>
        </w:rPr>
      </w:pPr>
    </w:p>
    <w:p w14:paraId="1B68043C" w14:textId="77777777" w:rsidR="002823B9" w:rsidRPr="00654EF1" w:rsidRDefault="002823B9" w:rsidP="001D5C8C">
      <w:pPr>
        <w:pStyle w:val="EndnoteText"/>
        <w:keepNext/>
        <w:widowControl w:val="0"/>
        <w:tabs>
          <w:tab w:val="clear" w:pos="567"/>
        </w:tabs>
        <w:rPr>
          <w:color w:val="000000"/>
          <w:szCs w:val="22"/>
          <w:u w:val="single"/>
        </w:rPr>
      </w:pPr>
      <w:r w:rsidRPr="00654EF1">
        <w:rPr>
          <w:color w:val="000000"/>
          <w:szCs w:val="22"/>
          <w:u w:val="single"/>
        </w:rPr>
        <w:t>Glivec 400 mg film-coated tablets</w:t>
      </w:r>
    </w:p>
    <w:p w14:paraId="1B68043D" w14:textId="77777777" w:rsidR="002823B9" w:rsidRPr="00654EF1" w:rsidRDefault="002823B9" w:rsidP="001D5C8C">
      <w:pPr>
        <w:widowControl w:val="0"/>
        <w:tabs>
          <w:tab w:val="clear" w:pos="567"/>
        </w:tabs>
        <w:spacing w:line="240" w:lineRule="auto"/>
        <w:rPr>
          <w:color w:val="000000"/>
          <w:szCs w:val="22"/>
        </w:rPr>
      </w:pPr>
      <w:r w:rsidRPr="00654EF1">
        <w:rPr>
          <w:color w:val="000000"/>
          <w:szCs w:val="22"/>
        </w:rPr>
        <w:t>Each film-coated tablet contains 400 mg imatinib (as mesilate).</w:t>
      </w:r>
    </w:p>
    <w:p w14:paraId="1B68043E" w14:textId="77777777" w:rsidR="006237AB" w:rsidRPr="00654EF1" w:rsidRDefault="006237AB" w:rsidP="001D5C8C">
      <w:pPr>
        <w:widowControl w:val="0"/>
        <w:tabs>
          <w:tab w:val="clear" w:pos="567"/>
        </w:tabs>
        <w:spacing w:line="240" w:lineRule="auto"/>
        <w:rPr>
          <w:color w:val="000000"/>
          <w:szCs w:val="22"/>
        </w:rPr>
      </w:pPr>
    </w:p>
    <w:p w14:paraId="1B68043F" w14:textId="77777777" w:rsidR="00A74BB8" w:rsidRPr="00654EF1" w:rsidRDefault="00A74BB8" w:rsidP="001D5C8C">
      <w:pPr>
        <w:widowControl w:val="0"/>
        <w:tabs>
          <w:tab w:val="clear" w:pos="567"/>
        </w:tabs>
        <w:spacing w:line="240" w:lineRule="auto"/>
        <w:rPr>
          <w:color w:val="000000"/>
          <w:szCs w:val="22"/>
        </w:rPr>
      </w:pPr>
      <w:r w:rsidRPr="00654EF1">
        <w:rPr>
          <w:color w:val="000000"/>
          <w:szCs w:val="22"/>
        </w:rPr>
        <w:t>For the full list of excipients, see section 6.1.</w:t>
      </w:r>
    </w:p>
    <w:p w14:paraId="1B680440" w14:textId="77777777" w:rsidR="006237AB" w:rsidRPr="00654EF1" w:rsidRDefault="006237AB" w:rsidP="001D5C8C">
      <w:pPr>
        <w:widowControl w:val="0"/>
        <w:tabs>
          <w:tab w:val="clear" w:pos="567"/>
        </w:tabs>
        <w:spacing w:line="240" w:lineRule="auto"/>
        <w:rPr>
          <w:color w:val="000000"/>
          <w:szCs w:val="22"/>
        </w:rPr>
      </w:pPr>
    </w:p>
    <w:p w14:paraId="1B680441" w14:textId="77777777" w:rsidR="006237AB" w:rsidRPr="00654EF1" w:rsidRDefault="006237AB" w:rsidP="001D5C8C">
      <w:pPr>
        <w:widowControl w:val="0"/>
        <w:tabs>
          <w:tab w:val="clear" w:pos="567"/>
        </w:tabs>
        <w:spacing w:line="240" w:lineRule="auto"/>
        <w:rPr>
          <w:color w:val="000000"/>
          <w:szCs w:val="22"/>
        </w:rPr>
      </w:pPr>
    </w:p>
    <w:p w14:paraId="1B680442" w14:textId="77777777" w:rsidR="006237AB" w:rsidRPr="00654EF1" w:rsidRDefault="006237AB" w:rsidP="001D5C8C">
      <w:pPr>
        <w:keepNext/>
        <w:widowControl w:val="0"/>
        <w:tabs>
          <w:tab w:val="clear" w:pos="567"/>
        </w:tabs>
        <w:spacing w:line="240" w:lineRule="auto"/>
        <w:ind w:left="567" w:hanging="567"/>
        <w:rPr>
          <w:caps/>
          <w:color w:val="000000"/>
          <w:szCs w:val="22"/>
        </w:rPr>
      </w:pPr>
      <w:r w:rsidRPr="00654EF1">
        <w:rPr>
          <w:b/>
          <w:color w:val="000000"/>
          <w:szCs w:val="22"/>
        </w:rPr>
        <w:t>3.</w:t>
      </w:r>
      <w:r w:rsidRPr="00654EF1">
        <w:rPr>
          <w:b/>
          <w:color w:val="000000"/>
          <w:szCs w:val="22"/>
        </w:rPr>
        <w:tab/>
        <w:t xml:space="preserve">PHARMACEUTICAL </w:t>
      </w:r>
      <w:smartTag w:uri="urn:schemas-microsoft-com:office:smarttags" w:element="stockticker">
        <w:r w:rsidRPr="00654EF1">
          <w:rPr>
            <w:b/>
            <w:caps/>
            <w:color w:val="000000"/>
            <w:szCs w:val="22"/>
          </w:rPr>
          <w:t>form</w:t>
        </w:r>
      </w:smartTag>
    </w:p>
    <w:p w14:paraId="1B680443" w14:textId="77777777" w:rsidR="006237AB" w:rsidRPr="00654EF1" w:rsidRDefault="006237AB" w:rsidP="001D5C8C">
      <w:pPr>
        <w:pStyle w:val="EndnoteText"/>
        <w:keepNext/>
        <w:widowControl w:val="0"/>
        <w:tabs>
          <w:tab w:val="clear" w:pos="567"/>
        </w:tabs>
        <w:rPr>
          <w:color w:val="000000"/>
          <w:szCs w:val="22"/>
        </w:rPr>
      </w:pPr>
    </w:p>
    <w:p w14:paraId="1B680444"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Film-coated tablet</w:t>
      </w:r>
    </w:p>
    <w:p w14:paraId="1B680445" w14:textId="77777777" w:rsidR="006237AB" w:rsidRPr="00654EF1" w:rsidRDefault="006237AB" w:rsidP="001D5C8C">
      <w:pPr>
        <w:widowControl w:val="0"/>
        <w:tabs>
          <w:tab w:val="clear" w:pos="567"/>
        </w:tabs>
        <w:spacing w:line="240" w:lineRule="auto"/>
        <w:rPr>
          <w:color w:val="000000"/>
          <w:szCs w:val="22"/>
        </w:rPr>
      </w:pPr>
    </w:p>
    <w:p w14:paraId="1B680446" w14:textId="77777777" w:rsidR="002823B9" w:rsidRPr="00654EF1" w:rsidRDefault="002823B9" w:rsidP="001D5C8C">
      <w:pPr>
        <w:keepNext/>
        <w:widowControl w:val="0"/>
        <w:tabs>
          <w:tab w:val="clear" w:pos="567"/>
        </w:tabs>
        <w:spacing w:line="240" w:lineRule="auto"/>
        <w:rPr>
          <w:color w:val="000000"/>
          <w:szCs w:val="22"/>
          <w:u w:val="single"/>
        </w:rPr>
      </w:pPr>
      <w:r w:rsidRPr="00654EF1">
        <w:rPr>
          <w:color w:val="000000"/>
          <w:szCs w:val="22"/>
          <w:u w:val="single"/>
        </w:rPr>
        <w:t>Glivec 100 mg film-coated tablets</w:t>
      </w:r>
    </w:p>
    <w:p w14:paraId="1B680447"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Very dark yellow to brownish-orange film-coated tablet, round with “</w:t>
      </w:r>
      <w:smartTag w:uri="urn:schemas-microsoft-com:office:smarttags" w:element="stockticker">
        <w:r w:rsidRPr="00654EF1">
          <w:rPr>
            <w:color w:val="000000"/>
            <w:szCs w:val="22"/>
          </w:rPr>
          <w:t>NVR</w:t>
        </w:r>
      </w:smartTag>
      <w:r w:rsidRPr="00654EF1">
        <w:rPr>
          <w:color w:val="000000"/>
          <w:szCs w:val="22"/>
        </w:rPr>
        <w:t>” on one side and “SA” and score on the other side.</w:t>
      </w:r>
    </w:p>
    <w:p w14:paraId="1B680448" w14:textId="77777777" w:rsidR="002823B9" w:rsidRPr="00654EF1" w:rsidRDefault="002823B9" w:rsidP="001D5C8C">
      <w:pPr>
        <w:widowControl w:val="0"/>
        <w:tabs>
          <w:tab w:val="clear" w:pos="567"/>
        </w:tabs>
        <w:spacing w:line="240" w:lineRule="auto"/>
        <w:rPr>
          <w:color w:val="000000"/>
          <w:szCs w:val="22"/>
        </w:rPr>
      </w:pPr>
    </w:p>
    <w:p w14:paraId="1B680449" w14:textId="77777777" w:rsidR="002823B9" w:rsidRPr="00654EF1" w:rsidRDefault="002823B9" w:rsidP="001D5C8C">
      <w:pPr>
        <w:pStyle w:val="EndnoteText"/>
        <w:keepNext/>
        <w:widowControl w:val="0"/>
        <w:tabs>
          <w:tab w:val="clear" w:pos="567"/>
        </w:tabs>
        <w:rPr>
          <w:color w:val="000000"/>
          <w:szCs w:val="22"/>
          <w:u w:val="single"/>
        </w:rPr>
      </w:pPr>
      <w:r w:rsidRPr="00654EF1">
        <w:rPr>
          <w:color w:val="000000"/>
          <w:szCs w:val="22"/>
          <w:u w:val="single"/>
        </w:rPr>
        <w:t>Glivec 400 mg film-coated tablets</w:t>
      </w:r>
    </w:p>
    <w:p w14:paraId="1B68044A" w14:textId="77777777" w:rsidR="002823B9" w:rsidRPr="00654EF1" w:rsidRDefault="002823B9" w:rsidP="001D5C8C">
      <w:pPr>
        <w:widowControl w:val="0"/>
        <w:tabs>
          <w:tab w:val="clear" w:pos="567"/>
        </w:tabs>
        <w:spacing w:line="240" w:lineRule="auto"/>
        <w:rPr>
          <w:color w:val="000000"/>
          <w:szCs w:val="22"/>
        </w:rPr>
      </w:pPr>
      <w:r w:rsidRPr="00654EF1">
        <w:rPr>
          <w:color w:val="000000"/>
          <w:szCs w:val="22"/>
        </w:rPr>
        <w:t>Very dark yellow to brownish-orange, ovaloid, biconvex film-coated tablet with bevelled edges, debossed with “glivec” on one side.</w:t>
      </w:r>
    </w:p>
    <w:p w14:paraId="1B68044B" w14:textId="77777777" w:rsidR="006237AB" w:rsidRPr="00654EF1" w:rsidRDefault="006237AB" w:rsidP="001D5C8C">
      <w:pPr>
        <w:widowControl w:val="0"/>
        <w:tabs>
          <w:tab w:val="clear" w:pos="567"/>
        </w:tabs>
        <w:spacing w:line="240" w:lineRule="auto"/>
        <w:rPr>
          <w:color w:val="000000"/>
          <w:szCs w:val="22"/>
        </w:rPr>
      </w:pPr>
    </w:p>
    <w:p w14:paraId="1B68044C" w14:textId="77777777" w:rsidR="006237AB" w:rsidRPr="00654EF1" w:rsidRDefault="006237AB" w:rsidP="001D5C8C">
      <w:pPr>
        <w:widowControl w:val="0"/>
        <w:tabs>
          <w:tab w:val="clear" w:pos="567"/>
        </w:tabs>
        <w:spacing w:line="240" w:lineRule="auto"/>
        <w:rPr>
          <w:color w:val="000000"/>
          <w:szCs w:val="22"/>
        </w:rPr>
      </w:pPr>
    </w:p>
    <w:p w14:paraId="1B68044D" w14:textId="77777777" w:rsidR="006237AB" w:rsidRPr="00654EF1" w:rsidRDefault="006237AB" w:rsidP="001D5C8C">
      <w:pPr>
        <w:keepNext/>
        <w:widowControl w:val="0"/>
        <w:tabs>
          <w:tab w:val="clear" w:pos="567"/>
        </w:tabs>
        <w:spacing w:line="240" w:lineRule="auto"/>
        <w:ind w:left="567" w:hanging="567"/>
        <w:rPr>
          <w:caps/>
          <w:color w:val="000000"/>
          <w:szCs w:val="22"/>
        </w:rPr>
      </w:pPr>
      <w:r w:rsidRPr="00654EF1">
        <w:rPr>
          <w:b/>
          <w:caps/>
          <w:color w:val="000000"/>
          <w:szCs w:val="22"/>
        </w:rPr>
        <w:t>4.</w:t>
      </w:r>
      <w:r w:rsidRPr="00654EF1">
        <w:rPr>
          <w:b/>
          <w:caps/>
          <w:color w:val="000000"/>
          <w:szCs w:val="22"/>
        </w:rPr>
        <w:tab/>
        <w:t>Clinical particulars</w:t>
      </w:r>
    </w:p>
    <w:p w14:paraId="1B68044E" w14:textId="77777777" w:rsidR="006237AB" w:rsidRPr="00654EF1" w:rsidRDefault="006237AB" w:rsidP="001D5C8C">
      <w:pPr>
        <w:pStyle w:val="EndnoteText"/>
        <w:keepNext/>
        <w:widowControl w:val="0"/>
        <w:tabs>
          <w:tab w:val="clear" w:pos="567"/>
        </w:tabs>
        <w:rPr>
          <w:color w:val="000000"/>
          <w:szCs w:val="22"/>
        </w:rPr>
      </w:pPr>
    </w:p>
    <w:p w14:paraId="1B68044F"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4.1</w:t>
      </w:r>
      <w:r w:rsidRPr="00654EF1">
        <w:rPr>
          <w:b/>
          <w:color w:val="000000"/>
          <w:szCs w:val="22"/>
        </w:rPr>
        <w:tab/>
        <w:t>Therapeutic indications</w:t>
      </w:r>
    </w:p>
    <w:p w14:paraId="1B680450" w14:textId="77777777" w:rsidR="006237AB" w:rsidRPr="00654EF1" w:rsidRDefault="006237AB" w:rsidP="001D5C8C">
      <w:pPr>
        <w:pStyle w:val="EndnoteText"/>
        <w:keepNext/>
        <w:widowControl w:val="0"/>
        <w:tabs>
          <w:tab w:val="clear" w:pos="567"/>
        </w:tabs>
        <w:rPr>
          <w:color w:val="000000"/>
          <w:szCs w:val="22"/>
        </w:rPr>
      </w:pPr>
    </w:p>
    <w:p w14:paraId="1B680451" w14:textId="77777777" w:rsidR="007E73D8" w:rsidRPr="00654EF1" w:rsidRDefault="007E73D8" w:rsidP="001D5C8C">
      <w:pPr>
        <w:pStyle w:val="EndnoteText"/>
        <w:keepNext/>
        <w:widowControl w:val="0"/>
        <w:tabs>
          <w:tab w:val="clear" w:pos="567"/>
        </w:tabs>
        <w:rPr>
          <w:snapToGrid w:val="0"/>
          <w:color w:val="000000"/>
          <w:szCs w:val="22"/>
          <w:lang w:eastAsia="de-DE"/>
        </w:rPr>
      </w:pPr>
      <w:r w:rsidRPr="00654EF1">
        <w:rPr>
          <w:snapToGrid w:val="0"/>
          <w:color w:val="000000"/>
          <w:szCs w:val="22"/>
          <w:lang w:eastAsia="de-DE"/>
        </w:rPr>
        <w:t>Glivec is indicated for the treatment of</w:t>
      </w:r>
    </w:p>
    <w:p w14:paraId="1B680452" w14:textId="77777777" w:rsidR="007E73D8" w:rsidRPr="00654EF1" w:rsidRDefault="007E73D8" w:rsidP="001D5C8C">
      <w:pPr>
        <w:pStyle w:val="EndnoteText"/>
        <w:widowControl w:val="0"/>
        <w:numPr>
          <w:ilvl w:val="0"/>
          <w:numId w:val="8"/>
        </w:numPr>
        <w:rPr>
          <w:snapToGrid w:val="0"/>
          <w:color w:val="000000"/>
          <w:szCs w:val="22"/>
          <w:lang w:eastAsia="de-DE"/>
        </w:rPr>
      </w:pPr>
      <w:r w:rsidRPr="00654EF1">
        <w:rPr>
          <w:snapToGrid w:val="0"/>
          <w:color w:val="000000"/>
          <w:szCs w:val="22"/>
          <w:lang w:eastAsia="de-DE"/>
        </w:rPr>
        <w:t xml:space="preserve">adult and paediatric patients with newly diagnosed </w:t>
      </w:r>
      <w:smartTag w:uri="urn:schemas-microsoft-com:office:smarttags" w:element="City">
        <w:smartTag w:uri="urn:schemas-microsoft-com:office:smarttags" w:element="place">
          <w:r w:rsidRPr="00654EF1">
            <w:rPr>
              <w:snapToGrid w:val="0"/>
              <w:color w:val="000000"/>
              <w:szCs w:val="22"/>
              <w:lang w:eastAsia="de-DE"/>
            </w:rPr>
            <w:t>Philadelphia</w:t>
          </w:r>
        </w:smartTag>
      </w:smartTag>
      <w:r w:rsidRPr="00654EF1">
        <w:rPr>
          <w:snapToGrid w:val="0"/>
          <w:color w:val="000000"/>
          <w:szCs w:val="22"/>
          <w:lang w:eastAsia="de-DE"/>
        </w:rPr>
        <w:t xml:space="preserve"> chromosome (bcr-abl) positive (Ph+) chronic myeloid leukaemia (CML) for whom bone marrow transplantation is not considered as the first line of treatment.</w:t>
      </w:r>
    </w:p>
    <w:p w14:paraId="1B680453" w14:textId="77777777" w:rsidR="007E73D8" w:rsidRPr="00654EF1" w:rsidRDefault="007E73D8" w:rsidP="001D5C8C">
      <w:pPr>
        <w:pStyle w:val="EndnoteText"/>
        <w:widowControl w:val="0"/>
        <w:numPr>
          <w:ilvl w:val="0"/>
          <w:numId w:val="8"/>
        </w:numPr>
        <w:rPr>
          <w:snapToGrid w:val="0"/>
          <w:color w:val="000000"/>
          <w:szCs w:val="22"/>
          <w:lang w:eastAsia="de-DE"/>
        </w:rPr>
      </w:pPr>
      <w:r w:rsidRPr="00654EF1">
        <w:rPr>
          <w:snapToGrid w:val="0"/>
          <w:color w:val="000000"/>
          <w:szCs w:val="22"/>
          <w:lang w:eastAsia="de-DE"/>
        </w:rPr>
        <w:t>adult and paediatric patients with Ph+ CML in chronic phase after failure of interferon-alpha therapy, or in accelerated phase or blast crisis.</w:t>
      </w:r>
    </w:p>
    <w:p w14:paraId="1B680454" w14:textId="77777777" w:rsidR="007E73D8" w:rsidRPr="00654EF1" w:rsidRDefault="007E73D8" w:rsidP="001D5C8C">
      <w:pPr>
        <w:pStyle w:val="EndnoteText"/>
        <w:widowControl w:val="0"/>
        <w:numPr>
          <w:ilvl w:val="0"/>
          <w:numId w:val="8"/>
        </w:numPr>
        <w:rPr>
          <w:snapToGrid w:val="0"/>
          <w:color w:val="000000"/>
          <w:szCs w:val="22"/>
          <w:lang w:eastAsia="de-DE"/>
        </w:rPr>
      </w:pPr>
      <w:r w:rsidRPr="00654EF1">
        <w:rPr>
          <w:rFonts w:eastAsia="MS Mincho"/>
          <w:color w:val="000000"/>
          <w:lang w:eastAsia="ja-JP"/>
        </w:rPr>
        <w:t xml:space="preserve">adult </w:t>
      </w:r>
      <w:r w:rsidR="007B7C05" w:rsidRPr="00654EF1">
        <w:rPr>
          <w:rFonts w:eastAsia="MS Mincho"/>
          <w:color w:val="000000"/>
          <w:lang w:eastAsia="ja-JP"/>
        </w:rPr>
        <w:t xml:space="preserve">and paediatric </w:t>
      </w:r>
      <w:r w:rsidRPr="00654EF1">
        <w:rPr>
          <w:rFonts w:eastAsia="MS Mincho"/>
          <w:color w:val="000000"/>
          <w:lang w:eastAsia="ja-JP"/>
        </w:rPr>
        <w:t xml:space="preserve">patients with newly diagnosed Philadelphia chromosome positive acute lymphoblastic leukaemia (Ph+ </w:t>
      </w:r>
      <w:smartTag w:uri="urn:schemas-microsoft-com:office:smarttags" w:element="stockticker">
        <w:r w:rsidRPr="00654EF1">
          <w:rPr>
            <w:rFonts w:eastAsia="MS Mincho"/>
            <w:color w:val="000000"/>
            <w:lang w:eastAsia="ja-JP"/>
          </w:rPr>
          <w:t>ALL</w:t>
        </w:r>
      </w:smartTag>
      <w:r w:rsidRPr="00654EF1">
        <w:rPr>
          <w:rFonts w:eastAsia="MS Mincho"/>
          <w:color w:val="000000"/>
          <w:lang w:eastAsia="ja-JP"/>
        </w:rPr>
        <w:t>) integ</w:t>
      </w:r>
      <w:r w:rsidRPr="00654EF1">
        <w:rPr>
          <w:color w:val="000000"/>
        </w:rPr>
        <w:t>rated with chemotherapy.</w:t>
      </w:r>
    </w:p>
    <w:p w14:paraId="1B680455" w14:textId="77777777" w:rsidR="007E73D8" w:rsidRPr="00654EF1" w:rsidRDefault="007E73D8" w:rsidP="001D5C8C">
      <w:pPr>
        <w:pStyle w:val="EndnoteText"/>
        <w:widowControl w:val="0"/>
        <w:numPr>
          <w:ilvl w:val="0"/>
          <w:numId w:val="8"/>
        </w:numPr>
        <w:rPr>
          <w:snapToGrid w:val="0"/>
          <w:color w:val="000000"/>
          <w:szCs w:val="22"/>
          <w:lang w:eastAsia="de-DE"/>
        </w:rPr>
      </w:pPr>
      <w:r w:rsidRPr="00654EF1">
        <w:rPr>
          <w:rFonts w:eastAsia="MS Mincho"/>
          <w:color w:val="000000"/>
          <w:szCs w:val="24"/>
          <w:lang w:eastAsia="ja-JP"/>
        </w:rPr>
        <w:t xml:space="preserve">adult patients with relapsed or refractory Ph+ </w:t>
      </w:r>
      <w:smartTag w:uri="urn:schemas-microsoft-com:office:smarttags" w:element="stockticker">
        <w:r w:rsidRPr="00654EF1">
          <w:rPr>
            <w:rFonts w:eastAsia="MS Mincho"/>
            <w:color w:val="000000"/>
            <w:szCs w:val="24"/>
            <w:lang w:eastAsia="ja-JP"/>
          </w:rPr>
          <w:t>ALL</w:t>
        </w:r>
      </w:smartTag>
      <w:r w:rsidRPr="00654EF1">
        <w:rPr>
          <w:rFonts w:eastAsia="MS Mincho"/>
          <w:color w:val="000000"/>
          <w:szCs w:val="24"/>
          <w:lang w:eastAsia="ja-JP"/>
        </w:rPr>
        <w:t xml:space="preserve"> as monotherapy.</w:t>
      </w:r>
    </w:p>
    <w:p w14:paraId="1B680456" w14:textId="77777777" w:rsidR="00EB7C09" w:rsidRPr="00654EF1" w:rsidRDefault="00EB7C09" w:rsidP="001D5C8C">
      <w:pPr>
        <w:pStyle w:val="EndnoteText"/>
        <w:widowControl w:val="0"/>
        <w:numPr>
          <w:ilvl w:val="0"/>
          <w:numId w:val="8"/>
        </w:numPr>
        <w:rPr>
          <w:snapToGrid w:val="0"/>
          <w:color w:val="000000"/>
          <w:szCs w:val="22"/>
          <w:lang w:eastAsia="de-DE"/>
        </w:rPr>
      </w:pPr>
      <w:r w:rsidRPr="00654EF1">
        <w:rPr>
          <w:snapToGrid w:val="0"/>
          <w:color w:val="000000"/>
        </w:rPr>
        <w:t>adult patients with myelodysplastic/myeloproliferative diseases (</w:t>
      </w:r>
      <w:smartTag w:uri="urn:schemas-microsoft-com:office:smarttags" w:element="stockticker">
        <w:r w:rsidRPr="00654EF1">
          <w:rPr>
            <w:snapToGrid w:val="0"/>
            <w:color w:val="000000"/>
          </w:rPr>
          <w:t>MDS</w:t>
        </w:r>
      </w:smartTag>
      <w:r w:rsidRPr="00654EF1">
        <w:rPr>
          <w:snapToGrid w:val="0"/>
          <w:color w:val="000000"/>
        </w:rPr>
        <w:t>/MPD) associated with platelet-derived growth factor receptor (PDGFR) gene re-arrangements.</w:t>
      </w:r>
    </w:p>
    <w:p w14:paraId="1B680457" w14:textId="77777777" w:rsidR="00EB7C09" w:rsidRPr="00654EF1" w:rsidRDefault="00EB7C09" w:rsidP="001D5C8C">
      <w:pPr>
        <w:pStyle w:val="EndnoteText"/>
        <w:widowControl w:val="0"/>
        <w:numPr>
          <w:ilvl w:val="0"/>
          <w:numId w:val="8"/>
        </w:numPr>
        <w:rPr>
          <w:snapToGrid w:val="0"/>
          <w:color w:val="000000"/>
          <w:szCs w:val="22"/>
          <w:lang w:eastAsia="de-DE"/>
        </w:rPr>
      </w:pPr>
      <w:r w:rsidRPr="00654EF1">
        <w:rPr>
          <w:color w:val="000000"/>
        </w:rPr>
        <w:t>adult patients with advanced hypereosinophilic syndrome (HES) and/or chronic eosinophilic leukaemia (</w:t>
      </w:r>
      <w:smartTag w:uri="urn:schemas-microsoft-com:office:smarttags" w:element="stockticker">
        <w:r w:rsidRPr="00654EF1">
          <w:rPr>
            <w:color w:val="000000"/>
          </w:rPr>
          <w:t>CEL</w:t>
        </w:r>
      </w:smartTag>
      <w:r w:rsidRPr="00654EF1">
        <w:rPr>
          <w:color w:val="000000"/>
        </w:rPr>
        <w:t>) with FIP1L1-PDGFR</w:t>
      </w:r>
      <w:r w:rsidRPr="00654EF1">
        <w:rPr>
          <w:color w:val="000000"/>
        </w:rPr>
        <w:sym w:font="Symbol" w:char="F061"/>
      </w:r>
      <w:r w:rsidRPr="00654EF1">
        <w:rPr>
          <w:color w:val="000000"/>
        </w:rPr>
        <w:t xml:space="preserve"> rearrangement.</w:t>
      </w:r>
    </w:p>
    <w:p w14:paraId="1B680458" w14:textId="77777777" w:rsidR="006237AB" w:rsidRPr="00654EF1" w:rsidRDefault="006237AB" w:rsidP="001D5C8C">
      <w:pPr>
        <w:pStyle w:val="EndnoteText"/>
        <w:widowControl w:val="0"/>
        <w:tabs>
          <w:tab w:val="clear" w:pos="567"/>
        </w:tabs>
        <w:rPr>
          <w:snapToGrid w:val="0"/>
          <w:color w:val="000000"/>
          <w:szCs w:val="22"/>
          <w:lang w:eastAsia="de-DE"/>
        </w:rPr>
      </w:pPr>
    </w:p>
    <w:p w14:paraId="1B680459" w14:textId="77777777" w:rsidR="006237AB" w:rsidRPr="00654EF1" w:rsidRDefault="006237AB" w:rsidP="001D5C8C">
      <w:pPr>
        <w:pStyle w:val="EndnoteText"/>
        <w:widowControl w:val="0"/>
        <w:tabs>
          <w:tab w:val="clear" w:pos="567"/>
        </w:tabs>
        <w:rPr>
          <w:color w:val="000000"/>
          <w:szCs w:val="22"/>
        </w:rPr>
      </w:pPr>
      <w:r w:rsidRPr="00654EF1">
        <w:rPr>
          <w:snapToGrid w:val="0"/>
          <w:color w:val="000000"/>
          <w:szCs w:val="22"/>
          <w:lang w:eastAsia="de-DE"/>
        </w:rPr>
        <w:t>The effect of Glivec on the outcome of bone marrow transplantation has not been determined.</w:t>
      </w:r>
    </w:p>
    <w:p w14:paraId="1B68045A" w14:textId="77777777" w:rsidR="006237AB" w:rsidRPr="00654EF1" w:rsidRDefault="006237AB" w:rsidP="001D5C8C">
      <w:pPr>
        <w:widowControl w:val="0"/>
        <w:tabs>
          <w:tab w:val="clear" w:pos="567"/>
        </w:tabs>
        <w:spacing w:line="240" w:lineRule="auto"/>
        <w:rPr>
          <w:color w:val="000000"/>
          <w:szCs w:val="22"/>
        </w:rPr>
      </w:pPr>
    </w:p>
    <w:p w14:paraId="1B68045B" w14:textId="77777777" w:rsidR="00936EF9" w:rsidRPr="00654EF1" w:rsidRDefault="00936EF9" w:rsidP="001D5C8C">
      <w:pPr>
        <w:keepNext/>
        <w:widowControl w:val="0"/>
        <w:tabs>
          <w:tab w:val="clear" w:pos="567"/>
        </w:tabs>
        <w:spacing w:line="240" w:lineRule="auto"/>
        <w:rPr>
          <w:color w:val="000000"/>
          <w:szCs w:val="22"/>
        </w:rPr>
      </w:pPr>
      <w:r w:rsidRPr="00654EF1">
        <w:rPr>
          <w:color w:val="000000"/>
          <w:szCs w:val="22"/>
        </w:rPr>
        <w:lastRenderedPageBreak/>
        <w:t>Glivec is indicated for</w:t>
      </w:r>
    </w:p>
    <w:p w14:paraId="1B68045C" w14:textId="77777777" w:rsidR="00936EF9" w:rsidRPr="00654EF1" w:rsidRDefault="00936EF9" w:rsidP="001D5C8C">
      <w:pPr>
        <w:widowControl w:val="0"/>
        <w:numPr>
          <w:ilvl w:val="0"/>
          <w:numId w:val="11"/>
        </w:numPr>
        <w:tabs>
          <w:tab w:val="clear" w:pos="227"/>
          <w:tab w:val="clear" w:pos="567"/>
        </w:tabs>
        <w:spacing w:line="240" w:lineRule="auto"/>
        <w:ind w:left="567" w:hanging="567"/>
        <w:rPr>
          <w:color w:val="000000"/>
          <w:szCs w:val="22"/>
        </w:rPr>
      </w:pPr>
      <w:r w:rsidRPr="00654EF1">
        <w:rPr>
          <w:color w:val="000000"/>
          <w:szCs w:val="22"/>
        </w:rPr>
        <w:t>the treatment of adult patients with Kit (CD 117) positive unresectable and/or metastatic malignant gastrointestinal stromal tumours (GIST).</w:t>
      </w:r>
    </w:p>
    <w:p w14:paraId="1B68045D" w14:textId="77777777" w:rsidR="00936EF9" w:rsidRPr="00654EF1" w:rsidRDefault="00936EF9" w:rsidP="001D5C8C">
      <w:pPr>
        <w:widowControl w:val="0"/>
        <w:numPr>
          <w:ilvl w:val="0"/>
          <w:numId w:val="11"/>
        </w:numPr>
        <w:tabs>
          <w:tab w:val="clear" w:pos="227"/>
          <w:tab w:val="num" w:pos="567"/>
        </w:tabs>
        <w:autoSpaceDE w:val="0"/>
        <w:autoSpaceDN w:val="0"/>
        <w:adjustRightInd w:val="0"/>
        <w:spacing w:line="240" w:lineRule="auto"/>
        <w:ind w:left="567" w:hanging="567"/>
        <w:rPr>
          <w:color w:val="000000"/>
          <w:szCs w:val="22"/>
        </w:rPr>
      </w:pPr>
      <w:r w:rsidRPr="00654EF1">
        <w:rPr>
          <w:color w:val="000000"/>
          <w:szCs w:val="22"/>
        </w:rPr>
        <w:t>the adjuvant treatment of adult patients who are at significant risk of relapse following resection of Kit (CD117)-positive GIST. Patients who have a low or very low risk of recurrence should not receive adjuvant treatment.</w:t>
      </w:r>
    </w:p>
    <w:p w14:paraId="1B68045E" w14:textId="77777777" w:rsidR="00936EF9" w:rsidRPr="00654EF1" w:rsidRDefault="00936EF9" w:rsidP="001D5C8C">
      <w:pPr>
        <w:widowControl w:val="0"/>
        <w:numPr>
          <w:ilvl w:val="0"/>
          <w:numId w:val="10"/>
        </w:numPr>
        <w:tabs>
          <w:tab w:val="clear" w:pos="227"/>
          <w:tab w:val="clear" w:pos="567"/>
        </w:tabs>
        <w:spacing w:line="240" w:lineRule="auto"/>
        <w:ind w:left="567" w:hanging="567"/>
        <w:rPr>
          <w:color w:val="000000"/>
          <w:szCs w:val="22"/>
        </w:rPr>
      </w:pPr>
      <w:r w:rsidRPr="00654EF1">
        <w:rPr>
          <w:snapToGrid w:val="0"/>
          <w:color w:val="000000"/>
          <w:szCs w:val="22"/>
          <w:lang w:eastAsia="de-DE"/>
        </w:rPr>
        <w:t xml:space="preserve">the treatment of adult patients with unresectable </w:t>
      </w:r>
      <w:r w:rsidRPr="00654EF1">
        <w:rPr>
          <w:color w:val="000000"/>
          <w:szCs w:val="22"/>
        </w:rPr>
        <w:t>dermatofibrosarcoma protuberans (DFSP) and adult patients with recurrent and/or metastatic DFSP who are not eligible for surgery.</w:t>
      </w:r>
    </w:p>
    <w:p w14:paraId="1B68045F" w14:textId="77777777" w:rsidR="00936EF9" w:rsidRPr="00654EF1" w:rsidRDefault="00936EF9" w:rsidP="001D5C8C">
      <w:pPr>
        <w:widowControl w:val="0"/>
        <w:tabs>
          <w:tab w:val="clear" w:pos="567"/>
        </w:tabs>
        <w:spacing w:line="240" w:lineRule="auto"/>
        <w:rPr>
          <w:color w:val="000000"/>
          <w:szCs w:val="22"/>
        </w:rPr>
      </w:pPr>
    </w:p>
    <w:p w14:paraId="1B680460" w14:textId="77777777" w:rsidR="00FE1066" w:rsidRPr="00654EF1" w:rsidRDefault="00FE1066" w:rsidP="001D5C8C">
      <w:pPr>
        <w:pStyle w:val="Text"/>
        <w:widowControl w:val="0"/>
        <w:spacing w:before="0"/>
        <w:jc w:val="left"/>
        <w:rPr>
          <w:color w:val="000000"/>
          <w:sz w:val="22"/>
          <w:szCs w:val="22"/>
          <w:lang w:val="en-GB"/>
        </w:rPr>
      </w:pPr>
      <w:r w:rsidRPr="00654EF1">
        <w:rPr>
          <w:color w:val="000000"/>
          <w:sz w:val="22"/>
          <w:szCs w:val="22"/>
          <w:lang w:val="en-GB"/>
        </w:rPr>
        <w:t xml:space="preserve">In adult and paediatric patients, the effectiveness of Glivec is based on overall haematological and cytogenetic response rates and progression-free survival in CML, on haematological and cytogenetic response rates in Ph+ </w:t>
      </w:r>
      <w:smartTag w:uri="urn:schemas-microsoft-com:office:smarttags" w:element="stockticker">
        <w:r w:rsidRPr="00654EF1">
          <w:rPr>
            <w:color w:val="000000"/>
            <w:sz w:val="22"/>
            <w:szCs w:val="22"/>
            <w:lang w:val="en-GB"/>
          </w:rPr>
          <w:t>ALL</w:t>
        </w:r>
      </w:smartTag>
      <w:r w:rsidRPr="00654EF1">
        <w:rPr>
          <w:color w:val="000000"/>
          <w:sz w:val="22"/>
          <w:szCs w:val="22"/>
          <w:lang w:val="en-GB"/>
        </w:rPr>
        <w:t xml:space="preserve">, </w:t>
      </w:r>
      <w:smartTag w:uri="urn:schemas-microsoft-com:office:smarttags" w:element="stockticker">
        <w:r w:rsidRPr="00654EF1">
          <w:rPr>
            <w:color w:val="000000"/>
            <w:sz w:val="22"/>
            <w:szCs w:val="22"/>
            <w:lang w:val="en-GB"/>
          </w:rPr>
          <w:t>MDS</w:t>
        </w:r>
      </w:smartTag>
      <w:r w:rsidRPr="00654EF1">
        <w:rPr>
          <w:color w:val="000000"/>
          <w:sz w:val="22"/>
          <w:szCs w:val="22"/>
          <w:lang w:val="en-GB"/>
        </w:rPr>
        <w:t>/MPD, on haematological response rates in HES/</w:t>
      </w:r>
      <w:smartTag w:uri="urn:schemas-microsoft-com:office:smarttags" w:element="stockticker">
        <w:r w:rsidRPr="00654EF1">
          <w:rPr>
            <w:color w:val="000000"/>
            <w:sz w:val="22"/>
            <w:szCs w:val="22"/>
            <w:lang w:val="en-GB"/>
          </w:rPr>
          <w:t>CEL</w:t>
        </w:r>
      </w:smartTag>
      <w:r w:rsidRPr="00654EF1">
        <w:rPr>
          <w:color w:val="000000"/>
          <w:sz w:val="22"/>
          <w:szCs w:val="22"/>
          <w:lang w:val="en-GB"/>
        </w:rPr>
        <w:t xml:space="preserve"> and on objective response rates in adult patients with unresectable and/or metastatic GIST and DFSP and on recurrence-free survival in adjuvant GIST. The experience with Glivec in patients with </w:t>
      </w:r>
      <w:smartTag w:uri="urn:schemas-microsoft-com:office:smarttags" w:element="stockticker">
        <w:r w:rsidRPr="00654EF1">
          <w:rPr>
            <w:color w:val="000000"/>
            <w:sz w:val="22"/>
            <w:szCs w:val="22"/>
            <w:lang w:val="en-GB"/>
          </w:rPr>
          <w:t>MDS</w:t>
        </w:r>
      </w:smartTag>
      <w:r w:rsidRPr="00654EF1">
        <w:rPr>
          <w:color w:val="000000"/>
          <w:sz w:val="22"/>
          <w:szCs w:val="22"/>
          <w:lang w:val="en-GB"/>
        </w:rPr>
        <w:t xml:space="preserve">/MPD associated with </w:t>
      </w:r>
      <w:r w:rsidRPr="00654EF1">
        <w:rPr>
          <w:snapToGrid w:val="0"/>
          <w:color w:val="000000"/>
          <w:sz w:val="22"/>
          <w:szCs w:val="22"/>
        </w:rPr>
        <w:t>PDGFR gene re-arrangements</w:t>
      </w:r>
      <w:r w:rsidRPr="00654EF1">
        <w:rPr>
          <w:color w:val="000000"/>
          <w:sz w:val="22"/>
          <w:szCs w:val="22"/>
          <w:lang w:val="en-GB"/>
        </w:rPr>
        <w:t xml:space="preserve"> is very limited (see section 5.1). Except in newly diagnosed chronic phase CML, there are no controlled trials demonstrating a clinical benefit or increased survival for these diseases.</w:t>
      </w:r>
    </w:p>
    <w:p w14:paraId="1B680461" w14:textId="77777777" w:rsidR="006237AB" w:rsidRPr="00654EF1" w:rsidRDefault="006237AB" w:rsidP="001D5C8C">
      <w:pPr>
        <w:pStyle w:val="Text"/>
        <w:widowControl w:val="0"/>
        <w:spacing w:before="0"/>
        <w:rPr>
          <w:color w:val="000000"/>
          <w:sz w:val="22"/>
          <w:szCs w:val="22"/>
          <w:lang w:val="en-GB"/>
        </w:rPr>
      </w:pPr>
    </w:p>
    <w:p w14:paraId="1B680462"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4.2</w:t>
      </w:r>
      <w:r w:rsidRPr="00654EF1">
        <w:rPr>
          <w:b/>
          <w:color w:val="000000"/>
          <w:szCs w:val="22"/>
        </w:rPr>
        <w:tab/>
        <w:t>Posology and method of administration</w:t>
      </w:r>
    </w:p>
    <w:p w14:paraId="1B680463" w14:textId="77777777" w:rsidR="006237AB" w:rsidRPr="00654EF1" w:rsidRDefault="006237AB" w:rsidP="001D5C8C">
      <w:pPr>
        <w:pStyle w:val="EndnoteText"/>
        <w:keepNext/>
        <w:widowControl w:val="0"/>
        <w:tabs>
          <w:tab w:val="clear" w:pos="567"/>
        </w:tabs>
        <w:rPr>
          <w:color w:val="000000"/>
          <w:szCs w:val="22"/>
        </w:rPr>
      </w:pPr>
    </w:p>
    <w:p w14:paraId="1B680464" w14:textId="77777777" w:rsidR="007E73D8" w:rsidRPr="00654EF1" w:rsidRDefault="007E73D8" w:rsidP="001D5C8C">
      <w:pPr>
        <w:pStyle w:val="EndnoteText"/>
        <w:widowControl w:val="0"/>
        <w:tabs>
          <w:tab w:val="clear" w:pos="567"/>
        </w:tabs>
        <w:rPr>
          <w:color w:val="000000"/>
          <w:szCs w:val="22"/>
        </w:rPr>
      </w:pPr>
      <w:r w:rsidRPr="00654EF1">
        <w:rPr>
          <w:color w:val="000000"/>
          <w:szCs w:val="22"/>
        </w:rPr>
        <w:t xml:space="preserve">Therapy should be initiated by a physician experienced in the treatment of patients with </w:t>
      </w:r>
      <w:r w:rsidRPr="00654EF1">
        <w:rPr>
          <w:color w:val="000000"/>
        </w:rPr>
        <w:t>haematological malignancies and malignant sarcomas, as appropriate</w:t>
      </w:r>
      <w:r w:rsidRPr="00654EF1">
        <w:rPr>
          <w:color w:val="000000"/>
          <w:szCs w:val="22"/>
        </w:rPr>
        <w:t>.</w:t>
      </w:r>
    </w:p>
    <w:p w14:paraId="1B680465" w14:textId="77777777" w:rsidR="006237AB" w:rsidRPr="00654EF1" w:rsidRDefault="006237AB" w:rsidP="001D5C8C">
      <w:pPr>
        <w:pStyle w:val="EndnoteText"/>
        <w:widowControl w:val="0"/>
        <w:tabs>
          <w:tab w:val="clear" w:pos="567"/>
        </w:tabs>
        <w:rPr>
          <w:color w:val="000000"/>
          <w:szCs w:val="22"/>
        </w:rPr>
      </w:pPr>
    </w:p>
    <w:p w14:paraId="1B680466" w14:textId="77777777" w:rsidR="002823B9" w:rsidRPr="00654EF1" w:rsidRDefault="002823B9" w:rsidP="001D5C8C">
      <w:pPr>
        <w:pStyle w:val="EndnoteText"/>
        <w:widowControl w:val="0"/>
        <w:rPr>
          <w:color w:val="000000"/>
          <w:szCs w:val="22"/>
        </w:rPr>
      </w:pPr>
      <w:r w:rsidRPr="00654EF1">
        <w:rPr>
          <w:color w:val="000000"/>
          <w:szCs w:val="22"/>
        </w:rPr>
        <w:t>For doses other than 400 mg and 800 mg (see dosage recommendation below) a 100 mg divisible tablet is available.</w:t>
      </w:r>
    </w:p>
    <w:p w14:paraId="1B680467"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For doses of 400</w:t>
      </w:r>
      <w:r w:rsidR="002D524A" w:rsidRPr="00654EF1">
        <w:rPr>
          <w:color w:val="000000"/>
          <w:szCs w:val="22"/>
        </w:rPr>
        <w:t> mg</w:t>
      </w:r>
      <w:r w:rsidRPr="00654EF1">
        <w:rPr>
          <w:color w:val="000000"/>
          <w:szCs w:val="22"/>
        </w:rPr>
        <w:t xml:space="preserve"> and above (see dosage recommendation below) a 400</w:t>
      </w:r>
      <w:r w:rsidR="002D524A" w:rsidRPr="00654EF1">
        <w:rPr>
          <w:color w:val="000000"/>
          <w:szCs w:val="22"/>
        </w:rPr>
        <w:t> mg</w:t>
      </w:r>
      <w:r w:rsidRPr="00654EF1">
        <w:rPr>
          <w:color w:val="000000"/>
          <w:szCs w:val="22"/>
        </w:rPr>
        <w:t xml:space="preserve"> tablet (not divisible) is available.</w:t>
      </w:r>
    </w:p>
    <w:p w14:paraId="1B680468" w14:textId="77777777" w:rsidR="006237AB" w:rsidRPr="00654EF1" w:rsidRDefault="006237AB" w:rsidP="001D5C8C">
      <w:pPr>
        <w:pStyle w:val="EndnoteText"/>
        <w:widowControl w:val="0"/>
        <w:tabs>
          <w:tab w:val="clear" w:pos="567"/>
        </w:tabs>
        <w:rPr>
          <w:color w:val="000000"/>
          <w:szCs w:val="22"/>
        </w:rPr>
      </w:pPr>
    </w:p>
    <w:p w14:paraId="1B680469"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The prescribed dose should be administered orally with a meal and a large glass of water to minimise the risk of gastrointestinal irritations. </w:t>
      </w:r>
      <w:r w:rsidR="00975A28" w:rsidRPr="00654EF1">
        <w:rPr>
          <w:color w:val="000000"/>
        </w:rPr>
        <w:t>Doses of 400 mg or 600 mg should be administered once daily, whereas a daily dose of 800 mg should be administered as 400 mg twice a day, in the morning and in the evening.</w:t>
      </w:r>
    </w:p>
    <w:p w14:paraId="1B68046A" w14:textId="77777777" w:rsidR="00C703BD" w:rsidRPr="00654EF1" w:rsidRDefault="00C703BD" w:rsidP="001D5C8C">
      <w:pPr>
        <w:pStyle w:val="EndnoteText"/>
        <w:widowControl w:val="0"/>
        <w:tabs>
          <w:tab w:val="clear" w:pos="567"/>
        </w:tabs>
        <w:rPr>
          <w:color w:val="000000"/>
          <w:szCs w:val="22"/>
        </w:rPr>
      </w:pPr>
    </w:p>
    <w:p w14:paraId="1B68046B"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 xml:space="preserve">For patients unable to swallow the film-coated tablets, the tablets may be dispersed in a glass of </w:t>
      </w:r>
      <w:r w:rsidR="007C676D" w:rsidRPr="00654EF1">
        <w:rPr>
          <w:color w:val="000000"/>
          <w:szCs w:val="22"/>
        </w:rPr>
        <w:t xml:space="preserve">still </w:t>
      </w:r>
      <w:r w:rsidRPr="00654EF1">
        <w:rPr>
          <w:color w:val="000000"/>
          <w:szCs w:val="22"/>
        </w:rPr>
        <w:t>water or apple juice. The required number of tablets should be placed in the appropriate volume of beverage (approximately 50</w:t>
      </w:r>
      <w:r w:rsidR="002D524A" w:rsidRPr="00654EF1">
        <w:rPr>
          <w:color w:val="000000"/>
          <w:szCs w:val="22"/>
        </w:rPr>
        <w:t> ml</w:t>
      </w:r>
      <w:r w:rsidRPr="00654EF1">
        <w:rPr>
          <w:color w:val="000000"/>
          <w:szCs w:val="22"/>
        </w:rPr>
        <w:t xml:space="preserve"> for a 100</w:t>
      </w:r>
      <w:r w:rsidR="002D524A" w:rsidRPr="00654EF1">
        <w:rPr>
          <w:color w:val="000000"/>
          <w:szCs w:val="22"/>
        </w:rPr>
        <w:t> mg</w:t>
      </w:r>
      <w:r w:rsidRPr="00654EF1">
        <w:rPr>
          <w:color w:val="000000"/>
          <w:szCs w:val="22"/>
        </w:rPr>
        <w:t xml:space="preserve"> tablet, and 200</w:t>
      </w:r>
      <w:r w:rsidR="002D524A" w:rsidRPr="00654EF1">
        <w:rPr>
          <w:color w:val="000000"/>
          <w:szCs w:val="22"/>
        </w:rPr>
        <w:t> ml</w:t>
      </w:r>
      <w:r w:rsidRPr="00654EF1">
        <w:rPr>
          <w:color w:val="000000"/>
          <w:szCs w:val="22"/>
        </w:rPr>
        <w:t xml:space="preserve"> for a 400</w:t>
      </w:r>
      <w:r w:rsidR="002D524A" w:rsidRPr="00654EF1">
        <w:rPr>
          <w:color w:val="000000"/>
          <w:szCs w:val="22"/>
        </w:rPr>
        <w:t> mg</w:t>
      </w:r>
      <w:r w:rsidRPr="00654EF1">
        <w:rPr>
          <w:color w:val="000000"/>
          <w:szCs w:val="22"/>
        </w:rPr>
        <w:t xml:space="preserve"> tablet) and stirred with a spoon. The suspension should be administered immediately after complete disintegration of the tablet(s).</w:t>
      </w:r>
    </w:p>
    <w:p w14:paraId="1B68046C" w14:textId="77777777" w:rsidR="006237AB" w:rsidRPr="00654EF1" w:rsidRDefault="006237AB" w:rsidP="001D5C8C">
      <w:pPr>
        <w:pStyle w:val="BodyText"/>
        <w:widowControl w:val="0"/>
        <w:spacing w:line="240" w:lineRule="auto"/>
        <w:rPr>
          <w:b w:val="0"/>
          <w:i w:val="0"/>
          <w:color w:val="000000"/>
          <w:szCs w:val="22"/>
        </w:rPr>
      </w:pPr>
    </w:p>
    <w:p w14:paraId="1B68046D" w14:textId="77777777" w:rsidR="006237AB" w:rsidRPr="00654EF1" w:rsidRDefault="006237AB" w:rsidP="001D5C8C">
      <w:pPr>
        <w:pStyle w:val="BodyText"/>
        <w:keepNext/>
        <w:widowControl w:val="0"/>
        <w:spacing w:line="240" w:lineRule="auto"/>
        <w:rPr>
          <w:b w:val="0"/>
          <w:i w:val="0"/>
          <w:color w:val="000000"/>
          <w:szCs w:val="22"/>
          <w:u w:val="single"/>
        </w:rPr>
      </w:pPr>
      <w:r w:rsidRPr="00654EF1">
        <w:rPr>
          <w:b w:val="0"/>
          <w:i w:val="0"/>
          <w:color w:val="000000"/>
          <w:szCs w:val="22"/>
          <w:u w:val="single"/>
        </w:rPr>
        <w:t>Posology for CML</w:t>
      </w:r>
      <w:r w:rsidR="007E73D8" w:rsidRPr="00654EF1">
        <w:rPr>
          <w:b w:val="0"/>
          <w:i w:val="0"/>
          <w:color w:val="000000"/>
          <w:szCs w:val="22"/>
          <w:u w:val="single"/>
        </w:rPr>
        <w:t xml:space="preserve"> in adult patients</w:t>
      </w:r>
    </w:p>
    <w:p w14:paraId="1B68046E" w14:textId="77777777" w:rsidR="006237AB" w:rsidRPr="00654EF1" w:rsidRDefault="006237AB" w:rsidP="001D5C8C">
      <w:pPr>
        <w:pStyle w:val="BodyText"/>
        <w:widowControl w:val="0"/>
        <w:spacing w:line="240" w:lineRule="auto"/>
        <w:rPr>
          <w:b w:val="0"/>
          <w:i w:val="0"/>
          <w:snapToGrid w:val="0"/>
          <w:color w:val="000000"/>
          <w:szCs w:val="22"/>
        </w:rPr>
      </w:pPr>
      <w:r w:rsidRPr="00654EF1">
        <w:rPr>
          <w:b w:val="0"/>
          <w:i w:val="0"/>
          <w:color w:val="000000"/>
          <w:szCs w:val="22"/>
        </w:rPr>
        <w:t xml:space="preserve">The recommended dosage of Glivec is 400 mg/day for </w:t>
      </w:r>
      <w:r w:rsidR="00BB7FBF" w:rsidRPr="00654EF1">
        <w:rPr>
          <w:b w:val="0"/>
          <w:i w:val="0"/>
          <w:color w:val="000000"/>
          <w:szCs w:val="22"/>
        </w:rPr>
        <w:t xml:space="preserve">adult </w:t>
      </w:r>
      <w:r w:rsidRPr="00654EF1">
        <w:rPr>
          <w:b w:val="0"/>
          <w:i w:val="0"/>
          <w:color w:val="000000"/>
          <w:szCs w:val="22"/>
        </w:rPr>
        <w:t xml:space="preserve">patients in chronic phase CML. </w:t>
      </w:r>
      <w:r w:rsidRPr="00654EF1">
        <w:rPr>
          <w:b w:val="0"/>
          <w:i w:val="0"/>
          <w:snapToGrid w:val="0"/>
          <w:color w:val="000000"/>
          <w:szCs w:val="22"/>
        </w:rPr>
        <w:t>Chronic phase CML is defined when all of the following criteria are met: blasts &lt; 15% in blood and bone marrow, peripheral blood basophils &lt; 20%, platelets &gt; 100</w:t>
      </w:r>
      <w:r w:rsidR="00FF79B9" w:rsidRPr="00654EF1">
        <w:rPr>
          <w:b w:val="0"/>
          <w:i w:val="0"/>
          <w:snapToGrid w:val="0"/>
          <w:color w:val="000000"/>
          <w:szCs w:val="22"/>
        </w:rPr>
        <w:t> x </w:t>
      </w:r>
      <w:r w:rsidRPr="00654EF1">
        <w:rPr>
          <w:b w:val="0"/>
          <w:i w:val="0"/>
          <w:snapToGrid w:val="0"/>
          <w:color w:val="000000"/>
          <w:szCs w:val="22"/>
        </w:rPr>
        <w:t>10</w:t>
      </w:r>
      <w:r w:rsidRPr="00654EF1">
        <w:rPr>
          <w:b w:val="0"/>
          <w:i w:val="0"/>
          <w:snapToGrid w:val="0"/>
          <w:color w:val="000000"/>
          <w:szCs w:val="22"/>
          <w:vertAlign w:val="superscript"/>
        </w:rPr>
        <w:t>9</w:t>
      </w:r>
      <w:r w:rsidRPr="00654EF1">
        <w:rPr>
          <w:b w:val="0"/>
          <w:i w:val="0"/>
          <w:snapToGrid w:val="0"/>
          <w:color w:val="000000"/>
          <w:szCs w:val="22"/>
        </w:rPr>
        <w:t>/l.</w:t>
      </w:r>
    </w:p>
    <w:p w14:paraId="1B68046F" w14:textId="77777777" w:rsidR="006237AB" w:rsidRPr="00654EF1" w:rsidRDefault="006237AB" w:rsidP="001D5C8C">
      <w:pPr>
        <w:pStyle w:val="BodyText"/>
        <w:widowControl w:val="0"/>
        <w:spacing w:line="240" w:lineRule="auto"/>
        <w:rPr>
          <w:b w:val="0"/>
          <w:i w:val="0"/>
          <w:color w:val="000000"/>
          <w:szCs w:val="22"/>
        </w:rPr>
      </w:pPr>
    </w:p>
    <w:p w14:paraId="1B680470" w14:textId="77777777" w:rsidR="006237AB" w:rsidRPr="00654EF1" w:rsidRDefault="006237AB" w:rsidP="001D5C8C">
      <w:pPr>
        <w:pStyle w:val="BodyText"/>
        <w:widowControl w:val="0"/>
        <w:spacing w:line="240" w:lineRule="auto"/>
        <w:rPr>
          <w:b w:val="0"/>
          <w:i w:val="0"/>
          <w:snapToGrid w:val="0"/>
          <w:color w:val="000000"/>
          <w:szCs w:val="22"/>
        </w:rPr>
      </w:pPr>
      <w:r w:rsidRPr="00654EF1">
        <w:rPr>
          <w:b w:val="0"/>
          <w:i w:val="0"/>
          <w:color w:val="000000"/>
          <w:szCs w:val="22"/>
        </w:rPr>
        <w:t xml:space="preserve">The recommended dosage of Glivec is 600 mg/day for </w:t>
      </w:r>
      <w:r w:rsidR="00BB7FBF" w:rsidRPr="00654EF1">
        <w:rPr>
          <w:b w:val="0"/>
          <w:i w:val="0"/>
          <w:color w:val="000000"/>
          <w:szCs w:val="22"/>
        </w:rPr>
        <w:t xml:space="preserve">adult </w:t>
      </w:r>
      <w:r w:rsidRPr="00654EF1">
        <w:rPr>
          <w:b w:val="0"/>
          <w:i w:val="0"/>
          <w:color w:val="000000"/>
          <w:szCs w:val="22"/>
        </w:rPr>
        <w:t xml:space="preserve">patients in accelerated phase. </w:t>
      </w:r>
      <w:r w:rsidRPr="00654EF1">
        <w:rPr>
          <w:b w:val="0"/>
          <w:i w:val="0"/>
          <w:snapToGrid w:val="0"/>
          <w:color w:val="000000"/>
          <w:szCs w:val="22"/>
        </w:rPr>
        <w:t xml:space="preserve">Accelerated phase is defined by the presence of any of the following: blasts </w:t>
      </w:r>
      <w:r w:rsidRPr="00654EF1">
        <w:rPr>
          <w:b w:val="0"/>
          <w:i w:val="0"/>
          <w:snapToGrid w:val="0"/>
          <w:color w:val="000000"/>
          <w:szCs w:val="22"/>
        </w:rPr>
        <w:sym w:font="Symbol" w:char="F0B3"/>
      </w:r>
      <w:r w:rsidRPr="00654EF1">
        <w:rPr>
          <w:b w:val="0"/>
          <w:i w:val="0"/>
          <w:snapToGrid w:val="0"/>
          <w:color w:val="000000"/>
          <w:szCs w:val="22"/>
        </w:rPr>
        <w:t xml:space="preserve"> 15% but &lt; 30% in blood or bone marrow, blasts plus promyelocytes </w:t>
      </w:r>
      <w:r w:rsidRPr="00654EF1">
        <w:rPr>
          <w:b w:val="0"/>
          <w:i w:val="0"/>
          <w:snapToGrid w:val="0"/>
          <w:color w:val="000000"/>
          <w:szCs w:val="22"/>
        </w:rPr>
        <w:sym w:font="Symbol" w:char="F0B3"/>
      </w:r>
      <w:r w:rsidRPr="00654EF1">
        <w:rPr>
          <w:b w:val="0"/>
          <w:i w:val="0"/>
          <w:snapToGrid w:val="0"/>
          <w:color w:val="000000"/>
          <w:szCs w:val="22"/>
        </w:rPr>
        <w:t xml:space="preserve"> 30% in blood or bone marrow (providing &lt; 30% blasts), peripheral blood basophils </w:t>
      </w:r>
      <w:r w:rsidRPr="00654EF1">
        <w:rPr>
          <w:b w:val="0"/>
          <w:i w:val="0"/>
          <w:snapToGrid w:val="0"/>
          <w:color w:val="000000"/>
          <w:szCs w:val="22"/>
        </w:rPr>
        <w:sym w:font="Symbol" w:char="F0B3"/>
      </w:r>
      <w:r w:rsidRPr="00654EF1">
        <w:rPr>
          <w:b w:val="0"/>
          <w:i w:val="0"/>
          <w:snapToGrid w:val="0"/>
          <w:color w:val="000000"/>
          <w:szCs w:val="22"/>
        </w:rPr>
        <w:t> 20%, platelets &lt; 100</w:t>
      </w:r>
      <w:r w:rsidR="00FF79B9" w:rsidRPr="00654EF1">
        <w:rPr>
          <w:b w:val="0"/>
          <w:i w:val="0"/>
          <w:snapToGrid w:val="0"/>
          <w:color w:val="000000"/>
          <w:szCs w:val="22"/>
        </w:rPr>
        <w:t> x </w:t>
      </w:r>
      <w:r w:rsidRPr="00654EF1">
        <w:rPr>
          <w:b w:val="0"/>
          <w:i w:val="0"/>
          <w:snapToGrid w:val="0"/>
          <w:color w:val="000000"/>
          <w:szCs w:val="22"/>
        </w:rPr>
        <w:t>10</w:t>
      </w:r>
      <w:r w:rsidRPr="00654EF1">
        <w:rPr>
          <w:b w:val="0"/>
          <w:i w:val="0"/>
          <w:snapToGrid w:val="0"/>
          <w:color w:val="000000"/>
          <w:szCs w:val="22"/>
          <w:vertAlign w:val="superscript"/>
        </w:rPr>
        <w:t>9</w:t>
      </w:r>
      <w:r w:rsidRPr="00654EF1">
        <w:rPr>
          <w:b w:val="0"/>
          <w:i w:val="0"/>
          <w:snapToGrid w:val="0"/>
          <w:color w:val="000000"/>
          <w:szCs w:val="22"/>
        </w:rPr>
        <w:t>/l unrelated to therapy.</w:t>
      </w:r>
    </w:p>
    <w:p w14:paraId="1B680471" w14:textId="77777777" w:rsidR="006237AB" w:rsidRPr="00654EF1" w:rsidRDefault="006237AB" w:rsidP="001D5C8C">
      <w:pPr>
        <w:pStyle w:val="BodyText"/>
        <w:widowControl w:val="0"/>
        <w:spacing w:line="240" w:lineRule="auto"/>
        <w:rPr>
          <w:b w:val="0"/>
          <w:i w:val="0"/>
          <w:color w:val="000000"/>
          <w:szCs w:val="22"/>
        </w:rPr>
      </w:pPr>
    </w:p>
    <w:p w14:paraId="1B680472" w14:textId="77777777" w:rsidR="006237AB" w:rsidRPr="00654EF1" w:rsidRDefault="006237AB" w:rsidP="001D5C8C">
      <w:pPr>
        <w:pStyle w:val="BodyText"/>
        <w:widowControl w:val="0"/>
        <w:spacing w:line="240" w:lineRule="auto"/>
        <w:rPr>
          <w:b w:val="0"/>
          <w:i w:val="0"/>
          <w:color w:val="000000"/>
          <w:szCs w:val="22"/>
        </w:rPr>
      </w:pPr>
      <w:r w:rsidRPr="00654EF1">
        <w:rPr>
          <w:b w:val="0"/>
          <w:i w:val="0"/>
          <w:color w:val="000000"/>
          <w:szCs w:val="22"/>
        </w:rPr>
        <w:t xml:space="preserve">The recommended dose of Glivec is 600 mg/day for </w:t>
      </w:r>
      <w:r w:rsidR="005238B7" w:rsidRPr="00654EF1">
        <w:rPr>
          <w:b w:val="0"/>
          <w:i w:val="0"/>
          <w:color w:val="000000"/>
          <w:szCs w:val="22"/>
        </w:rPr>
        <w:t xml:space="preserve">adult </w:t>
      </w:r>
      <w:r w:rsidRPr="00654EF1">
        <w:rPr>
          <w:b w:val="0"/>
          <w:i w:val="0"/>
          <w:color w:val="000000"/>
          <w:szCs w:val="22"/>
        </w:rPr>
        <w:t xml:space="preserve">patients in blast crisis. </w:t>
      </w:r>
      <w:r w:rsidRPr="00654EF1">
        <w:rPr>
          <w:b w:val="0"/>
          <w:i w:val="0"/>
          <w:snapToGrid w:val="0"/>
          <w:color w:val="000000"/>
          <w:szCs w:val="22"/>
        </w:rPr>
        <w:t xml:space="preserve">Blast crisis is defined as blasts </w:t>
      </w:r>
      <w:r w:rsidRPr="00654EF1">
        <w:rPr>
          <w:b w:val="0"/>
          <w:i w:val="0"/>
          <w:snapToGrid w:val="0"/>
          <w:color w:val="000000"/>
          <w:szCs w:val="22"/>
        </w:rPr>
        <w:sym w:font="Symbol" w:char="F0B3"/>
      </w:r>
      <w:r w:rsidRPr="00654EF1">
        <w:rPr>
          <w:b w:val="0"/>
          <w:i w:val="0"/>
          <w:snapToGrid w:val="0"/>
          <w:color w:val="000000"/>
          <w:szCs w:val="22"/>
        </w:rPr>
        <w:t> 30% in blood or bone marrow or extramedullary disease other than hepatosplenomegaly.</w:t>
      </w:r>
    </w:p>
    <w:p w14:paraId="1B680473" w14:textId="77777777" w:rsidR="006237AB" w:rsidRPr="00654EF1" w:rsidRDefault="006237AB" w:rsidP="001D5C8C">
      <w:pPr>
        <w:pStyle w:val="EndnoteText"/>
        <w:widowControl w:val="0"/>
        <w:tabs>
          <w:tab w:val="clear" w:pos="567"/>
        </w:tabs>
        <w:rPr>
          <w:color w:val="000000"/>
          <w:szCs w:val="22"/>
        </w:rPr>
      </w:pPr>
    </w:p>
    <w:p w14:paraId="1B680474"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Treatment duration: In clinical trials, treatment with Glivec was continued until disease progression. The effect of stopping treatment after the achievement of a complete cytogenetic response has not been investigated.</w:t>
      </w:r>
    </w:p>
    <w:p w14:paraId="1B680475" w14:textId="77777777" w:rsidR="006237AB" w:rsidRPr="00654EF1" w:rsidRDefault="006237AB" w:rsidP="001D5C8C">
      <w:pPr>
        <w:pStyle w:val="EndnoteText"/>
        <w:widowControl w:val="0"/>
        <w:tabs>
          <w:tab w:val="clear" w:pos="567"/>
        </w:tabs>
        <w:rPr>
          <w:color w:val="000000"/>
          <w:szCs w:val="22"/>
        </w:rPr>
      </w:pPr>
    </w:p>
    <w:p w14:paraId="1B680476"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Dose increases from 400 mg to 600</w:t>
      </w:r>
      <w:r w:rsidR="002D524A" w:rsidRPr="00654EF1">
        <w:rPr>
          <w:color w:val="000000"/>
          <w:szCs w:val="22"/>
        </w:rPr>
        <w:t> mg</w:t>
      </w:r>
      <w:r w:rsidRPr="00654EF1">
        <w:rPr>
          <w:color w:val="000000"/>
          <w:szCs w:val="22"/>
        </w:rPr>
        <w:t xml:space="preserve"> </w:t>
      </w:r>
      <w:r w:rsidR="00975A28" w:rsidRPr="00654EF1">
        <w:rPr>
          <w:color w:val="000000"/>
          <w:szCs w:val="22"/>
        </w:rPr>
        <w:t xml:space="preserve">or 800 mg </w:t>
      </w:r>
      <w:r w:rsidRPr="00654EF1">
        <w:rPr>
          <w:color w:val="000000"/>
          <w:szCs w:val="22"/>
        </w:rPr>
        <w:t xml:space="preserve">in patients with chronic phase disease, or from </w:t>
      </w:r>
      <w:r w:rsidRPr="00654EF1">
        <w:rPr>
          <w:color w:val="000000"/>
          <w:szCs w:val="22"/>
        </w:rPr>
        <w:lastRenderedPageBreak/>
        <w:t>600 mg to a maximum of 800 mg (given as 400 mg twice daily) in patients with accelerated phase or blast crisis may be considered in the absence of severe adverse drug reaction and severe non-leukaemia-related neutropenia or thrombocytopenia in the following circumstances: disease progression (at any time); failure to achieve a satisfactory haematological response after at least 3</w:t>
      </w:r>
      <w:r w:rsidR="0036337E" w:rsidRPr="00654EF1">
        <w:rPr>
          <w:color w:val="000000"/>
          <w:szCs w:val="22"/>
        </w:rPr>
        <w:t> </w:t>
      </w:r>
      <w:r w:rsidRPr="00654EF1">
        <w:rPr>
          <w:color w:val="000000"/>
          <w:szCs w:val="22"/>
        </w:rPr>
        <w:t xml:space="preserve">months of treatment; </w:t>
      </w:r>
      <w:r w:rsidR="00975A28" w:rsidRPr="00654EF1">
        <w:rPr>
          <w:color w:val="000000"/>
        </w:rPr>
        <w:t xml:space="preserve">failure to achieve a cytogenetic response after 12 months of treatment; or </w:t>
      </w:r>
      <w:r w:rsidRPr="00654EF1">
        <w:rPr>
          <w:color w:val="000000"/>
          <w:szCs w:val="22"/>
        </w:rPr>
        <w:t xml:space="preserve">loss of a previously achieved haematological </w:t>
      </w:r>
      <w:r w:rsidR="00975A28" w:rsidRPr="00654EF1">
        <w:rPr>
          <w:color w:val="000000"/>
          <w:szCs w:val="22"/>
        </w:rPr>
        <w:t xml:space="preserve">and/or cytogenetic </w:t>
      </w:r>
      <w:r w:rsidRPr="00654EF1">
        <w:rPr>
          <w:color w:val="000000"/>
          <w:szCs w:val="22"/>
        </w:rPr>
        <w:t>response. Patients should be monitored closely following dose escalation given the potential for an increased incidence of adverse reactions at higher dosages.</w:t>
      </w:r>
    </w:p>
    <w:p w14:paraId="1B680477" w14:textId="77777777" w:rsidR="006237AB" w:rsidRPr="00654EF1" w:rsidRDefault="006237AB" w:rsidP="001D5C8C">
      <w:pPr>
        <w:pStyle w:val="EndnoteText"/>
        <w:widowControl w:val="0"/>
        <w:tabs>
          <w:tab w:val="clear" w:pos="567"/>
        </w:tabs>
        <w:rPr>
          <w:color w:val="000000"/>
          <w:szCs w:val="22"/>
        </w:rPr>
      </w:pPr>
    </w:p>
    <w:p w14:paraId="1B680478" w14:textId="77777777" w:rsidR="007E73D8" w:rsidRPr="00654EF1" w:rsidRDefault="007E73D8" w:rsidP="001D5C8C">
      <w:pPr>
        <w:pStyle w:val="EndnoteText"/>
        <w:keepNext/>
        <w:widowControl w:val="0"/>
        <w:tabs>
          <w:tab w:val="clear" w:pos="567"/>
        </w:tabs>
        <w:rPr>
          <w:color w:val="000000"/>
          <w:szCs w:val="22"/>
        </w:rPr>
      </w:pPr>
      <w:r w:rsidRPr="00654EF1">
        <w:rPr>
          <w:color w:val="000000"/>
          <w:szCs w:val="22"/>
          <w:u w:val="single"/>
        </w:rPr>
        <w:t>Posology for CML in children</w:t>
      </w:r>
    </w:p>
    <w:p w14:paraId="1B680479" w14:textId="77777777" w:rsidR="007E73D8" w:rsidRPr="00654EF1" w:rsidRDefault="007E73D8" w:rsidP="001D5C8C">
      <w:pPr>
        <w:pStyle w:val="EndnoteText"/>
        <w:widowControl w:val="0"/>
        <w:tabs>
          <w:tab w:val="clear" w:pos="567"/>
        </w:tabs>
        <w:rPr>
          <w:color w:val="000000"/>
          <w:szCs w:val="22"/>
        </w:rPr>
      </w:pPr>
      <w:r w:rsidRPr="00654EF1">
        <w:rPr>
          <w:color w:val="000000"/>
          <w:szCs w:val="22"/>
        </w:rPr>
        <w:t>Dosing for children should be on the basis of body surface area (mg/m</w:t>
      </w:r>
      <w:r w:rsidRPr="00654EF1">
        <w:rPr>
          <w:color w:val="000000"/>
          <w:szCs w:val="22"/>
          <w:vertAlign w:val="superscript"/>
        </w:rPr>
        <w:t>2</w:t>
      </w:r>
      <w:r w:rsidRPr="00654EF1">
        <w:rPr>
          <w:color w:val="000000"/>
          <w:szCs w:val="22"/>
        </w:rPr>
        <w:t>). The dose of 340 mg/m</w:t>
      </w:r>
      <w:r w:rsidRPr="00654EF1">
        <w:rPr>
          <w:color w:val="000000"/>
          <w:szCs w:val="22"/>
          <w:vertAlign w:val="superscript"/>
        </w:rPr>
        <w:t>2</w:t>
      </w:r>
      <w:r w:rsidRPr="00654EF1">
        <w:rPr>
          <w:color w:val="000000"/>
          <w:szCs w:val="22"/>
        </w:rPr>
        <w:t xml:space="preserve"> daily is recommended for children with chronic phase CML and advanced phase CML (not to exceed the total dose of 800 mg). Treatment can be given as a once daily dose or alternatively the daily dose may be split into two administrations – one in the morning and one in the evening. The dose recommendation is currently based on a small number of paediatric patients (see sections 5.1 and 5.2). There is no experience with the treatment of children below 2 years of age.</w:t>
      </w:r>
    </w:p>
    <w:p w14:paraId="1B68047A" w14:textId="77777777" w:rsidR="007E73D8" w:rsidRPr="00654EF1" w:rsidRDefault="007E73D8" w:rsidP="001D5C8C">
      <w:pPr>
        <w:pStyle w:val="EndnoteText"/>
        <w:widowControl w:val="0"/>
        <w:tabs>
          <w:tab w:val="clear" w:pos="567"/>
        </w:tabs>
        <w:rPr>
          <w:color w:val="000000"/>
          <w:szCs w:val="22"/>
        </w:rPr>
      </w:pPr>
    </w:p>
    <w:p w14:paraId="1B68047B" w14:textId="77777777" w:rsidR="007E73D8" w:rsidRPr="00654EF1" w:rsidRDefault="007E73D8" w:rsidP="001D5C8C">
      <w:pPr>
        <w:pStyle w:val="EndnoteText"/>
        <w:widowControl w:val="0"/>
        <w:tabs>
          <w:tab w:val="clear" w:pos="567"/>
        </w:tabs>
        <w:rPr>
          <w:color w:val="000000"/>
          <w:szCs w:val="22"/>
        </w:rPr>
      </w:pPr>
      <w:r w:rsidRPr="00654EF1">
        <w:rPr>
          <w:color w:val="000000"/>
          <w:szCs w:val="22"/>
        </w:rPr>
        <w:t>Dose increases from 340 mg/m</w:t>
      </w:r>
      <w:r w:rsidRPr="00654EF1">
        <w:rPr>
          <w:color w:val="000000"/>
          <w:szCs w:val="22"/>
          <w:vertAlign w:val="superscript"/>
        </w:rPr>
        <w:t>2</w:t>
      </w:r>
      <w:r w:rsidRPr="00654EF1">
        <w:rPr>
          <w:color w:val="000000"/>
          <w:szCs w:val="22"/>
        </w:rPr>
        <w:t xml:space="preserve"> daily to 570 mg/m</w:t>
      </w:r>
      <w:r w:rsidRPr="00654EF1">
        <w:rPr>
          <w:color w:val="000000"/>
          <w:szCs w:val="22"/>
          <w:vertAlign w:val="superscript"/>
        </w:rPr>
        <w:t>2</w:t>
      </w:r>
      <w:r w:rsidRPr="00654EF1">
        <w:rPr>
          <w:color w:val="000000"/>
          <w:szCs w:val="22"/>
        </w:rPr>
        <w:t xml:space="preserve"> daily (not to exceed the total dose of 800 mg) may be considered in children in the absence of severe adverse drug reaction and severe non-leukaemia-related neutropenia or thrombocytopenia in the following circumstances: disease progression (at any time); failure to achieve a satisfactory haematological response after at least 3 months of treatment; </w:t>
      </w:r>
      <w:r w:rsidRPr="00654EF1">
        <w:rPr>
          <w:color w:val="000000"/>
        </w:rPr>
        <w:t xml:space="preserve">failure to achieve a cytogenetic response after 12 months of treatment; or </w:t>
      </w:r>
      <w:r w:rsidRPr="00654EF1">
        <w:rPr>
          <w:color w:val="000000"/>
          <w:szCs w:val="22"/>
        </w:rPr>
        <w:t>loss of a previously achieved haematological and/or cytogenetic response. Patients should be monitored closely following dose escalation given the potential for an increased incidence of adverse reactions at higher dosages.</w:t>
      </w:r>
    </w:p>
    <w:p w14:paraId="1B68047C" w14:textId="77777777" w:rsidR="007E73D8" w:rsidRPr="00654EF1" w:rsidRDefault="007E73D8" w:rsidP="001D5C8C">
      <w:pPr>
        <w:pStyle w:val="EndnoteText"/>
        <w:widowControl w:val="0"/>
        <w:tabs>
          <w:tab w:val="clear" w:pos="567"/>
        </w:tabs>
        <w:rPr>
          <w:color w:val="000000"/>
          <w:szCs w:val="22"/>
        </w:rPr>
      </w:pPr>
    </w:p>
    <w:p w14:paraId="1B68047D" w14:textId="77777777" w:rsidR="007E73D8" w:rsidRPr="00654EF1" w:rsidRDefault="007E73D8" w:rsidP="001D5C8C">
      <w:pPr>
        <w:pStyle w:val="EndnoteText"/>
        <w:keepNext/>
        <w:widowControl w:val="0"/>
        <w:tabs>
          <w:tab w:val="clear" w:pos="567"/>
        </w:tabs>
        <w:rPr>
          <w:color w:val="000000"/>
          <w:szCs w:val="22"/>
          <w:u w:val="single"/>
        </w:rPr>
      </w:pPr>
      <w:r w:rsidRPr="00654EF1">
        <w:rPr>
          <w:color w:val="000000"/>
          <w:szCs w:val="22"/>
          <w:u w:val="single"/>
        </w:rPr>
        <w:t>Posology for Ph+ ALL</w:t>
      </w:r>
      <w:r w:rsidR="007B7C05" w:rsidRPr="00654EF1">
        <w:rPr>
          <w:color w:val="000000"/>
          <w:szCs w:val="22"/>
          <w:u w:val="single"/>
        </w:rPr>
        <w:t xml:space="preserve"> in adult patients</w:t>
      </w:r>
    </w:p>
    <w:p w14:paraId="1B68047E" w14:textId="77777777" w:rsidR="007E73D8" w:rsidRPr="00654EF1" w:rsidRDefault="007E73D8" w:rsidP="001D5C8C">
      <w:pPr>
        <w:pStyle w:val="EndnoteText"/>
        <w:widowControl w:val="0"/>
        <w:tabs>
          <w:tab w:val="clear" w:pos="567"/>
        </w:tabs>
        <w:rPr>
          <w:color w:val="000000"/>
        </w:rPr>
      </w:pPr>
      <w:r w:rsidRPr="00654EF1">
        <w:rPr>
          <w:color w:val="000000"/>
        </w:rPr>
        <w:t xml:space="preserve">The recommended dose of Glivec is 600 mg/day for </w:t>
      </w:r>
      <w:r w:rsidR="00BB7FBF" w:rsidRPr="00654EF1">
        <w:rPr>
          <w:color w:val="000000"/>
        </w:rPr>
        <w:t xml:space="preserve">adult </w:t>
      </w:r>
      <w:r w:rsidRPr="00654EF1">
        <w:rPr>
          <w:color w:val="000000"/>
        </w:rPr>
        <w:t xml:space="preserve">patients with Ph+ </w:t>
      </w:r>
      <w:smartTag w:uri="urn:schemas-microsoft-com:office:smarttags" w:element="stockticker">
        <w:r w:rsidRPr="00654EF1">
          <w:rPr>
            <w:color w:val="000000"/>
          </w:rPr>
          <w:t>ALL</w:t>
        </w:r>
      </w:smartTag>
      <w:r w:rsidRPr="00654EF1">
        <w:rPr>
          <w:color w:val="000000"/>
        </w:rPr>
        <w:t>.</w:t>
      </w:r>
      <w:r w:rsidRPr="00654EF1">
        <w:rPr>
          <w:rFonts w:eastAsia="MS Mincho"/>
          <w:color w:val="000000"/>
          <w:lang w:val="en-US" w:eastAsia="ja-JP"/>
        </w:rPr>
        <w:t xml:space="preserve"> Haematological experts in the management of this disease should supervise the therapy throughout all phases of care.</w:t>
      </w:r>
    </w:p>
    <w:p w14:paraId="1B68047F" w14:textId="77777777" w:rsidR="007E73D8" w:rsidRPr="00654EF1" w:rsidRDefault="007E73D8" w:rsidP="001D5C8C">
      <w:pPr>
        <w:widowControl w:val="0"/>
        <w:spacing w:line="240" w:lineRule="auto"/>
        <w:rPr>
          <w:color w:val="000000"/>
        </w:rPr>
      </w:pPr>
    </w:p>
    <w:p w14:paraId="1B680480" w14:textId="77777777" w:rsidR="007E73D8" w:rsidRPr="00654EF1" w:rsidRDefault="007E73D8" w:rsidP="001D5C8C">
      <w:pPr>
        <w:widowControl w:val="0"/>
        <w:spacing w:line="240" w:lineRule="auto"/>
        <w:rPr>
          <w:rFonts w:eastAsia="MS Mincho"/>
          <w:color w:val="000000"/>
          <w:lang w:val="en-US" w:eastAsia="ja-JP"/>
        </w:rPr>
      </w:pPr>
      <w:r w:rsidRPr="00654EF1">
        <w:rPr>
          <w:rFonts w:eastAsia="MS Mincho"/>
          <w:color w:val="000000"/>
          <w:lang w:val="en-US" w:eastAsia="ja-JP"/>
        </w:rPr>
        <w:t xml:space="preserve">Treatment schedule: On the basis of the existing data, Glivec has been shown to be effective and safe when administered at 600 mg/day in combination with chemotherapy in the induction phase, the consolidation and maintenance phases of chemotherapy (see section 5.1) for adult patients with newly diagnosed Ph+ </w:t>
      </w:r>
      <w:smartTag w:uri="urn:schemas-microsoft-com:office:smarttags" w:element="stockticker">
        <w:r w:rsidRPr="00654EF1">
          <w:rPr>
            <w:rFonts w:eastAsia="MS Mincho"/>
            <w:color w:val="000000"/>
            <w:lang w:val="en-US" w:eastAsia="ja-JP"/>
          </w:rPr>
          <w:t>ALL</w:t>
        </w:r>
      </w:smartTag>
      <w:r w:rsidRPr="00654EF1">
        <w:rPr>
          <w:rFonts w:eastAsia="MS Mincho"/>
          <w:color w:val="000000"/>
          <w:lang w:val="en-US" w:eastAsia="ja-JP"/>
        </w:rPr>
        <w:t>. The duration of Glivec therapy can vary with the treatment programme selected, but generally longer exposures to Glivec have yielded better results.</w:t>
      </w:r>
    </w:p>
    <w:p w14:paraId="1B680481" w14:textId="77777777" w:rsidR="007E73D8" w:rsidRPr="00654EF1" w:rsidRDefault="007E73D8" w:rsidP="001D5C8C">
      <w:pPr>
        <w:widowControl w:val="0"/>
        <w:spacing w:line="240" w:lineRule="auto"/>
        <w:rPr>
          <w:rFonts w:eastAsia="MS Mincho"/>
          <w:color w:val="000000"/>
          <w:lang w:val="en-US" w:eastAsia="ja-JP"/>
        </w:rPr>
      </w:pPr>
    </w:p>
    <w:p w14:paraId="1B680482" w14:textId="77777777" w:rsidR="007E73D8" w:rsidRPr="00654EF1" w:rsidRDefault="007E73D8" w:rsidP="001D5C8C">
      <w:pPr>
        <w:widowControl w:val="0"/>
        <w:spacing w:line="240" w:lineRule="auto"/>
        <w:rPr>
          <w:color w:val="000000"/>
        </w:rPr>
      </w:pPr>
      <w:r w:rsidRPr="00654EF1">
        <w:rPr>
          <w:rFonts w:eastAsia="MS Mincho"/>
          <w:color w:val="000000"/>
          <w:lang w:val="en-US" w:eastAsia="ja-JP"/>
        </w:rPr>
        <w:t>For adult patients with relapsed or refractory Ph+</w:t>
      </w:r>
      <w:smartTag w:uri="urn:schemas-microsoft-com:office:smarttags" w:element="stockticker">
        <w:r w:rsidRPr="00654EF1">
          <w:rPr>
            <w:rFonts w:eastAsia="MS Mincho"/>
            <w:color w:val="000000"/>
            <w:lang w:val="en-US" w:eastAsia="ja-JP"/>
          </w:rPr>
          <w:t>ALL</w:t>
        </w:r>
      </w:smartTag>
      <w:r w:rsidRPr="00654EF1">
        <w:rPr>
          <w:rFonts w:eastAsia="MS Mincho"/>
          <w:color w:val="000000"/>
          <w:lang w:val="en-US" w:eastAsia="ja-JP"/>
        </w:rPr>
        <w:t xml:space="preserve"> Glivec monotherapy at 600 mg/day is safe, effective and can be given until disease progression occurs.</w:t>
      </w:r>
    </w:p>
    <w:p w14:paraId="1B680483" w14:textId="77777777" w:rsidR="007B7C05" w:rsidRPr="00654EF1" w:rsidRDefault="007B7C05" w:rsidP="001D5C8C">
      <w:pPr>
        <w:widowControl w:val="0"/>
        <w:spacing w:line="240" w:lineRule="auto"/>
        <w:rPr>
          <w:rFonts w:eastAsia="MS Mincho"/>
          <w:color w:val="000000"/>
          <w:u w:val="single"/>
          <w:lang w:val="en-US" w:eastAsia="ja-JP"/>
        </w:rPr>
      </w:pPr>
    </w:p>
    <w:p w14:paraId="1B680484" w14:textId="77777777" w:rsidR="007B7C05" w:rsidRPr="00654EF1" w:rsidRDefault="007B7C05" w:rsidP="001D5C8C">
      <w:pPr>
        <w:keepNext/>
        <w:widowControl w:val="0"/>
        <w:spacing w:line="240" w:lineRule="auto"/>
        <w:rPr>
          <w:rFonts w:eastAsia="MS Mincho"/>
          <w:color w:val="000000"/>
          <w:u w:val="single"/>
          <w:lang w:val="en-US" w:eastAsia="ja-JP"/>
        </w:rPr>
      </w:pPr>
      <w:r w:rsidRPr="00654EF1">
        <w:rPr>
          <w:rFonts w:eastAsia="MS Mincho"/>
          <w:color w:val="000000"/>
          <w:u w:val="single"/>
          <w:lang w:val="en-US" w:eastAsia="ja-JP"/>
        </w:rPr>
        <w:t>Posology for Ph+ ALL in children</w:t>
      </w:r>
    </w:p>
    <w:p w14:paraId="1B680485" w14:textId="77777777" w:rsidR="007B7C05" w:rsidRPr="00654EF1" w:rsidRDefault="007B7C05" w:rsidP="001D5C8C">
      <w:pPr>
        <w:widowControl w:val="0"/>
        <w:spacing w:line="240" w:lineRule="auto"/>
        <w:rPr>
          <w:color w:val="000000"/>
        </w:rPr>
      </w:pPr>
      <w:r w:rsidRPr="00654EF1">
        <w:rPr>
          <w:color w:val="000000"/>
          <w:szCs w:val="22"/>
        </w:rPr>
        <w:t>Dosing for children should be on the basis of body surface area (mg/m</w:t>
      </w:r>
      <w:r w:rsidRPr="00654EF1">
        <w:rPr>
          <w:color w:val="000000"/>
          <w:szCs w:val="22"/>
          <w:vertAlign w:val="superscript"/>
        </w:rPr>
        <w:t>2</w:t>
      </w:r>
      <w:r w:rsidRPr="00654EF1">
        <w:rPr>
          <w:color w:val="000000"/>
          <w:szCs w:val="22"/>
        </w:rPr>
        <w:t xml:space="preserve">). </w:t>
      </w:r>
      <w:r w:rsidRPr="00654EF1">
        <w:rPr>
          <w:color w:val="000000"/>
        </w:rPr>
        <w:t>The dose of 340 mg/m</w:t>
      </w:r>
      <w:r w:rsidRPr="00654EF1">
        <w:rPr>
          <w:color w:val="000000"/>
          <w:vertAlign w:val="superscript"/>
        </w:rPr>
        <w:t>2</w:t>
      </w:r>
      <w:r w:rsidRPr="00654EF1">
        <w:rPr>
          <w:color w:val="000000"/>
        </w:rPr>
        <w:t xml:space="preserve"> daily is recommended for children with Ph+ ALL (not to exceed the total dose of 600 mg).</w:t>
      </w:r>
    </w:p>
    <w:p w14:paraId="1B680486" w14:textId="77777777" w:rsidR="00EB7C09" w:rsidRPr="00654EF1" w:rsidRDefault="00EB7C09" w:rsidP="001D5C8C">
      <w:pPr>
        <w:pStyle w:val="EndnoteText"/>
        <w:widowControl w:val="0"/>
        <w:tabs>
          <w:tab w:val="clear" w:pos="567"/>
        </w:tabs>
        <w:rPr>
          <w:color w:val="000000"/>
        </w:rPr>
      </w:pPr>
    </w:p>
    <w:p w14:paraId="1B680487" w14:textId="77777777" w:rsidR="00EB7C09" w:rsidRPr="00654EF1" w:rsidRDefault="00EB7C09" w:rsidP="001D5C8C">
      <w:pPr>
        <w:pStyle w:val="EndnoteText"/>
        <w:keepNext/>
        <w:widowControl w:val="0"/>
        <w:tabs>
          <w:tab w:val="clear" w:pos="567"/>
        </w:tabs>
        <w:rPr>
          <w:color w:val="000000"/>
          <w:szCs w:val="22"/>
          <w:u w:val="single"/>
        </w:rPr>
      </w:pPr>
      <w:r w:rsidRPr="00654EF1">
        <w:rPr>
          <w:color w:val="000000"/>
          <w:u w:val="single"/>
        </w:rPr>
        <w:t xml:space="preserve">Posology for </w:t>
      </w:r>
      <w:smartTag w:uri="urn:schemas-microsoft-com:office:smarttags" w:element="stockticker">
        <w:r w:rsidRPr="00654EF1">
          <w:rPr>
            <w:color w:val="000000"/>
            <w:u w:val="single"/>
          </w:rPr>
          <w:t>MDS</w:t>
        </w:r>
      </w:smartTag>
      <w:r w:rsidRPr="00654EF1">
        <w:rPr>
          <w:color w:val="000000"/>
          <w:u w:val="single"/>
        </w:rPr>
        <w:t>/MPD</w:t>
      </w:r>
    </w:p>
    <w:p w14:paraId="1B680488" w14:textId="77777777" w:rsidR="00EB7C09" w:rsidRPr="00654EF1" w:rsidRDefault="00EB7C09" w:rsidP="001D5C8C">
      <w:pPr>
        <w:pStyle w:val="EndnoteText"/>
        <w:widowControl w:val="0"/>
        <w:tabs>
          <w:tab w:val="clear" w:pos="567"/>
        </w:tabs>
        <w:rPr>
          <w:color w:val="000000"/>
          <w:szCs w:val="22"/>
        </w:rPr>
      </w:pPr>
      <w:r w:rsidRPr="00654EF1">
        <w:rPr>
          <w:color w:val="000000"/>
        </w:rPr>
        <w:t xml:space="preserve">The recommended dose of Glivec is 400 mg/day for </w:t>
      </w:r>
      <w:r w:rsidR="00BB7FBF" w:rsidRPr="00654EF1">
        <w:rPr>
          <w:color w:val="000000"/>
        </w:rPr>
        <w:t xml:space="preserve">adult </w:t>
      </w:r>
      <w:r w:rsidRPr="00654EF1">
        <w:rPr>
          <w:color w:val="000000"/>
        </w:rPr>
        <w:t xml:space="preserve">patients with </w:t>
      </w:r>
      <w:smartTag w:uri="urn:schemas-microsoft-com:office:smarttags" w:element="stockticker">
        <w:r w:rsidRPr="00654EF1">
          <w:rPr>
            <w:color w:val="000000"/>
          </w:rPr>
          <w:t>MDS</w:t>
        </w:r>
      </w:smartTag>
      <w:r w:rsidRPr="00654EF1">
        <w:rPr>
          <w:color w:val="000000"/>
        </w:rPr>
        <w:t>/MPD.</w:t>
      </w:r>
    </w:p>
    <w:p w14:paraId="1B680489" w14:textId="77777777" w:rsidR="00EB7C09" w:rsidRPr="00654EF1" w:rsidRDefault="00EB7C09" w:rsidP="001D5C8C">
      <w:pPr>
        <w:pStyle w:val="EndnoteText"/>
        <w:widowControl w:val="0"/>
        <w:tabs>
          <w:tab w:val="clear" w:pos="567"/>
        </w:tabs>
        <w:rPr>
          <w:color w:val="000000"/>
          <w:szCs w:val="22"/>
        </w:rPr>
      </w:pPr>
    </w:p>
    <w:p w14:paraId="1B68048A" w14:textId="77777777" w:rsidR="003914B4" w:rsidRPr="00654EF1" w:rsidRDefault="003914B4" w:rsidP="001D5C8C">
      <w:pPr>
        <w:pStyle w:val="EndnoteText"/>
        <w:widowControl w:val="0"/>
        <w:tabs>
          <w:tab w:val="clear" w:pos="567"/>
        </w:tabs>
        <w:rPr>
          <w:color w:val="000000"/>
          <w:szCs w:val="22"/>
        </w:rPr>
      </w:pPr>
      <w:r w:rsidRPr="00654EF1">
        <w:rPr>
          <w:color w:val="000000"/>
          <w:szCs w:val="22"/>
        </w:rPr>
        <w:t>Treatment duration: In the only clinical trial performed up to now, treatment with Glivec was continued until disease progression (see section 5.1). At the time of analysis, the treatment duration was a median of 47 months (24 days - 60 months).</w:t>
      </w:r>
    </w:p>
    <w:p w14:paraId="1B68048B" w14:textId="77777777" w:rsidR="00EB7C09" w:rsidRPr="00654EF1" w:rsidRDefault="00EB7C09" w:rsidP="001D5C8C">
      <w:pPr>
        <w:pStyle w:val="EndnoteText"/>
        <w:widowControl w:val="0"/>
        <w:tabs>
          <w:tab w:val="clear" w:pos="567"/>
        </w:tabs>
        <w:rPr>
          <w:color w:val="000000"/>
          <w:szCs w:val="22"/>
        </w:rPr>
      </w:pPr>
    </w:p>
    <w:p w14:paraId="1B68048C" w14:textId="77777777" w:rsidR="00EB7C09" w:rsidRPr="00654EF1" w:rsidRDefault="00EB7C09" w:rsidP="001D5C8C">
      <w:pPr>
        <w:pStyle w:val="EndnoteText"/>
        <w:keepNext/>
        <w:widowControl w:val="0"/>
        <w:tabs>
          <w:tab w:val="clear" w:pos="567"/>
        </w:tabs>
        <w:rPr>
          <w:color w:val="000000"/>
          <w:szCs w:val="22"/>
          <w:u w:val="single"/>
        </w:rPr>
      </w:pPr>
      <w:r w:rsidRPr="00654EF1">
        <w:rPr>
          <w:color w:val="000000"/>
          <w:szCs w:val="22"/>
          <w:u w:val="single"/>
        </w:rPr>
        <w:t>Posology for HES/</w:t>
      </w:r>
      <w:smartTag w:uri="urn:schemas-microsoft-com:office:smarttags" w:element="stockticker">
        <w:r w:rsidRPr="00654EF1">
          <w:rPr>
            <w:color w:val="000000"/>
            <w:szCs w:val="22"/>
            <w:u w:val="single"/>
          </w:rPr>
          <w:t>CEL</w:t>
        </w:r>
      </w:smartTag>
    </w:p>
    <w:p w14:paraId="1B68048D" w14:textId="77777777" w:rsidR="00EB7C09" w:rsidRPr="00654EF1" w:rsidRDefault="00EB7C09" w:rsidP="001D5C8C">
      <w:pPr>
        <w:pStyle w:val="Text"/>
        <w:widowControl w:val="0"/>
        <w:spacing w:before="0"/>
        <w:jc w:val="left"/>
        <w:rPr>
          <w:color w:val="000000"/>
          <w:sz w:val="22"/>
          <w:szCs w:val="22"/>
          <w:lang w:val="en-GB"/>
        </w:rPr>
      </w:pPr>
      <w:r w:rsidRPr="00654EF1">
        <w:rPr>
          <w:color w:val="000000"/>
          <w:sz w:val="22"/>
          <w:szCs w:val="22"/>
          <w:lang w:val="en-GB"/>
        </w:rPr>
        <w:t xml:space="preserve">The recommended dose of Glivec is 100 mg/day for </w:t>
      </w:r>
      <w:r w:rsidR="00BB7FBF" w:rsidRPr="00654EF1">
        <w:rPr>
          <w:color w:val="000000"/>
          <w:sz w:val="22"/>
          <w:szCs w:val="22"/>
          <w:lang w:val="en-GB"/>
        </w:rPr>
        <w:t xml:space="preserve">adult </w:t>
      </w:r>
      <w:r w:rsidRPr="00654EF1">
        <w:rPr>
          <w:color w:val="000000"/>
          <w:sz w:val="22"/>
          <w:szCs w:val="22"/>
          <w:lang w:val="en-GB"/>
        </w:rPr>
        <w:t>patients with HES/</w:t>
      </w:r>
      <w:smartTag w:uri="urn:schemas-microsoft-com:office:smarttags" w:element="stockticker">
        <w:r w:rsidRPr="00654EF1">
          <w:rPr>
            <w:color w:val="000000"/>
            <w:sz w:val="22"/>
            <w:szCs w:val="22"/>
            <w:lang w:val="en-GB"/>
          </w:rPr>
          <w:t>CEL</w:t>
        </w:r>
      </w:smartTag>
      <w:r w:rsidRPr="00654EF1">
        <w:rPr>
          <w:color w:val="000000"/>
          <w:sz w:val="22"/>
          <w:szCs w:val="22"/>
          <w:lang w:val="en-GB"/>
        </w:rPr>
        <w:t>.</w:t>
      </w:r>
    </w:p>
    <w:p w14:paraId="1B68048E" w14:textId="77777777" w:rsidR="00EB7C09" w:rsidRPr="00654EF1" w:rsidRDefault="00EB7C09" w:rsidP="001D5C8C">
      <w:pPr>
        <w:pStyle w:val="Text"/>
        <w:widowControl w:val="0"/>
        <w:spacing w:before="0"/>
        <w:jc w:val="left"/>
        <w:rPr>
          <w:color w:val="000000"/>
          <w:sz w:val="22"/>
          <w:szCs w:val="22"/>
          <w:lang w:val="en-GB"/>
        </w:rPr>
      </w:pPr>
    </w:p>
    <w:p w14:paraId="1B68048F" w14:textId="77777777" w:rsidR="00EB7C09" w:rsidRPr="00654EF1" w:rsidRDefault="00EB7C09" w:rsidP="001D5C8C">
      <w:pPr>
        <w:pStyle w:val="Text"/>
        <w:widowControl w:val="0"/>
        <w:spacing w:before="0"/>
        <w:jc w:val="left"/>
        <w:rPr>
          <w:color w:val="000000"/>
          <w:sz w:val="22"/>
          <w:szCs w:val="22"/>
          <w:lang w:val="en-GB"/>
        </w:rPr>
      </w:pPr>
      <w:r w:rsidRPr="00654EF1">
        <w:rPr>
          <w:color w:val="000000"/>
          <w:sz w:val="22"/>
          <w:szCs w:val="22"/>
        </w:rPr>
        <w:t>Dose increase from 100 mg to 400 mg</w:t>
      </w:r>
      <w:r w:rsidRPr="00654EF1">
        <w:rPr>
          <w:color w:val="000000"/>
          <w:sz w:val="22"/>
          <w:szCs w:val="22"/>
          <w:lang w:val="en-GB"/>
        </w:rPr>
        <w:t xml:space="preserve"> may be considered in the absence of adverse drug reactions if assessments demonstrate an insufficient response to therapy.</w:t>
      </w:r>
    </w:p>
    <w:p w14:paraId="1B680490" w14:textId="77777777" w:rsidR="00986918" w:rsidRPr="00654EF1" w:rsidRDefault="00986918" w:rsidP="001D5C8C">
      <w:pPr>
        <w:pStyle w:val="Text"/>
        <w:widowControl w:val="0"/>
        <w:spacing w:before="0"/>
        <w:jc w:val="left"/>
        <w:rPr>
          <w:color w:val="000000"/>
          <w:sz w:val="22"/>
          <w:szCs w:val="22"/>
          <w:lang w:val="en-GB"/>
        </w:rPr>
      </w:pPr>
    </w:p>
    <w:p w14:paraId="1B680491" w14:textId="77777777" w:rsidR="00986918" w:rsidRPr="00654EF1" w:rsidRDefault="00986918" w:rsidP="001D5C8C">
      <w:pPr>
        <w:pStyle w:val="Text"/>
        <w:widowControl w:val="0"/>
        <w:spacing w:before="0"/>
        <w:jc w:val="left"/>
        <w:rPr>
          <w:color w:val="000000"/>
          <w:sz w:val="22"/>
          <w:szCs w:val="22"/>
          <w:lang w:val="en-GB"/>
        </w:rPr>
      </w:pPr>
      <w:r w:rsidRPr="00654EF1">
        <w:rPr>
          <w:color w:val="000000"/>
          <w:sz w:val="22"/>
          <w:szCs w:val="22"/>
          <w:lang w:val="en-GB"/>
        </w:rPr>
        <w:t>Treatment should be continued as long as the patient continues to benefit.</w:t>
      </w:r>
    </w:p>
    <w:p w14:paraId="1B680492" w14:textId="77777777" w:rsidR="006237AB" w:rsidRPr="00654EF1" w:rsidRDefault="006237AB" w:rsidP="001D5C8C">
      <w:pPr>
        <w:pStyle w:val="EndnoteText"/>
        <w:widowControl w:val="0"/>
        <w:tabs>
          <w:tab w:val="clear" w:pos="567"/>
        </w:tabs>
        <w:rPr>
          <w:color w:val="000000"/>
          <w:szCs w:val="22"/>
        </w:rPr>
      </w:pPr>
    </w:p>
    <w:p w14:paraId="1B680493" w14:textId="77777777" w:rsidR="00FE1066" w:rsidRPr="00654EF1" w:rsidRDefault="00FE1066" w:rsidP="001D5C8C">
      <w:pPr>
        <w:pStyle w:val="EndnoteText"/>
        <w:keepNext/>
        <w:widowControl w:val="0"/>
        <w:tabs>
          <w:tab w:val="clear" w:pos="567"/>
        </w:tabs>
        <w:rPr>
          <w:color w:val="000000"/>
          <w:szCs w:val="22"/>
          <w:u w:val="single"/>
        </w:rPr>
      </w:pPr>
      <w:r w:rsidRPr="00654EF1">
        <w:rPr>
          <w:color w:val="000000"/>
          <w:szCs w:val="22"/>
          <w:u w:val="single"/>
        </w:rPr>
        <w:lastRenderedPageBreak/>
        <w:t>Posology for GIST</w:t>
      </w:r>
    </w:p>
    <w:p w14:paraId="1B680494" w14:textId="77777777" w:rsidR="00FE1066" w:rsidRPr="00654EF1" w:rsidRDefault="00FE1066" w:rsidP="001D5C8C">
      <w:pPr>
        <w:pStyle w:val="EndnoteText"/>
        <w:widowControl w:val="0"/>
        <w:tabs>
          <w:tab w:val="clear" w:pos="567"/>
        </w:tabs>
        <w:rPr>
          <w:color w:val="000000"/>
          <w:szCs w:val="22"/>
        </w:rPr>
      </w:pPr>
      <w:r w:rsidRPr="00654EF1">
        <w:rPr>
          <w:color w:val="000000"/>
          <w:szCs w:val="22"/>
        </w:rPr>
        <w:t xml:space="preserve">The recommended dose of Glivec is 400 mg/day for </w:t>
      </w:r>
      <w:r w:rsidR="00BB7FBF" w:rsidRPr="00654EF1">
        <w:rPr>
          <w:color w:val="000000"/>
          <w:szCs w:val="22"/>
        </w:rPr>
        <w:t xml:space="preserve">adult </w:t>
      </w:r>
      <w:r w:rsidRPr="00654EF1">
        <w:rPr>
          <w:color w:val="000000"/>
          <w:szCs w:val="22"/>
        </w:rPr>
        <w:t>patients with unresectable and/or metastatic malignant GIST.</w:t>
      </w:r>
    </w:p>
    <w:p w14:paraId="1B680495" w14:textId="77777777" w:rsidR="00FE1066" w:rsidRPr="00654EF1" w:rsidRDefault="00FE1066" w:rsidP="001D5C8C">
      <w:pPr>
        <w:pStyle w:val="EndnoteText"/>
        <w:widowControl w:val="0"/>
        <w:tabs>
          <w:tab w:val="clear" w:pos="567"/>
        </w:tabs>
        <w:rPr>
          <w:color w:val="000000"/>
          <w:szCs w:val="22"/>
        </w:rPr>
      </w:pPr>
    </w:p>
    <w:p w14:paraId="1B680496" w14:textId="77777777" w:rsidR="00FE1066" w:rsidRPr="00654EF1" w:rsidRDefault="00FE1066" w:rsidP="001D5C8C">
      <w:pPr>
        <w:pStyle w:val="EndnoteText"/>
        <w:widowControl w:val="0"/>
        <w:tabs>
          <w:tab w:val="clear" w:pos="567"/>
        </w:tabs>
        <w:rPr>
          <w:color w:val="000000"/>
          <w:szCs w:val="22"/>
        </w:rPr>
      </w:pPr>
      <w:r w:rsidRPr="00654EF1">
        <w:rPr>
          <w:color w:val="000000"/>
          <w:szCs w:val="22"/>
        </w:rPr>
        <w:t>Limited data exist on the effect of dose increases from 400 mg to 600 mg or 800 mg in patients progressing at the lower dose (see section 5.1).</w:t>
      </w:r>
    </w:p>
    <w:p w14:paraId="1B680497" w14:textId="77777777" w:rsidR="00FE1066" w:rsidRPr="00654EF1" w:rsidRDefault="00FE1066" w:rsidP="001D5C8C">
      <w:pPr>
        <w:pStyle w:val="EndnoteText"/>
        <w:widowControl w:val="0"/>
        <w:tabs>
          <w:tab w:val="clear" w:pos="567"/>
        </w:tabs>
        <w:rPr>
          <w:color w:val="000000"/>
          <w:szCs w:val="22"/>
        </w:rPr>
      </w:pPr>
    </w:p>
    <w:p w14:paraId="1B680498" w14:textId="77777777" w:rsidR="00FE1066" w:rsidRPr="00654EF1" w:rsidRDefault="00FE1066" w:rsidP="001D5C8C">
      <w:pPr>
        <w:pStyle w:val="EndnoteText"/>
        <w:widowControl w:val="0"/>
        <w:tabs>
          <w:tab w:val="clear" w:pos="567"/>
        </w:tabs>
        <w:rPr>
          <w:color w:val="000000"/>
          <w:szCs w:val="22"/>
        </w:rPr>
      </w:pPr>
      <w:r w:rsidRPr="00654EF1">
        <w:rPr>
          <w:color w:val="000000"/>
          <w:szCs w:val="22"/>
        </w:rPr>
        <w:t>Treatment duration: In clinical trials in GIST patients, treatment with Glivec was continued until disease progression. At the time of analysis, the treatment duration was a median of 7 months (7 days to 13 months). The effect of stopping treatment after achieving a response has not been investigated.</w:t>
      </w:r>
    </w:p>
    <w:p w14:paraId="1B680499" w14:textId="77777777" w:rsidR="00FE1066" w:rsidRPr="00654EF1" w:rsidRDefault="00FE1066" w:rsidP="001D5C8C">
      <w:pPr>
        <w:pStyle w:val="EndnoteText"/>
        <w:widowControl w:val="0"/>
        <w:tabs>
          <w:tab w:val="clear" w:pos="567"/>
        </w:tabs>
        <w:rPr>
          <w:color w:val="000000"/>
          <w:szCs w:val="22"/>
        </w:rPr>
      </w:pPr>
    </w:p>
    <w:p w14:paraId="1B68049A" w14:textId="77777777" w:rsidR="00FE1066" w:rsidRPr="00654EF1" w:rsidRDefault="00936EF9" w:rsidP="001D5C8C">
      <w:pPr>
        <w:pStyle w:val="Text"/>
        <w:widowControl w:val="0"/>
        <w:spacing w:before="0"/>
        <w:jc w:val="left"/>
        <w:rPr>
          <w:color w:val="000000"/>
        </w:rPr>
      </w:pPr>
      <w:r w:rsidRPr="00654EF1">
        <w:rPr>
          <w:color w:val="000000"/>
          <w:sz w:val="22"/>
          <w:szCs w:val="22"/>
        </w:rPr>
        <w:t xml:space="preserve">The recommended dose of Glivec is 400 mg/day for the adjuvant treatment of adult patients following resection of GIST. Optimal treatment duration is not yet established. Length of treatment in the clinical trial supporting this indication was </w:t>
      </w:r>
      <w:r w:rsidR="00EB21C1" w:rsidRPr="00654EF1">
        <w:rPr>
          <w:color w:val="000000"/>
          <w:sz w:val="22"/>
          <w:szCs w:val="22"/>
        </w:rPr>
        <w:t>36</w:t>
      </w:r>
      <w:r w:rsidRPr="00654EF1">
        <w:rPr>
          <w:color w:val="000000"/>
          <w:sz w:val="22"/>
          <w:szCs w:val="22"/>
        </w:rPr>
        <w:t> months</w:t>
      </w:r>
      <w:r w:rsidR="00A40BA1" w:rsidRPr="00654EF1">
        <w:rPr>
          <w:color w:val="000000"/>
          <w:sz w:val="22"/>
          <w:szCs w:val="22"/>
        </w:rPr>
        <w:t xml:space="preserve"> (see section 5.1)</w:t>
      </w:r>
      <w:r w:rsidR="00FE1066" w:rsidRPr="00654EF1">
        <w:rPr>
          <w:color w:val="000000"/>
          <w:sz w:val="22"/>
          <w:szCs w:val="22"/>
          <w:lang w:val="en-GB"/>
        </w:rPr>
        <w:t>.</w:t>
      </w:r>
    </w:p>
    <w:p w14:paraId="1B68049B" w14:textId="77777777" w:rsidR="00FE1066" w:rsidRPr="00654EF1" w:rsidRDefault="00FE1066" w:rsidP="001D5C8C">
      <w:pPr>
        <w:pStyle w:val="EndnoteText"/>
        <w:widowControl w:val="0"/>
        <w:tabs>
          <w:tab w:val="clear" w:pos="567"/>
        </w:tabs>
        <w:rPr>
          <w:color w:val="000000"/>
          <w:szCs w:val="22"/>
        </w:rPr>
      </w:pPr>
    </w:p>
    <w:p w14:paraId="1B68049C" w14:textId="77777777" w:rsidR="007E73D8" w:rsidRPr="00654EF1" w:rsidRDefault="007E73D8" w:rsidP="001D5C8C">
      <w:pPr>
        <w:pStyle w:val="EndnoteText"/>
        <w:keepNext/>
        <w:widowControl w:val="0"/>
        <w:tabs>
          <w:tab w:val="clear" w:pos="567"/>
        </w:tabs>
        <w:rPr>
          <w:color w:val="000000"/>
          <w:szCs w:val="22"/>
          <w:u w:val="single"/>
        </w:rPr>
      </w:pPr>
      <w:r w:rsidRPr="00654EF1">
        <w:rPr>
          <w:color w:val="000000"/>
          <w:szCs w:val="22"/>
          <w:u w:val="single"/>
        </w:rPr>
        <w:t>Posology for DFSP</w:t>
      </w:r>
    </w:p>
    <w:p w14:paraId="1B68049D" w14:textId="77777777" w:rsidR="007E73D8" w:rsidRPr="00654EF1" w:rsidRDefault="007E73D8" w:rsidP="001D5C8C">
      <w:pPr>
        <w:pStyle w:val="EndnoteText"/>
        <w:widowControl w:val="0"/>
        <w:tabs>
          <w:tab w:val="clear" w:pos="567"/>
        </w:tabs>
        <w:rPr>
          <w:color w:val="000000"/>
          <w:szCs w:val="22"/>
        </w:rPr>
      </w:pPr>
      <w:r w:rsidRPr="00654EF1">
        <w:rPr>
          <w:color w:val="000000"/>
        </w:rPr>
        <w:t xml:space="preserve">The recommended dose of Glivec is 800 mg/day for </w:t>
      </w:r>
      <w:r w:rsidR="00BB7FBF" w:rsidRPr="00654EF1">
        <w:rPr>
          <w:color w:val="000000"/>
        </w:rPr>
        <w:t xml:space="preserve">adult </w:t>
      </w:r>
      <w:r w:rsidRPr="00654EF1">
        <w:rPr>
          <w:color w:val="000000"/>
        </w:rPr>
        <w:t>patients with DFSP.</w:t>
      </w:r>
    </w:p>
    <w:p w14:paraId="1B68049E" w14:textId="77777777" w:rsidR="007E73D8" w:rsidRPr="00654EF1" w:rsidRDefault="007E73D8" w:rsidP="001D5C8C">
      <w:pPr>
        <w:pStyle w:val="EndnoteText"/>
        <w:widowControl w:val="0"/>
        <w:tabs>
          <w:tab w:val="clear" w:pos="567"/>
        </w:tabs>
        <w:rPr>
          <w:color w:val="000000"/>
          <w:szCs w:val="22"/>
        </w:rPr>
      </w:pPr>
    </w:p>
    <w:p w14:paraId="1B68049F" w14:textId="77777777" w:rsidR="007E73D8" w:rsidRPr="00654EF1" w:rsidRDefault="007E73D8" w:rsidP="001D5C8C">
      <w:pPr>
        <w:pStyle w:val="EndnoteText"/>
        <w:keepNext/>
        <w:widowControl w:val="0"/>
        <w:tabs>
          <w:tab w:val="clear" w:pos="567"/>
        </w:tabs>
        <w:rPr>
          <w:color w:val="000000"/>
          <w:szCs w:val="22"/>
          <w:u w:val="single"/>
        </w:rPr>
      </w:pPr>
      <w:r w:rsidRPr="00654EF1">
        <w:rPr>
          <w:color w:val="000000"/>
          <w:szCs w:val="22"/>
          <w:u w:val="single"/>
        </w:rPr>
        <w:t>Dose adjustment for adverse reactions</w:t>
      </w:r>
    </w:p>
    <w:p w14:paraId="1B6804A0" w14:textId="77777777" w:rsidR="007E73D8" w:rsidRPr="00654EF1" w:rsidRDefault="007E73D8" w:rsidP="001D5C8C">
      <w:pPr>
        <w:pStyle w:val="EndnoteText"/>
        <w:widowControl w:val="0"/>
        <w:tabs>
          <w:tab w:val="clear" w:pos="567"/>
        </w:tabs>
        <w:rPr>
          <w:i/>
          <w:color w:val="000000"/>
          <w:szCs w:val="22"/>
        </w:rPr>
      </w:pPr>
      <w:r w:rsidRPr="00654EF1">
        <w:rPr>
          <w:i/>
          <w:color w:val="000000"/>
          <w:szCs w:val="22"/>
        </w:rPr>
        <w:t>Non-haematological adverse reactions</w:t>
      </w:r>
    </w:p>
    <w:p w14:paraId="1B6804A1"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If a severe non-haematological adverse reaction develops with Glivec use, treatment must be withheld until the event has resolved. Thereafter, treatment can be resumed as appropriate depending on the initial severity of the event.</w:t>
      </w:r>
    </w:p>
    <w:p w14:paraId="1B6804A2" w14:textId="77777777" w:rsidR="006237AB" w:rsidRPr="00654EF1" w:rsidRDefault="006237AB" w:rsidP="001D5C8C">
      <w:pPr>
        <w:pStyle w:val="EndnoteText"/>
        <w:widowControl w:val="0"/>
        <w:tabs>
          <w:tab w:val="clear" w:pos="567"/>
        </w:tabs>
        <w:rPr>
          <w:color w:val="000000"/>
          <w:szCs w:val="22"/>
        </w:rPr>
      </w:pPr>
    </w:p>
    <w:p w14:paraId="1B6804A3" w14:textId="77777777" w:rsidR="007E73D8" w:rsidRPr="00654EF1" w:rsidRDefault="006237AB" w:rsidP="001D5C8C">
      <w:pPr>
        <w:pStyle w:val="EndnoteText"/>
        <w:widowControl w:val="0"/>
        <w:tabs>
          <w:tab w:val="clear" w:pos="567"/>
        </w:tabs>
        <w:rPr>
          <w:color w:val="000000"/>
          <w:szCs w:val="22"/>
        </w:rPr>
      </w:pPr>
      <w:r w:rsidRPr="00654EF1">
        <w:rPr>
          <w:color w:val="000000"/>
          <w:szCs w:val="22"/>
        </w:rPr>
        <w:t>If elevations in bilirubin &gt; 3 x institutional upper limit of normal (IULN) or in liver transaminases &gt; 5 x IULN occur, Glivec should be withheld until bilirubin levels have returned to &lt; 1.5 x IULN and transaminase levels to &lt; 2.5 x IULN. Treatment with Glivec may then be continued at a reduced daily dose. In adults the dose should be reduced from 400 to 300</w:t>
      </w:r>
      <w:r w:rsidR="002D524A" w:rsidRPr="00654EF1">
        <w:rPr>
          <w:color w:val="000000"/>
          <w:szCs w:val="22"/>
        </w:rPr>
        <w:t> mg</w:t>
      </w:r>
      <w:r w:rsidRPr="00654EF1">
        <w:rPr>
          <w:color w:val="000000"/>
          <w:szCs w:val="22"/>
        </w:rPr>
        <w:t xml:space="preserve"> or from 600 to 400</w:t>
      </w:r>
      <w:r w:rsidR="002D524A" w:rsidRPr="00654EF1">
        <w:rPr>
          <w:color w:val="000000"/>
          <w:szCs w:val="22"/>
        </w:rPr>
        <w:t> mg</w:t>
      </w:r>
      <w:r w:rsidR="007E73D8" w:rsidRPr="00654EF1">
        <w:rPr>
          <w:color w:val="000000"/>
          <w:szCs w:val="22"/>
        </w:rPr>
        <w:t>,</w:t>
      </w:r>
      <w:r w:rsidRPr="00654EF1">
        <w:rPr>
          <w:color w:val="000000"/>
          <w:szCs w:val="22"/>
        </w:rPr>
        <w:t xml:space="preserve"> </w:t>
      </w:r>
      <w:r w:rsidR="007E73D8" w:rsidRPr="00654EF1">
        <w:rPr>
          <w:color w:val="000000"/>
        </w:rPr>
        <w:t>or from 800 mg to 600 mg,</w:t>
      </w:r>
      <w:r w:rsidR="007E73D8" w:rsidRPr="00654EF1">
        <w:rPr>
          <w:color w:val="000000"/>
          <w:szCs w:val="22"/>
        </w:rPr>
        <w:t xml:space="preserve"> and in children from 340 to 260 mg</w:t>
      </w:r>
      <w:r w:rsidR="007E73D8" w:rsidRPr="00654EF1">
        <w:rPr>
          <w:color w:val="000000"/>
          <w:szCs w:val="22"/>
          <w:lang w:val="en-US"/>
        </w:rPr>
        <w:t>/m</w:t>
      </w:r>
      <w:r w:rsidR="007E73D8" w:rsidRPr="00654EF1">
        <w:rPr>
          <w:color w:val="000000"/>
          <w:szCs w:val="22"/>
          <w:vertAlign w:val="superscript"/>
          <w:lang w:val="en-US"/>
        </w:rPr>
        <w:t>2</w:t>
      </w:r>
      <w:r w:rsidR="007E73D8" w:rsidRPr="00654EF1">
        <w:rPr>
          <w:color w:val="000000"/>
          <w:szCs w:val="22"/>
        </w:rPr>
        <w:t>/day.</w:t>
      </w:r>
    </w:p>
    <w:p w14:paraId="1B6804A4" w14:textId="77777777" w:rsidR="006237AB" w:rsidRPr="00654EF1" w:rsidRDefault="006237AB" w:rsidP="001D5C8C">
      <w:pPr>
        <w:pStyle w:val="EndnoteText"/>
        <w:widowControl w:val="0"/>
        <w:tabs>
          <w:tab w:val="clear" w:pos="567"/>
        </w:tabs>
        <w:rPr>
          <w:color w:val="000000"/>
          <w:szCs w:val="22"/>
        </w:rPr>
      </w:pPr>
    </w:p>
    <w:p w14:paraId="1B6804A5" w14:textId="77777777" w:rsidR="006237AB" w:rsidRPr="00654EF1" w:rsidRDefault="006237AB" w:rsidP="001D5C8C">
      <w:pPr>
        <w:pStyle w:val="EndnoteText"/>
        <w:keepNext/>
        <w:widowControl w:val="0"/>
        <w:tabs>
          <w:tab w:val="clear" w:pos="567"/>
        </w:tabs>
        <w:rPr>
          <w:i/>
          <w:color w:val="000000"/>
          <w:szCs w:val="22"/>
        </w:rPr>
      </w:pPr>
      <w:r w:rsidRPr="00654EF1">
        <w:rPr>
          <w:i/>
          <w:color w:val="000000"/>
          <w:szCs w:val="22"/>
        </w:rPr>
        <w:t>Haematological adverse reactions</w:t>
      </w:r>
    </w:p>
    <w:p w14:paraId="1B6804A6"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Dose reduction or treatment interruption for severe neutropenia and thrombocytopenia are recommended as indicated in the table below.</w:t>
      </w:r>
    </w:p>
    <w:p w14:paraId="1B6804A7" w14:textId="77777777" w:rsidR="006237AB" w:rsidRPr="00654EF1" w:rsidRDefault="006237AB" w:rsidP="001D5C8C">
      <w:pPr>
        <w:pStyle w:val="EndnoteText"/>
        <w:widowControl w:val="0"/>
        <w:tabs>
          <w:tab w:val="clear" w:pos="567"/>
        </w:tabs>
        <w:rPr>
          <w:color w:val="000000"/>
          <w:szCs w:val="22"/>
        </w:rPr>
      </w:pPr>
    </w:p>
    <w:p w14:paraId="1B6804A8"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Dose adjustments for neutropenia and thrombocytopenia</w:t>
      </w:r>
      <w:r w:rsidR="007E1607" w:rsidRPr="00654EF1">
        <w:rPr>
          <w:color w:val="000000"/>
          <w:szCs w:val="22"/>
        </w:rPr>
        <w:t>:</w:t>
      </w:r>
    </w:p>
    <w:p w14:paraId="1B6804A9" w14:textId="77777777" w:rsidR="008A1B05" w:rsidRPr="00654EF1" w:rsidRDefault="008A1B05"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8A1B05" w:rsidRPr="00654EF1" w14:paraId="1B6804B0" w14:textId="77777777" w:rsidTr="004E3E63">
        <w:trPr>
          <w:cantSplit/>
        </w:trPr>
        <w:tc>
          <w:tcPr>
            <w:tcW w:w="2376" w:type="dxa"/>
          </w:tcPr>
          <w:p w14:paraId="1B6804AA" w14:textId="77777777" w:rsidR="008A1B05" w:rsidRPr="00654EF1" w:rsidRDefault="008A1B05" w:rsidP="005E7BE5">
            <w:pPr>
              <w:pStyle w:val="EndnoteText"/>
              <w:keepNext/>
              <w:widowControl w:val="0"/>
              <w:tabs>
                <w:tab w:val="clear" w:pos="567"/>
              </w:tabs>
              <w:rPr>
                <w:color w:val="000000"/>
                <w:szCs w:val="22"/>
              </w:rPr>
            </w:pPr>
            <w:r w:rsidRPr="00654EF1">
              <w:rPr>
                <w:color w:val="000000"/>
                <w:szCs w:val="22"/>
              </w:rPr>
              <w:t>HES/</w:t>
            </w:r>
            <w:smartTag w:uri="urn:schemas-microsoft-com:office:smarttags" w:element="stockticker">
              <w:r w:rsidRPr="00654EF1">
                <w:rPr>
                  <w:color w:val="000000"/>
                  <w:szCs w:val="22"/>
                </w:rPr>
                <w:t>CEL</w:t>
              </w:r>
            </w:smartTag>
            <w:r w:rsidRPr="00654EF1">
              <w:rPr>
                <w:color w:val="000000"/>
                <w:szCs w:val="22"/>
              </w:rPr>
              <w:t xml:space="preserve"> (starting dose 100 mg)</w:t>
            </w:r>
          </w:p>
        </w:tc>
        <w:tc>
          <w:tcPr>
            <w:tcW w:w="2400" w:type="dxa"/>
          </w:tcPr>
          <w:p w14:paraId="1B6804AB" w14:textId="77777777" w:rsidR="008A1B05" w:rsidRPr="00654EF1" w:rsidRDefault="008A1B05" w:rsidP="005E7BE5">
            <w:pPr>
              <w:pStyle w:val="Table"/>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AC" w14:textId="77777777" w:rsidR="008A1B05" w:rsidRPr="00654EF1" w:rsidRDefault="008A1B05" w:rsidP="005E7BE5">
            <w:pPr>
              <w:pStyle w:val="Table"/>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AD" w14:textId="77777777" w:rsidR="008A1B05" w:rsidRPr="00654EF1" w:rsidRDefault="008A1B05" w:rsidP="005E7BE5">
            <w:pPr>
              <w:pStyle w:val="Table"/>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rPr>
              <w:t>platelets &lt; 50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w:t>
            </w:r>
          </w:p>
        </w:tc>
        <w:tc>
          <w:tcPr>
            <w:tcW w:w="4404" w:type="dxa"/>
          </w:tcPr>
          <w:p w14:paraId="1B6804AE" w14:textId="77777777" w:rsidR="008A1B05" w:rsidRPr="00654EF1" w:rsidRDefault="008A1B05" w:rsidP="005E7BE5">
            <w:pPr>
              <w:pStyle w:val="Table"/>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 xml:space="preserve">Stop Glivec until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75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AF" w14:textId="77777777" w:rsidR="008A1B05" w:rsidRPr="00654EF1" w:rsidRDefault="008A1B05" w:rsidP="005E7BE5">
            <w:pPr>
              <w:pStyle w:val="Table"/>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Resume treatment with Glivec at previous dose (i.e. before severe adverse reaction).</w:t>
            </w:r>
          </w:p>
        </w:tc>
      </w:tr>
      <w:tr w:rsidR="008A1B05" w:rsidRPr="00654EF1" w14:paraId="1B6804BA" w14:textId="77777777" w:rsidTr="004E3E63">
        <w:trPr>
          <w:cantSplit/>
        </w:trPr>
        <w:tc>
          <w:tcPr>
            <w:tcW w:w="2376" w:type="dxa"/>
          </w:tcPr>
          <w:p w14:paraId="1B6804B1"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 xml:space="preserve">Chronic phase CML, </w:t>
            </w:r>
            <w:smartTag w:uri="urn:schemas-microsoft-com:office:smarttags" w:element="stockticker">
              <w:r w:rsidRPr="00654EF1">
                <w:rPr>
                  <w:color w:val="000000"/>
                  <w:szCs w:val="22"/>
                </w:rPr>
                <w:t>MDS</w:t>
              </w:r>
            </w:smartTag>
            <w:r w:rsidRPr="00654EF1">
              <w:rPr>
                <w:color w:val="000000"/>
                <w:szCs w:val="22"/>
              </w:rPr>
              <w:t>/MPD and GIST (starting dose 400 mg)</w:t>
            </w:r>
          </w:p>
          <w:p w14:paraId="1B6804B2"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HES/</w:t>
            </w:r>
            <w:smartTag w:uri="urn:schemas-microsoft-com:office:smarttags" w:element="stockticker">
              <w:r w:rsidRPr="00654EF1">
                <w:rPr>
                  <w:color w:val="000000"/>
                  <w:szCs w:val="22"/>
                </w:rPr>
                <w:t>CEL</w:t>
              </w:r>
            </w:smartTag>
          </w:p>
          <w:p w14:paraId="1B6804B3"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(at dose 400 mg)</w:t>
            </w:r>
          </w:p>
        </w:tc>
        <w:tc>
          <w:tcPr>
            <w:tcW w:w="2400" w:type="dxa"/>
          </w:tcPr>
          <w:p w14:paraId="1B6804B4"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B5"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B6"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platelets &lt; 50 x 10</w:t>
            </w:r>
            <w:r w:rsidRPr="00654EF1">
              <w:rPr>
                <w:color w:val="000000"/>
                <w:szCs w:val="22"/>
                <w:vertAlign w:val="superscript"/>
              </w:rPr>
              <w:t>9</w:t>
            </w:r>
            <w:r w:rsidRPr="00654EF1">
              <w:rPr>
                <w:color w:val="000000"/>
                <w:szCs w:val="22"/>
              </w:rPr>
              <w:t>/l</w:t>
            </w:r>
          </w:p>
        </w:tc>
        <w:tc>
          <w:tcPr>
            <w:tcW w:w="4404" w:type="dxa"/>
          </w:tcPr>
          <w:p w14:paraId="1B6804B7"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 xml:space="preserve">Stop Glivec until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75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B8"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Resume treatment with Glivec at previous dose (i.e. before severe adverse reaction).</w:t>
            </w:r>
          </w:p>
          <w:p w14:paraId="1B6804B9" w14:textId="77777777" w:rsidR="008A1B05" w:rsidRPr="00654EF1" w:rsidRDefault="008A1B05" w:rsidP="001D5C8C">
            <w:pPr>
              <w:pStyle w:val="EndnoteText"/>
              <w:widowControl w:val="0"/>
              <w:tabs>
                <w:tab w:val="clear" w:pos="567"/>
              </w:tabs>
              <w:ind w:left="469" w:hanging="469"/>
              <w:rPr>
                <w:color w:val="000000"/>
                <w:szCs w:val="22"/>
              </w:rPr>
            </w:pPr>
            <w:r w:rsidRPr="00654EF1">
              <w:rPr>
                <w:color w:val="000000"/>
                <w:szCs w:val="22"/>
              </w:rPr>
              <w:t>3.</w:t>
            </w:r>
            <w:r w:rsidRPr="00654EF1">
              <w:rPr>
                <w:color w:val="000000"/>
                <w:szCs w:val="22"/>
              </w:rPr>
              <w:tab/>
              <w:t>In the event of recurrence of ANC &lt; 1.0 x 10</w:t>
            </w:r>
            <w:r w:rsidRPr="00654EF1">
              <w:rPr>
                <w:color w:val="000000"/>
                <w:szCs w:val="22"/>
                <w:vertAlign w:val="superscript"/>
              </w:rPr>
              <w:t>9</w:t>
            </w:r>
            <w:r w:rsidRPr="00654EF1">
              <w:rPr>
                <w:color w:val="000000"/>
                <w:szCs w:val="22"/>
              </w:rPr>
              <w:t>/l and/or platelets &lt; 50 x 10</w:t>
            </w:r>
            <w:r w:rsidRPr="00654EF1">
              <w:rPr>
                <w:color w:val="000000"/>
                <w:szCs w:val="22"/>
                <w:vertAlign w:val="superscript"/>
              </w:rPr>
              <w:t>9</w:t>
            </w:r>
            <w:r w:rsidRPr="00654EF1">
              <w:rPr>
                <w:color w:val="000000"/>
                <w:szCs w:val="22"/>
              </w:rPr>
              <w:t>/l, repeat step 1 and resume Glivec at reduced dose of 300 mg.</w:t>
            </w:r>
          </w:p>
        </w:tc>
      </w:tr>
      <w:tr w:rsidR="008A1B05" w:rsidRPr="00654EF1" w14:paraId="1B6804C4" w14:textId="77777777" w:rsidTr="004E3E63">
        <w:trPr>
          <w:cantSplit/>
        </w:trPr>
        <w:tc>
          <w:tcPr>
            <w:tcW w:w="2376" w:type="dxa"/>
          </w:tcPr>
          <w:p w14:paraId="1B6804BB"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Paediatric chronic phase CML</w:t>
            </w:r>
          </w:p>
          <w:p w14:paraId="1B6804BC"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(at dose 340 mg/m</w:t>
            </w:r>
            <w:r w:rsidRPr="00654EF1">
              <w:rPr>
                <w:color w:val="000000"/>
                <w:szCs w:val="22"/>
                <w:vertAlign w:val="superscript"/>
              </w:rPr>
              <w:t>2</w:t>
            </w:r>
            <w:r w:rsidRPr="00654EF1">
              <w:rPr>
                <w:color w:val="000000"/>
                <w:szCs w:val="22"/>
              </w:rPr>
              <w:t>)</w:t>
            </w:r>
          </w:p>
        </w:tc>
        <w:tc>
          <w:tcPr>
            <w:tcW w:w="2400" w:type="dxa"/>
          </w:tcPr>
          <w:p w14:paraId="1B6804BD"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BE"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BF"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platelets &lt; 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C0"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p>
        </w:tc>
        <w:tc>
          <w:tcPr>
            <w:tcW w:w="4404" w:type="dxa"/>
          </w:tcPr>
          <w:p w14:paraId="1B6804C1" w14:textId="77777777" w:rsidR="008A1B05"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 xml:space="preserve">Stop Glivec until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75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C2" w14:textId="77777777" w:rsidR="008A1B05"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Resume treatment with Glivec at previous dose (i.e. before severe adverse reaction).</w:t>
            </w:r>
          </w:p>
          <w:p w14:paraId="1B6804C3" w14:textId="77777777" w:rsidR="008A1B05" w:rsidRPr="00654EF1" w:rsidRDefault="008A1B05" w:rsidP="001D5C8C">
            <w:pPr>
              <w:pStyle w:val="Table"/>
              <w:keepNext w:val="0"/>
              <w:widowControl w:val="0"/>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t>In the event of recurrence of ANC &lt; 1.0 x10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and/or platelets &lt; 50 x10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repeat step 1 and resume Glivec at reduced dose of 260 mg/m</w:t>
            </w:r>
            <w:r w:rsidRPr="00654EF1">
              <w:rPr>
                <w:rFonts w:ascii="Times New Roman" w:hAnsi="Times New Roman"/>
                <w:color w:val="000000"/>
                <w:sz w:val="22"/>
                <w:szCs w:val="22"/>
                <w:vertAlign w:val="superscript"/>
                <w:lang w:val="en-GB"/>
              </w:rPr>
              <w:t>2</w:t>
            </w:r>
            <w:r w:rsidRPr="00654EF1">
              <w:rPr>
                <w:rFonts w:ascii="Times New Roman" w:hAnsi="Times New Roman"/>
                <w:color w:val="000000"/>
                <w:sz w:val="22"/>
                <w:szCs w:val="22"/>
                <w:lang w:val="en-GB"/>
              </w:rPr>
              <w:t>.</w:t>
            </w:r>
          </w:p>
        </w:tc>
      </w:tr>
      <w:tr w:rsidR="008A1B05" w:rsidRPr="00654EF1" w14:paraId="1B6804CD" w14:textId="77777777" w:rsidTr="004E3E63">
        <w:trPr>
          <w:cantSplit/>
        </w:trPr>
        <w:tc>
          <w:tcPr>
            <w:tcW w:w="2376" w:type="dxa"/>
            <w:tcBorders>
              <w:bottom w:val="nil"/>
            </w:tcBorders>
          </w:tcPr>
          <w:p w14:paraId="1B6804C5"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lastRenderedPageBreak/>
              <w:t xml:space="preserve">Accelerated phase CML and blast crisis and Ph+ </w:t>
            </w:r>
            <w:smartTag w:uri="urn:schemas-microsoft-com:office:smarttags" w:element="stockticker">
              <w:r w:rsidRPr="00654EF1">
                <w:rPr>
                  <w:color w:val="000000"/>
                  <w:szCs w:val="22"/>
                </w:rPr>
                <w:t>ALL</w:t>
              </w:r>
            </w:smartTag>
            <w:r w:rsidRPr="00654EF1">
              <w:rPr>
                <w:color w:val="000000"/>
                <w:szCs w:val="22"/>
              </w:rPr>
              <w:t xml:space="preserve"> (starting dose 600 mg)</w:t>
            </w:r>
          </w:p>
        </w:tc>
        <w:tc>
          <w:tcPr>
            <w:tcW w:w="2400" w:type="dxa"/>
            <w:tcBorders>
              <w:bottom w:val="nil"/>
            </w:tcBorders>
          </w:tcPr>
          <w:p w14:paraId="1B6804C6"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vertAlign w:val="superscript"/>
                <w:lang w:val="en-GB"/>
              </w:rPr>
              <w:t>a</w:t>
            </w:r>
            <w:r w:rsidRPr="00654EF1">
              <w:rPr>
                <w:rFonts w:ascii="Times New Roman" w:hAnsi="Times New Roman"/>
                <w:color w:val="000000"/>
                <w:sz w:val="22"/>
                <w:szCs w:val="22"/>
                <w:lang w:val="en-GB"/>
              </w:rPr>
              <w:t>ANC &lt; 0.5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C7"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C8"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platelets &lt; 10 x 10</w:t>
            </w:r>
            <w:r w:rsidRPr="00654EF1">
              <w:rPr>
                <w:color w:val="000000"/>
                <w:szCs w:val="22"/>
                <w:vertAlign w:val="superscript"/>
              </w:rPr>
              <w:t>9</w:t>
            </w:r>
            <w:r w:rsidRPr="00654EF1">
              <w:rPr>
                <w:color w:val="000000"/>
                <w:szCs w:val="22"/>
              </w:rPr>
              <w:t>/l</w:t>
            </w:r>
          </w:p>
        </w:tc>
        <w:tc>
          <w:tcPr>
            <w:tcW w:w="4404" w:type="dxa"/>
            <w:tcBorders>
              <w:bottom w:val="nil"/>
            </w:tcBorders>
          </w:tcPr>
          <w:p w14:paraId="1B6804C9"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Check whether cytopenia is related to leukaemia (marrow aspirate or biopsy).</w:t>
            </w:r>
          </w:p>
          <w:p w14:paraId="1B6804CA"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If cytopenia is unrelated to leukaemia, reduce dose of Glivec to 400 mg.</w:t>
            </w:r>
          </w:p>
          <w:p w14:paraId="1B6804CB"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t>If cytopenia persists for 2 weeks, reduce further to 300 mg.</w:t>
            </w:r>
          </w:p>
          <w:p w14:paraId="1B6804CC" w14:textId="77777777" w:rsidR="008A1B05" w:rsidRPr="00654EF1" w:rsidRDefault="008A1B05" w:rsidP="001D5C8C">
            <w:pPr>
              <w:pStyle w:val="EndnoteText"/>
              <w:widowControl w:val="0"/>
              <w:tabs>
                <w:tab w:val="clear" w:pos="567"/>
              </w:tabs>
              <w:ind w:left="469" w:hanging="469"/>
              <w:rPr>
                <w:color w:val="000000"/>
                <w:szCs w:val="22"/>
              </w:rPr>
            </w:pPr>
            <w:r w:rsidRPr="00654EF1">
              <w:rPr>
                <w:color w:val="000000"/>
                <w:szCs w:val="22"/>
              </w:rPr>
              <w:t>4.</w:t>
            </w:r>
            <w:r w:rsidRPr="00654EF1">
              <w:rPr>
                <w:color w:val="000000"/>
                <w:szCs w:val="22"/>
              </w:rPr>
              <w:tab/>
              <w:t xml:space="preserve">If cytopenia persists for 4 weeks and is still unrelated to leukaemia, stop Glivec until ANC </w:t>
            </w:r>
            <w:r w:rsidRPr="00654EF1">
              <w:rPr>
                <w:color w:val="000000"/>
                <w:szCs w:val="22"/>
              </w:rPr>
              <w:sym w:font="Symbol" w:char="F0B3"/>
            </w:r>
            <w:r w:rsidRPr="00654EF1">
              <w:rPr>
                <w:color w:val="000000"/>
                <w:szCs w:val="22"/>
              </w:rPr>
              <w:t> 1 x 10</w:t>
            </w:r>
            <w:r w:rsidRPr="00654EF1">
              <w:rPr>
                <w:color w:val="000000"/>
                <w:szCs w:val="22"/>
                <w:vertAlign w:val="superscript"/>
              </w:rPr>
              <w:t>9</w:t>
            </w:r>
            <w:r w:rsidRPr="00654EF1">
              <w:rPr>
                <w:color w:val="000000"/>
                <w:szCs w:val="22"/>
              </w:rPr>
              <w:t xml:space="preserve">/l and platelets </w:t>
            </w:r>
            <w:r w:rsidRPr="00654EF1">
              <w:rPr>
                <w:color w:val="000000"/>
                <w:szCs w:val="22"/>
              </w:rPr>
              <w:sym w:font="Symbol" w:char="F0B3"/>
            </w:r>
            <w:r w:rsidRPr="00654EF1">
              <w:rPr>
                <w:color w:val="000000"/>
                <w:szCs w:val="22"/>
              </w:rPr>
              <w:t> 20 x 10</w:t>
            </w:r>
            <w:r w:rsidRPr="00654EF1">
              <w:rPr>
                <w:color w:val="000000"/>
                <w:szCs w:val="22"/>
                <w:vertAlign w:val="superscript"/>
              </w:rPr>
              <w:t>9</w:t>
            </w:r>
            <w:r w:rsidRPr="00654EF1">
              <w:rPr>
                <w:color w:val="000000"/>
                <w:szCs w:val="22"/>
              </w:rPr>
              <w:t>/l, then resume treatment at 300 mg.</w:t>
            </w:r>
          </w:p>
        </w:tc>
      </w:tr>
      <w:tr w:rsidR="008A1B05" w:rsidRPr="00654EF1" w14:paraId="1B6804D6" w14:textId="77777777" w:rsidTr="004E3E63">
        <w:trPr>
          <w:cantSplit/>
        </w:trPr>
        <w:tc>
          <w:tcPr>
            <w:tcW w:w="2376" w:type="dxa"/>
            <w:tcBorders>
              <w:bottom w:val="nil"/>
            </w:tcBorders>
          </w:tcPr>
          <w:p w14:paraId="1B6804CE"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Paediatric accelerated phase CML and blast crisis (starting dose 340 mg/m</w:t>
            </w:r>
            <w:r w:rsidRPr="00654EF1">
              <w:rPr>
                <w:color w:val="000000"/>
                <w:szCs w:val="22"/>
                <w:vertAlign w:val="superscript"/>
              </w:rPr>
              <w:t>2</w:t>
            </w:r>
            <w:r w:rsidRPr="00654EF1">
              <w:rPr>
                <w:color w:val="000000"/>
                <w:szCs w:val="22"/>
              </w:rPr>
              <w:t>)</w:t>
            </w:r>
          </w:p>
        </w:tc>
        <w:tc>
          <w:tcPr>
            <w:tcW w:w="2400" w:type="dxa"/>
            <w:tcBorders>
              <w:bottom w:val="nil"/>
            </w:tcBorders>
          </w:tcPr>
          <w:p w14:paraId="1B6804CF"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vertAlign w:val="superscript"/>
                <w:lang w:val="en-GB"/>
              </w:rPr>
              <w:t>a</w:t>
            </w:r>
            <w:r w:rsidRPr="00654EF1">
              <w:rPr>
                <w:rFonts w:ascii="Times New Roman" w:hAnsi="Times New Roman"/>
                <w:color w:val="000000"/>
                <w:sz w:val="22"/>
                <w:szCs w:val="22"/>
                <w:lang w:val="en-GB"/>
              </w:rPr>
              <w:t>ANC &lt; 0.5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D0"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D1" w14:textId="77777777" w:rsidR="008A1B05" w:rsidRPr="00654EF1" w:rsidDel="000659A8" w:rsidRDefault="008A1B05" w:rsidP="001D5C8C">
            <w:pPr>
              <w:pStyle w:val="Table"/>
              <w:keepNext w:val="0"/>
              <w:keepLines w:val="0"/>
              <w:widowControl w:val="0"/>
              <w:suppressLineNumbers/>
              <w:spacing w:before="0" w:after="0"/>
              <w:rPr>
                <w:rFonts w:ascii="Times New Roman" w:hAnsi="Times New Roman"/>
                <w:color w:val="000000"/>
                <w:sz w:val="22"/>
                <w:szCs w:val="22"/>
                <w:vertAlign w:val="superscript"/>
                <w:lang w:val="en-GB"/>
              </w:rPr>
            </w:pPr>
            <w:r w:rsidRPr="00654EF1">
              <w:rPr>
                <w:rFonts w:ascii="Times New Roman" w:hAnsi="Times New Roman"/>
                <w:color w:val="000000"/>
                <w:sz w:val="22"/>
                <w:szCs w:val="22"/>
              </w:rPr>
              <w:t>platelets &lt; 10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w:t>
            </w:r>
          </w:p>
        </w:tc>
        <w:tc>
          <w:tcPr>
            <w:tcW w:w="4404" w:type="dxa"/>
            <w:tcBorders>
              <w:bottom w:val="nil"/>
            </w:tcBorders>
          </w:tcPr>
          <w:p w14:paraId="1B6804D2"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Check whether cytopenia is related to leukaemia (marrow aspirate or biopsy).</w:t>
            </w:r>
          </w:p>
          <w:p w14:paraId="1B6804D3"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If cytopenia is unrelated to leukaemia, reduce dose of Glivec to 260 mg/m</w:t>
            </w:r>
            <w:r w:rsidRPr="00654EF1">
              <w:rPr>
                <w:rFonts w:ascii="Times New Roman" w:hAnsi="Times New Roman"/>
                <w:color w:val="000000"/>
                <w:sz w:val="22"/>
                <w:szCs w:val="22"/>
                <w:vertAlign w:val="superscript"/>
                <w:lang w:val="en-GB"/>
              </w:rPr>
              <w:t>2</w:t>
            </w:r>
            <w:r w:rsidRPr="00654EF1">
              <w:rPr>
                <w:rFonts w:ascii="Times New Roman" w:hAnsi="Times New Roman"/>
                <w:color w:val="000000"/>
                <w:sz w:val="22"/>
                <w:szCs w:val="22"/>
                <w:lang w:val="en-GB"/>
              </w:rPr>
              <w:t>.</w:t>
            </w:r>
          </w:p>
          <w:p w14:paraId="1B6804D4"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t>If cytopenia persists for 2 weeks, reduce further to 200 mg/m</w:t>
            </w:r>
            <w:r w:rsidRPr="00654EF1">
              <w:rPr>
                <w:rFonts w:ascii="Times New Roman" w:hAnsi="Times New Roman"/>
                <w:color w:val="000000"/>
                <w:sz w:val="22"/>
                <w:szCs w:val="22"/>
                <w:vertAlign w:val="superscript"/>
                <w:lang w:val="en-GB"/>
              </w:rPr>
              <w:t>2</w:t>
            </w:r>
            <w:r w:rsidRPr="00654EF1">
              <w:rPr>
                <w:rFonts w:ascii="Times New Roman" w:hAnsi="Times New Roman"/>
                <w:color w:val="000000"/>
                <w:sz w:val="22"/>
                <w:szCs w:val="22"/>
                <w:lang w:val="en-GB"/>
              </w:rPr>
              <w:t>.</w:t>
            </w:r>
          </w:p>
          <w:p w14:paraId="1B6804D5"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4.</w:t>
            </w:r>
            <w:r w:rsidRPr="00654EF1">
              <w:rPr>
                <w:rFonts w:ascii="Times New Roman" w:hAnsi="Times New Roman"/>
                <w:color w:val="000000"/>
                <w:sz w:val="22"/>
                <w:szCs w:val="22"/>
                <w:lang w:val="en-GB"/>
              </w:rPr>
              <w:tab/>
            </w:r>
            <w:r w:rsidRPr="00654EF1">
              <w:rPr>
                <w:rFonts w:ascii="Times New Roman" w:hAnsi="Times New Roman"/>
                <w:color w:val="000000"/>
                <w:sz w:val="22"/>
                <w:szCs w:val="22"/>
              </w:rPr>
              <w:t xml:space="preserve">If cytopenia persists for 4 weeks and is still unrelated to leukaemia, stop Glivec until ANC </w:t>
            </w:r>
            <w:r w:rsidRPr="00654EF1">
              <w:rPr>
                <w:rFonts w:ascii="Times New Roman" w:hAnsi="Times New Roman"/>
                <w:color w:val="000000"/>
                <w:sz w:val="22"/>
                <w:szCs w:val="22"/>
              </w:rPr>
              <w:sym w:font="Symbol" w:char="F0B3"/>
            </w:r>
            <w:r w:rsidRPr="00654EF1">
              <w:rPr>
                <w:rFonts w:ascii="Times New Roman" w:hAnsi="Times New Roman"/>
                <w:color w:val="000000"/>
                <w:sz w:val="22"/>
                <w:szCs w:val="22"/>
              </w:rPr>
              <w:t> 1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 xml:space="preserve">/l and platelets </w:t>
            </w:r>
            <w:r w:rsidRPr="00654EF1">
              <w:rPr>
                <w:rFonts w:ascii="Times New Roman" w:hAnsi="Times New Roman"/>
                <w:color w:val="000000"/>
                <w:sz w:val="22"/>
                <w:szCs w:val="22"/>
              </w:rPr>
              <w:sym w:font="Symbol" w:char="F0B3"/>
            </w:r>
            <w:r w:rsidRPr="00654EF1">
              <w:rPr>
                <w:rFonts w:ascii="Times New Roman" w:hAnsi="Times New Roman"/>
                <w:color w:val="000000"/>
                <w:sz w:val="22"/>
                <w:szCs w:val="22"/>
              </w:rPr>
              <w:t> 20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 xml:space="preserve">/l, then resume treatment at </w:t>
            </w:r>
            <w:r w:rsidRPr="00654EF1">
              <w:rPr>
                <w:rFonts w:ascii="Times New Roman" w:hAnsi="Times New Roman"/>
                <w:color w:val="000000"/>
                <w:sz w:val="22"/>
                <w:szCs w:val="22"/>
                <w:lang w:val="en-GB"/>
              </w:rPr>
              <w:t>200 mg/m</w:t>
            </w:r>
            <w:r w:rsidRPr="00654EF1">
              <w:rPr>
                <w:rFonts w:ascii="Times New Roman" w:hAnsi="Times New Roman"/>
                <w:color w:val="000000"/>
                <w:sz w:val="22"/>
                <w:szCs w:val="22"/>
                <w:vertAlign w:val="superscript"/>
                <w:lang w:val="en-GB"/>
              </w:rPr>
              <w:t>2</w:t>
            </w:r>
            <w:r w:rsidRPr="00654EF1">
              <w:rPr>
                <w:rFonts w:ascii="Times New Roman" w:hAnsi="Times New Roman"/>
                <w:color w:val="000000"/>
                <w:sz w:val="22"/>
                <w:szCs w:val="22"/>
                <w:lang w:val="en-GB"/>
              </w:rPr>
              <w:t>.</w:t>
            </w:r>
          </w:p>
        </w:tc>
      </w:tr>
      <w:tr w:rsidR="008A1B05" w:rsidRPr="00654EF1" w14:paraId="1B6804DF" w14:textId="77777777" w:rsidTr="004E3E63">
        <w:trPr>
          <w:cantSplit/>
        </w:trPr>
        <w:tc>
          <w:tcPr>
            <w:tcW w:w="2376" w:type="dxa"/>
            <w:tcBorders>
              <w:bottom w:val="nil"/>
            </w:tcBorders>
          </w:tcPr>
          <w:p w14:paraId="1B6804D7"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DFSP</w:t>
            </w:r>
          </w:p>
          <w:p w14:paraId="1B6804D8" w14:textId="77777777" w:rsidR="008A1B05" w:rsidRPr="00654EF1" w:rsidRDefault="008A1B05" w:rsidP="001D5C8C">
            <w:pPr>
              <w:pStyle w:val="EndnoteText"/>
              <w:widowControl w:val="0"/>
              <w:tabs>
                <w:tab w:val="clear" w:pos="567"/>
              </w:tabs>
              <w:rPr>
                <w:color w:val="000000"/>
                <w:szCs w:val="22"/>
              </w:rPr>
            </w:pPr>
            <w:r w:rsidRPr="00654EF1">
              <w:rPr>
                <w:color w:val="000000"/>
                <w:szCs w:val="22"/>
              </w:rPr>
              <w:t>(at dose 800 mg)</w:t>
            </w:r>
          </w:p>
        </w:tc>
        <w:tc>
          <w:tcPr>
            <w:tcW w:w="2400" w:type="dxa"/>
            <w:tcBorders>
              <w:bottom w:val="nil"/>
            </w:tcBorders>
          </w:tcPr>
          <w:p w14:paraId="1B6804D9"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DA" w14:textId="77777777" w:rsidR="008A1B05" w:rsidRPr="00654EF1" w:rsidRDefault="008A1B05" w:rsidP="001D5C8C">
            <w:pPr>
              <w:pStyle w:val="Table"/>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and/or</w:t>
            </w:r>
          </w:p>
          <w:p w14:paraId="1B6804DB" w14:textId="77777777" w:rsidR="008A1B05" w:rsidRPr="00654EF1" w:rsidRDefault="008A1B05" w:rsidP="001D5C8C">
            <w:pPr>
              <w:pStyle w:val="Table"/>
              <w:keepNext w:val="0"/>
              <w:keepLines w:val="0"/>
              <w:widowControl w:val="0"/>
              <w:suppressLineNumbers/>
              <w:spacing w:before="0" w:after="0"/>
              <w:rPr>
                <w:rFonts w:ascii="Times New Roman" w:hAnsi="Times New Roman"/>
                <w:color w:val="000000"/>
                <w:sz w:val="22"/>
                <w:szCs w:val="22"/>
                <w:vertAlign w:val="superscript"/>
                <w:lang w:val="en-GB"/>
              </w:rPr>
            </w:pPr>
            <w:r w:rsidRPr="00654EF1">
              <w:rPr>
                <w:rFonts w:ascii="Times New Roman" w:hAnsi="Times New Roman"/>
                <w:color w:val="000000"/>
                <w:sz w:val="22"/>
                <w:szCs w:val="22"/>
                <w:lang w:val="en-GB"/>
              </w:rPr>
              <w:t>platelets &lt; 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tc>
        <w:tc>
          <w:tcPr>
            <w:tcW w:w="4404" w:type="dxa"/>
            <w:tcBorders>
              <w:bottom w:val="nil"/>
            </w:tcBorders>
          </w:tcPr>
          <w:p w14:paraId="1B6804DC"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1.</w:t>
            </w:r>
            <w:r w:rsidRPr="00654EF1">
              <w:rPr>
                <w:rFonts w:ascii="Times New Roman" w:hAnsi="Times New Roman"/>
                <w:color w:val="000000"/>
                <w:sz w:val="22"/>
                <w:szCs w:val="22"/>
                <w:lang w:val="en-GB"/>
              </w:rPr>
              <w:tab/>
              <w:t xml:space="preserve">Stop Glivec until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75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w:t>
            </w:r>
          </w:p>
          <w:p w14:paraId="1B6804DD"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2.</w:t>
            </w:r>
            <w:r w:rsidRPr="00654EF1">
              <w:rPr>
                <w:rFonts w:ascii="Times New Roman" w:hAnsi="Times New Roman"/>
                <w:color w:val="000000"/>
                <w:sz w:val="22"/>
                <w:szCs w:val="22"/>
                <w:lang w:val="en-GB"/>
              </w:rPr>
              <w:tab/>
              <w:t>Resume treatment with Glivec at 600 mg.</w:t>
            </w:r>
          </w:p>
          <w:p w14:paraId="1B6804DE" w14:textId="77777777" w:rsidR="008A1B05" w:rsidRPr="00654EF1" w:rsidRDefault="008A1B05" w:rsidP="001D5C8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n-GB"/>
              </w:rPr>
            </w:pPr>
            <w:r w:rsidRPr="00654EF1">
              <w:rPr>
                <w:rFonts w:ascii="Times New Roman" w:hAnsi="Times New Roman"/>
                <w:color w:val="000000"/>
                <w:sz w:val="22"/>
                <w:szCs w:val="22"/>
                <w:lang w:val="en-GB"/>
              </w:rPr>
              <w:t>3.</w:t>
            </w:r>
            <w:r w:rsidRPr="00654EF1">
              <w:rPr>
                <w:rFonts w:ascii="Times New Roman" w:hAnsi="Times New Roman"/>
                <w:color w:val="000000"/>
                <w:sz w:val="22"/>
                <w:szCs w:val="22"/>
                <w:lang w:val="en-GB"/>
              </w:rPr>
              <w:tab/>
              <w:t>In the event of recurrence of ANC &lt; 1.0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and/or platelets &lt; 50 x 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repeat step 1 and resume Glivec at reduced dose of 400 mg.</w:t>
            </w:r>
          </w:p>
        </w:tc>
      </w:tr>
      <w:tr w:rsidR="008A1B05" w:rsidRPr="00654EF1" w14:paraId="1B6804E1" w14:textId="77777777" w:rsidTr="004E3E63">
        <w:trPr>
          <w:cantSplit/>
        </w:trPr>
        <w:tc>
          <w:tcPr>
            <w:tcW w:w="9180" w:type="dxa"/>
            <w:gridSpan w:val="3"/>
            <w:tcBorders>
              <w:bottom w:val="nil"/>
            </w:tcBorders>
          </w:tcPr>
          <w:p w14:paraId="1B6804E0" w14:textId="77777777" w:rsidR="008A1B05" w:rsidRPr="00654EF1" w:rsidRDefault="008A1B05" w:rsidP="005E7BE5">
            <w:pPr>
              <w:pStyle w:val="EndnoteText"/>
              <w:keepNext/>
              <w:widowControl w:val="0"/>
              <w:tabs>
                <w:tab w:val="clear" w:pos="567"/>
              </w:tabs>
              <w:rPr>
                <w:color w:val="000000"/>
                <w:szCs w:val="22"/>
              </w:rPr>
            </w:pPr>
            <w:r w:rsidRPr="00654EF1">
              <w:rPr>
                <w:color w:val="000000"/>
                <w:szCs w:val="22"/>
              </w:rPr>
              <w:t>ANC = absolute neutrophil count</w:t>
            </w:r>
          </w:p>
        </w:tc>
      </w:tr>
      <w:tr w:rsidR="008A1B05" w:rsidRPr="00654EF1" w14:paraId="1B6804E3" w14:textId="77777777" w:rsidTr="004E3E63">
        <w:trPr>
          <w:cantSplit/>
        </w:trPr>
        <w:tc>
          <w:tcPr>
            <w:tcW w:w="9180" w:type="dxa"/>
            <w:gridSpan w:val="3"/>
            <w:tcBorders>
              <w:top w:val="nil"/>
            </w:tcBorders>
          </w:tcPr>
          <w:p w14:paraId="1B6804E2" w14:textId="77777777" w:rsidR="008A1B05" w:rsidRPr="00654EF1" w:rsidRDefault="008A1B05" w:rsidP="001D5C8C">
            <w:pPr>
              <w:pStyle w:val="EndnoteText"/>
              <w:widowControl w:val="0"/>
              <w:tabs>
                <w:tab w:val="clear" w:pos="567"/>
              </w:tabs>
              <w:rPr>
                <w:color w:val="000000"/>
                <w:szCs w:val="22"/>
              </w:rPr>
            </w:pPr>
            <w:r w:rsidRPr="00654EF1">
              <w:rPr>
                <w:color w:val="000000"/>
                <w:szCs w:val="22"/>
                <w:vertAlign w:val="superscript"/>
              </w:rPr>
              <w:t xml:space="preserve">a </w:t>
            </w:r>
            <w:r w:rsidRPr="00654EF1">
              <w:rPr>
                <w:color w:val="000000"/>
                <w:szCs w:val="22"/>
              </w:rPr>
              <w:t>occurring after at least 1 month of treatment</w:t>
            </w:r>
          </w:p>
        </w:tc>
      </w:tr>
    </w:tbl>
    <w:p w14:paraId="1B6804E4" w14:textId="77777777" w:rsidR="00BB7FBF" w:rsidRPr="00654EF1" w:rsidRDefault="00BB7FBF" w:rsidP="001D5C8C">
      <w:pPr>
        <w:pStyle w:val="EndnoteText"/>
        <w:widowControl w:val="0"/>
        <w:tabs>
          <w:tab w:val="clear" w:pos="567"/>
        </w:tabs>
        <w:rPr>
          <w:color w:val="000000"/>
          <w:szCs w:val="22"/>
        </w:rPr>
      </w:pPr>
    </w:p>
    <w:p w14:paraId="1B6804E5" w14:textId="77777777" w:rsidR="00BB7FBF" w:rsidRPr="00654EF1" w:rsidRDefault="00BB7FBF" w:rsidP="005E7BE5">
      <w:pPr>
        <w:pStyle w:val="EndnoteText"/>
        <w:keepNext/>
        <w:widowControl w:val="0"/>
        <w:tabs>
          <w:tab w:val="clear" w:pos="567"/>
        </w:tabs>
        <w:rPr>
          <w:color w:val="000000"/>
          <w:szCs w:val="22"/>
          <w:u w:val="single"/>
        </w:rPr>
      </w:pPr>
      <w:r w:rsidRPr="00654EF1">
        <w:rPr>
          <w:color w:val="000000"/>
          <w:szCs w:val="22"/>
          <w:u w:val="single"/>
        </w:rPr>
        <w:t>Special populations</w:t>
      </w:r>
    </w:p>
    <w:p w14:paraId="1B6804E6" w14:textId="77777777" w:rsidR="00E0269A" w:rsidRPr="00654EF1" w:rsidRDefault="00E0269A" w:rsidP="001D5C8C">
      <w:pPr>
        <w:widowControl w:val="0"/>
        <w:spacing w:line="240" w:lineRule="auto"/>
        <w:rPr>
          <w:color w:val="000000"/>
          <w:szCs w:val="22"/>
          <w:lang w:val="en-US"/>
        </w:rPr>
      </w:pPr>
      <w:r w:rsidRPr="00654EF1">
        <w:rPr>
          <w:i/>
          <w:color w:val="000000"/>
          <w:szCs w:val="22"/>
        </w:rPr>
        <w:t>Paediatric use:</w:t>
      </w:r>
      <w:r w:rsidRPr="00654EF1">
        <w:rPr>
          <w:color w:val="000000"/>
          <w:szCs w:val="22"/>
        </w:rPr>
        <w:t xml:space="preserve"> </w:t>
      </w:r>
      <w:r w:rsidRPr="00654EF1">
        <w:rPr>
          <w:color w:val="000000"/>
          <w:szCs w:val="22"/>
          <w:lang w:val="en-US"/>
        </w:rPr>
        <w:t xml:space="preserve">There is no experience in children with CML below 2 years of age </w:t>
      </w:r>
      <w:r w:rsidR="00255C03" w:rsidRPr="00654EF1">
        <w:rPr>
          <w:color w:val="000000"/>
          <w:szCs w:val="22"/>
          <w:lang w:val="en-US"/>
        </w:rPr>
        <w:t xml:space="preserve">and with Ph+ALL below 1 year of age </w:t>
      </w:r>
      <w:r w:rsidRPr="00654EF1">
        <w:rPr>
          <w:color w:val="000000"/>
          <w:szCs w:val="22"/>
          <w:lang w:val="en-US"/>
        </w:rPr>
        <w:t xml:space="preserve">(see section 5.1). There is very limited experience in children with </w:t>
      </w:r>
      <w:smartTag w:uri="urn:schemas-microsoft-com:office:smarttags" w:element="stockticker">
        <w:r w:rsidRPr="00654EF1">
          <w:rPr>
            <w:color w:val="000000"/>
            <w:szCs w:val="22"/>
            <w:lang w:val="en-US"/>
          </w:rPr>
          <w:t>MDS</w:t>
        </w:r>
      </w:smartTag>
      <w:r w:rsidRPr="00654EF1">
        <w:rPr>
          <w:color w:val="000000"/>
          <w:szCs w:val="22"/>
          <w:lang w:val="en-US"/>
        </w:rPr>
        <w:t>/MPD, DFSP, GIST and HES/</w:t>
      </w:r>
      <w:smartTag w:uri="urn:schemas-microsoft-com:office:smarttags" w:element="stockticker">
        <w:r w:rsidRPr="00654EF1">
          <w:rPr>
            <w:color w:val="000000"/>
            <w:szCs w:val="22"/>
            <w:lang w:val="en-US"/>
          </w:rPr>
          <w:t>CEL</w:t>
        </w:r>
      </w:smartTag>
      <w:r w:rsidRPr="00654EF1">
        <w:rPr>
          <w:color w:val="000000"/>
          <w:szCs w:val="22"/>
          <w:lang w:val="en-US"/>
        </w:rPr>
        <w:t>.</w:t>
      </w:r>
    </w:p>
    <w:p w14:paraId="1B6804E7" w14:textId="77777777" w:rsidR="00E0269A" w:rsidRPr="00654EF1" w:rsidRDefault="00E0269A" w:rsidP="001D5C8C">
      <w:pPr>
        <w:widowControl w:val="0"/>
        <w:spacing w:line="240" w:lineRule="auto"/>
        <w:rPr>
          <w:color w:val="000000"/>
          <w:szCs w:val="22"/>
          <w:lang w:val="en-US"/>
        </w:rPr>
      </w:pPr>
    </w:p>
    <w:p w14:paraId="1B6804E8" w14:textId="77777777" w:rsidR="00E0269A" w:rsidRPr="00654EF1" w:rsidRDefault="00E0269A" w:rsidP="001D5C8C">
      <w:pPr>
        <w:widowControl w:val="0"/>
        <w:spacing w:line="240" w:lineRule="auto"/>
        <w:rPr>
          <w:color w:val="000000"/>
          <w:szCs w:val="22"/>
          <w:lang w:val="en-US"/>
        </w:rPr>
      </w:pPr>
      <w:r w:rsidRPr="00654EF1">
        <w:rPr>
          <w:color w:val="000000"/>
          <w:szCs w:val="22"/>
          <w:lang w:val="en-US"/>
        </w:rPr>
        <w:t>The safety and efficacy of imatinib in children with MDS/MPD, DFSP, GIST and HES/CEL aged less than 18</w:t>
      </w:r>
      <w:r w:rsidRPr="00654EF1">
        <w:t> </w:t>
      </w:r>
      <w:r w:rsidRPr="00654EF1">
        <w:rPr>
          <w:color w:val="000000"/>
          <w:szCs w:val="22"/>
          <w:lang w:val="en-US"/>
        </w:rPr>
        <w:t>years of age have not been established in clinical tr</w:t>
      </w:r>
      <w:r w:rsidR="001F2B41" w:rsidRPr="00654EF1">
        <w:rPr>
          <w:color w:val="000000"/>
          <w:szCs w:val="22"/>
          <w:lang w:val="en-US"/>
        </w:rPr>
        <w:t>ials. Currently available publi</w:t>
      </w:r>
      <w:r w:rsidRPr="00654EF1">
        <w:rPr>
          <w:color w:val="000000"/>
          <w:szCs w:val="22"/>
          <w:lang w:val="en-US"/>
        </w:rPr>
        <w:t>shed data are summarised in section 5.1 but no recommendation on a posology can be made.</w:t>
      </w:r>
    </w:p>
    <w:p w14:paraId="1B6804E9" w14:textId="77777777" w:rsidR="00E0269A" w:rsidRPr="00654EF1" w:rsidRDefault="00E0269A" w:rsidP="001D5C8C">
      <w:pPr>
        <w:pStyle w:val="EndnoteText"/>
        <w:widowControl w:val="0"/>
        <w:tabs>
          <w:tab w:val="clear" w:pos="567"/>
        </w:tabs>
        <w:rPr>
          <w:color w:val="000000"/>
          <w:lang w:val="en-US"/>
        </w:rPr>
      </w:pPr>
    </w:p>
    <w:p w14:paraId="1B6804EA" w14:textId="77777777" w:rsidR="00BB7FBF" w:rsidRPr="00654EF1" w:rsidRDefault="00BB7FBF" w:rsidP="001D5C8C">
      <w:pPr>
        <w:pStyle w:val="EndnoteText"/>
        <w:widowControl w:val="0"/>
        <w:tabs>
          <w:tab w:val="clear" w:pos="567"/>
        </w:tabs>
        <w:rPr>
          <w:color w:val="000000"/>
          <w:szCs w:val="22"/>
        </w:rPr>
      </w:pPr>
      <w:r w:rsidRPr="00654EF1">
        <w:rPr>
          <w:i/>
          <w:color w:val="000000"/>
          <w:szCs w:val="22"/>
        </w:rPr>
        <w:t>Hepatic insufficiency:</w:t>
      </w:r>
      <w:r w:rsidRPr="00654EF1">
        <w:rPr>
          <w:color w:val="000000"/>
          <w:szCs w:val="22"/>
        </w:rPr>
        <w:t xml:space="preserve"> Imatinib is mainly metabolised through the liver. </w:t>
      </w:r>
      <w:r w:rsidRPr="00654EF1">
        <w:rPr>
          <w:color w:val="000000"/>
        </w:rPr>
        <w:t xml:space="preserve">Patients with mild, moderate or severe liver dysfunction should be given the minimum recommended dose of 400 mg daily. The dose can be reduced if not tolerated </w:t>
      </w:r>
      <w:r w:rsidRPr="00654EF1">
        <w:rPr>
          <w:color w:val="000000"/>
          <w:szCs w:val="22"/>
        </w:rPr>
        <w:t>(see sections 4.4, 4.8 and 5.2).</w:t>
      </w:r>
    </w:p>
    <w:p w14:paraId="1B6804EB" w14:textId="77777777" w:rsidR="00EC499F" w:rsidRPr="00654EF1" w:rsidRDefault="00EC499F" w:rsidP="001D5C8C">
      <w:pPr>
        <w:pStyle w:val="EndnoteText"/>
        <w:widowControl w:val="0"/>
        <w:tabs>
          <w:tab w:val="clear" w:pos="567"/>
        </w:tabs>
        <w:rPr>
          <w:color w:val="000000"/>
          <w:szCs w:val="22"/>
        </w:rPr>
      </w:pPr>
    </w:p>
    <w:p w14:paraId="1B6804EC" w14:textId="77777777" w:rsidR="00EC499F" w:rsidRPr="00654EF1" w:rsidRDefault="00EC499F" w:rsidP="001D5C8C">
      <w:pPr>
        <w:pStyle w:val="Text"/>
        <w:keepNext/>
        <w:widowControl w:val="0"/>
        <w:spacing w:before="0"/>
        <w:jc w:val="left"/>
        <w:rPr>
          <w:color w:val="000000"/>
          <w:sz w:val="22"/>
          <w:szCs w:val="22"/>
        </w:rPr>
      </w:pPr>
      <w:r w:rsidRPr="00654EF1">
        <w:rPr>
          <w:color w:val="000000"/>
          <w:sz w:val="22"/>
          <w:szCs w:val="22"/>
        </w:rPr>
        <w:lastRenderedPageBreak/>
        <w:t xml:space="preserve">Liver </w:t>
      </w:r>
      <w:r w:rsidR="0034498E" w:rsidRPr="00654EF1">
        <w:rPr>
          <w:color w:val="000000"/>
          <w:sz w:val="22"/>
          <w:szCs w:val="22"/>
        </w:rPr>
        <w:t>dys</w:t>
      </w:r>
      <w:r w:rsidRPr="00654EF1">
        <w:rPr>
          <w:color w:val="000000"/>
          <w:sz w:val="22"/>
          <w:szCs w:val="22"/>
        </w:rPr>
        <w:t>function classification</w:t>
      </w:r>
      <w:r w:rsidR="00765B18" w:rsidRPr="00654EF1">
        <w:rPr>
          <w:color w:val="000000"/>
          <w:sz w:val="22"/>
          <w:szCs w:val="22"/>
        </w:rPr>
        <w:t>:</w:t>
      </w:r>
    </w:p>
    <w:p w14:paraId="1B6804ED" w14:textId="77777777" w:rsidR="00EC499F" w:rsidRPr="00654EF1" w:rsidRDefault="00EC499F" w:rsidP="001D5C8C">
      <w:pPr>
        <w:pStyle w:val="Text"/>
        <w:keepNext/>
        <w:widowControl w:val="0"/>
        <w:spacing w:before="0"/>
        <w:jc w:val="lef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1"/>
        <w:gridCol w:w="5760"/>
      </w:tblGrid>
      <w:tr w:rsidR="00EC499F" w:rsidRPr="00654EF1" w14:paraId="1B6804F0" w14:textId="77777777" w:rsidTr="005E7BE5">
        <w:trPr>
          <w:cantSplit/>
        </w:trPr>
        <w:tc>
          <w:tcPr>
            <w:tcW w:w="3369" w:type="dxa"/>
          </w:tcPr>
          <w:p w14:paraId="1B6804EE" w14:textId="77777777" w:rsidR="00EC499F" w:rsidRPr="00654EF1" w:rsidRDefault="00EC499F" w:rsidP="001D5C8C">
            <w:pPr>
              <w:pStyle w:val="Text"/>
              <w:keepNext/>
              <w:widowControl w:val="0"/>
              <w:spacing w:before="0"/>
              <w:jc w:val="left"/>
              <w:rPr>
                <w:color w:val="000000"/>
                <w:sz w:val="22"/>
                <w:szCs w:val="22"/>
                <w:lang w:val="en-GB"/>
              </w:rPr>
            </w:pPr>
            <w:r w:rsidRPr="00654EF1">
              <w:rPr>
                <w:color w:val="000000"/>
                <w:sz w:val="22"/>
                <w:szCs w:val="22"/>
              </w:rPr>
              <w:t>Liver dysfunction</w:t>
            </w:r>
          </w:p>
        </w:tc>
        <w:tc>
          <w:tcPr>
            <w:tcW w:w="5918" w:type="dxa"/>
          </w:tcPr>
          <w:p w14:paraId="1B6804EF" w14:textId="77777777" w:rsidR="00EC499F" w:rsidRPr="00654EF1" w:rsidRDefault="00EC499F" w:rsidP="001D5C8C">
            <w:pPr>
              <w:pStyle w:val="Text"/>
              <w:keepNext/>
              <w:widowControl w:val="0"/>
              <w:spacing w:before="0"/>
              <w:jc w:val="left"/>
              <w:rPr>
                <w:color w:val="000000"/>
                <w:sz w:val="22"/>
                <w:szCs w:val="22"/>
                <w:lang w:val="en-GB"/>
              </w:rPr>
            </w:pPr>
            <w:r w:rsidRPr="00654EF1">
              <w:rPr>
                <w:color w:val="000000"/>
                <w:sz w:val="22"/>
                <w:szCs w:val="22"/>
              </w:rPr>
              <w:t>Liver function tests</w:t>
            </w:r>
          </w:p>
        </w:tc>
      </w:tr>
      <w:tr w:rsidR="00EC499F" w:rsidRPr="00654EF1" w14:paraId="1B6804F4" w14:textId="77777777" w:rsidTr="005E7BE5">
        <w:trPr>
          <w:cantSplit/>
        </w:trPr>
        <w:tc>
          <w:tcPr>
            <w:tcW w:w="3369" w:type="dxa"/>
          </w:tcPr>
          <w:p w14:paraId="1B6804F1" w14:textId="77777777" w:rsidR="00EC499F" w:rsidRPr="00654EF1" w:rsidRDefault="00EC499F" w:rsidP="001D5C8C">
            <w:pPr>
              <w:pStyle w:val="Text"/>
              <w:keepNext/>
              <w:widowControl w:val="0"/>
              <w:spacing w:before="0"/>
              <w:jc w:val="left"/>
              <w:rPr>
                <w:color w:val="000000"/>
                <w:sz w:val="22"/>
                <w:szCs w:val="22"/>
                <w:lang w:val="en-GB"/>
              </w:rPr>
            </w:pPr>
            <w:r w:rsidRPr="00654EF1">
              <w:rPr>
                <w:color w:val="000000"/>
                <w:sz w:val="22"/>
                <w:szCs w:val="22"/>
              </w:rPr>
              <w:t>Mild</w:t>
            </w:r>
          </w:p>
        </w:tc>
        <w:tc>
          <w:tcPr>
            <w:tcW w:w="5918" w:type="dxa"/>
          </w:tcPr>
          <w:p w14:paraId="1B6804F2" w14:textId="77777777" w:rsidR="00EC499F" w:rsidRPr="00654EF1" w:rsidRDefault="00EC499F" w:rsidP="001D5C8C">
            <w:pPr>
              <w:keepNext/>
              <w:widowControl w:val="0"/>
              <w:spacing w:line="240" w:lineRule="auto"/>
              <w:rPr>
                <w:snapToGrid w:val="0"/>
                <w:color w:val="000000"/>
                <w:szCs w:val="22"/>
              </w:rPr>
            </w:pPr>
            <w:r w:rsidRPr="00654EF1">
              <w:rPr>
                <w:snapToGrid w:val="0"/>
                <w:color w:val="000000"/>
                <w:szCs w:val="22"/>
              </w:rPr>
              <w:t>Total bilirubin: = 1.5 ULN</w:t>
            </w:r>
          </w:p>
          <w:p w14:paraId="1B6804F3" w14:textId="77777777" w:rsidR="00EC499F" w:rsidRPr="00654EF1" w:rsidRDefault="00EC499F" w:rsidP="001D5C8C">
            <w:pPr>
              <w:pStyle w:val="Text"/>
              <w:keepNext/>
              <w:widowControl w:val="0"/>
              <w:spacing w:before="0"/>
              <w:jc w:val="left"/>
              <w:rPr>
                <w:color w:val="000000"/>
                <w:sz w:val="22"/>
                <w:szCs w:val="22"/>
                <w:lang w:val="en-GB"/>
              </w:rPr>
            </w:pPr>
            <w:r w:rsidRPr="00654EF1">
              <w:rPr>
                <w:snapToGrid w:val="0"/>
                <w:color w:val="000000"/>
                <w:sz w:val="22"/>
                <w:szCs w:val="22"/>
                <w:lang w:val="en-GB"/>
              </w:rPr>
              <w:t>A</w:t>
            </w:r>
            <w:r w:rsidRPr="00654EF1">
              <w:rPr>
                <w:snapToGrid w:val="0"/>
                <w:color w:val="000000"/>
                <w:sz w:val="22"/>
                <w:szCs w:val="22"/>
              </w:rPr>
              <w:t>ST: &gt;ULN (can be normal or &lt;ULN if total bilirubin is &gt;ULN)</w:t>
            </w:r>
          </w:p>
        </w:tc>
      </w:tr>
      <w:tr w:rsidR="00EC499F" w:rsidRPr="00654EF1" w14:paraId="1B6804F8" w14:textId="77777777" w:rsidTr="005E7BE5">
        <w:trPr>
          <w:cantSplit/>
        </w:trPr>
        <w:tc>
          <w:tcPr>
            <w:tcW w:w="3369" w:type="dxa"/>
          </w:tcPr>
          <w:p w14:paraId="1B6804F5" w14:textId="77777777" w:rsidR="00EC499F" w:rsidRPr="00654EF1" w:rsidRDefault="00EC499F" w:rsidP="001D5C8C">
            <w:pPr>
              <w:pStyle w:val="Text"/>
              <w:keepNext/>
              <w:widowControl w:val="0"/>
              <w:spacing w:before="0"/>
              <w:jc w:val="left"/>
              <w:rPr>
                <w:color w:val="000000"/>
                <w:sz w:val="22"/>
                <w:szCs w:val="22"/>
                <w:lang w:val="en-GB"/>
              </w:rPr>
            </w:pPr>
            <w:r w:rsidRPr="00654EF1">
              <w:rPr>
                <w:color w:val="000000"/>
                <w:sz w:val="22"/>
                <w:szCs w:val="22"/>
              </w:rPr>
              <w:t>Moderate</w:t>
            </w:r>
          </w:p>
        </w:tc>
        <w:tc>
          <w:tcPr>
            <w:tcW w:w="5918" w:type="dxa"/>
          </w:tcPr>
          <w:p w14:paraId="1B6804F6" w14:textId="77777777" w:rsidR="00EC499F" w:rsidRPr="00654EF1" w:rsidRDefault="00EC499F" w:rsidP="001D5C8C">
            <w:pPr>
              <w:keepNext/>
              <w:widowControl w:val="0"/>
              <w:spacing w:line="240" w:lineRule="auto"/>
              <w:rPr>
                <w:snapToGrid w:val="0"/>
                <w:color w:val="000000"/>
                <w:szCs w:val="22"/>
              </w:rPr>
            </w:pPr>
            <w:r w:rsidRPr="00654EF1">
              <w:rPr>
                <w:snapToGrid w:val="0"/>
                <w:color w:val="000000"/>
                <w:szCs w:val="22"/>
              </w:rPr>
              <w:t>Total bilirubin: &gt;1.5</w:t>
            </w:r>
            <w:r w:rsidRPr="00654EF1">
              <w:rPr>
                <w:color w:val="000000"/>
                <w:szCs w:val="22"/>
              </w:rPr>
              <w:t>–</w:t>
            </w:r>
            <w:r w:rsidRPr="00654EF1">
              <w:rPr>
                <w:snapToGrid w:val="0"/>
                <w:color w:val="000000"/>
                <w:szCs w:val="22"/>
              </w:rPr>
              <w:t>3.0 ULN</w:t>
            </w:r>
          </w:p>
          <w:p w14:paraId="1B6804F7" w14:textId="77777777" w:rsidR="00EC499F" w:rsidRPr="00654EF1" w:rsidRDefault="00EC499F" w:rsidP="001D5C8C">
            <w:pPr>
              <w:pStyle w:val="Text"/>
              <w:keepNext/>
              <w:widowControl w:val="0"/>
              <w:spacing w:before="0"/>
              <w:jc w:val="left"/>
              <w:rPr>
                <w:color w:val="000000"/>
                <w:sz w:val="22"/>
                <w:szCs w:val="22"/>
                <w:lang w:val="en-GB"/>
              </w:rPr>
            </w:pPr>
            <w:r w:rsidRPr="00654EF1">
              <w:rPr>
                <w:snapToGrid w:val="0"/>
                <w:color w:val="000000"/>
                <w:sz w:val="22"/>
                <w:szCs w:val="22"/>
              </w:rPr>
              <w:t xml:space="preserve">AST: any </w:t>
            </w:r>
          </w:p>
        </w:tc>
      </w:tr>
      <w:tr w:rsidR="00EC499F" w:rsidRPr="00654EF1" w14:paraId="1B6804FC" w14:textId="77777777" w:rsidTr="005E7BE5">
        <w:trPr>
          <w:cantSplit/>
        </w:trPr>
        <w:tc>
          <w:tcPr>
            <w:tcW w:w="3369" w:type="dxa"/>
          </w:tcPr>
          <w:p w14:paraId="1B6804F9" w14:textId="77777777" w:rsidR="00EC499F" w:rsidRPr="00654EF1" w:rsidRDefault="00EC499F" w:rsidP="001D5C8C">
            <w:pPr>
              <w:pStyle w:val="Text"/>
              <w:keepNext/>
              <w:widowControl w:val="0"/>
              <w:spacing w:before="0"/>
              <w:jc w:val="left"/>
              <w:rPr>
                <w:color w:val="000000"/>
                <w:sz w:val="22"/>
                <w:szCs w:val="22"/>
                <w:lang w:val="en-GB"/>
              </w:rPr>
            </w:pPr>
            <w:r w:rsidRPr="00654EF1">
              <w:rPr>
                <w:color w:val="000000"/>
                <w:sz w:val="22"/>
                <w:szCs w:val="22"/>
              </w:rPr>
              <w:t>Severe</w:t>
            </w:r>
          </w:p>
        </w:tc>
        <w:tc>
          <w:tcPr>
            <w:tcW w:w="5918" w:type="dxa"/>
          </w:tcPr>
          <w:p w14:paraId="1B6804FA" w14:textId="77777777" w:rsidR="00EC499F" w:rsidRPr="00654EF1" w:rsidRDefault="00EC499F" w:rsidP="001D5C8C">
            <w:pPr>
              <w:keepNext/>
              <w:widowControl w:val="0"/>
              <w:spacing w:line="240" w:lineRule="auto"/>
              <w:rPr>
                <w:snapToGrid w:val="0"/>
                <w:color w:val="000000"/>
                <w:szCs w:val="22"/>
              </w:rPr>
            </w:pPr>
            <w:r w:rsidRPr="00654EF1">
              <w:rPr>
                <w:snapToGrid w:val="0"/>
                <w:color w:val="000000"/>
                <w:szCs w:val="22"/>
              </w:rPr>
              <w:t>Total bilirubin: &gt;3</w:t>
            </w:r>
            <w:r w:rsidRPr="00654EF1">
              <w:rPr>
                <w:color w:val="000000"/>
                <w:szCs w:val="22"/>
              </w:rPr>
              <w:t>–</w:t>
            </w:r>
            <w:r w:rsidRPr="00654EF1">
              <w:rPr>
                <w:snapToGrid w:val="0"/>
                <w:color w:val="000000"/>
                <w:szCs w:val="22"/>
              </w:rPr>
              <w:t>10 ULN</w:t>
            </w:r>
          </w:p>
          <w:p w14:paraId="1B6804FB" w14:textId="77777777" w:rsidR="00EC499F" w:rsidRPr="00654EF1" w:rsidRDefault="00EC499F" w:rsidP="001D5C8C">
            <w:pPr>
              <w:pStyle w:val="Text"/>
              <w:keepNext/>
              <w:widowControl w:val="0"/>
              <w:spacing w:before="0"/>
              <w:jc w:val="left"/>
              <w:rPr>
                <w:color w:val="000000"/>
                <w:sz w:val="22"/>
                <w:szCs w:val="22"/>
                <w:lang w:val="en-GB"/>
              </w:rPr>
            </w:pPr>
            <w:r w:rsidRPr="00654EF1">
              <w:rPr>
                <w:snapToGrid w:val="0"/>
                <w:color w:val="000000"/>
                <w:sz w:val="22"/>
                <w:szCs w:val="22"/>
              </w:rPr>
              <w:t>AST: any</w:t>
            </w:r>
          </w:p>
        </w:tc>
      </w:tr>
    </w:tbl>
    <w:p w14:paraId="1B6804FD" w14:textId="77777777" w:rsidR="00EC499F" w:rsidRPr="00654EF1" w:rsidRDefault="00EC499F" w:rsidP="001D5C8C">
      <w:pPr>
        <w:pStyle w:val="Text"/>
        <w:keepNext/>
        <w:widowControl w:val="0"/>
        <w:spacing w:before="0"/>
        <w:jc w:val="left"/>
        <w:rPr>
          <w:color w:val="000000"/>
          <w:sz w:val="22"/>
          <w:szCs w:val="22"/>
        </w:rPr>
      </w:pPr>
      <w:r w:rsidRPr="00654EF1">
        <w:rPr>
          <w:color w:val="000000"/>
          <w:sz w:val="22"/>
          <w:szCs w:val="22"/>
        </w:rPr>
        <w:t>ULN = upper limit of normal for the institution</w:t>
      </w:r>
    </w:p>
    <w:p w14:paraId="1B6804FE" w14:textId="77777777" w:rsidR="00EC499F" w:rsidRPr="00654EF1" w:rsidRDefault="00EC499F" w:rsidP="001D5C8C">
      <w:pPr>
        <w:widowControl w:val="0"/>
        <w:autoSpaceDE w:val="0"/>
        <w:autoSpaceDN w:val="0"/>
        <w:adjustRightInd w:val="0"/>
        <w:spacing w:line="240" w:lineRule="auto"/>
        <w:ind w:left="993" w:hanging="993"/>
        <w:rPr>
          <w:rFonts w:eastAsia="MS Mincho"/>
          <w:bCs/>
          <w:color w:val="000000"/>
          <w:szCs w:val="22"/>
          <w:lang w:eastAsia="ja-JP"/>
        </w:rPr>
      </w:pPr>
      <w:r w:rsidRPr="00654EF1">
        <w:rPr>
          <w:rFonts w:eastAsia="MS Mincho"/>
          <w:bCs/>
          <w:color w:val="000000"/>
          <w:szCs w:val="22"/>
          <w:lang w:eastAsia="ja-JP"/>
        </w:rPr>
        <w:t xml:space="preserve">AST = </w:t>
      </w:r>
      <w:r w:rsidRPr="00654EF1">
        <w:rPr>
          <w:color w:val="000000"/>
          <w:szCs w:val="22"/>
        </w:rPr>
        <w:t>aspartate aminotransferase</w:t>
      </w:r>
    </w:p>
    <w:p w14:paraId="1B6804FF" w14:textId="77777777" w:rsidR="006237AB" w:rsidRPr="00654EF1" w:rsidRDefault="006237AB" w:rsidP="001D5C8C">
      <w:pPr>
        <w:pStyle w:val="EndnoteText"/>
        <w:widowControl w:val="0"/>
        <w:tabs>
          <w:tab w:val="clear" w:pos="567"/>
        </w:tabs>
        <w:rPr>
          <w:color w:val="000000"/>
          <w:szCs w:val="22"/>
        </w:rPr>
      </w:pPr>
    </w:p>
    <w:p w14:paraId="1B680500" w14:textId="77777777" w:rsidR="00BB7FBF" w:rsidRPr="00654EF1" w:rsidRDefault="00BB7FBF" w:rsidP="001D5C8C">
      <w:pPr>
        <w:pStyle w:val="EndnoteText"/>
        <w:widowControl w:val="0"/>
        <w:tabs>
          <w:tab w:val="clear" w:pos="567"/>
        </w:tabs>
        <w:rPr>
          <w:color w:val="000000"/>
          <w:szCs w:val="22"/>
        </w:rPr>
      </w:pPr>
      <w:r w:rsidRPr="00654EF1">
        <w:rPr>
          <w:i/>
          <w:color w:val="000000"/>
          <w:szCs w:val="22"/>
        </w:rPr>
        <w:t>Renal insufficiency:</w:t>
      </w:r>
      <w:r w:rsidRPr="00654EF1">
        <w:rPr>
          <w:color w:val="000000"/>
          <w:szCs w:val="22"/>
        </w:rPr>
        <w:t xml:space="preserve"> </w:t>
      </w:r>
      <w:r w:rsidRPr="00654EF1">
        <w:rPr>
          <w:color w:val="000000"/>
        </w:rPr>
        <w:t>Patients</w:t>
      </w:r>
      <w:r w:rsidRPr="00654EF1">
        <w:rPr>
          <w:rFonts w:eastAsia="SimSun"/>
          <w:color w:val="000000"/>
          <w:lang w:eastAsia="zh-CN"/>
        </w:rPr>
        <w:t xml:space="preserve"> with renal dysfunction </w:t>
      </w:r>
      <w:r w:rsidRPr="00654EF1">
        <w:rPr>
          <w:snapToGrid w:val="0"/>
          <w:color w:val="000000"/>
          <w:szCs w:val="22"/>
        </w:rPr>
        <w:t xml:space="preserve">or on dialysis </w:t>
      </w:r>
      <w:r w:rsidRPr="00654EF1">
        <w:rPr>
          <w:rFonts w:eastAsia="SimSun"/>
          <w:color w:val="000000"/>
          <w:lang w:eastAsia="zh-CN"/>
        </w:rPr>
        <w:t xml:space="preserve">should be given the minimum recommended dose of 400 mg daily as starting dose. </w:t>
      </w:r>
      <w:r w:rsidRPr="00654EF1">
        <w:rPr>
          <w:color w:val="000000"/>
          <w:szCs w:val="22"/>
        </w:rPr>
        <w:t xml:space="preserve">However, in these patients caution is recommended. </w:t>
      </w:r>
      <w:r w:rsidRPr="00654EF1">
        <w:rPr>
          <w:color w:val="000000"/>
        </w:rPr>
        <w:t>The dose can be reduced if not tolerated. If tolerated, the dose can be increased for lack of efficacy (see sections 4.4 and 5.2).</w:t>
      </w:r>
    </w:p>
    <w:p w14:paraId="1B680501" w14:textId="77777777" w:rsidR="00BB7FBF" w:rsidRPr="00654EF1" w:rsidRDefault="00BB7FBF" w:rsidP="001D5C8C">
      <w:pPr>
        <w:pStyle w:val="EndnoteText"/>
        <w:widowControl w:val="0"/>
        <w:tabs>
          <w:tab w:val="clear" w:pos="567"/>
        </w:tabs>
        <w:rPr>
          <w:color w:val="000000"/>
          <w:szCs w:val="22"/>
        </w:rPr>
      </w:pPr>
    </w:p>
    <w:p w14:paraId="1B680502" w14:textId="77777777" w:rsidR="00BB7FBF" w:rsidRPr="00654EF1" w:rsidRDefault="00244ABD" w:rsidP="001D5C8C">
      <w:pPr>
        <w:pStyle w:val="EndnoteText"/>
        <w:widowControl w:val="0"/>
        <w:tabs>
          <w:tab w:val="clear" w:pos="567"/>
        </w:tabs>
        <w:rPr>
          <w:color w:val="000000"/>
          <w:szCs w:val="22"/>
        </w:rPr>
      </w:pPr>
      <w:r w:rsidRPr="00654EF1">
        <w:rPr>
          <w:i/>
          <w:color w:val="000000"/>
          <w:szCs w:val="22"/>
        </w:rPr>
        <w:t>Older people</w:t>
      </w:r>
      <w:r w:rsidR="00BB7FBF" w:rsidRPr="00654EF1">
        <w:rPr>
          <w:i/>
          <w:color w:val="000000"/>
          <w:szCs w:val="22"/>
        </w:rPr>
        <w:t>:</w:t>
      </w:r>
      <w:r w:rsidR="00BB7FBF" w:rsidRPr="00654EF1">
        <w:rPr>
          <w:color w:val="000000"/>
          <w:szCs w:val="22"/>
        </w:rPr>
        <w:t xml:space="preserve"> Imatinib pharmacokinetics have not been specifically studied in </w:t>
      </w:r>
      <w:r w:rsidRPr="00654EF1">
        <w:rPr>
          <w:color w:val="000000"/>
          <w:szCs w:val="22"/>
        </w:rPr>
        <w:t>older people</w:t>
      </w:r>
      <w:r w:rsidR="00BB7FBF" w:rsidRPr="00654EF1">
        <w:rPr>
          <w:color w:val="000000"/>
          <w:szCs w:val="22"/>
        </w:rPr>
        <w:t xml:space="preserve">. No significant age-related pharmacokinetic differences have been observed in adult patients in clinical trials which included over 20% of patients age 65 and older. No specific dose recommendation is necessary in </w:t>
      </w:r>
      <w:r w:rsidRPr="00654EF1">
        <w:rPr>
          <w:color w:val="000000"/>
          <w:szCs w:val="22"/>
        </w:rPr>
        <w:t>older people</w:t>
      </w:r>
      <w:r w:rsidR="00BB7FBF" w:rsidRPr="00654EF1">
        <w:rPr>
          <w:color w:val="000000"/>
          <w:szCs w:val="22"/>
        </w:rPr>
        <w:t>.</w:t>
      </w:r>
    </w:p>
    <w:p w14:paraId="1B680503" w14:textId="77777777" w:rsidR="006237AB" w:rsidRPr="00654EF1" w:rsidRDefault="006237AB" w:rsidP="001D5C8C">
      <w:pPr>
        <w:pStyle w:val="EndnoteText"/>
        <w:widowControl w:val="0"/>
        <w:tabs>
          <w:tab w:val="clear" w:pos="567"/>
        </w:tabs>
        <w:rPr>
          <w:color w:val="000000"/>
          <w:szCs w:val="22"/>
        </w:rPr>
      </w:pPr>
    </w:p>
    <w:p w14:paraId="1B680504"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4.3</w:t>
      </w:r>
      <w:r w:rsidRPr="00654EF1">
        <w:rPr>
          <w:b/>
          <w:color w:val="000000"/>
          <w:szCs w:val="22"/>
        </w:rPr>
        <w:tab/>
        <w:t>Contraindications</w:t>
      </w:r>
    </w:p>
    <w:p w14:paraId="1B680505" w14:textId="77777777" w:rsidR="006237AB" w:rsidRPr="00654EF1" w:rsidRDefault="006237AB" w:rsidP="001D5C8C">
      <w:pPr>
        <w:pStyle w:val="EndnoteText"/>
        <w:keepNext/>
        <w:widowControl w:val="0"/>
        <w:tabs>
          <w:tab w:val="clear" w:pos="567"/>
        </w:tabs>
        <w:rPr>
          <w:color w:val="000000"/>
          <w:szCs w:val="22"/>
        </w:rPr>
      </w:pPr>
    </w:p>
    <w:p w14:paraId="1B680506" w14:textId="77777777" w:rsidR="00A74BB8" w:rsidRPr="00654EF1" w:rsidRDefault="00A74BB8" w:rsidP="001D5C8C">
      <w:pPr>
        <w:pStyle w:val="EndnoteText"/>
        <w:widowControl w:val="0"/>
        <w:tabs>
          <w:tab w:val="clear" w:pos="567"/>
        </w:tabs>
        <w:rPr>
          <w:color w:val="000000"/>
          <w:szCs w:val="22"/>
        </w:rPr>
      </w:pPr>
      <w:r w:rsidRPr="00654EF1">
        <w:rPr>
          <w:color w:val="000000"/>
          <w:szCs w:val="22"/>
        </w:rPr>
        <w:t>Hypersensitivity to the active substance or to any of the excipients listed in section 6.1.</w:t>
      </w:r>
    </w:p>
    <w:p w14:paraId="1B680507" w14:textId="77777777" w:rsidR="006237AB" w:rsidRPr="00654EF1" w:rsidRDefault="006237AB" w:rsidP="001D5C8C">
      <w:pPr>
        <w:pStyle w:val="EndnoteText"/>
        <w:widowControl w:val="0"/>
        <w:tabs>
          <w:tab w:val="clear" w:pos="567"/>
        </w:tabs>
        <w:rPr>
          <w:color w:val="000000"/>
          <w:szCs w:val="22"/>
        </w:rPr>
      </w:pPr>
    </w:p>
    <w:p w14:paraId="1B680508"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4.4</w:t>
      </w:r>
      <w:r w:rsidRPr="00654EF1">
        <w:rPr>
          <w:b/>
          <w:color w:val="000000"/>
          <w:szCs w:val="22"/>
        </w:rPr>
        <w:tab/>
        <w:t>Special warnings and precautions for use</w:t>
      </w:r>
    </w:p>
    <w:p w14:paraId="1B680509" w14:textId="77777777" w:rsidR="006237AB" w:rsidRPr="00654EF1" w:rsidRDefault="006237AB" w:rsidP="001D5C8C">
      <w:pPr>
        <w:pStyle w:val="EndnoteText"/>
        <w:keepNext/>
        <w:widowControl w:val="0"/>
        <w:tabs>
          <w:tab w:val="clear" w:pos="567"/>
        </w:tabs>
        <w:rPr>
          <w:color w:val="000000"/>
          <w:szCs w:val="22"/>
        </w:rPr>
      </w:pPr>
    </w:p>
    <w:p w14:paraId="1B68050A" w14:textId="77777777" w:rsidR="00FD232C" w:rsidRPr="00654EF1" w:rsidRDefault="00FD232C" w:rsidP="001D5C8C">
      <w:pPr>
        <w:pStyle w:val="EndnoteText"/>
        <w:widowControl w:val="0"/>
        <w:tabs>
          <w:tab w:val="clear" w:pos="567"/>
          <w:tab w:val="left" w:pos="7655"/>
        </w:tabs>
        <w:rPr>
          <w:color w:val="000000"/>
          <w:szCs w:val="22"/>
        </w:rPr>
      </w:pPr>
      <w:r w:rsidRPr="00654EF1">
        <w:rPr>
          <w:color w:val="000000"/>
          <w:szCs w:val="22"/>
        </w:rPr>
        <w:t xml:space="preserve">When Glivec is co-administered with other medicinal products, there is a potential for drug interactions. </w:t>
      </w:r>
      <w:r w:rsidRPr="00654EF1">
        <w:t xml:space="preserve">Caution should be used when taking Glivec with protease inhibitors, azole antifungals, certain macrolides (see section 4.5), CYP3A4 substrates with a narrow therapeutic window (e.g. cyclosporine, pimozide, </w:t>
      </w:r>
      <w:r w:rsidRPr="00654EF1">
        <w:rPr>
          <w:color w:val="000000"/>
          <w:szCs w:val="22"/>
        </w:rPr>
        <w:t>tacrolimus, sirolimus, ergotamine, diergotamine, fentanyl, alfentanil, terfenadine, bortezomib, docetaxel, quinidine</w:t>
      </w:r>
      <w:r w:rsidRPr="00654EF1">
        <w:t>) or warfarin and other coumarin derivatives (see section 4.5).</w:t>
      </w:r>
    </w:p>
    <w:p w14:paraId="1B68050B" w14:textId="77777777" w:rsidR="006237AB" w:rsidRPr="00654EF1" w:rsidRDefault="006237AB" w:rsidP="001D5C8C">
      <w:pPr>
        <w:pStyle w:val="EndnoteText"/>
        <w:widowControl w:val="0"/>
        <w:tabs>
          <w:tab w:val="clear" w:pos="567"/>
          <w:tab w:val="left" w:pos="7655"/>
        </w:tabs>
        <w:rPr>
          <w:color w:val="000000"/>
          <w:szCs w:val="22"/>
        </w:rPr>
      </w:pPr>
    </w:p>
    <w:p w14:paraId="1B68050C" w14:textId="77777777" w:rsidR="00E636F4" w:rsidRPr="00654EF1" w:rsidRDefault="006237AB" w:rsidP="001D5C8C">
      <w:pPr>
        <w:pStyle w:val="EndnoteText"/>
        <w:widowControl w:val="0"/>
        <w:tabs>
          <w:tab w:val="clear" w:pos="567"/>
          <w:tab w:val="left" w:pos="7655"/>
        </w:tabs>
        <w:rPr>
          <w:color w:val="000000"/>
          <w:szCs w:val="22"/>
        </w:rPr>
      </w:pPr>
      <w:r w:rsidRPr="00654EF1">
        <w:rPr>
          <w:color w:val="000000"/>
          <w:szCs w:val="22"/>
        </w:rPr>
        <w:t xml:space="preserve">Concomitant use of imatinib and medicinal products that induce CYP3A4 (e.g. dexamethasone, phenytoin, carbamazepine, rifampicin, phenobarbital or </w:t>
      </w:r>
      <w:r w:rsidR="00636FF7" w:rsidRPr="00654EF1">
        <w:rPr>
          <w:i/>
          <w:color w:val="000000"/>
          <w:szCs w:val="22"/>
        </w:rPr>
        <w:t>H</w:t>
      </w:r>
      <w:r w:rsidRPr="00654EF1">
        <w:rPr>
          <w:i/>
          <w:color w:val="000000"/>
          <w:szCs w:val="22"/>
        </w:rPr>
        <w:t>ypericum perforatum</w:t>
      </w:r>
      <w:r w:rsidRPr="00654EF1">
        <w:rPr>
          <w:color w:val="000000"/>
          <w:szCs w:val="22"/>
        </w:rPr>
        <w:t xml:space="preserve">, also known as </w:t>
      </w:r>
      <w:smartTag w:uri="urn:schemas-microsoft-com:office:smarttags" w:element="City">
        <w:smartTag w:uri="urn:schemas-microsoft-com:office:smarttags" w:element="place">
          <w:r w:rsidRPr="00654EF1">
            <w:rPr>
              <w:color w:val="000000"/>
              <w:szCs w:val="22"/>
            </w:rPr>
            <w:t>St. John’s</w:t>
          </w:r>
        </w:smartTag>
      </w:smartTag>
      <w:r w:rsidRPr="00654EF1">
        <w:rPr>
          <w:color w:val="000000"/>
          <w:szCs w:val="22"/>
        </w:rPr>
        <w:t xml:space="preserve"> Wort) may significantly reduce exposure to Glivec, potentially increasing the risk of therapeutic failure. Therefore, concomitant use of strong CYP3A4 inducers and imatinib should be avoided (see section 4.5).</w:t>
      </w:r>
    </w:p>
    <w:p w14:paraId="1B68050D" w14:textId="77777777" w:rsidR="00E636F4" w:rsidRPr="00654EF1" w:rsidRDefault="00E636F4" w:rsidP="001D5C8C">
      <w:pPr>
        <w:pStyle w:val="EndnoteText"/>
        <w:widowControl w:val="0"/>
        <w:tabs>
          <w:tab w:val="clear" w:pos="567"/>
          <w:tab w:val="left" w:pos="7655"/>
        </w:tabs>
        <w:rPr>
          <w:color w:val="000000"/>
          <w:szCs w:val="22"/>
        </w:rPr>
      </w:pPr>
    </w:p>
    <w:p w14:paraId="1B68050E" w14:textId="77777777" w:rsidR="00A74BB8" w:rsidRPr="00654EF1" w:rsidRDefault="00A74BB8" w:rsidP="001D5C8C">
      <w:pPr>
        <w:pStyle w:val="EndnoteText"/>
        <w:keepNext/>
        <w:widowControl w:val="0"/>
        <w:tabs>
          <w:tab w:val="clear" w:pos="567"/>
          <w:tab w:val="left" w:pos="7655"/>
        </w:tabs>
        <w:rPr>
          <w:color w:val="000000"/>
          <w:szCs w:val="22"/>
          <w:u w:val="single"/>
        </w:rPr>
      </w:pPr>
      <w:r w:rsidRPr="00654EF1">
        <w:rPr>
          <w:color w:val="000000"/>
          <w:szCs w:val="22"/>
          <w:u w:val="single"/>
        </w:rPr>
        <w:t>Hypothyroidism</w:t>
      </w:r>
    </w:p>
    <w:p w14:paraId="1B68050F" w14:textId="77777777" w:rsidR="00487685" w:rsidRPr="00654EF1" w:rsidRDefault="00487685" w:rsidP="001D5C8C">
      <w:pPr>
        <w:pStyle w:val="EndnoteText"/>
        <w:widowControl w:val="0"/>
        <w:tabs>
          <w:tab w:val="clear" w:pos="567"/>
          <w:tab w:val="left" w:pos="7655"/>
        </w:tabs>
        <w:rPr>
          <w:iCs/>
          <w:color w:val="000000"/>
          <w:szCs w:val="24"/>
        </w:rPr>
      </w:pPr>
      <w:r w:rsidRPr="00654EF1">
        <w:rPr>
          <w:iCs/>
          <w:color w:val="000000"/>
          <w:szCs w:val="24"/>
        </w:rPr>
        <w:t xml:space="preserve">Clinical cases of hypothyroidism have been reported in thyroidectomy patients undergoing levothyroxine replacement during treatment with Glivec (see section 4.5). </w:t>
      </w:r>
      <w:r w:rsidR="00BB7FBF" w:rsidRPr="00654EF1">
        <w:rPr>
          <w:iCs/>
          <w:color w:val="000000"/>
          <w:szCs w:val="24"/>
        </w:rPr>
        <w:t>Thyroid-stimulating hormone (TSH)</w:t>
      </w:r>
      <w:r w:rsidRPr="00654EF1">
        <w:rPr>
          <w:iCs/>
          <w:color w:val="000000"/>
          <w:szCs w:val="24"/>
        </w:rPr>
        <w:t xml:space="preserve"> levels should be closely monitored in such patients.</w:t>
      </w:r>
    </w:p>
    <w:p w14:paraId="1B680510" w14:textId="77777777" w:rsidR="00E636F4" w:rsidRPr="00654EF1" w:rsidRDefault="00E636F4" w:rsidP="001D5C8C">
      <w:pPr>
        <w:pStyle w:val="EndnoteText"/>
        <w:widowControl w:val="0"/>
        <w:tabs>
          <w:tab w:val="clear" w:pos="567"/>
          <w:tab w:val="left" w:pos="7655"/>
        </w:tabs>
        <w:rPr>
          <w:color w:val="000000"/>
          <w:szCs w:val="22"/>
        </w:rPr>
      </w:pPr>
    </w:p>
    <w:p w14:paraId="1B680511" w14:textId="77777777" w:rsidR="00A74BB8" w:rsidRPr="00654EF1" w:rsidRDefault="00A74BB8" w:rsidP="001D5C8C">
      <w:pPr>
        <w:pStyle w:val="EndnoteText"/>
        <w:keepNext/>
        <w:widowControl w:val="0"/>
        <w:tabs>
          <w:tab w:val="clear" w:pos="567"/>
          <w:tab w:val="left" w:pos="7655"/>
        </w:tabs>
        <w:rPr>
          <w:color w:val="000000"/>
          <w:szCs w:val="22"/>
          <w:u w:val="single"/>
        </w:rPr>
      </w:pPr>
      <w:r w:rsidRPr="00654EF1">
        <w:rPr>
          <w:color w:val="000000"/>
          <w:szCs w:val="22"/>
          <w:u w:val="single"/>
        </w:rPr>
        <w:t>Hepatotoxicity</w:t>
      </w:r>
    </w:p>
    <w:p w14:paraId="1B680512" w14:textId="77777777" w:rsidR="006237AB" w:rsidRPr="00654EF1" w:rsidRDefault="006237AB" w:rsidP="001D5C8C">
      <w:pPr>
        <w:pStyle w:val="EndnoteText"/>
        <w:widowControl w:val="0"/>
        <w:tabs>
          <w:tab w:val="clear" w:pos="567"/>
          <w:tab w:val="left" w:pos="7655"/>
        </w:tabs>
        <w:rPr>
          <w:color w:val="000000"/>
          <w:szCs w:val="22"/>
        </w:rPr>
      </w:pPr>
      <w:r w:rsidRPr="00654EF1">
        <w:rPr>
          <w:color w:val="000000"/>
          <w:szCs w:val="22"/>
        </w:rPr>
        <w:t xml:space="preserve">Metabolism of Glivec is mainly hepatic, and only 13% of excretion is through the kidneys. In </w:t>
      </w:r>
      <w:r w:rsidR="00975A28" w:rsidRPr="00654EF1">
        <w:rPr>
          <w:color w:val="000000"/>
          <w:szCs w:val="22"/>
        </w:rPr>
        <w:t>patients with hepatic dysfunction (mild, moderate or severe)</w:t>
      </w:r>
      <w:r w:rsidRPr="00654EF1">
        <w:rPr>
          <w:color w:val="000000"/>
          <w:szCs w:val="22"/>
        </w:rPr>
        <w:t>, peripheral blood counts and liver enzymes should be carefully monitored (see sections 4.2</w:t>
      </w:r>
      <w:r w:rsidR="00975A28" w:rsidRPr="00654EF1">
        <w:rPr>
          <w:color w:val="000000"/>
          <w:szCs w:val="22"/>
        </w:rPr>
        <w:t>, 4.8 and 5.2</w:t>
      </w:r>
      <w:r w:rsidRPr="00654EF1">
        <w:rPr>
          <w:color w:val="000000"/>
          <w:szCs w:val="22"/>
        </w:rPr>
        <w:t>). It should be noted that GIST patients may have hepatic metastases which could lead to hepatic impairment.</w:t>
      </w:r>
    </w:p>
    <w:p w14:paraId="1B680513" w14:textId="77777777" w:rsidR="00256026" w:rsidRPr="00654EF1" w:rsidRDefault="00256026" w:rsidP="001D5C8C">
      <w:pPr>
        <w:pStyle w:val="EndnoteText"/>
        <w:widowControl w:val="0"/>
        <w:tabs>
          <w:tab w:val="clear" w:pos="567"/>
        </w:tabs>
        <w:rPr>
          <w:color w:val="000000"/>
          <w:szCs w:val="22"/>
        </w:rPr>
      </w:pPr>
    </w:p>
    <w:p w14:paraId="1B680514" w14:textId="77777777" w:rsidR="00256026" w:rsidRPr="00654EF1" w:rsidRDefault="00256026" w:rsidP="001D5C8C">
      <w:pPr>
        <w:pStyle w:val="EndnoteText"/>
        <w:widowControl w:val="0"/>
        <w:tabs>
          <w:tab w:val="clear" w:pos="567"/>
        </w:tabs>
        <w:rPr>
          <w:color w:val="000000"/>
          <w:szCs w:val="22"/>
        </w:rPr>
      </w:pPr>
      <w:r w:rsidRPr="00654EF1">
        <w:rPr>
          <w:color w:val="000000"/>
          <w:szCs w:val="22"/>
          <w:lang w:eastAsia="es-ES"/>
        </w:rPr>
        <w:t xml:space="preserve">Cases of liver injury, including hepatic failure and hepatic necrosis, have been observed with imatinib. </w:t>
      </w:r>
      <w:r w:rsidRPr="00654EF1">
        <w:rPr>
          <w:color w:val="000000"/>
        </w:rPr>
        <w:t>When imatinib is combined with high dose chemotherapy regimens</w:t>
      </w:r>
      <w:r w:rsidRPr="00654EF1">
        <w:rPr>
          <w:color w:val="000000"/>
          <w:szCs w:val="22"/>
          <w:lang w:eastAsia="es-ES"/>
        </w:rPr>
        <w:t>, an increase in serious hepatic reactions has been detected. Hepatic function should be carefully monitored</w:t>
      </w:r>
      <w:r w:rsidRPr="00654EF1">
        <w:rPr>
          <w:color w:val="000000"/>
        </w:rPr>
        <w:t xml:space="preserve"> in circumstances where imatinib is combined with chemotherapy regimens also known to be associated with hepatic </w:t>
      </w:r>
      <w:r w:rsidRPr="00654EF1">
        <w:rPr>
          <w:color w:val="000000"/>
        </w:rPr>
        <w:lastRenderedPageBreak/>
        <w:t>dysfunction (see section 4.5 and 4.8).</w:t>
      </w:r>
    </w:p>
    <w:p w14:paraId="1B680515" w14:textId="77777777" w:rsidR="006237AB" w:rsidRPr="00654EF1" w:rsidRDefault="006237AB" w:rsidP="001D5C8C">
      <w:pPr>
        <w:pStyle w:val="EndnoteText"/>
        <w:widowControl w:val="0"/>
        <w:tabs>
          <w:tab w:val="clear" w:pos="567"/>
        </w:tabs>
        <w:rPr>
          <w:color w:val="000000"/>
          <w:szCs w:val="22"/>
        </w:rPr>
      </w:pPr>
    </w:p>
    <w:p w14:paraId="1B680516" w14:textId="77777777" w:rsidR="00A74BB8" w:rsidRPr="00654EF1" w:rsidRDefault="00A74BB8" w:rsidP="001D5C8C">
      <w:pPr>
        <w:pStyle w:val="EndnoteText"/>
        <w:keepNext/>
        <w:widowControl w:val="0"/>
        <w:tabs>
          <w:tab w:val="clear" w:pos="567"/>
        </w:tabs>
        <w:rPr>
          <w:color w:val="000000"/>
          <w:szCs w:val="22"/>
        </w:rPr>
      </w:pPr>
      <w:r w:rsidRPr="00654EF1">
        <w:rPr>
          <w:color w:val="000000"/>
          <w:szCs w:val="22"/>
          <w:u w:val="single"/>
        </w:rPr>
        <w:t>Fluid retention</w:t>
      </w:r>
    </w:p>
    <w:p w14:paraId="1B680517" w14:textId="77777777" w:rsidR="00487685" w:rsidRPr="00654EF1" w:rsidRDefault="00487685" w:rsidP="001D5C8C">
      <w:pPr>
        <w:pStyle w:val="EndnoteText"/>
        <w:widowControl w:val="0"/>
        <w:tabs>
          <w:tab w:val="clear" w:pos="567"/>
        </w:tabs>
        <w:rPr>
          <w:color w:val="000000"/>
          <w:szCs w:val="22"/>
        </w:rPr>
      </w:pPr>
      <w:r w:rsidRPr="00654EF1">
        <w:rPr>
          <w:color w:val="000000"/>
          <w:szCs w:val="22"/>
        </w:rPr>
        <w:t xml:space="preserve">Occurrences of severe fluid retention (pleural effusion, oedema, pulmonary oedema, ascites, superficial oedema) have been reported in approximately 2.5% of newly diagnosed CML patients taking Glivec. Therefore, it is highly recommended that patients be weighed regularly. An unexpected rapid weight gain should be carefully investigated and if necessary appropriate supportive care and therapeutic measures should be undertaken. In clinical trials, there was an increased incidence of these events in </w:t>
      </w:r>
      <w:r w:rsidR="00244ABD" w:rsidRPr="00654EF1">
        <w:rPr>
          <w:color w:val="000000"/>
          <w:szCs w:val="22"/>
        </w:rPr>
        <w:t>older people</w:t>
      </w:r>
      <w:r w:rsidRPr="00654EF1">
        <w:rPr>
          <w:color w:val="000000"/>
          <w:szCs w:val="22"/>
        </w:rPr>
        <w:t xml:space="preserve"> and those with a prior history of cardiac disease. Therefore, caution should be exercised in patients with cardiac dysfunction.</w:t>
      </w:r>
    </w:p>
    <w:p w14:paraId="1B680518" w14:textId="77777777" w:rsidR="00487685" w:rsidRPr="00654EF1" w:rsidRDefault="00487685" w:rsidP="001D5C8C">
      <w:pPr>
        <w:pStyle w:val="EndnoteText"/>
        <w:widowControl w:val="0"/>
        <w:tabs>
          <w:tab w:val="clear" w:pos="567"/>
        </w:tabs>
        <w:rPr>
          <w:color w:val="000000"/>
        </w:rPr>
      </w:pPr>
    </w:p>
    <w:p w14:paraId="1B680519" w14:textId="77777777" w:rsidR="00A74BB8" w:rsidRPr="00654EF1" w:rsidRDefault="00A74BB8" w:rsidP="001D5C8C">
      <w:pPr>
        <w:pStyle w:val="EndnoteText"/>
        <w:keepNext/>
        <w:widowControl w:val="0"/>
        <w:tabs>
          <w:tab w:val="clear" w:pos="567"/>
        </w:tabs>
        <w:rPr>
          <w:color w:val="000000"/>
        </w:rPr>
      </w:pPr>
      <w:r w:rsidRPr="00654EF1">
        <w:rPr>
          <w:color w:val="000000"/>
          <w:u w:val="single"/>
        </w:rPr>
        <w:t>Patients with cardiac disease</w:t>
      </w:r>
    </w:p>
    <w:p w14:paraId="1B68051A" w14:textId="77777777" w:rsidR="00487685" w:rsidRPr="00654EF1" w:rsidRDefault="00487685" w:rsidP="001D5C8C">
      <w:pPr>
        <w:pStyle w:val="EndnoteText"/>
        <w:widowControl w:val="0"/>
        <w:tabs>
          <w:tab w:val="clear" w:pos="567"/>
        </w:tabs>
        <w:rPr>
          <w:color w:val="000000"/>
        </w:rPr>
      </w:pPr>
      <w:r w:rsidRPr="00654EF1">
        <w:rPr>
          <w:color w:val="000000"/>
        </w:rPr>
        <w:t>Patients with cardiac disease</w:t>
      </w:r>
      <w:r w:rsidR="00D64201" w:rsidRPr="00654EF1">
        <w:rPr>
          <w:color w:val="000000"/>
        </w:rPr>
        <w:t>,</w:t>
      </w:r>
      <w:r w:rsidRPr="00654EF1">
        <w:rPr>
          <w:color w:val="000000"/>
        </w:rPr>
        <w:t xml:space="preserve"> risk factors for cardiac failure </w:t>
      </w:r>
      <w:r w:rsidR="00D64201" w:rsidRPr="00654EF1">
        <w:rPr>
          <w:color w:val="000000"/>
        </w:rPr>
        <w:t xml:space="preserve">or history of renal failure </w:t>
      </w:r>
      <w:r w:rsidRPr="00654EF1">
        <w:rPr>
          <w:color w:val="000000"/>
        </w:rPr>
        <w:t xml:space="preserve">should be monitored carefully, and any patient with signs or symptoms consistent with cardiac </w:t>
      </w:r>
      <w:r w:rsidR="00D64201" w:rsidRPr="00654EF1">
        <w:rPr>
          <w:color w:val="000000"/>
        </w:rPr>
        <w:t xml:space="preserve">or renal </w:t>
      </w:r>
      <w:r w:rsidRPr="00654EF1">
        <w:rPr>
          <w:color w:val="000000"/>
        </w:rPr>
        <w:t>failure should be evaluated and treated.</w:t>
      </w:r>
    </w:p>
    <w:p w14:paraId="1B68051B" w14:textId="77777777" w:rsidR="00487685" w:rsidRPr="00654EF1" w:rsidRDefault="00487685" w:rsidP="001D5C8C">
      <w:pPr>
        <w:pStyle w:val="Text"/>
        <w:widowControl w:val="0"/>
        <w:spacing w:before="0"/>
        <w:jc w:val="left"/>
        <w:rPr>
          <w:color w:val="000000"/>
          <w:sz w:val="22"/>
          <w:szCs w:val="22"/>
          <w:lang w:val="en-GB"/>
        </w:rPr>
      </w:pPr>
    </w:p>
    <w:p w14:paraId="1B68051C" w14:textId="77777777" w:rsidR="00FD232C" w:rsidRPr="00654EF1" w:rsidRDefault="00FD232C" w:rsidP="001D5C8C">
      <w:pPr>
        <w:pStyle w:val="Text"/>
        <w:widowControl w:val="0"/>
        <w:spacing w:before="0"/>
        <w:jc w:val="left"/>
        <w:rPr>
          <w:color w:val="000000"/>
          <w:sz w:val="22"/>
          <w:szCs w:val="22"/>
        </w:rPr>
      </w:pPr>
      <w:r w:rsidRPr="00654EF1">
        <w:rPr>
          <w:color w:val="000000"/>
          <w:sz w:val="22"/>
          <w:szCs w:val="22"/>
          <w:lang w:val="en-GB"/>
        </w:rPr>
        <w:t xml:space="preserve">In patients with </w:t>
      </w:r>
      <w:r w:rsidRPr="00654EF1">
        <w:rPr>
          <w:snapToGrid w:val="0"/>
          <w:color w:val="000000"/>
          <w:sz w:val="22"/>
          <w:szCs w:val="22"/>
          <w:lang w:val="en-GB" w:eastAsia="de-DE"/>
        </w:rPr>
        <w:t xml:space="preserve">hypereosinophilic syndrome (HES) </w:t>
      </w:r>
      <w:r w:rsidRPr="00654EF1">
        <w:rPr>
          <w:color w:val="000000"/>
          <w:sz w:val="22"/>
          <w:szCs w:val="22"/>
          <w:lang w:val="en-GB"/>
        </w:rPr>
        <w:t xml:space="preserve">with occult infiltration of HES cells within the myocardium, isolated cases of cardiogenic shock/left ventricular dysfunction have been associated with HES cell degranulation upon the initiation of imatinib therapy. The condition was reported to be reversible with the administration of systemic steroids, circulatory support measures and temporarily withholding imatinib. </w:t>
      </w:r>
      <w:r w:rsidRPr="00654EF1">
        <w:rPr>
          <w:color w:val="000000"/>
          <w:sz w:val="22"/>
          <w:szCs w:val="22"/>
        </w:rPr>
        <w:t>As cardiac adverse events have been reported uncommonly with imatinib, a careful assessment of the benefit/risk of imatinib therapy should be considered in the HES/</w:t>
      </w:r>
      <w:smartTag w:uri="urn:schemas-microsoft-com:office:smarttags" w:element="stockticker">
        <w:r w:rsidRPr="00654EF1">
          <w:rPr>
            <w:color w:val="000000"/>
            <w:sz w:val="22"/>
            <w:szCs w:val="22"/>
          </w:rPr>
          <w:t>CEL</w:t>
        </w:r>
      </w:smartTag>
      <w:r w:rsidRPr="00654EF1">
        <w:rPr>
          <w:color w:val="000000"/>
          <w:sz w:val="22"/>
          <w:szCs w:val="22"/>
        </w:rPr>
        <w:t xml:space="preserve"> population before treatment initiation.</w:t>
      </w:r>
    </w:p>
    <w:p w14:paraId="1B68051D" w14:textId="77777777" w:rsidR="00FD232C" w:rsidRPr="00654EF1" w:rsidRDefault="00FD232C" w:rsidP="001D5C8C">
      <w:pPr>
        <w:pStyle w:val="Text"/>
        <w:widowControl w:val="0"/>
        <w:spacing w:before="0"/>
        <w:jc w:val="left"/>
        <w:rPr>
          <w:color w:val="000000"/>
          <w:sz w:val="22"/>
          <w:szCs w:val="22"/>
        </w:rPr>
      </w:pPr>
    </w:p>
    <w:p w14:paraId="1B68051E" w14:textId="77777777" w:rsidR="00FD232C" w:rsidRPr="00654EF1" w:rsidRDefault="00FD232C" w:rsidP="001D5C8C">
      <w:pPr>
        <w:pStyle w:val="Text"/>
        <w:widowControl w:val="0"/>
        <w:spacing w:before="0"/>
        <w:jc w:val="left"/>
        <w:rPr>
          <w:color w:val="000000"/>
          <w:sz w:val="22"/>
          <w:szCs w:val="22"/>
          <w:lang w:val="en-GB"/>
        </w:rPr>
      </w:pPr>
      <w:r w:rsidRPr="00654EF1">
        <w:rPr>
          <w:snapToGrid w:val="0"/>
          <w:color w:val="000000"/>
          <w:sz w:val="22"/>
          <w:szCs w:val="22"/>
          <w:lang w:val="en-GB" w:eastAsia="de-DE"/>
        </w:rPr>
        <w:t>Myelodysplastic/myeloproliferative diseases with PDGFR gene re-arrangements could</w:t>
      </w:r>
      <w:r w:rsidRPr="00654EF1">
        <w:rPr>
          <w:color w:val="000000"/>
          <w:sz w:val="22"/>
          <w:szCs w:val="22"/>
          <w:lang w:val="en-GB"/>
        </w:rPr>
        <w:t xml:space="preserve"> be associated with high eosinophil levels. Evaluation by a cardiology specialist, performance of an echocardiogram and determination of serum troponin should therefore be considered in patients with HES/</w:t>
      </w:r>
      <w:smartTag w:uri="urn:schemas-microsoft-com:office:smarttags" w:element="stockticker">
        <w:r w:rsidRPr="00654EF1">
          <w:rPr>
            <w:color w:val="000000"/>
            <w:sz w:val="22"/>
            <w:szCs w:val="22"/>
            <w:lang w:val="en-GB"/>
          </w:rPr>
          <w:t>CEL</w:t>
        </w:r>
      </w:smartTag>
      <w:r w:rsidRPr="00654EF1">
        <w:rPr>
          <w:color w:val="000000"/>
          <w:sz w:val="22"/>
          <w:szCs w:val="22"/>
          <w:lang w:val="en-GB"/>
        </w:rPr>
        <w:t xml:space="preserve">, and in patients with </w:t>
      </w:r>
      <w:smartTag w:uri="urn:schemas-microsoft-com:office:smarttags" w:element="stockticker">
        <w:r w:rsidRPr="00654EF1">
          <w:rPr>
            <w:color w:val="000000"/>
            <w:sz w:val="22"/>
            <w:szCs w:val="22"/>
            <w:lang w:val="en-GB"/>
          </w:rPr>
          <w:t>MDS</w:t>
        </w:r>
      </w:smartTag>
      <w:r w:rsidRPr="00654EF1">
        <w:rPr>
          <w:color w:val="000000"/>
          <w:sz w:val="22"/>
          <w:szCs w:val="22"/>
          <w:lang w:val="en-GB"/>
        </w:rPr>
        <w:t>/MPD associated with high eosinophil levels before imatinib is administered. If either is abnormal, follow-up with a cardiology specialist and the prophylactic use of systemic steroids (1</w:t>
      </w:r>
      <w:r w:rsidRPr="00654EF1">
        <w:rPr>
          <w:color w:val="000000"/>
          <w:sz w:val="22"/>
          <w:szCs w:val="22"/>
        </w:rPr>
        <w:t>–</w:t>
      </w:r>
      <w:r w:rsidRPr="00654EF1">
        <w:rPr>
          <w:color w:val="000000"/>
          <w:sz w:val="22"/>
          <w:szCs w:val="22"/>
          <w:lang w:val="en-GB"/>
        </w:rPr>
        <w:t>2 mg/kg) for one to two weeks concomitantly with imatinib should be considered at the initiation of therapy</w:t>
      </w:r>
      <w:r w:rsidRPr="00654EF1">
        <w:rPr>
          <w:color w:val="000000"/>
          <w:sz w:val="22"/>
          <w:szCs w:val="22"/>
        </w:rPr>
        <w:t>.</w:t>
      </w:r>
    </w:p>
    <w:p w14:paraId="1B68051F" w14:textId="77777777" w:rsidR="00487685" w:rsidRPr="00654EF1" w:rsidRDefault="00487685" w:rsidP="001D5C8C">
      <w:pPr>
        <w:pStyle w:val="EndnoteText"/>
        <w:widowControl w:val="0"/>
        <w:tabs>
          <w:tab w:val="clear" w:pos="567"/>
        </w:tabs>
        <w:rPr>
          <w:color w:val="000000"/>
          <w:szCs w:val="22"/>
        </w:rPr>
      </w:pPr>
    </w:p>
    <w:p w14:paraId="1B680520" w14:textId="77777777" w:rsidR="00A74BB8" w:rsidRPr="00654EF1" w:rsidRDefault="00A74BB8" w:rsidP="001D5C8C">
      <w:pPr>
        <w:pStyle w:val="EndnoteText"/>
        <w:keepNext/>
        <w:widowControl w:val="0"/>
        <w:tabs>
          <w:tab w:val="clear" w:pos="567"/>
        </w:tabs>
        <w:rPr>
          <w:color w:val="000000"/>
          <w:szCs w:val="22"/>
        </w:rPr>
      </w:pPr>
      <w:r w:rsidRPr="00654EF1">
        <w:rPr>
          <w:color w:val="000000"/>
          <w:szCs w:val="22"/>
          <w:u w:val="single"/>
        </w:rPr>
        <w:t>Gastrointestinal haemorrhage</w:t>
      </w:r>
    </w:p>
    <w:p w14:paraId="1B680521" w14:textId="77777777" w:rsidR="00D4105E" w:rsidRPr="00654EF1" w:rsidRDefault="00D4105E" w:rsidP="001D5C8C">
      <w:pPr>
        <w:pStyle w:val="EndnoteText"/>
        <w:widowControl w:val="0"/>
        <w:tabs>
          <w:tab w:val="clear" w:pos="567"/>
        </w:tabs>
        <w:rPr>
          <w:snapToGrid w:val="0"/>
          <w:szCs w:val="22"/>
        </w:rPr>
      </w:pPr>
      <w:r w:rsidRPr="00654EF1">
        <w:rPr>
          <w:snapToGrid w:val="0"/>
          <w:color w:val="000000"/>
          <w:szCs w:val="22"/>
        </w:rPr>
        <w:t xml:space="preserve">In the study in patients with unresectable and/or metastatic GIST, both gastrointestinal and intra-tumoural haemorrhages were reported (see section 4.8). Based on the available data, no predisposing factors (e.g. tumour size, tumour location, coagulation disorders) have been identified that place </w:t>
      </w:r>
      <w:r w:rsidRPr="00654EF1">
        <w:rPr>
          <w:snapToGrid w:val="0"/>
          <w:szCs w:val="22"/>
        </w:rPr>
        <w:t>patients with GIST at a higher risk of either type of haemorrhage. Since increased vascularity and propensity for bleeding is a part of the nature and clinical course of GIST, standard practices and procedures for the monitoring and management of haemorrhage in all patients should be applied.</w:t>
      </w:r>
    </w:p>
    <w:p w14:paraId="1B680522" w14:textId="77777777" w:rsidR="00586AD4" w:rsidRPr="00654EF1" w:rsidRDefault="00586AD4" w:rsidP="001D5C8C">
      <w:pPr>
        <w:pStyle w:val="EndnoteText"/>
        <w:widowControl w:val="0"/>
        <w:tabs>
          <w:tab w:val="clear" w:pos="567"/>
        </w:tabs>
        <w:rPr>
          <w:snapToGrid w:val="0"/>
          <w:szCs w:val="22"/>
        </w:rPr>
      </w:pPr>
    </w:p>
    <w:p w14:paraId="1B680523" w14:textId="77777777" w:rsidR="00712026" w:rsidRPr="00654EF1" w:rsidRDefault="00586AD4" w:rsidP="001D5C8C">
      <w:pPr>
        <w:pStyle w:val="EndnoteText"/>
        <w:widowControl w:val="0"/>
        <w:tabs>
          <w:tab w:val="clear" w:pos="567"/>
        </w:tabs>
      </w:pPr>
      <w:r w:rsidRPr="00654EF1">
        <w:t>In addition, gastric antral vascular ectasia (GAVE), a rare cause of gastrointestinal haemorrhage, has been reported in post-marketing experience in patients with CML, ALL and other diseases (see section 4.8). When needed, discontinuation of Glivec treatment may be considered.</w:t>
      </w:r>
    </w:p>
    <w:p w14:paraId="1B680524" w14:textId="77777777" w:rsidR="00586AD4" w:rsidRPr="00654EF1" w:rsidRDefault="00586AD4" w:rsidP="001D5C8C">
      <w:pPr>
        <w:pStyle w:val="EndnoteText"/>
        <w:widowControl w:val="0"/>
        <w:tabs>
          <w:tab w:val="clear" w:pos="567"/>
        </w:tabs>
        <w:rPr>
          <w:snapToGrid w:val="0"/>
          <w:color w:val="000000"/>
          <w:szCs w:val="22"/>
        </w:rPr>
      </w:pPr>
    </w:p>
    <w:p w14:paraId="1B680525" w14:textId="77777777" w:rsidR="00A74BB8" w:rsidRPr="00654EF1" w:rsidRDefault="00A74BB8" w:rsidP="001D5C8C">
      <w:pPr>
        <w:pStyle w:val="EndnoteText"/>
        <w:keepNext/>
        <w:widowControl w:val="0"/>
        <w:tabs>
          <w:tab w:val="clear" w:pos="567"/>
        </w:tabs>
        <w:rPr>
          <w:snapToGrid w:val="0"/>
          <w:color w:val="000000"/>
          <w:szCs w:val="22"/>
        </w:rPr>
      </w:pPr>
      <w:r w:rsidRPr="00654EF1">
        <w:rPr>
          <w:snapToGrid w:val="0"/>
          <w:color w:val="000000"/>
          <w:szCs w:val="22"/>
          <w:u w:val="single"/>
        </w:rPr>
        <w:t>Tumo</w:t>
      </w:r>
      <w:r w:rsidR="00586AD4" w:rsidRPr="00654EF1">
        <w:rPr>
          <w:snapToGrid w:val="0"/>
          <w:color w:val="000000"/>
          <w:szCs w:val="22"/>
          <w:u w:val="single"/>
        </w:rPr>
        <w:t>u</w:t>
      </w:r>
      <w:r w:rsidRPr="00654EF1">
        <w:rPr>
          <w:snapToGrid w:val="0"/>
          <w:color w:val="000000"/>
          <w:szCs w:val="22"/>
          <w:u w:val="single"/>
        </w:rPr>
        <w:t>r lysis syndrome</w:t>
      </w:r>
    </w:p>
    <w:p w14:paraId="1B680526" w14:textId="77777777" w:rsidR="00712026" w:rsidRPr="00654EF1" w:rsidRDefault="009C1C87" w:rsidP="001D5C8C">
      <w:pPr>
        <w:pStyle w:val="EndnoteText"/>
        <w:widowControl w:val="0"/>
        <w:tabs>
          <w:tab w:val="clear" w:pos="567"/>
        </w:tabs>
        <w:rPr>
          <w:strike/>
          <w:color w:val="000000"/>
          <w:szCs w:val="22"/>
        </w:rPr>
      </w:pPr>
      <w:r w:rsidRPr="00654EF1">
        <w:rPr>
          <w:snapToGrid w:val="0"/>
          <w:color w:val="000000"/>
          <w:szCs w:val="22"/>
        </w:rPr>
        <w:t xml:space="preserve">Due to the possible occurrence of </w:t>
      </w:r>
      <w:r w:rsidRPr="00654EF1">
        <w:rPr>
          <w:color w:val="000000"/>
          <w:szCs w:val="22"/>
        </w:rPr>
        <w:t>tumour lysis syndrome</w:t>
      </w:r>
      <w:r w:rsidRPr="00654EF1">
        <w:rPr>
          <w:snapToGrid w:val="0"/>
          <w:color w:val="000000"/>
          <w:szCs w:val="22"/>
        </w:rPr>
        <w:t xml:space="preserve"> (TLS), correction of clinically significant dehydration and treatment of high uric acid levels are recommended prior to initiation of Glivec (see section 4.8).</w:t>
      </w:r>
    </w:p>
    <w:p w14:paraId="1B680527" w14:textId="77777777" w:rsidR="007B18B8" w:rsidRPr="00654EF1" w:rsidRDefault="007B18B8" w:rsidP="001D5C8C">
      <w:pPr>
        <w:pStyle w:val="EndnoteText"/>
        <w:widowControl w:val="0"/>
        <w:tabs>
          <w:tab w:val="clear" w:pos="567"/>
        </w:tabs>
        <w:rPr>
          <w:snapToGrid w:val="0"/>
          <w:color w:val="000000"/>
          <w:szCs w:val="22"/>
        </w:rPr>
      </w:pPr>
    </w:p>
    <w:p w14:paraId="1B680528" w14:textId="77777777" w:rsidR="007B18B8" w:rsidRPr="00654EF1" w:rsidRDefault="007B18B8"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Hepatitis B reactivation</w:t>
      </w:r>
    </w:p>
    <w:p w14:paraId="1B680529" w14:textId="77777777" w:rsidR="007B18B8" w:rsidRPr="00654EF1" w:rsidRDefault="007B18B8" w:rsidP="001D5C8C">
      <w:pPr>
        <w:pStyle w:val="EndnoteText"/>
        <w:widowControl w:val="0"/>
        <w:tabs>
          <w:tab w:val="clear" w:pos="567"/>
        </w:tabs>
        <w:rPr>
          <w:snapToGrid w:val="0"/>
          <w:color w:val="000000"/>
          <w:szCs w:val="22"/>
        </w:rPr>
      </w:pPr>
      <w:r w:rsidRPr="00654EF1">
        <w:rPr>
          <w:snapToGrid w:val="0"/>
          <w:color w:val="000000"/>
          <w:szCs w:val="22"/>
        </w:rPr>
        <w:t>Reactivation of hepatitis B in patients who are chronic carriers of this virus has occurred after these patients received BCR-ABL tyrosine kinase inhibitors. Some cases resulted in acute hepatic failure or fulminant hepatitis leading to liver transplantation or a fatal outcome.</w:t>
      </w:r>
    </w:p>
    <w:p w14:paraId="1B68052A" w14:textId="77777777" w:rsidR="007B18B8" w:rsidRPr="00654EF1" w:rsidRDefault="007B18B8" w:rsidP="001D5C8C">
      <w:pPr>
        <w:pStyle w:val="EndnoteText"/>
        <w:widowControl w:val="0"/>
        <w:tabs>
          <w:tab w:val="clear" w:pos="567"/>
        </w:tabs>
        <w:rPr>
          <w:snapToGrid w:val="0"/>
          <w:color w:val="000000"/>
          <w:szCs w:val="22"/>
        </w:rPr>
      </w:pPr>
    </w:p>
    <w:p w14:paraId="1B68052B" w14:textId="77777777" w:rsidR="007B18B8" w:rsidRPr="00654EF1" w:rsidRDefault="007B18B8" w:rsidP="001D5C8C">
      <w:pPr>
        <w:pStyle w:val="EndnoteText"/>
        <w:widowControl w:val="0"/>
        <w:tabs>
          <w:tab w:val="clear" w:pos="567"/>
        </w:tabs>
        <w:rPr>
          <w:snapToGrid w:val="0"/>
          <w:color w:val="000000"/>
          <w:szCs w:val="22"/>
        </w:rPr>
      </w:pPr>
      <w:r w:rsidRPr="00654EF1">
        <w:rPr>
          <w:snapToGrid w:val="0"/>
          <w:color w:val="000000"/>
          <w:szCs w:val="22"/>
        </w:rPr>
        <w:t xml:space="preserve">Patients should be tested for HBV infection before initiating treatment with Glivec. Experts in liver disease and in the treatment of hepatitis B should be consulted before treatment is initiated in patients with positive hepatitis B serology (including those with active disease) and for patients who test </w:t>
      </w:r>
      <w:r w:rsidRPr="00654EF1">
        <w:rPr>
          <w:snapToGrid w:val="0"/>
          <w:color w:val="000000"/>
          <w:szCs w:val="22"/>
        </w:rPr>
        <w:lastRenderedPageBreak/>
        <w:t>positive for HBV infection during treatment. Carriers of HBV who require treatment with Glivec should be closely monitored for signs and symptoms of active HBV infection throughout therapy and for several months following termination of therapy (see section 4.8).</w:t>
      </w:r>
    </w:p>
    <w:p w14:paraId="1B68052C" w14:textId="77777777" w:rsidR="00DB4205" w:rsidRPr="00654EF1" w:rsidRDefault="00DB4205" w:rsidP="001D5C8C">
      <w:pPr>
        <w:pStyle w:val="EndnoteText"/>
        <w:widowControl w:val="0"/>
        <w:tabs>
          <w:tab w:val="clear" w:pos="567"/>
        </w:tabs>
        <w:rPr>
          <w:snapToGrid w:val="0"/>
          <w:color w:val="000000"/>
          <w:szCs w:val="22"/>
        </w:rPr>
      </w:pPr>
    </w:p>
    <w:p w14:paraId="1B68052D" w14:textId="77777777" w:rsidR="00DB4205" w:rsidRPr="00654EF1" w:rsidRDefault="00DB4205"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Phototoxicity</w:t>
      </w:r>
    </w:p>
    <w:p w14:paraId="1B68052E" w14:textId="77777777" w:rsidR="00DB4205" w:rsidRPr="00654EF1" w:rsidRDefault="00DB4205" w:rsidP="001D5C8C">
      <w:pPr>
        <w:pStyle w:val="EndnoteText"/>
        <w:widowControl w:val="0"/>
        <w:tabs>
          <w:tab w:val="clear" w:pos="567"/>
        </w:tabs>
        <w:rPr>
          <w:snapToGrid w:val="0"/>
          <w:color w:val="000000"/>
          <w:szCs w:val="22"/>
        </w:rPr>
      </w:pPr>
      <w:r w:rsidRPr="00654EF1">
        <w:rPr>
          <w:snapToGrid w:val="0"/>
          <w:color w:val="000000"/>
          <w:szCs w:val="22"/>
        </w:rPr>
        <w:t>Exposure to direct sunlight should be avoided or minimised due to the risk of phototoxicity associated with imatinib treatment. Patients should be instructed to use measures such as protective clothing and sunscreen with high sun protection factor (SPF).</w:t>
      </w:r>
    </w:p>
    <w:p w14:paraId="1B68052F" w14:textId="77777777" w:rsidR="00D40523" w:rsidRPr="00654EF1" w:rsidRDefault="00D40523" w:rsidP="001D5C8C">
      <w:pPr>
        <w:pStyle w:val="EndnoteText"/>
        <w:widowControl w:val="0"/>
        <w:tabs>
          <w:tab w:val="clear" w:pos="567"/>
        </w:tabs>
        <w:rPr>
          <w:snapToGrid w:val="0"/>
          <w:color w:val="000000"/>
          <w:szCs w:val="22"/>
        </w:rPr>
      </w:pPr>
    </w:p>
    <w:p w14:paraId="1B680530" w14:textId="77777777" w:rsidR="00D40523" w:rsidRPr="00654EF1" w:rsidRDefault="00D40523" w:rsidP="001D5C8C">
      <w:pPr>
        <w:pStyle w:val="EndnoteText"/>
        <w:keepNext/>
        <w:widowControl w:val="0"/>
        <w:tabs>
          <w:tab w:val="clear" w:pos="567"/>
        </w:tabs>
        <w:rPr>
          <w:snapToGrid w:val="0"/>
          <w:color w:val="000000"/>
          <w:szCs w:val="22"/>
          <w:u w:val="single"/>
        </w:rPr>
      </w:pPr>
      <w:r w:rsidRPr="00654EF1">
        <w:rPr>
          <w:snapToGrid w:val="0"/>
          <w:color w:val="000000"/>
          <w:szCs w:val="22"/>
          <w:u w:val="single"/>
        </w:rPr>
        <w:t xml:space="preserve">Thrombotic </w:t>
      </w:r>
      <w:r w:rsidR="0031400B" w:rsidRPr="00654EF1">
        <w:rPr>
          <w:snapToGrid w:val="0"/>
          <w:color w:val="000000"/>
          <w:szCs w:val="22"/>
          <w:u w:val="single"/>
        </w:rPr>
        <w:t>m</w:t>
      </w:r>
      <w:r w:rsidRPr="00654EF1">
        <w:rPr>
          <w:snapToGrid w:val="0"/>
          <w:color w:val="000000"/>
          <w:szCs w:val="22"/>
          <w:u w:val="single"/>
        </w:rPr>
        <w:t>icroangiopathy</w:t>
      </w:r>
    </w:p>
    <w:p w14:paraId="1B680531" w14:textId="77777777" w:rsidR="00D40523" w:rsidRPr="00654EF1" w:rsidRDefault="008146C1" w:rsidP="001D5C8C">
      <w:pPr>
        <w:pStyle w:val="EndnoteText"/>
        <w:widowControl w:val="0"/>
        <w:tabs>
          <w:tab w:val="clear" w:pos="567"/>
        </w:tabs>
        <w:rPr>
          <w:strike/>
          <w:color w:val="000000"/>
          <w:szCs w:val="22"/>
        </w:rPr>
      </w:pPr>
      <w:r w:rsidRPr="00654EF1">
        <w:rPr>
          <w:color w:val="000000"/>
          <w:szCs w:val="22"/>
        </w:rPr>
        <w:t>BCR-ABL tyrosine kinase inhibitors (TKIs) have been associated with thrombotic microangiopathy (TMA), including individual case reports for Glivec (see section</w:t>
      </w:r>
      <w:r w:rsidR="0031400B" w:rsidRPr="00654EF1">
        <w:rPr>
          <w:color w:val="000000"/>
          <w:szCs w:val="22"/>
        </w:rPr>
        <w:t> </w:t>
      </w:r>
      <w:r w:rsidRPr="00654EF1">
        <w:rPr>
          <w:color w:val="000000"/>
          <w:szCs w:val="22"/>
        </w:rPr>
        <w:t>4.8)</w:t>
      </w:r>
      <w:r w:rsidR="001F31D9" w:rsidRPr="00654EF1">
        <w:rPr>
          <w:color w:val="000000"/>
          <w:szCs w:val="22"/>
        </w:rPr>
        <w:t>. If laboratory or clinical findings associated with TMA occur in a patient receiving Glivec, treatment should be discontinued and thorough evaluation for TMA, including ADAMTS13 activity and anti-ADAMTS13-antibody determination, should be completed. If anti-ADAMTS13-antibody is elevated in conjunction with low ADAMTS13 activity, treatment with Glivec should not be resumed.</w:t>
      </w:r>
    </w:p>
    <w:p w14:paraId="1B680532" w14:textId="77777777" w:rsidR="006237AB" w:rsidRPr="00654EF1" w:rsidRDefault="006237AB" w:rsidP="001D5C8C">
      <w:pPr>
        <w:pStyle w:val="EndnoteText"/>
        <w:widowControl w:val="0"/>
        <w:tabs>
          <w:tab w:val="clear" w:pos="567"/>
        </w:tabs>
        <w:rPr>
          <w:color w:val="000000"/>
          <w:szCs w:val="22"/>
        </w:rPr>
      </w:pPr>
    </w:p>
    <w:p w14:paraId="1B680533"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Laboratory tests</w:t>
      </w:r>
    </w:p>
    <w:p w14:paraId="1B680534"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Complete blood counts must be performed regularly during therapy with Glivec. Treatment of CML patients with Glivec has been associated with neutropenia or thrombocytopenia. However, the occurrence of these cytopenias is likely to be related to the stage of the disease being treated and they were more frequent in patients with accelerated phase CML or blast crisis as compared to patients with chronic phase CML. Treatment with Glivec may be interrupted or the dose may be reduced, as recommended in section 4.2.</w:t>
      </w:r>
    </w:p>
    <w:p w14:paraId="1B680535" w14:textId="77777777" w:rsidR="006237AB" w:rsidRPr="00654EF1" w:rsidRDefault="006237AB" w:rsidP="001D5C8C">
      <w:pPr>
        <w:pStyle w:val="EndnoteText"/>
        <w:widowControl w:val="0"/>
        <w:tabs>
          <w:tab w:val="clear" w:pos="567"/>
        </w:tabs>
        <w:rPr>
          <w:color w:val="000000"/>
          <w:szCs w:val="22"/>
        </w:rPr>
      </w:pPr>
    </w:p>
    <w:p w14:paraId="1B680536"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Liver function (transaminases, bilirubin, alkaline phosphatase) should be monitored regularly in patients receiving Glivec.</w:t>
      </w:r>
    </w:p>
    <w:p w14:paraId="1B680537" w14:textId="77777777" w:rsidR="00487685" w:rsidRPr="00654EF1" w:rsidRDefault="00487685" w:rsidP="001D5C8C">
      <w:pPr>
        <w:pStyle w:val="EndnoteText"/>
        <w:widowControl w:val="0"/>
        <w:tabs>
          <w:tab w:val="clear" w:pos="567"/>
        </w:tabs>
        <w:rPr>
          <w:color w:val="000000"/>
          <w:szCs w:val="22"/>
        </w:rPr>
      </w:pPr>
    </w:p>
    <w:p w14:paraId="1B680538" w14:textId="77777777" w:rsidR="00487685" w:rsidRPr="00654EF1" w:rsidRDefault="00487685" w:rsidP="001D5C8C">
      <w:pPr>
        <w:pStyle w:val="EndnoteText"/>
        <w:widowControl w:val="0"/>
        <w:tabs>
          <w:tab w:val="clear" w:pos="567"/>
        </w:tabs>
        <w:rPr>
          <w:color w:val="000000"/>
          <w:szCs w:val="22"/>
        </w:rPr>
      </w:pPr>
      <w:r w:rsidRPr="00654EF1">
        <w:rPr>
          <w:color w:val="000000"/>
        </w:rPr>
        <w:t xml:space="preserve">In patients with impaired renal function, imatinib plasma exposure seems to be higher than that in patients with normal renal function, probably due to an elevated plasma level of </w:t>
      </w:r>
      <w:r w:rsidRPr="00654EF1">
        <w:rPr>
          <w:snapToGrid w:val="0"/>
          <w:color w:val="000000"/>
        </w:rPr>
        <w:t>alpha-acid glycoprotein</w:t>
      </w:r>
      <w:r w:rsidRPr="00654EF1">
        <w:rPr>
          <w:color w:val="000000"/>
        </w:rPr>
        <w:t xml:space="preserve"> (AGP), an imatinib-binding protein, in these patients. Patients with renal impairment should be given the minimum starting dose. Patients with severe renal impairment should be treated with caution. The dose can be reduced if not tolerated (see section 4.2 and 5.2).</w:t>
      </w:r>
    </w:p>
    <w:p w14:paraId="1B680539" w14:textId="77777777" w:rsidR="00FF7AE4" w:rsidRPr="00654EF1" w:rsidRDefault="00FF7AE4" w:rsidP="001D5C8C">
      <w:pPr>
        <w:pStyle w:val="EndnoteText"/>
        <w:widowControl w:val="0"/>
        <w:tabs>
          <w:tab w:val="clear" w:pos="567"/>
        </w:tabs>
        <w:rPr>
          <w:color w:val="000000"/>
          <w:szCs w:val="22"/>
        </w:rPr>
      </w:pPr>
    </w:p>
    <w:p w14:paraId="1B68053A" w14:textId="77777777" w:rsidR="00196D1B" w:rsidRPr="00654EF1" w:rsidRDefault="00196D1B" w:rsidP="001D5C8C">
      <w:pPr>
        <w:pStyle w:val="EndnoteText"/>
        <w:widowControl w:val="0"/>
        <w:tabs>
          <w:tab w:val="clear" w:pos="567"/>
        </w:tabs>
        <w:rPr>
          <w:color w:val="000000"/>
          <w:szCs w:val="22"/>
        </w:rPr>
      </w:pPr>
      <w:r w:rsidRPr="00654EF1">
        <w:rPr>
          <w:color w:val="000000"/>
          <w:szCs w:val="22"/>
        </w:rPr>
        <w:t>Long-term treatment with imatinib may be associated with a clinically significant decline in renal function. Renal function should, therefore, be evaluated prior to the start of imatinib therapy and closely monitored during therapy, with particular attention to those patients exhibiting risk factors for renal dysfunction. If renal dysfunction is observed, appropriate management and treatment should be prescribed in accordance with standard treatment guidelines.</w:t>
      </w:r>
    </w:p>
    <w:p w14:paraId="1B68053B" w14:textId="77777777" w:rsidR="00EE4B13" w:rsidRPr="00654EF1" w:rsidRDefault="00EE4B13" w:rsidP="001D5C8C">
      <w:pPr>
        <w:pStyle w:val="EndnoteText"/>
        <w:widowControl w:val="0"/>
        <w:tabs>
          <w:tab w:val="clear" w:pos="567"/>
        </w:tabs>
        <w:rPr>
          <w:color w:val="000000"/>
          <w:szCs w:val="22"/>
        </w:rPr>
      </w:pPr>
    </w:p>
    <w:p w14:paraId="1B68053C" w14:textId="77777777" w:rsidR="00EE4B13" w:rsidRPr="00654EF1" w:rsidRDefault="00A74BB8" w:rsidP="001D5C8C">
      <w:pPr>
        <w:pStyle w:val="TOC6"/>
      </w:pPr>
      <w:r w:rsidRPr="00654EF1">
        <w:t>Paediatric population</w:t>
      </w:r>
    </w:p>
    <w:p w14:paraId="1B68053D" w14:textId="77777777" w:rsidR="00EE4B13" w:rsidRPr="00654EF1" w:rsidRDefault="00EE4B13" w:rsidP="001D5C8C">
      <w:pPr>
        <w:pStyle w:val="EndnoteText"/>
        <w:widowControl w:val="0"/>
        <w:tabs>
          <w:tab w:val="clear" w:pos="567"/>
        </w:tabs>
        <w:rPr>
          <w:color w:val="000000"/>
          <w:szCs w:val="22"/>
        </w:rPr>
      </w:pPr>
      <w:r w:rsidRPr="00654EF1">
        <w:rPr>
          <w:szCs w:val="22"/>
          <w:lang w:bidi="kn-IN"/>
        </w:rPr>
        <w:t xml:space="preserve">There have been case reports of growth retardation occurring in children and pre-adolescents receiving imatinib. </w:t>
      </w:r>
      <w:r w:rsidR="002A218B" w:rsidRPr="00654EF1">
        <w:rPr>
          <w:szCs w:val="22"/>
          <w:lang w:bidi="kn-IN"/>
        </w:rPr>
        <w:t xml:space="preserve">In an observational study in the CML paediatric population, a </w:t>
      </w:r>
      <w:r w:rsidR="00076C2B" w:rsidRPr="00654EF1">
        <w:rPr>
          <w:szCs w:val="22"/>
          <w:lang w:bidi="kn-IN"/>
        </w:rPr>
        <w:t>statistically significant decrease (but of uncertain clinical relevance)</w:t>
      </w:r>
      <w:r w:rsidR="002A218B" w:rsidRPr="00654EF1">
        <w:rPr>
          <w:szCs w:val="22"/>
          <w:lang w:bidi="kn-IN"/>
        </w:rPr>
        <w:t xml:space="preserve"> in median height standard deviation scores after 12 and 24 months of treatment was reported in two small subsets irrespective of pubertal status or gender. C</w:t>
      </w:r>
      <w:r w:rsidRPr="00654EF1">
        <w:rPr>
          <w:szCs w:val="22"/>
          <w:lang w:bidi="kn-IN"/>
        </w:rPr>
        <w:t xml:space="preserve">lose monitoring of growth in children under imatinib treatment is recommended </w:t>
      </w:r>
      <w:r w:rsidRPr="00654EF1">
        <w:rPr>
          <w:szCs w:val="22"/>
        </w:rPr>
        <w:t>(see section 4.8).</w:t>
      </w:r>
    </w:p>
    <w:p w14:paraId="1B68053E" w14:textId="77777777" w:rsidR="006237AB" w:rsidRPr="00654EF1" w:rsidRDefault="006237AB" w:rsidP="001D5C8C">
      <w:pPr>
        <w:pStyle w:val="EndnoteText"/>
        <w:widowControl w:val="0"/>
        <w:tabs>
          <w:tab w:val="clear" w:pos="567"/>
        </w:tabs>
        <w:rPr>
          <w:color w:val="000000"/>
          <w:szCs w:val="22"/>
        </w:rPr>
      </w:pPr>
    </w:p>
    <w:p w14:paraId="1B68053F"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4.5</w:t>
      </w:r>
      <w:r w:rsidRPr="00654EF1">
        <w:rPr>
          <w:b/>
          <w:color w:val="000000"/>
          <w:szCs w:val="22"/>
        </w:rPr>
        <w:tab/>
        <w:t>Interaction with other medicinal products and other forms of interaction</w:t>
      </w:r>
    </w:p>
    <w:p w14:paraId="1B680540" w14:textId="77777777" w:rsidR="006237AB" w:rsidRPr="00654EF1" w:rsidRDefault="006237AB" w:rsidP="001D5C8C">
      <w:pPr>
        <w:pStyle w:val="EndnoteText"/>
        <w:keepNext/>
        <w:widowControl w:val="0"/>
        <w:tabs>
          <w:tab w:val="clear" w:pos="567"/>
        </w:tabs>
        <w:rPr>
          <w:color w:val="000000"/>
          <w:szCs w:val="22"/>
        </w:rPr>
      </w:pPr>
    </w:p>
    <w:p w14:paraId="1B680541" w14:textId="77777777" w:rsidR="00FD232C" w:rsidRPr="00654EF1" w:rsidRDefault="00FD232C" w:rsidP="001D5C8C">
      <w:pPr>
        <w:pStyle w:val="Text"/>
        <w:keepNext/>
        <w:widowControl w:val="0"/>
        <w:spacing w:before="0"/>
        <w:jc w:val="left"/>
        <w:rPr>
          <w:color w:val="000000"/>
          <w:sz w:val="22"/>
          <w:szCs w:val="22"/>
          <w:u w:val="single"/>
          <w:lang w:val="en-GB"/>
        </w:rPr>
      </w:pPr>
      <w:r w:rsidRPr="00654EF1">
        <w:rPr>
          <w:color w:val="000000"/>
          <w:sz w:val="22"/>
          <w:szCs w:val="22"/>
          <w:u w:val="single"/>
          <w:lang w:val="en-GB"/>
        </w:rPr>
        <w:t xml:space="preserve">Active substances that may </w:t>
      </w:r>
      <w:r w:rsidRPr="00654EF1">
        <w:rPr>
          <w:b/>
          <w:color w:val="000000"/>
          <w:sz w:val="22"/>
          <w:szCs w:val="22"/>
          <w:u w:val="single"/>
          <w:lang w:val="en-GB"/>
        </w:rPr>
        <w:t xml:space="preserve">increase </w:t>
      </w:r>
      <w:r w:rsidRPr="00654EF1">
        <w:rPr>
          <w:color w:val="000000"/>
          <w:sz w:val="22"/>
          <w:szCs w:val="22"/>
          <w:u w:val="single"/>
          <w:lang w:val="en-GB"/>
        </w:rPr>
        <w:t>imatinib plasma concentrations:</w:t>
      </w:r>
    </w:p>
    <w:p w14:paraId="1B680542" w14:textId="77777777" w:rsidR="00FD232C" w:rsidRPr="00654EF1" w:rsidRDefault="00FD232C" w:rsidP="001D5C8C">
      <w:pPr>
        <w:pStyle w:val="Text"/>
        <w:widowControl w:val="0"/>
        <w:spacing w:before="0"/>
        <w:jc w:val="left"/>
        <w:rPr>
          <w:color w:val="000000"/>
          <w:sz w:val="22"/>
          <w:szCs w:val="22"/>
          <w:lang w:val="en-GB"/>
        </w:rPr>
      </w:pPr>
      <w:r w:rsidRPr="00654EF1">
        <w:rPr>
          <w:color w:val="000000"/>
          <w:sz w:val="22"/>
          <w:szCs w:val="22"/>
          <w:lang w:val="en-GB"/>
        </w:rPr>
        <w:t>Substances that inhibit the cytochrome P450 isoenzyme CYP3A4 activity (e.g. protease inhibitors such as indinavir, lopinavir/ritonavir, ritonavir, saquinavir, telaprevir, nelfinavir, boceprevir; azole antifungals including ketoconazole, itraconazole, posaconazole, voriconazole; certain macrolides such as erythromycin, clarithromycin and telithromycin) could decrease metabolism and increase imatinib concentrations. There was a significant increase in exposure to imatinib (the mean C</w:t>
      </w:r>
      <w:r w:rsidRPr="00654EF1">
        <w:rPr>
          <w:color w:val="000000"/>
          <w:sz w:val="22"/>
          <w:szCs w:val="22"/>
          <w:vertAlign w:val="subscript"/>
          <w:lang w:val="en-GB"/>
        </w:rPr>
        <w:t>max</w:t>
      </w:r>
      <w:r w:rsidRPr="00654EF1">
        <w:rPr>
          <w:color w:val="000000"/>
          <w:sz w:val="22"/>
          <w:szCs w:val="22"/>
          <w:lang w:val="en-GB"/>
        </w:rPr>
        <w:t xml:space="preserve"> and AUC of imatinib rose by 26% and 40%, respectively) in healthy subjects when it was co-administered with a single dose of ketoconazole (a CYP3A4 inhibitor). Caution should be taken when administering </w:t>
      </w:r>
      <w:r w:rsidRPr="00654EF1">
        <w:rPr>
          <w:color w:val="000000"/>
          <w:sz w:val="22"/>
          <w:szCs w:val="22"/>
          <w:lang w:val="en-GB"/>
        </w:rPr>
        <w:lastRenderedPageBreak/>
        <w:t>Glivec with inhibitors of the CYP3A4 family.</w:t>
      </w:r>
    </w:p>
    <w:p w14:paraId="1B680543" w14:textId="77777777" w:rsidR="006237AB" w:rsidRPr="00654EF1" w:rsidRDefault="006237AB" w:rsidP="001D5C8C">
      <w:pPr>
        <w:pStyle w:val="Text"/>
        <w:widowControl w:val="0"/>
        <w:spacing w:before="0"/>
        <w:jc w:val="left"/>
        <w:rPr>
          <w:color w:val="000000"/>
          <w:sz w:val="22"/>
          <w:szCs w:val="22"/>
          <w:lang w:val="en-GB"/>
        </w:rPr>
      </w:pPr>
    </w:p>
    <w:p w14:paraId="1B680544" w14:textId="77777777" w:rsidR="00841EE8" w:rsidRPr="00654EF1" w:rsidRDefault="00841EE8" w:rsidP="001D5C8C">
      <w:pPr>
        <w:pStyle w:val="Text"/>
        <w:keepNext/>
        <w:widowControl w:val="0"/>
        <w:spacing w:before="0"/>
        <w:jc w:val="left"/>
        <w:rPr>
          <w:color w:val="000000"/>
          <w:sz w:val="22"/>
          <w:szCs w:val="22"/>
          <w:u w:val="single"/>
          <w:lang w:val="en-GB"/>
        </w:rPr>
      </w:pPr>
      <w:r w:rsidRPr="00654EF1">
        <w:rPr>
          <w:color w:val="000000"/>
          <w:sz w:val="22"/>
          <w:szCs w:val="22"/>
          <w:u w:val="single"/>
          <w:lang w:val="en-GB"/>
        </w:rPr>
        <w:t xml:space="preserve">Active substances that may </w:t>
      </w:r>
      <w:r w:rsidRPr="00654EF1">
        <w:rPr>
          <w:b/>
          <w:color w:val="000000"/>
          <w:sz w:val="22"/>
          <w:szCs w:val="22"/>
          <w:u w:val="single"/>
          <w:lang w:val="en-GB"/>
        </w:rPr>
        <w:t xml:space="preserve">decrease </w:t>
      </w:r>
      <w:r w:rsidRPr="00654EF1">
        <w:rPr>
          <w:color w:val="000000"/>
          <w:sz w:val="22"/>
          <w:szCs w:val="22"/>
          <w:u w:val="single"/>
          <w:lang w:val="en-GB"/>
        </w:rPr>
        <w:t>imatinib plasma concentrations:</w:t>
      </w:r>
    </w:p>
    <w:p w14:paraId="1B680545" w14:textId="77777777" w:rsidR="00841EE8" w:rsidRPr="00654EF1" w:rsidRDefault="00841EE8" w:rsidP="001D5C8C">
      <w:pPr>
        <w:pStyle w:val="Text"/>
        <w:widowControl w:val="0"/>
        <w:spacing w:before="0"/>
        <w:jc w:val="left"/>
        <w:rPr>
          <w:color w:val="000000"/>
          <w:sz w:val="22"/>
          <w:szCs w:val="22"/>
          <w:lang w:val="en-GB"/>
        </w:rPr>
      </w:pPr>
      <w:r w:rsidRPr="00654EF1">
        <w:rPr>
          <w:color w:val="000000"/>
          <w:sz w:val="22"/>
          <w:szCs w:val="22"/>
          <w:lang w:val="en-GB"/>
        </w:rPr>
        <w:t xml:space="preserve">Substances that are inducers of CYP3A4 activity (e.g. dexamethasone, phenytoin, carbamazepine, rifampicin, phenobarbital, fosphenytoin, primidone or </w:t>
      </w:r>
      <w:r w:rsidRPr="00654EF1">
        <w:rPr>
          <w:i/>
          <w:color w:val="000000"/>
          <w:sz w:val="22"/>
          <w:szCs w:val="22"/>
          <w:lang w:val="en-GB"/>
        </w:rPr>
        <w:t>Hypericum perforatum</w:t>
      </w:r>
      <w:r w:rsidRPr="00654EF1">
        <w:rPr>
          <w:color w:val="000000"/>
          <w:sz w:val="22"/>
          <w:szCs w:val="22"/>
          <w:lang w:val="en-GB"/>
        </w:rPr>
        <w:t xml:space="preserve">, also known as St. John’s Wort) may significantly reduce exposure to Glivec, potentially increasing the risk of therapeutic failure. </w:t>
      </w:r>
      <w:r w:rsidRPr="00654EF1">
        <w:rPr>
          <w:color w:val="000000"/>
          <w:sz w:val="22"/>
          <w:szCs w:val="22"/>
        </w:rPr>
        <w:t>Pretreatment with multiple doses of rifampicin 600 mg followed by a single 400 mg dose of Glivec resulted in decrease in C</w:t>
      </w:r>
      <w:r w:rsidRPr="00654EF1">
        <w:rPr>
          <w:color w:val="000000"/>
          <w:sz w:val="22"/>
          <w:szCs w:val="22"/>
          <w:vertAlign w:val="subscript"/>
        </w:rPr>
        <w:t>max</w:t>
      </w:r>
      <w:r w:rsidRPr="00654EF1">
        <w:rPr>
          <w:color w:val="000000"/>
          <w:sz w:val="22"/>
          <w:szCs w:val="22"/>
        </w:rPr>
        <w:t xml:space="preserve"> and AUC</w:t>
      </w:r>
      <w:r w:rsidRPr="00654EF1">
        <w:rPr>
          <w:color w:val="000000"/>
          <w:sz w:val="22"/>
          <w:szCs w:val="22"/>
          <w:vertAlign w:val="subscript"/>
        </w:rPr>
        <w:t>(0-∞)</w:t>
      </w:r>
      <w:r w:rsidRPr="00654EF1">
        <w:rPr>
          <w:color w:val="000000"/>
          <w:sz w:val="22"/>
          <w:szCs w:val="22"/>
        </w:rPr>
        <w:t xml:space="preserve"> by at least 54% and 74%, of </w:t>
      </w:r>
      <w:r w:rsidRPr="00654EF1">
        <w:rPr>
          <w:snapToGrid w:val="0"/>
          <w:color w:val="000000"/>
          <w:sz w:val="22"/>
          <w:szCs w:val="22"/>
          <w:lang w:val="en-GB"/>
        </w:rPr>
        <w:t xml:space="preserve">the respective values without rifampicin treatment. Similar results were observed in patients with malignant gliomas treated with Glivec while taking enzyme-inducing anti-epileptic drugs (EIAEDs) such as carbamazepine, oxcarbazepine and phenytoin. The plasma AUC for imatinib decreased by 73% compared to patients not on EIAEDs. </w:t>
      </w:r>
      <w:r w:rsidRPr="00654EF1">
        <w:rPr>
          <w:color w:val="000000"/>
          <w:sz w:val="22"/>
          <w:szCs w:val="22"/>
        </w:rPr>
        <w:t>Concomitant use of rifampicin or other strong CYP3A4 inducers and imatinib should be avoided.</w:t>
      </w:r>
    </w:p>
    <w:p w14:paraId="1B680546" w14:textId="77777777" w:rsidR="006237AB" w:rsidRPr="00654EF1" w:rsidRDefault="006237AB" w:rsidP="001D5C8C">
      <w:pPr>
        <w:pStyle w:val="Text"/>
        <w:widowControl w:val="0"/>
        <w:spacing w:before="0"/>
        <w:jc w:val="left"/>
        <w:rPr>
          <w:color w:val="000000"/>
          <w:sz w:val="22"/>
          <w:szCs w:val="22"/>
          <w:lang w:val="en-GB"/>
        </w:rPr>
      </w:pPr>
    </w:p>
    <w:p w14:paraId="1B680547" w14:textId="77777777" w:rsidR="00FD232C" w:rsidRPr="00654EF1" w:rsidRDefault="00FD232C" w:rsidP="001D5C8C">
      <w:pPr>
        <w:pStyle w:val="Text"/>
        <w:keepNext/>
        <w:widowControl w:val="0"/>
        <w:spacing w:before="0"/>
        <w:jc w:val="left"/>
        <w:rPr>
          <w:b/>
          <w:color w:val="000000"/>
          <w:sz w:val="22"/>
          <w:szCs w:val="22"/>
          <w:lang w:val="en-GB"/>
        </w:rPr>
      </w:pPr>
      <w:r w:rsidRPr="00654EF1">
        <w:rPr>
          <w:b/>
          <w:color w:val="000000"/>
          <w:sz w:val="22"/>
          <w:szCs w:val="22"/>
          <w:lang w:val="en-GB"/>
        </w:rPr>
        <w:t>Active substances that may have their plasma concentration altered by Glivec</w:t>
      </w:r>
    </w:p>
    <w:p w14:paraId="1B680548" w14:textId="77777777" w:rsidR="00FD232C" w:rsidRPr="00654EF1" w:rsidRDefault="00FD232C" w:rsidP="001D5C8C">
      <w:pPr>
        <w:pStyle w:val="Text"/>
        <w:widowControl w:val="0"/>
        <w:spacing w:before="0"/>
        <w:jc w:val="left"/>
        <w:rPr>
          <w:color w:val="000000"/>
          <w:sz w:val="22"/>
          <w:szCs w:val="22"/>
          <w:lang w:val="en-GB"/>
        </w:rPr>
      </w:pPr>
      <w:r w:rsidRPr="00654EF1">
        <w:rPr>
          <w:color w:val="000000"/>
          <w:sz w:val="22"/>
          <w:szCs w:val="22"/>
          <w:lang w:val="en-GB"/>
        </w:rPr>
        <w:t>Imatinib increases the mean C</w:t>
      </w:r>
      <w:r w:rsidRPr="00654EF1">
        <w:rPr>
          <w:color w:val="000000"/>
          <w:sz w:val="22"/>
          <w:szCs w:val="22"/>
          <w:vertAlign w:val="subscript"/>
          <w:lang w:val="en-GB"/>
        </w:rPr>
        <w:t>max</w:t>
      </w:r>
      <w:r w:rsidRPr="00654EF1">
        <w:rPr>
          <w:color w:val="000000"/>
          <w:sz w:val="22"/>
          <w:szCs w:val="22"/>
          <w:lang w:val="en-GB"/>
        </w:rPr>
        <w:t xml:space="preserve"> and AUC of simvastatin (CYP3A4 substrate) 2- and 3.5-fold, respectively, indicating an inhibition of the CYP3A4 by imatinib. Therefore, caution is recommended when administering Glivec with CYP3A4 substrates with a narrow therapeutic window (e.g. cyclosporine, pimozide, tacrolimus, sirolimus, ergotamine, diergotamine, fentanyl, alfentanil, terfenadine, bortezomib, docetaxel and quinidine). Glivec may increase plasma concentration of other CYP3A4 metabolised drugs (e.g. triazolo-benzodiazepines, dihydropyridine calcium channel blockers, certain </w:t>
      </w:r>
      <w:smartTag w:uri="urn:schemas-microsoft-com:office:smarttags" w:element="stockticker">
        <w:r w:rsidRPr="00654EF1">
          <w:rPr>
            <w:color w:val="000000"/>
            <w:sz w:val="22"/>
            <w:szCs w:val="22"/>
            <w:lang w:val="en-GB"/>
          </w:rPr>
          <w:t>HMG</w:t>
        </w:r>
      </w:smartTag>
      <w:r w:rsidRPr="00654EF1">
        <w:rPr>
          <w:color w:val="000000"/>
          <w:sz w:val="22"/>
          <w:szCs w:val="22"/>
          <w:lang w:val="en-GB"/>
        </w:rPr>
        <w:t>-CoA reductase inhibitors, i.e. statins, etc.).</w:t>
      </w:r>
    </w:p>
    <w:p w14:paraId="1B680549" w14:textId="77777777" w:rsidR="00FD232C" w:rsidRPr="00654EF1" w:rsidRDefault="00FD232C" w:rsidP="001D5C8C">
      <w:pPr>
        <w:pStyle w:val="Text"/>
        <w:widowControl w:val="0"/>
        <w:spacing w:before="0"/>
        <w:jc w:val="left"/>
        <w:rPr>
          <w:color w:val="000000"/>
          <w:sz w:val="22"/>
          <w:szCs w:val="22"/>
          <w:lang w:val="en-GB"/>
        </w:rPr>
      </w:pPr>
    </w:p>
    <w:p w14:paraId="1B68054A" w14:textId="77777777" w:rsidR="00FD232C" w:rsidRPr="00654EF1" w:rsidRDefault="00FD232C" w:rsidP="001D5C8C">
      <w:pPr>
        <w:pStyle w:val="Text"/>
        <w:widowControl w:val="0"/>
        <w:spacing w:before="0"/>
        <w:jc w:val="left"/>
        <w:rPr>
          <w:color w:val="000000"/>
          <w:sz w:val="22"/>
          <w:szCs w:val="22"/>
          <w:lang w:val="en-GB"/>
        </w:rPr>
      </w:pPr>
      <w:r w:rsidRPr="00654EF1">
        <w:rPr>
          <w:color w:val="000000"/>
          <w:sz w:val="22"/>
          <w:szCs w:val="22"/>
        </w:rPr>
        <w:t xml:space="preserve">Because of known increased risks of bleeding in conjunction with the use of imatinib (e.g. haemorrhage), </w:t>
      </w:r>
      <w:r w:rsidRPr="00654EF1">
        <w:rPr>
          <w:color w:val="000000"/>
          <w:sz w:val="22"/>
          <w:szCs w:val="22"/>
          <w:lang w:val="en-GB"/>
        </w:rPr>
        <w:t xml:space="preserve">patients who require anticoagulation should receive low-molecular-weight or standard heparin, </w:t>
      </w:r>
      <w:r w:rsidRPr="00654EF1">
        <w:rPr>
          <w:color w:val="000000"/>
          <w:sz w:val="22"/>
          <w:szCs w:val="22"/>
        </w:rPr>
        <w:t>instead of coumarin derivatives such as warfarin.</w:t>
      </w:r>
    </w:p>
    <w:p w14:paraId="1B68054B" w14:textId="77777777" w:rsidR="006237AB" w:rsidRPr="00654EF1" w:rsidRDefault="006237AB" w:rsidP="001D5C8C">
      <w:pPr>
        <w:pStyle w:val="Text"/>
        <w:widowControl w:val="0"/>
        <w:spacing w:before="0"/>
        <w:rPr>
          <w:color w:val="000000"/>
          <w:sz w:val="22"/>
          <w:szCs w:val="22"/>
          <w:lang w:val="en-GB"/>
        </w:rPr>
      </w:pPr>
    </w:p>
    <w:p w14:paraId="1B68054C" w14:textId="77777777" w:rsidR="00841EE8" w:rsidRPr="00654EF1" w:rsidRDefault="00841EE8" w:rsidP="001D5C8C">
      <w:pPr>
        <w:pStyle w:val="Text"/>
        <w:widowControl w:val="0"/>
        <w:spacing w:before="0"/>
        <w:jc w:val="left"/>
        <w:rPr>
          <w:color w:val="000000"/>
          <w:sz w:val="22"/>
          <w:szCs w:val="22"/>
          <w:lang w:val="en-GB"/>
        </w:rPr>
      </w:pPr>
      <w:r w:rsidRPr="00654EF1">
        <w:rPr>
          <w:i/>
          <w:color w:val="000000"/>
          <w:sz w:val="22"/>
          <w:szCs w:val="22"/>
          <w:lang w:val="en-GB"/>
        </w:rPr>
        <w:t>In vitro</w:t>
      </w:r>
      <w:r w:rsidRPr="00654EF1">
        <w:rPr>
          <w:color w:val="000000"/>
          <w:sz w:val="22"/>
          <w:szCs w:val="22"/>
          <w:lang w:val="en-GB"/>
        </w:rPr>
        <w:t xml:space="preserve"> Glivec inhibits the cytochrome P450 isoenzyme CYP2D6 activity at concentrations similar to those that affect CYP3A4 activity. Imatinib at 400 mg twice daily had an inhibitory effect on CYP2D6-mediated metoprolol metabolism, with metoprolol C</w:t>
      </w:r>
      <w:r w:rsidRPr="00654EF1">
        <w:rPr>
          <w:color w:val="000000"/>
          <w:sz w:val="22"/>
          <w:szCs w:val="22"/>
          <w:vertAlign w:val="subscript"/>
          <w:lang w:val="en-GB"/>
        </w:rPr>
        <w:t>max</w:t>
      </w:r>
      <w:r w:rsidRPr="00654EF1">
        <w:rPr>
          <w:color w:val="000000"/>
          <w:sz w:val="22"/>
          <w:szCs w:val="22"/>
          <w:lang w:val="en-GB"/>
        </w:rPr>
        <w:t xml:space="preserve"> and AUC being increased by approximately 23% (90%CI [1.16</w:t>
      </w:r>
      <w:r w:rsidRPr="00654EF1">
        <w:rPr>
          <w:color w:val="000000"/>
          <w:sz w:val="22"/>
          <w:szCs w:val="22"/>
          <w:lang w:val="en-GB"/>
        </w:rPr>
        <w:noBreakHyphen/>
        <w:t>1.30]). Dose adjustments do not seem to be necessary when imatinib is co-administrated with CYP2D6 substrates, however caution is advised for CYP2D6 substrates with a narrow therapeutic window such as metoprolol. In patients treated with metoprolol clinical monitoring should be considered.</w:t>
      </w:r>
    </w:p>
    <w:p w14:paraId="1B68054D" w14:textId="77777777" w:rsidR="00A76839" w:rsidRPr="00654EF1" w:rsidRDefault="00A76839" w:rsidP="001D5C8C">
      <w:pPr>
        <w:pStyle w:val="Text"/>
        <w:widowControl w:val="0"/>
        <w:spacing w:before="0"/>
        <w:jc w:val="left"/>
        <w:rPr>
          <w:color w:val="000000"/>
          <w:sz w:val="22"/>
          <w:szCs w:val="22"/>
          <w:lang w:val="en-GB"/>
        </w:rPr>
      </w:pPr>
    </w:p>
    <w:p w14:paraId="1B68054E" w14:textId="77777777" w:rsidR="00A76839" w:rsidRPr="00654EF1" w:rsidRDefault="00A76839" w:rsidP="001D5C8C">
      <w:pPr>
        <w:pStyle w:val="Text"/>
        <w:widowControl w:val="0"/>
        <w:spacing w:before="0"/>
        <w:jc w:val="left"/>
        <w:rPr>
          <w:color w:val="000000"/>
          <w:sz w:val="22"/>
          <w:szCs w:val="22"/>
          <w:lang w:val="en-GB"/>
        </w:rPr>
      </w:pPr>
      <w:r w:rsidRPr="00654EF1">
        <w:rPr>
          <w:i/>
          <w:color w:val="000000"/>
          <w:sz w:val="22"/>
          <w:szCs w:val="22"/>
          <w:lang w:val="en-GB"/>
        </w:rPr>
        <w:t>In vitro</w:t>
      </w:r>
      <w:r w:rsidRPr="00654EF1">
        <w:rPr>
          <w:color w:val="000000"/>
          <w:sz w:val="22"/>
          <w:szCs w:val="22"/>
          <w:lang w:val="en-GB"/>
        </w:rPr>
        <w:t>, Glivec inhibits paracetamol O-glucuronidation with Ki value of 58.5 micromol/l</w:t>
      </w:r>
      <w:r w:rsidRPr="00654EF1">
        <w:rPr>
          <w:color w:val="000000"/>
          <w:sz w:val="22"/>
          <w:szCs w:val="22"/>
        </w:rPr>
        <w:t>.</w:t>
      </w:r>
      <w:r w:rsidRPr="00654EF1">
        <w:rPr>
          <w:iCs/>
          <w:color w:val="000000"/>
          <w:sz w:val="22"/>
          <w:szCs w:val="22"/>
        </w:rPr>
        <w:t xml:space="preserve"> This</w:t>
      </w:r>
      <w:r w:rsidRPr="00654EF1">
        <w:rPr>
          <w:iCs/>
          <w:color w:val="000000"/>
          <w:sz w:val="22"/>
          <w:szCs w:val="22"/>
          <w:u w:val="single"/>
        </w:rPr>
        <w:t xml:space="preserve"> </w:t>
      </w:r>
      <w:r w:rsidRPr="00654EF1">
        <w:rPr>
          <w:iCs/>
          <w:color w:val="000000"/>
          <w:sz w:val="22"/>
          <w:szCs w:val="22"/>
        </w:rPr>
        <w:t xml:space="preserve">inhibition has not been observed </w:t>
      </w:r>
      <w:r w:rsidRPr="00654EF1">
        <w:rPr>
          <w:i/>
          <w:iCs/>
          <w:color w:val="000000"/>
          <w:sz w:val="22"/>
          <w:szCs w:val="22"/>
        </w:rPr>
        <w:t>in vivo</w:t>
      </w:r>
      <w:r w:rsidRPr="00654EF1">
        <w:rPr>
          <w:iCs/>
          <w:color w:val="000000"/>
          <w:sz w:val="22"/>
          <w:szCs w:val="22"/>
        </w:rPr>
        <w:t xml:space="preserve"> after the administration of Glivec 400 mg and paracetamol 1000 mg. Higher doses of Glivec and paracetamol have not been studied.</w:t>
      </w:r>
    </w:p>
    <w:p w14:paraId="1B68054F" w14:textId="77777777" w:rsidR="00A76839" w:rsidRPr="00654EF1" w:rsidRDefault="00A76839" w:rsidP="001D5C8C">
      <w:pPr>
        <w:pStyle w:val="Text"/>
        <w:widowControl w:val="0"/>
        <w:spacing w:before="0"/>
        <w:jc w:val="left"/>
        <w:rPr>
          <w:color w:val="000000"/>
          <w:sz w:val="22"/>
          <w:szCs w:val="22"/>
        </w:rPr>
      </w:pPr>
    </w:p>
    <w:p w14:paraId="1B680550" w14:textId="77777777" w:rsidR="00A76839" w:rsidRPr="00654EF1" w:rsidRDefault="00A76839" w:rsidP="001D5C8C">
      <w:pPr>
        <w:pStyle w:val="Text"/>
        <w:widowControl w:val="0"/>
        <w:spacing w:before="0"/>
        <w:jc w:val="left"/>
        <w:rPr>
          <w:color w:val="000000"/>
          <w:sz w:val="22"/>
          <w:szCs w:val="22"/>
          <w:lang w:val="en-GB"/>
        </w:rPr>
      </w:pPr>
      <w:r w:rsidRPr="00654EF1">
        <w:rPr>
          <w:color w:val="000000"/>
          <w:sz w:val="22"/>
          <w:szCs w:val="22"/>
        </w:rPr>
        <w:t>Caution should therefore be exercised when using high doses of Glivec and paracetamol concomitantly.</w:t>
      </w:r>
    </w:p>
    <w:p w14:paraId="1B680551" w14:textId="77777777" w:rsidR="00A76839" w:rsidRPr="00654EF1" w:rsidRDefault="00A76839" w:rsidP="001D5C8C">
      <w:pPr>
        <w:pStyle w:val="EndnoteText"/>
        <w:widowControl w:val="0"/>
        <w:tabs>
          <w:tab w:val="clear" w:pos="567"/>
        </w:tabs>
        <w:rPr>
          <w:color w:val="000000"/>
          <w:szCs w:val="22"/>
        </w:rPr>
      </w:pPr>
    </w:p>
    <w:p w14:paraId="1B680552" w14:textId="77777777" w:rsidR="00487685" w:rsidRPr="00654EF1" w:rsidRDefault="00487685" w:rsidP="001D5C8C">
      <w:pPr>
        <w:widowControl w:val="0"/>
        <w:spacing w:line="240" w:lineRule="auto"/>
        <w:rPr>
          <w:color w:val="000000"/>
          <w:szCs w:val="22"/>
        </w:rPr>
      </w:pPr>
      <w:r w:rsidRPr="00654EF1">
        <w:rPr>
          <w:color w:val="000000"/>
          <w:szCs w:val="22"/>
        </w:rPr>
        <w:t>In thyroidectomy patients receiving levothyroxine, the plasma exposure to levothyroxine may be decreased when Glivec is co-administered (see section 4.4). Caution is therefore recommended. However, the mechanism of the observed interaction is presently unknown.</w:t>
      </w:r>
    </w:p>
    <w:p w14:paraId="1B680553" w14:textId="77777777" w:rsidR="007E73D8" w:rsidRPr="00654EF1" w:rsidRDefault="007E73D8" w:rsidP="001D5C8C">
      <w:pPr>
        <w:pStyle w:val="EndnoteText"/>
        <w:widowControl w:val="0"/>
        <w:tabs>
          <w:tab w:val="clear" w:pos="567"/>
        </w:tabs>
        <w:rPr>
          <w:color w:val="000000"/>
          <w:szCs w:val="22"/>
        </w:rPr>
      </w:pPr>
    </w:p>
    <w:p w14:paraId="1B680554" w14:textId="77777777" w:rsidR="007E73D8" w:rsidRPr="00654EF1" w:rsidRDefault="007E73D8" w:rsidP="001D5C8C">
      <w:pPr>
        <w:pStyle w:val="EndnoteText"/>
        <w:widowControl w:val="0"/>
        <w:tabs>
          <w:tab w:val="clear" w:pos="567"/>
        </w:tabs>
        <w:rPr>
          <w:color w:val="000000"/>
          <w:szCs w:val="22"/>
        </w:rPr>
      </w:pPr>
      <w:r w:rsidRPr="00654EF1">
        <w:rPr>
          <w:color w:val="000000"/>
          <w:szCs w:val="22"/>
        </w:rPr>
        <w:t xml:space="preserve">In Ph+ </w:t>
      </w:r>
      <w:smartTag w:uri="urn:schemas-microsoft-com:office:smarttags" w:element="stockticker">
        <w:r w:rsidRPr="00654EF1">
          <w:rPr>
            <w:color w:val="000000"/>
            <w:szCs w:val="22"/>
          </w:rPr>
          <w:t>ALL</w:t>
        </w:r>
      </w:smartTag>
      <w:r w:rsidRPr="00654EF1">
        <w:rPr>
          <w:color w:val="000000"/>
          <w:szCs w:val="22"/>
        </w:rPr>
        <w:t xml:space="preserve"> patients, there is clinical experience of co-administering Glivec with chemotherapy (see section 5.1), but drug-drug interactions between imatinib and chemotherapy regimens are not well characterised. Imatinib adverse events, i.e. hepatotoxicity, myelosuppression or others, may increase and it has been reported that concomitant use with L-asparaginase could be associated with increased hepatotoxicity (see section 4.8). Therefore, the use of Glivec in combination requires special precaution.</w:t>
      </w:r>
    </w:p>
    <w:p w14:paraId="1B680555" w14:textId="77777777" w:rsidR="006237AB" w:rsidRPr="00654EF1" w:rsidRDefault="006237AB" w:rsidP="001D5C8C">
      <w:pPr>
        <w:pStyle w:val="EndnoteText"/>
        <w:widowControl w:val="0"/>
        <w:tabs>
          <w:tab w:val="clear" w:pos="567"/>
        </w:tabs>
        <w:rPr>
          <w:color w:val="000000"/>
          <w:szCs w:val="22"/>
        </w:rPr>
      </w:pPr>
    </w:p>
    <w:p w14:paraId="1B680556" w14:textId="77777777" w:rsidR="00F428C6" w:rsidRPr="00654EF1" w:rsidRDefault="00F428C6" w:rsidP="001D5C8C">
      <w:pPr>
        <w:keepNext/>
        <w:widowControl w:val="0"/>
        <w:tabs>
          <w:tab w:val="clear" w:pos="567"/>
        </w:tabs>
        <w:spacing w:line="240" w:lineRule="auto"/>
        <w:ind w:left="567" w:hanging="567"/>
        <w:rPr>
          <w:color w:val="000000"/>
          <w:szCs w:val="22"/>
        </w:rPr>
      </w:pPr>
      <w:r w:rsidRPr="00654EF1">
        <w:rPr>
          <w:b/>
          <w:color w:val="000000"/>
          <w:szCs w:val="22"/>
        </w:rPr>
        <w:t>4.6</w:t>
      </w:r>
      <w:r w:rsidRPr="00654EF1">
        <w:rPr>
          <w:b/>
          <w:color w:val="000000"/>
          <w:szCs w:val="22"/>
        </w:rPr>
        <w:tab/>
        <w:t>Fertility, pregnancy and lactation</w:t>
      </w:r>
    </w:p>
    <w:p w14:paraId="1B680557" w14:textId="77777777" w:rsidR="00F428C6" w:rsidRPr="00654EF1" w:rsidRDefault="00F428C6" w:rsidP="001D5C8C">
      <w:pPr>
        <w:pStyle w:val="EndnoteText"/>
        <w:keepNext/>
        <w:widowControl w:val="0"/>
        <w:rPr>
          <w:color w:val="000000"/>
          <w:szCs w:val="22"/>
        </w:rPr>
      </w:pPr>
    </w:p>
    <w:p w14:paraId="1B680558" w14:textId="77777777" w:rsidR="00244ABD" w:rsidRPr="00654EF1" w:rsidRDefault="00244ABD" w:rsidP="001D5C8C">
      <w:pPr>
        <w:pStyle w:val="EndnoteText"/>
        <w:keepNext/>
        <w:widowControl w:val="0"/>
        <w:rPr>
          <w:color w:val="000000"/>
          <w:szCs w:val="22"/>
          <w:u w:val="single"/>
        </w:rPr>
      </w:pPr>
      <w:r w:rsidRPr="00654EF1">
        <w:rPr>
          <w:color w:val="000000"/>
          <w:szCs w:val="22"/>
          <w:u w:val="single"/>
        </w:rPr>
        <w:t>Women of childbearing potential</w:t>
      </w:r>
    </w:p>
    <w:p w14:paraId="1B680559" w14:textId="77777777" w:rsidR="00244ABD" w:rsidRPr="00654EF1" w:rsidRDefault="00244ABD" w:rsidP="001D5C8C">
      <w:pPr>
        <w:pStyle w:val="EndnoteText"/>
        <w:widowControl w:val="0"/>
        <w:rPr>
          <w:color w:val="000000"/>
          <w:szCs w:val="22"/>
        </w:rPr>
      </w:pPr>
      <w:r w:rsidRPr="00654EF1">
        <w:rPr>
          <w:color w:val="000000"/>
          <w:szCs w:val="22"/>
        </w:rPr>
        <w:t>Women of childbearing potential must be advised to use effective contraception during treatment</w:t>
      </w:r>
      <w:r w:rsidR="002E6D66">
        <w:rPr>
          <w:color w:val="000000"/>
          <w:szCs w:val="22"/>
        </w:rPr>
        <w:t xml:space="preserve"> </w:t>
      </w:r>
      <w:r w:rsidR="002E6D66" w:rsidRPr="009161E2">
        <w:rPr>
          <w:color w:val="000000"/>
          <w:szCs w:val="22"/>
        </w:rPr>
        <w:t xml:space="preserve">and </w:t>
      </w:r>
      <w:r w:rsidR="002E6D66" w:rsidRPr="009161E2">
        <w:rPr>
          <w:color w:val="000000"/>
          <w:szCs w:val="22"/>
        </w:rPr>
        <w:lastRenderedPageBreak/>
        <w:t>for at least 15</w:t>
      </w:r>
      <w:r w:rsidR="002E6D66">
        <w:rPr>
          <w:color w:val="000000"/>
          <w:szCs w:val="22"/>
        </w:rPr>
        <w:t> </w:t>
      </w:r>
      <w:r w:rsidR="002E6D66" w:rsidRPr="009161E2">
        <w:rPr>
          <w:color w:val="000000"/>
          <w:szCs w:val="22"/>
        </w:rPr>
        <w:t>days after stopping treatment with Glive</w:t>
      </w:r>
      <w:r w:rsidR="00A20131">
        <w:rPr>
          <w:color w:val="000000"/>
          <w:szCs w:val="22"/>
        </w:rPr>
        <w:t>c</w:t>
      </w:r>
      <w:r w:rsidRPr="00654EF1">
        <w:rPr>
          <w:color w:val="000000"/>
          <w:szCs w:val="22"/>
        </w:rPr>
        <w:t>.</w:t>
      </w:r>
    </w:p>
    <w:p w14:paraId="1B68055A" w14:textId="77777777" w:rsidR="00244ABD" w:rsidRPr="00654EF1" w:rsidRDefault="00244ABD" w:rsidP="001D5C8C">
      <w:pPr>
        <w:pStyle w:val="EndnoteText"/>
        <w:widowControl w:val="0"/>
        <w:rPr>
          <w:color w:val="000000"/>
          <w:szCs w:val="22"/>
          <w:u w:val="single"/>
        </w:rPr>
      </w:pPr>
    </w:p>
    <w:p w14:paraId="1B68055B" w14:textId="77777777" w:rsidR="00F428C6" w:rsidRPr="00654EF1" w:rsidRDefault="00F428C6" w:rsidP="001D5C8C">
      <w:pPr>
        <w:pStyle w:val="EndnoteText"/>
        <w:keepNext/>
        <w:widowControl w:val="0"/>
        <w:rPr>
          <w:color w:val="000000"/>
          <w:szCs w:val="22"/>
          <w:u w:val="single"/>
        </w:rPr>
      </w:pPr>
      <w:r w:rsidRPr="00654EF1">
        <w:rPr>
          <w:color w:val="000000"/>
          <w:szCs w:val="22"/>
          <w:u w:val="single"/>
        </w:rPr>
        <w:t>Pregnancy</w:t>
      </w:r>
    </w:p>
    <w:p w14:paraId="1B68055C" w14:textId="77777777" w:rsidR="00F428C6" w:rsidRPr="00654EF1" w:rsidRDefault="00F428C6" w:rsidP="001D5C8C">
      <w:pPr>
        <w:pStyle w:val="EndnoteText"/>
        <w:widowControl w:val="0"/>
        <w:rPr>
          <w:color w:val="000000"/>
          <w:szCs w:val="22"/>
        </w:rPr>
      </w:pPr>
      <w:r w:rsidRPr="00654EF1">
        <w:rPr>
          <w:color w:val="000000"/>
          <w:szCs w:val="22"/>
        </w:rPr>
        <w:t xml:space="preserve">There are </w:t>
      </w:r>
      <w:r w:rsidR="00CE30BA" w:rsidRPr="00654EF1">
        <w:rPr>
          <w:color w:val="000000"/>
          <w:szCs w:val="22"/>
        </w:rPr>
        <w:t>limited</w:t>
      </w:r>
      <w:r w:rsidRPr="00654EF1">
        <w:rPr>
          <w:color w:val="000000"/>
          <w:szCs w:val="22"/>
        </w:rPr>
        <w:t xml:space="preserve"> data on the use of imatinib in pregnant women. </w:t>
      </w:r>
      <w:r w:rsidR="001F16AB" w:rsidRPr="00654EF1">
        <w:t>There have been post-marketing reports of spontaneous abortions and infant congenital anomalies from women who have taken Glivec.</w:t>
      </w:r>
      <w:r w:rsidR="001F16AB" w:rsidRPr="00654EF1">
        <w:rPr>
          <w:color w:val="FF0000"/>
        </w:rPr>
        <w:t xml:space="preserve"> </w:t>
      </w:r>
      <w:r w:rsidRPr="00654EF1">
        <w:rPr>
          <w:color w:val="000000"/>
          <w:szCs w:val="22"/>
        </w:rPr>
        <w:t>Studies in animals have however shown reproductive toxicity (see section 5.3) and the potential risk for the foetus is unknown. Glivec should not be used during pregnancy unless clearly necessary. If it is used during pregnancy, the patient must be informed of the potential risk to the foetus.</w:t>
      </w:r>
    </w:p>
    <w:p w14:paraId="1B68055D" w14:textId="77777777" w:rsidR="00F428C6" w:rsidRPr="00654EF1" w:rsidRDefault="00F428C6" w:rsidP="001D5C8C">
      <w:pPr>
        <w:pStyle w:val="EndnoteText"/>
        <w:widowControl w:val="0"/>
        <w:rPr>
          <w:color w:val="000000"/>
          <w:szCs w:val="22"/>
        </w:rPr>
      </w:pPr>
    </w:p>
    <w:p w14:paraId="1B68055E" w14:textId="77777777" w:rsidR="00F428C6" w:rsidRPr="00654EF1" w:rsidRDefault="00F428C6" w:rsidP="001D5C8C">
      <w:pPr>
        <w:pStyle w:val="EndnoteText"/>
        <w:keepNext/>
        <w:widowControl w:val="0"/>
        <w:rPr>
          <w:color w:val="000000"/>
          <w:szCs w:val="22"/>
        </w:rPr>
      </w:pPr>
      <w:r w:rsidRPr="00654EF1">
        <w:rPr>
          <w:color w:val="000000"/>
          <w:szCs w:val="22"/>
          <w:u w:val="single"/>
        </w:rPr>
        <w:t>Breast-feeding</w:t>
      </w:r>
    </w:p>
    <w:p w14:paraId="1B68055F" w14:textId="53F972B5" w:rsidR="00F428C6" w:rsidRPr="00654EF1" w:rsidRDefault="00F428C6" w:rsidP="001D5C8C">
      <w:pPr>
        <w:pStyle w:val="EndnoteText"/>
        <w:widowControl w:val="0"/>
        <w:rPr>
          <w:color w:val="000000"/>
        </w:rPr>
      </w:pPr>
      <w:r w:rsidRPr="00654EF1">
        <w:rPr>
          <w:color w:val="000000"/>
          <w:szCs w:val="22"/>
        </w:rPr>
        <w:t>There is limited information on imatinib distribution on human milk. Studies in two breast-feeding women revealed that b</w:t>
      </w:r>
      <w:r w:rsidRPr="00654EF1">
        <w:rPr>
          <w:color w:val="000000"/>
        </w:rPr>
        <w:t>oth imatinib and its active metabolite can be distributed into human milk. The milk plasma ratio studied in a single patient was determined to be 0.5 for imatinib and 0.9 for the metabolite, suggesting greater distribution of the metabolite into the milk. Considering the combined concentration of imatinib and the metabolite and the maximum daily milk intake by infants, the total exposure would be expected to be low (~10% of a therapeutic dose). However, since the effects of low-dose exposure of the infant to imatinib are unknown, women should not breast-feed</w:t>
      </w:r>
      <w:r w:rsidR="002E6D66" w:rsidRPr="002E6D66">
        <w:t xml:space="preserve"> </w:t>
      </w:r>
      <w:r w:rsidR="002E6D66" w:rsidRPr="00381C41">
        <w:t>during treatment and for at least 15 days after stopping treatment with Glivec</w:t>
      </w:r>
      <w:r w:rsidRPr="00654EF1">
        <w:rPr>
          <w:color w:val="000000"/>
        </w:rPr>
        <w:t>.</w:t>
      </w:r>
    </w:p>
    <w:p w14:paraId="1B680560" w14:textId="77777777" w:rsidR="00F428C6" w:rsidRPr="00654EF1" w:rsidRDefault="00F428C6" w:rsidP="001D5C8C">
      <w:pPr>
        <w:pStyle w:val="EndnoteText"/>
        <w:widowControl w:val="0"/>
        <w:rPr>
          <w:color w:val="000000"/>
        </w:rPr>
      </w:pPr>
    </w:p>
    <w:p w14:paraId="1B680561" w14:textId="77777777" w:rsidR="00351A2B" w:rsidRPr="00654EF1" w:rsidRDefault="00351A2B" w:rsidP="001D5C8C">
      <w:pPr>
        <w:pStyle w:val="EndnoteText"/>
        <w:keepNext/>
        <w:widowControl w:val="0"/>
        <w:rPr>
          <w:color w:val="000000"/>
          <w:u w:val="single"/>
        </w:rPr>
      </w:pPr>
      <w:r w:rsidRPr="00654EF1">
        <w:rPr>
          <w:color w:val="000000"/>
          <w:u w:val="single"/>
        </w:rPr>
        <w:t>Fertility</w:t>
      </w:r>
    </w:p>
    <w:p w14:paraId="1B680562" w14:textId="77777777" w:rsidR="00351A2B" w:rsidRPr="00654EF1" w:rsidRDefault="00351A2B" w:rsidP="002E6D66">
      <w:pPr>
        <w:widowControl w:val="0"/>
        <w:tabs>
          <w:tab w:val="clear" w:pos="567"/>
        </w:tabs>
        <w:autoSpaceDE w:val="0"/>
        <w:autoSpaceDN w:val="0"/>
        <w:adjustRightInd w:val="0"/>
        <w:spacing w:line="240" w:lineRule="auto"/>
      </w:pPr>
      <w:r w:rsidRPr="00654EF1">
        <w:t>In non-clinical studies, the fertility of male and female rats was not affected</w:t>
      </w:r>
      <w:r w:rsidR="007102A9">
        <w:t xml:space="preserve">, </w:t>
      </w:r>
      <w:r w:rsidR="007102A9" w:rsidRPr="007102A9">
        <w:t>although effects on reproductive parameters were observed</w:t>
      </w:r>
      <w:r w:rsidRPr="00654EF1">
        <w:t xml:space="preserve"> (see section 5.3).</w:t>
      </w:r>
      <w:r w:rsidRPr="00654EF1">
        <w:rPr>
          <w:color w:val="000000"/>
        </w:rPr>
        <w:t xml:space="preserve"> </w:t>
      </w:r>
      <w:r w:rsidRPr="00654EF1">
        <w:t xml:space="preserve">Studies on patients receiving </w:t>
      </w:r>
      <w:r w:rsidRPr="00654EF1">
        <w:rPr>
          <w:color w:val="000000"/>
          <w:szCs w:val="24"/>
        </w:rPr>
        <w:t>Glivec</w:t>
      </w:r>
      <w:r w:rsidRPr="00654EF1">
        <w:t xml:space="preserve"> and its effect on fertility and gametogenesis have not been performed. Patients concerned about their fertility on </w:t>
      </w:r>
      <w:r w:rsidRPr="00654EF1">
        <w:rPr>
          <w:color w:val="000000"/>
          <w:szCs w:val="24"/>
        </w:rPr>
        <w:t>Glivec</w:t>
      </w:r>
      <w:r w:rsidRPr="00654EF1">
        <w:t xml:space="preserve"> treatment should consult with their physician.</w:t>
      </w:r>
    </w:p>
    <w:p w14:paraId="1B680563" w14:textId="77777777" w:rsidR="00351A2B" w:rsidRPr="00654EF1" w:rsidRDefault="00351A2B" w:rsidP="001D5C8C">
      <w:pPr>
        <w:pStyle w:val="EndnoteText"/>
        <w:widowControl w:val="0"/>
        <w:rPr>
          <w:color w:val="000000"/>
          <w:szCs w:val="22"/>
        </w:rPr>
      </w:pPr>
    </w:p>
    <w:p w14:paraId="1B680564" w14:textId="77777777" w:rsidR="00351A2B" w:rsidRPr="00654EF1" w:rsidRDefault="00351A2B" w:rsidP="001D5C8C">
      <w:pPr>
        <w:keepNext/>
        <w:widowControl w:val="0"/>
        <w:tabs>
          <w:tab w:val="clear" w:pos="567"/>
        </w:tabs>
        <w:spacing w:line="240" w:lineRule="auto"/>
        <w:ind w:left="567" w:hanging="567"/>
        <w:rPr>
          <w:color w:val="000000"/>
          <w:szCs w:val="22"/>
        </w:rPr>
      </w:pPr>
      <w:r w:rsidRPr="00654EF1">
        <w:rPr>
          <w:b/>
          <w:color w:val="000000"/>
          <w:szCs w:val="22"/>
        </w:rPr>
        <w:t>4.7</w:t>
      </w:r>
      <w:r w:rsidRPr="00654EF1">
        <w:rPr>
          <w:b/>
          <w:color w:val="000000"/>
          <w:szCs w:val="22"/>
        </w:rPr>
        <w:tab/>
        <w:t>Effects on ability to drive and use machines</w:t>
      </w:r>
    </w:p>
    <w:p w14:paraId="1B680565" w14:textId="77777777" w:rsidR="00351A2B" w:rsidRPr="00654EF1" w:rsidRDefault="00351A2B" w:rsidP="001D5C8C">
      <w:pPr>
        <w:pStyle w:val="EndnoteText"/>
        <w:keepNext/>
        <w:widowControl w:val="0"/>
        <w:tabs>
          <w:tab w:val="clear" w:pos="567"/>
        </w:tabs>
        <w:rPr>
          <w:color w:val="000000"/>
          <w:szCs w:val="22"/>
        </w:rPr>
      </w:pPr>
    </w:p>
    <w:p w14:paraId="1B680566" w14:textId="77777777" w:rsidR="00351A2B" w:rsidRPr="00654EF1" w:rsidRDefault="00351A2B" w:rsidP="001D5C8C">
      <w:pPr>
        <w:pStyle w:val="EndnoteText"/>
        <w:widowControl w:val="0"/>
        <w:tabs>
          <w:tab w:val="clear" w:pos="567"/>
        </w:tabs>
        <w:rPr>
          <w:snapToGrid w:val="0"/>
          <w:color w:val="000000"/>
          <w:szCs w:val="22"/>
        </w:rPr>
      </w:pPr>
      <w:r w:rsidRPr="00654EF1">
        <w:rPr>
          <w:snapToGrid w:val="0"/>
          <w:color w:val="000000"/>
          <w:szCs w:val="22"/>
        </w:rPr>
        <w:t>Patients should be advised that they may experience undesirable effects such as dizziness, blurred vision or somnolence during treatment with imatinib. Therefore, caution should be recommended when driving a car or operating machinery.</w:t>
      </w:r>
    </w:p>
    <w:p w14:paraId="1B680567" w14:textId="77777777" w:rsidR="00351A2B" w:rsidRPr="00654EF1" w:rsidRDefault="00351A2B" w:rsidP="001D5C8C">
      <w:pPr>
        <w:pStyle w:val="EndnoteText"/>
        <w:widowControl w:val="0"/>
        <w:tabs>
          <w:tab w:val="clear" w:pos="567"/>
        </w:tabs>
        <w:rPr>
          <w:color w:val="000000"/>
          <w:szCs w:val="22"/>
        </w:rPr>
      </w:pPr>
    </w:p>
    <w:p w14:paraId="1B680568" w14:textId="77777777" w:rsidR="006237AB" w:rsidRPr="00654EF1" w:rsidRDefault="006237AB" w:rsidP="001D5C8C">
      <w:pPr>
        <w:keepNext/>
        <w:widowControl w:val="0"/>
        <w:tabs>
          <w:tab w:val="clear" w:pos="567"/>
        </w:tabs>
        <w:spacing w:line="240" w:lineRule="auto"/>
        <w:ind w:left="567" w:hanging="567"/>
        <w:rPr>
          <w:b/>
          <w:color w:val="000000"/>
          <w:szCs w:val="22"/>
        </w:rPr>
      </w:pPr>
      <w:r w:rsidRPr="00654EF1">
        <w:rPr>
          <w:b/>
          <w:color w:val="000000"/>
          <w:szCs w:val="22"/>
        </w:rPr>
        <w:t>4.8</w:t>
      </w:r>
      <w:r w:rsidRPr="00654EF1">
        <w:rPr>
          <w:b/>
          <w:color w:val="000000"/>
          <w:szCs w:val="22"/>
        </w:rPr>
        <w:tab/>
        <w:t>Undesirable effects</w:t>
      </w:r>
    </w:p>
    <w:p w14:paraId="1B680569" w14:textId="77777777" w:rsidR="006237AB" w:rsidRPr="00654EF1" w:rsidRDefault="006237AB" w:rsidP="001D5C8C">
      <w:pPr>
        <w:keepNext/>
        <w:widowControl w:val="0"/>
        <w:tabs>
          <w:tab w:val="clear" w:pos="567"/>
        </w:tabs>
        <w:spacing w:line="240" w:lineRule="auto"/>
        <w:rPr>
          <w:color w:val="000000"/>
          <w:szCs w:val="22"/>
        </w:rPr>
      </w:pPr>
    </w:p>
    <w:p w14:paraId="1B68056A" w14:textId="77777777" w:rsidR="007E73D8" w:rsidRPr="00654EF1" w:rsidRDefault="007E73D8" w:rsidP="001D5C8C">
      <w:pPr>
        <w:pStyle w:val="Text"/>
        <w:widowControl w:val="0"/>
        <w:spacing w:before="0"/>
        <w:jc w:val="left"/>
        <w:rPr>
          <w:color w:val="000000"/>
          <w:sz w:val="22"/>
          <w:szCs w:val="22"/>
          <w:lang w:val="en-GB"/>
        </w:rPr>
      </w:pPr>
      <w:r w:rsidRPr="00654EF1">
        <w:rPr>
          <w:color w:val="000000"/>
          <w:sz w:val="22"/>
          <w:szCs w:val="22"/>
          <w:lang w:val="en-GB"/>
        </w:rPr>
        <w:t>Patients with advanced stages of malignancies may have numerous confounding medical conditions that make causality of adverse reactions difficult to assess due to the variety of symptoms related to the underlying disease, its progression, and the co-administration of numerous medicinal products.</w:t>
      </w:r>
    </w:p>
    <w:p w14:paraId="1B68056B" w14:textId="77777777" w:rsidR="007E73D8" w:rsidRPr="00654EF1" w:rsidRDefault="007E73D8" w:rsidP="001D5C8C">
      <w:pPr>
        <w:pStyle w:val="Text"/>
        <w:widowControl w:val="0"/>
        <w:spacing w:before="0"/>
        <w:jc w:val="left"/>
        <w:rPr>
          <w:color w:val="000000"/>
          <w:sz w:val="22"/>
          <w:szCs w:val="22"/>
          <w:lang w:val="en-GB"/>
        </w:rPr>
      </w:pPr>
    </w:p>
    <w:p w14:paraId="1B68056C" w14:textId="77777777" w:rsidR="007E73D8" w:rsidRPr="00654EF1" w:rsidRDefault="007E73D8" w:rsidP="001D5C8C">
      <w:pPr>
        <w:pStyle w:val="Text"/>
        <w:widowControl w:val="0"/>
        <w:spacing w:before="0"/>
        <w:jc w:val="left"/>
        <w:rPr>
          <w:color w:val="000000"/>
          <w:sz w:val="22"/>
          <w:szCs w:val="22"/>
          <w:lang w:val="en-GB"/>
        </w:rPr>
      </w:pPr>
      <w:r w:rsidRPr="00654EF1">
        <w:rPr>
          <w:color w:val="000000"/>
          <w:sz w:val="22"/>
          <w:szCs w:val="22"/>
          <w:lang w:val="en-GB"/>
        </w:rPr>
        <w:t>In clinical trials in CML, drug discontinuation for drug-related adverse reactions was observed in 2</w:t>
      </w:r>
      <w:r w:rsidR="00E636F4" w:rsidRPr="00654EF1">
        <w:rPr>
          <w:color w:val="000000"/>
          <w:sz w:val="22"/>
          <w:szCs w:val="22"/>
          <w:lang w:val="en-GB"/>
        </w:rPr>
        <w:t>.4</w:t>
      </w:r>
      <w:r w:rsidRPr="00654EF1">
        <w:rPr>
          <w:color w:val="000000"/>
          <w:sz w:val="22"/>
          <w:szCs w:val="22"/>
          <w:lang w:val="en-GB"/>
        </w:rPr>
        <w:t>% of newly diagnosed patients, 4% of patients in late chronic phase after failure of interferon therapy, 4% of patients in accelerated phase after failure of interferon therapy and 5% of blast crisis patients after failure of interferon therapy. In GIST the study drug was discontinued for drug-related adverse reactions in 4% of patients.</w:t>
      </w:r>
    </w:p>
    <w:p w14:paraId="1B68056D" w14:textId="77777777" w:rsidR="007E73D8" w:rsidRPr="00654EF1" w:rsidRDefault="007E73D8" w:rsidP="001D5C8C">
      <w:pPr>
        <w:pStyle w:val="Text"/>
        <w:widowControl w:val="0"/>
        <w:spacing w:before="0"/>
        <w:jc w:val="left"/>
        <w:rPr>
          <w:color w:val="000000"/>
          <w:sz w:val="22"/>
          <w:szCs w:val="22"/>
          <w:lang w:val="en-GB"/>
        </w:rPr>
      </w:pPr>
    </w:p>
    <w:p w14:paraId="1B68056E" w14:textId="77777777" w:rsidR="007E73D8" w:rsidRPr="00654EF1" w:rsidRDefault="007E73D8" w:rsidP="001D5C8C">
      <w:pPr>
        <w:pStyle w:val="Text"/>
        <w:widowControl w:val="0"/>
        <w:spacing w:before="0"/>
        <w:jc w:val="left"/>
        <w:rPr>
          <w:color w:val="000000"/>
          <w:sz w:val="22"/>
          <w:szCs w:val="22"/>
          <w:lang w:val="en-GB"/>
        </w:rPr>
      </w:pPr>
      <w:r w:rsidRPr="00654EF1">
        <w:rPr>
          <w:color w:val="000000"/>
          <w:sz w:val="22"/>
          <w:szCs w:val="22"/>
          <w:lang w:val="en-GB"/>
        </w:rPr>
        <w:t xml:space="preserve">The adverse reactions were similar in all indications, with two exceptions. There was more myelosuppression seen in CML patients than in GIST, which is probably due to the underlying disease. </w:t>
      </w:r>
      <w:r w:rsidR="00FE1066" w:rsidRPr="00654EF1">
        <w:rPr>
          <w:snapToGrid w:val="0"/>
          <w:color w:val="000000"/>
          <w:sz w:val="22"/>
          <w:szCs w:val="22"/>
        </w:rPr>
        <w:t>In the study in patients with unresectable and/or metastatic GIST, 7 (5%)</w:t>
      </w:r>
      <w:r w:rsidRPr="00654EF1">
        <w:rPr>
          <w:snapToGrid w:val="0"/>
          <w:color w:val="000000"/>
          <w:sz w:val="22"/>
          <w:szCs w:val="22"/>
        </w:rPr>
        <w:t xml:space="preserve"> patients experienced </w:t>
      </w:r>
      <w:smartTag w:uri="urn:schemas-microsoft-com:office:smarttags" w:element="stockticker">
        <w:r w:rsidRPr="00654EF1">
          <w:rPr>
            <w:snapToGrid w:val="0"/>
            <w:color w:val="000000"/>
            <w:sz w:val="22"/>
            <w:szCs w:val="22"/>
          </w:rPr>
          <w:t>CTC</w:t>
        </w:r>
      </w:smartTag>
      <w:r w:rsidRPr="00654EF1">
        <w:rPr>
          <w:snapToGrid w:val="0"/>
          <w:color w:val="000000"/>
          <w:sz w:val="22"/>
          <w:szCs w:val="22"/>
        </w:rPr>
        <w:t xml:space="preserve"> grade 3/4 GI bleeds (3 patients), intra-tumoural bleeds (3 patients) or both (1 patient). GI tumour sites may have been the source of the GI bleeds (see section 4.4). GI and tumoural bleeding may be serious and sometimes fatal. </w:t>
      </w:r>
      <w:r w:rsidRPr="00654EF1">
        <w:rPr>
          <w:color w:val="000000"/>
          <w:sz w:val="22"/>
          <w:szCs w:val="22"/>
          <w:lang w:val="en-GB"/>
        </w:rPr>
        <w:t>The most commonly reported (</w:t>
      </w:r>
      <w:r w:rsidRPr="00654EF1">
        <w:rPr>
          <w:color w:val="000000"/>
          <w:sz w:val="22"/>
          <w:szCs w:val="22"/>
          <w:lang w:val="en-GB"/>
        </w:rPr>
        <w:sym w:font="Symbol" w:char="F0B3"/>
      </w:r>
      <w:r w:rsidRPr="00654EF1">
        <w:rPr>
          <w:color w:val="000000"/>
          <w:sz w:val="22"/>
          <w:szCs w:val="22"/>
          <w:lang w:val="en-GB"/>
        </w:rPr>
        <w:t> 10%) drug-related adverse reactions in both settings were mild nausea, vomiting, diarrhoea, abdominal pain, fatigue, myalgia, muscle cramps and rash. Superficial oedemas were a common finding in all studies and were described primarily as periorbital or lower limb oedemas. However, these oedemas were rarely severe and may be managed with diuretics, other supportive measures, or by reducing the dose of Glivec.</w:t>
      </w:r>
    </w:p>
    <w:p w14:paraId="1B68056F" w14:textId="77777777" w:rsidR="007E73D8" w:rsidRPr="00654EF1" w:rsidRDefault="007E73D8" w:rsidP="001D5C8C">
      <w:pPr>
        <w:pStyle w:val="Text"/>
        <w:widowControl w:val="0"/>
        <w:spacing w:before="0"/>
        <w:jc w:val="left"/>
        <w:rPr>
          <w:color w:val="000000"/>
          <w:sz w:val="22"/>
          <w:szCs w:val="22"/>
          <w:lang w:val="en-GB"/>
        </w:rPr>
      </w:pPr>
    </w:p>
    <w:p w14:paraId="1B680570" w14:textId="77777777" w:rsidR="007E73D8" w:rsidRPr="00654EF1" w:rsidRDefault="007E73D8" w:rsidP="001D5C8C">
      <w:pPr>
        <w:pStyle w:val="Text"/>
        <w:widowControl w:val="0"/>
        <w:spacing w:before="0"/>
        <w:jc w:val="left"/>
        <w:rPr>
          <w:color w:val="000000"/>
          <w:sz w:val="22"/>
          <w:szCs w:val="22"/>
        </w:rPr>
      </w:pPr>
      <w:r w:rsidRPr="00654EF1">
        <w:rPr>
          <w:color w:val="000000"/>
          <w:sz w:val="22"/>
          <w:szCs w:val="22"/>
          <w:lang w:val="en-GB"/>
        </w:rPr>
        <w:t xml:space="preserve">When imatinib was combined with high dose chemotherapy in Ph+ </w:t>
      </w:r>
      <w:smartTag w:uri="urn:schemas-microsoft-com:office:smarttags" w:element="stockticker">
        <w:r w:rsidRPr="00654EF1">
          <w:rPr>
            <w:color w:val="000000"/>
            <w:sz w:val="22"/>
            <w:szCs w:val="22"/>
            <w:lang w:val="en-GB"/>
          </w:rPr>
          <w:t>ALL</w:t>
        </w:r>
      </w:smartTag>
      <w:r w:rsidRPr="00654EF1">
        <w:rPr>
          <w:color w:val="000000"/>
          <w:sz w:val="22"/>
          <w:szCs w:val="22"/>
          <w:lang w:val="en-GB"/>
        </w:rPr>
        <w:t xml:space="preserve"> patients, transient liver toxicity in the form of transaminase elevation and hyperbilirubinaemia were observed.</w:t>
      </w:r>
      <w:r w:rsidR="00255C03" w:rsidRPr="00654EF1">
        <w:rPr>
          <w:color w:val="000000"/>
          <w:sz w:val="22"/>
          <w:szCs w:val="22"/>
          <w:lang w:val="en-GB"/>
        </w:rPr>
        <w:t xml:space="preserve"> Considering the limited safety database, the adverse events thus far reported in children are consistent with the known </w:t>
      </w:r>
      <w:r w:rsidR="00255C03" w:rsidRPr="00654EF1">
        <w:rPr>
          <w:color w:val="000000"/>
          <w:sz w:val="22"/>
          <w:szCs w:val="22"/>
          <w:lang w:val="en-GB"/>
        </w:rPr>
        <w:lastRenderedPageBreak/>
        <w:t xml:space="preserve">safety profile in adult patients with Ph+ ALL. </w:t>
      </w:r>
      <w:r w:rsidR="00255C03" w:rsidRPr="00654EF1">
        <w:rPr>
          <w:color w:val="000000"/>
          <w:sz w:val="22"/>
          <w:szCs w:val="22"/>
        </w:rPr>
        <w:t>The safety database for children with Ph+ALL is very limited though no new safety concerns have been identified.</w:t>
      </w:r>
    </w:p>
    <w:p w14:paraId="1B680571" w14:textId="77777777" w:rsidR="006237AB" w:rsidRPr="00654EF1" w:rsidRDefault="006237AB" w:rsidP="001D5C8C">
      <w:pPr>
        <w:pStyle w:val="Text"/>
        <w:widowControl w:val="0"/>
        <w:spacing w:before="0"/>
        <w:jc w:val="left"/>
        <w:rPr>
          <w:color w:val="000000"/>
          <w:sz w:val="22"/>
          <w:szCs w:val="22"/>
          <w:lang w:val="en-GB"/>
        </w:rPr>
      </w:pPr>
    </w:p>
    <w:p w14:paraId="1B680572"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Miscellaneous adverse reactions such as pleural effusion, ascites, pulmonary oedema and rapid weight gain with or without superficial oedema may be collectively described as “fluid retention”. These reactions can usually be managed by withholding Glivec temporarily and with diuretics and other appropriate supportive care measures. However, some of these reactions may be serious or life-threatening and several patients with blast crisis died with a complex clinical history of pleural effusion, congestive heart failure and renal failure. There were no special safety findings in paediatric clinical trials.</w:t>
      </w:r>
    </w:p>
    <w:p w14:paraId="1B680573" w14:textId="77777777" w:rsidR="006237AB" w:rsidRPr="00654EF1" w:rsidRDefault="006237AB" w:rsidP="001D5C8C">
      <w:pPr>
        <w:pStyle w:val="Text"/>
        <w:widowControl w:val="0"/>
        <w:spacing w:before="0"/>
        <w:jc w:val="left"/>
        <w:rPr>
          <w:color w:val="000000"/>
          <w:sz w:val="22"/>
          <w:szCs w:val="22"/>
          <w:lang w:val="en-GB"/>
        </w:rPr>
      </w:pPr>
    </w:p>
    <w:p w14:paraId="1B680574" w14:textId="77777777" w:rsidR="006B706C" w:rsidRPr="00654EF1" w:rsidRDefault="006B706C" w:rsidP="001D5C8C">
      <w:pPr>
        <w:pStyle w:val="Text"/>
        <w:widowControl w:val="0"/>
        <w:spacing w:before="0"/>
        <w:jc w:val="left"/>
        <w:rPr>
          <w:b/>
          <w:color w:val="000000"/>
          <w:sz w:val="22"/>
          <w:szCs w:val="22"/>
          <w:lang w:val="en-GB"/>
        </w:rPr>
      </w:pPr>
      <w:r w:rsidRPr="00654EF1">
        <w:rPr>
          <w:b/>
          <w:color w:val="000000"/>
          <w:sz w:val="22"/>
          <w:szCs w:val="22"/>
          <w:lang w:val="en-GB"/>
        </w:rPr>
        <w:t>Adverse reactions</w:t>
      </w:r>
    </w:p>
    <w:p w14:paraId="1B680575" w14:textId="77777777" w:rsidR="006B706C" w:rsidRPr="00654EF1" w:rsidRDefault="006B706C" w:rsidP="001D5C8C">
      <w:pPr>
        <w:pStyle w:val="Text"/>
        <w:widowControl w:val="0"/>
        <w:spacing w:before="0"/>
        <w:jc w:val="left"/>
        <w:rPr>
          <w:color w:val="000000"/>
          <w:sz w:val="22"/>
          <w:szCs w:val="22"/>
          <w:lang w:val="en-GB"/>
        </w:rPr>
      </w:pPr>
      <w:r w:rsidRPr="00654EF1">
        <w:rPr>
          <w:color w:val="000000"/>
          <w:sz w:val="22"/>
          <w:szCs w:val="22"/>
          <w:lang w:val="en-GB"/>
        </w:rPr>
        <w:t xml:space="preserve">Adverse reactions reported as more than an isolated case are listed below, by system organ class and by frequency. </w:t>
      </w:r>
      <w:r w:rsidRPr="00654EF1">
        <w:rPr>
          <w:color w:val="000000"/>
          <w:sz w:val="22"/>
          <w:szCs w:val="22"/>
        </w:rPr>
        <w:t>Frequency categories</w:t>
      </w:r>
      <w:r w:rsidRPr="00654EF1">
        <w:rPr>
          <w:color w:val="000000"/>
          <w:sz w:val="22"/>
          <w:szCs w:val="22"/>
          <w:lang w:val="en-GB"/>
        </w:rPr>
        <w:t xml:space="preserve"> are defined </w:t>
      </w:r>
      <w:r w:rsidRPr="00654EF1">
        <w:rPr>
          <w:color w:val="000000"/>
          <w:sz w:val="22"/>
          <w:szCs w:val="22"/>
        </w:rPr>
        <w:t>using the following convention</w:t>
      </w:r>
      <w:r w:rsidRPr="00654EF1">
        <w:rPr>
          <w:color w:val="000000"/>
          <w:sz w:val="22"/>
          <w:szCs w:val="22"/>
          <w:lang w:val="en-GB"/>
        </w:rPr>
        <w:t>: very common (</w:t>
      </w:r>
      <w:r w:rsidRPr="00654EF1">
        <w:rPr>
          <w:color w:val="000000"/>
          <w:sz w:val="22"/>
          <w:szCs w:val="22"/>
        </w:rPr>
        <w:t>≥</w:t>
      </w:r>
      <w:r w:rsidRPr="00654EF1">
        <w:rPr>
          <w:color w:val="000000"/>
          <w:sz w:val="22"/>
          <w:szCs w:val="22"/>
          <w:lang w:val="en-GB"/>
        </w:rPr>
        <w:t>1/10), common (</w:t>
      </w:r>
      <w:r w:rsidRPr="00654EF1">
        <w:rPr>
          <w:color w:val="000000"/>
          <w:sz w:val="22"/>
          <w:szCs w:val="22"/>
        </w:rPr>
        <w:t>≥</w:t>
      </w:r>
      <w:r w:rsidRPr="00654EF1">
        <w:rPr>
          <w:color w:val="000000"/>
          <w:sz w:val="22"/>
          <w:szCs w:val="22"/>
          <w:lang w:val="en-GB"/>
        </w:rPr>
        <w:t xml:space="preserve">1/100 to </w:t>
      </w:r>
      <w:r w:rsidRPr="00654EF1">
        <w:rPr>
          <w:color w:val="000000"/>
          <w:sz w:val="22"/>
          <w:szCs w:val="22"/>
        </w:rPr>
        <w:t>&lt;</w:t>
      </w:r>
      <w:r w:rsidRPr="00654EF1">
        <w:rPr>
          <w:color w:val="000000"/>
          <w:sz w:val="22"/>
          <w:szCs w:val="22"/>
          <w:lang w:val="en-GB"/>
        </w:rPr>
        <w:t>1/10), uncommon (</w:t>
      </w:r>
      <w:r w:rsidRPr="00654EF1">
        <w:rPr>
          <w:color w:val="000000"/>
          <w:sz w:val="22"/>
          <w:szCs w:val="22"/>
        </w:rPr>
        <w:t>≥</w:t>
      </w:r>
      <w:r w:rsidRPr="00654EF1">
        <w:rPr>
          <w:color w:val="000000"/>
          <w:sz w:val="22"/>
          <w:szCs w:val="22"/>
          <w:lang w:val="en-GB"/>
        </w:rPr>
        <w:t xml:space="preserve">1/1,000 to </w:t>
      </w:r>
      <w:r w:rsidRPr="00654EF1">
        <w:rPr>
          <w:color w:val="000000"/>
          <w:sz w:val="22"/>
          <w:szCs w:val="22"/>
        </w:rPr>
        <w:t>&lt;</w:t>
      </w:r>
      <w:r w:rsidRPr="00654EF1">
        <w:rPr>
          <w:color w:val="000000"/>
          <w:sz w:val="22"/>
          <w:szCs w:val="22"/>
          <w:lang w:val="en-GB"/>
        </w:rPr>
        <w:t>1/100), rare (</w:t>
      </w:r>
      <w:r w:rsidRPr="00654EF1">
        <w:rPr>
          <w:color w:val="000000"/>
          <w:sz w:val="22"/>
          <w:szCs w:val="22"/>
        </w:rPr>
        <w:t>≥1/10,000 to &lt;</w:t>
      </w:r>
      <w:r w:rsidRPr="00654EF1">
        <w:rPr>
          <w:color w:val="000000"/>
          <w:sz w:val="22"/>
          <w:szCs w:val="22"/>
          <w:lang w:val="en-GB"/>
        </w:rPr>
        <w:t xml:space="preserve">1/1,000), </w:t>
      </w:r>
      <w:r w:rsidRPr="00654EF1">
        <w:rPr>
          <w:color w:val="000000"/>
          <w:sz w:val="22"/>
          <w:szCs w:val="22"/>
        </w:rPr>
        <w:t xml:space="preserve">very rare (&lt;1/10,000), </w:t>
      </w:r>
      <w:r w:rsidRPr="00654EF1">
        <w:rPr>
          <w:color w:val="000000"/>
          <w:sz w:val="22"/>
          <w:szCs w:val="22"/>
          <w:lang w:val="en-GB"/>
        </w:rPr>
        <w:t>not known (cannot be estimated from the available data).</w:t>
      </w:r>
    </w:p>
    <w:p w14:paraId="1B680576" w14:textId="77777777" w:rsidR="006B706C" w:rsidRPr="00654EF1" w:rsidRDefault="006B706C" w:rsidP="001D5C8C">
      <w:pPr>
        <w:pStyle w:val="Text"/>
        <w:widowControl w:val="0"/>
        <w:spacing w:before="0"/>
        <w:jc w:val="left"/>
        <w:rPr>
          <w:color w:val="000000"/>
          <w:sz w:val="22"/>
          <w:szCs w:val="22"/>
          <w:lang w:val="en-GB"/>
        </w:rPr>
      </w:pPr>
    </w:p>
    <w:p w14:paraId="1B680577" w14:textId="77777777" w:rsidR="006B706C" w:rsidRPr="00654EF1" w:rsidRDefault="006B706C" w:rsidP="001D5C8C">
      <w:pPr>
        <w:pStyle w:val="Text"/>
        <w:widowControl w:val="0"/>
        <w:spacing w:before="0"/>
        <w:jc w:val="left"/>
        <w:rPr>
          <w:color w:val="000000"/>
          <w:sz w:val="22"/>
          <w:szCs w:val="22"/>
          <w:lang w:val="en-GB"/>
        </w:rPr>
      </w:pPr>
      <w:r w:rsidRPr="00654EF1">
        <w:rPr>
          <w:color w:val="000000"/>
          <w:sz w:val="22"/>
          <w:szCs w:val="22"/>
        </w:rPr>
        <w:t>Within each frequency grouping, undesirable effects are presented in order of frequency, the most frequent first.</w:t>
      </w:r>
    </w:p>
    <w:p w14:paraId="1B680578" w14:textId="77777777" w:rsidR="00586AD4" w:rsidRPr="00654EF1" w:rsidRDefault="00586AD4" w:rsidP="001D5C8C">
      <w:pPr>
        <w:widowControl w:val="0"/>
        <w:spacing w:line="240" w:lineRule="auto"/>
        <w:rPr>
          <w:color w:val="000000"/>
          <w:szCs w:val="24"/>
          <w:lang w:eastAsia="ja-JP"/>
        </w:rPr>
      </w:pPr>
    </w:p>
    <w:p w14:paraId="1B680579" w14:textId="77777777" w:rsidR="00586AD4" w:rsidRPr="00654EF1" w:rsidRDefault="00586AD4" w:rsidP="001D5C8C">
      <w:pPr>
        <w:keepNext/>
        <w:widowControl w:val="0"/>
        <w:spacing w:line="240" w:lineRule="auto"/>
        <w:rPr>
          <w:color w:val="000000"/>
          <w:szCs w:val="24"/>
          <w:lang w:eastAsia="ja-JP"/>
        </w:rPr>
      </w:pPr>
      <w:r w:rsidRPr="00654EF1">
        <w:rPr>
          <w:color w:val="000000"/>
          <w:szCs w:val="24"/>
          <w:lang w:eastAsia="ja-JP"/>
        </w:rPr>
        <w:t>Adverse reactions and their frequencies are reported in Table 1.</w:t>
      </w:r>
    </w:p>
    <w:p w14:paraId="1B68057A" w14:textId="77777777" w:rsidR="00586AD4" w:rsidRPr="00654EF1" w:rsidRDefault="00586AD4" w:rsidP="001D5C8C">
      <w:pPr>
        <w:keepNext/>
        <w:widowControl w:val="0"/>
        <w:spacing w:line="240" w:lineRule="auto"/>
        <w:rPr>
          <w:color w:val="000000"/>
        </w:rPr>
      </w:pPr>
    </w:p>
    <w:p w14:paraId="1B68057B" w14:textId="77777777" w:rsidR="00586AD4" w:rsidRPr="00654EF1" w:rsidRDefault="00586AD4" w:rsidP="001D5C8C">
      <w:pPr>
        <w:keepNext/>
        <w:widowControl w:val="0"/>
        <w:tabs>
          <w:tab w:val="clear" w:pos="567"/>
          <w:tab w:val="left" w:pos="1134"/>
        </w:tabs>
        <w:spacing w:line="240" w:lineRule="auto"/>
        <w:rPr>
          <w:b/>
          <w:color w:val="000000"/>
        </w:rPr>
      </w:pPr>
      <w:r w:rsidRPr="00654EF1">
        <w:rPr>
          <w:b/>
          <w:color w:val="000000"/>
        </w:rPr>
        <w:t>Table 1</w:t>
      </w:r>
      <w:r w:rsidRPr="00654EF1">
        <w:rPr>
          <w:b/>
          <w:color w:val="000000"/>
        </w:rPr>
        <w:tab/>
        <w:t>Tabulated summary of adverse reactions</w:t>
      </w:r>
    </w:p>
    <w:p w14:paraId="1B68057C" w14:textId="77777777" w:rsidR="00586AD4" w:rsidRPr="00654EF1" w:rsidRDefault="00586AD4" w:rsidP="001D5C8C">
      <w:pPr>
        <w:keepNext/>
        <w:widowControl w:val="0"/>
        <w:spacing w:line="240" w:lineRule="auto"/>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586AD4" w:rsidRPr="00654EF1" w14:paraId="1B68057E" w14:textId="77777777" w:rsidTr="009F0509">
        <w:trPr>
          <w:cantSplit/>
        </w:trPr>
        <w:tc>
          <w:tcPr>
            <w:tcW w:w="9322" w:type="dxa"/>
            <w:gridSpan w:val="2"/>
          </w:tcPr>
          <w:p w14:paraId="1B68057D" w14:textId="77777777" w:rsidR="00586AD4" w:rsidRPr="00654EF1" w:rsidRDefault="00586AD4" w:rsidP="001D5C8C">
            <w:pPr>
              <w:keepNext/>
              <w:widowControl w:val="0"/>
              <w:spacing w:line="240" w:lineRule="auto"/>
              <w:rPr>
                <w:b/>
                <w:color w:val="000000"/>
                <w:szCs w:val="22"/>
              </w:rPr>
            </w:pPr>
            <w:r w:rsidRPr="00654EF1">
              <w:rPr>
                <w:b/>
                <w:color w:val="000000"/>
                <w:szCs w:val="22"/>
              </w:rPr>
              <w:t>Infections and infestations</w:t>
            </w:r>
          </w:p>
        </w:tc>
      </w:tr>
      <w:tr w:rsidR="00586AD4" w:rsidRPr="00654EF1" w14:paraId="1B680581" w14:textId="77777777" w:rsidTr="009F0509">
        <w:trPr>
          <w:cantSplit/>
        </w:trPr>
        <w:tc>
          <w:tcPr>
            <w:tcW w:w="2235" w:type="dxa"/>
          </w:tcPr>
          <w:p w14:paraId="1B68057F"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580" w14:textId="77777777" w:rsidR="00586AD4" w:rsidRPr="00280050" w:rsidRDefault="00586AD4" w:rsidP="001D5C8C">
            <w:pPr>
              <w:keepNext/>
              <w:widowControl w:val="0"/>
              <w:spacing w:line="240" w:lineRule="auto"/>
              <w:rPr>
                <w:color w:val="000000"/>
                <w:szCs w:val="22"/>
              </w:rPr>
            </w:pPr>
            <w:r w:rsidRPr="00654EF1">
              <w:rPr>
                <w:color w:val="000000"/>
                <w:szCs w:val="22"/>
              </w:rPr>
              <w:t>Herpes zoster, herpes simplex, nasopharyngitis, pneumonia</w:t>
            </w:r>
            <w:r w:rsidRPr="00654EF1">
              <w:rPr>
                <w:color w:val="000000"/>
                <w:szCs w:val="22"/>
                <w:vertAlign w:val="superscript"/>
              </w:rPr>
              <w:t>1</w:t>
            </w:r>
            <w:r w:rsidRPr="00654EF1">
              <w:rPr>
                <w:color w:val="000000"/>
                <w:szCs w:val="22"/>
              </w:rPr>
              <w:t>, sinusitis, cellulitis, upper respiratory tract infection, influenza, urinary tract infection, gastroenteritis, sepsis</w:t>
            </w:r>
          </w:p>
        </w:tc>
      </w:tr>
      <w:tr w:rsidR="00586AD4" w:rsidRPr="00654EF1" w14:paraId="1B680584" w14:textId="77777777" w:rsidTr="009F0509">
        <w:trPr>
          <w:cantSplit/>
        </w:trPr>
        <w:tc>
          <w:tcPr>
            <w:tcW w:w="2235" w:type="dxa"/>
          </w:tcPr>
          <w:p w14:paraId="1B680582" w14:textId="77777777" w:rsidR="00586AD4" w:rsidRPr="00654EF1" w:rsidRDefault="00586AD4" w:rsidP="001D5C8C">
            <w:pPr>
              <w:keepNext/>
              <w:widowControl w:val="0"/>
              <w:spacing w:line="240" w:lineRule="auto"/>
              <w:rPr>
                <w:i/>
                <w:color w:val="000000"/>
                <w:szCs w:val="22"/>
              </w:rPr>
            </w:pPr>
            <w:r w:rsidRPr="00654EF1">
              <w:rPr>
                <w:i/>
                <w:color w:val="000000"/>
                <w:szCs w:val="22"/>
              </w:rPr>
              <w:t>Rare:</w:t>
            </w:r>
          </w:p>
        </w:tc>
        <w:tc>
          <w:tcPr>
            <w:tcW w:w="7087" w:type="dxa"/>
          </w:tcPr>
          <w:p w14:paraId="1B680583" w14:textId="77777777" w:rsidR="00586AD4" w:rsidRPr="00654EF1" w:rsidRDefault="00586AD4" w:rsidP="001D5C8C">
            <w:pPr>
              <w:keepNext/>
              <w:widowControl w:val="0"/>
              <w:spacing w:line="240" w:lineRule="auto"/>
              <w:rPr>
                <w:color w:val="000000"/>
                <w:szCs w:val="22"/>
              </w:rPr>
            </w:pPr>
            <w:r w:rsidRPr="00654EF1">
              <w:rPr>
                <w:color w:val="000000"/>
                <w:szCs w:val="22"/>
              </w:rPr>
              <w:t>Fungal infection</w:t>
            </w:r>
          </w:p>
        </w:tc>
      </w:tr>
      <w:tr w:rsidR="006F2087" w:rsidRPr="00654EF1" w14:paraId="1B680587" w14:textId="77777777" w:rsidTr="0041264B">
        <w:trPr>
          <w:cantSplit/>
        </w:trPr>
        <w:tc>
          <w:tcPr>
            <w:tcW w:w="2235" w:type="dxa"/>
          </w:tcPr>
          <w:p w14:paraId="1B680585" w14:textId="77777777" w:rsidR="006F2087" w:rsidRPr="00654EF1" w:rsidRDefault="006F2087" w:rsidP="001D5C8C">
            <w:pPr>
              <w:widowControl w:val="0"/>
              <w:spacing w:line="240" w:lineRule="auto"/>
              <w:rPr>
                <w:i/>
                <w:color w:val="000000"/>
                <w:szCs w:val="22"/>
              </w:rPr>
            </w:pPr>
            <w:r w:rsidRPr="00654EF1">
              <w:rPr>
                <w:i/>
                <w:color w:val="000000"/>
                <w:szCs w:val="22"/>
              </w:rPr>
              <w:t>Not known:</w:t>
            </w:r>
          </w:p>
        </w:tc>
        <w:tc>
          <w:tcPr>
            <w:tcW w:w="7087" w:type="dxa"/>
          </w:tcPr>
          <w:p w14:paraId="1B680586" w14:textId="77777777" w:rsidR="006F2087" w:rsidRPr="00654EF1" w:rsidRDefault="006F2087" w:rsidP="001D5C8C">
            <w:pPr>
              <w:widowControl w:val="0"/>
              <w:spacing w:line="240" w:lineRule="auto"/>
              <w:rPr>
                <w:szCs w:val="22"/>
              </w:rPr>
            </w:pPr>
            <w:r w:rsidRPr="00654EF1">
              <w:t>Hepatitis B reactivation</w:t>
            </w:r>
            <w:r w:rsidRPr="00654EF1">
              <w:rPr>
                <w:szCs w:val="22"/>
              </w:rPr>
              <w:t>*</w:t>
            </w:r>
          </w:p>
        </w:tc>
      </w:tr>
      <w:tr w:rsidR="00586AD4" w:rsidRPr="00654EF1" w14:paraId="1B680589" w14:textId="77777777" w:rsidTr="009F0509">
        <w:trPr>
          <w:cantSplit/>
        </w:trPr>
        <w:tc>
          <w:tcPr>
            <w:tcW w:w="9322" w:type="dxa"/>
            <w:gridSpan w:val="2"/>
          </w:tcPr>
          <w:p w14:paraId="1B680588" w14:textId="77777777" w:rsidR="00586AD4" w:rsidRPr="00654EF1" w:rsidRDefault="00586AD4" w:rsidP="001D5C8C">
            <w:pPr>
              <w:keepNext/>
              <w:widowControl w:val="0"/>
              <w:spacing w:line="240" w:lineRule="auto"/>
              <w:rPr>
                <w:color w:val="000000"/>
                <w:szCs w:val="22"/>
              </w:rPr>
            </w:pPr>
            <w:r w:rsidRPr="00654EF1">
              <w:rPr>
                <w:b/>
                <w:color w:val="000000"/>
                <w:szCs w:val="22"/>
              </w:rPr>
              <w:t>Neoplasm benign, malignant and unspecified (including cysts and polyps)</w:t>
            </w:r>
          </w:p>
        </w:tc>
      </w:tr>
      <w:tr w:rsidR="00586AD4" w:rsidRPr="00654EF1" w14:paraId="1B68058C" w14:textId="77777777" w:rsidTr="009F0509">
        <w:trPr>
          <w:cantSplit/>
        </w:trPr>
        <w:tc>
          <w:tcPr>
            <w:tcW w:w="2235" w:type="dxa"/>
          </w:tcPr>
          <w:p w14:paraId="1B68058A" w14:textId="77777777" w:rsidR="00586AD4" w:rsidRPr="00654EF1" w:rsidRDefault="00586AD4" w:rsidP="001D5C8C">
            <w:pPr>
              <w:keepNext/>
              <w:widowControl w:val="0"/>
              <w:spacing w:line="240" w:lineRule="auto"/>
              <w:rPr>
                <w:i/>
                <w:color w:val="000000"/>
                <w:szCs w:val="22"/>
              </w:rPr>
            </w:pPr>
            <w:r w:rsidRPr="00654EF1">
              <w:rPr>
                <w:i/>
                <w:color w:val="000000"/>
                <w:szCs w:val="22"/>
              </w:rPr>
              <w:t>Rare:</w:t>
            </w:r>
          </w:p>
        </w:tc>
        <w:tc>
          <w:tcPr>
            <w:tcW w:w="7087" w:type="dxa"/>
          </w:tcPr>
          <w:p w14:paraId="1B68058B" w14:textId="77777777" w:rsidR="00586AD4" w:rsidRPr="00654EF1" w:rsidRDefault="00586AD4" w:rsidP="001D5C8C">
            <w:pPr>
              <w:keepNext/>
              <w:widowControl w:val="0"/>
              <w:spacing w:line="240" w:lineRule="auto"/>
              <w:rPr>
                <w:color w:val="000000"/>
                <w:szCs w:val="22"/>
              </w:rPr>
            </w:pPr>
            <w:r w:rsidRPr="00654EF1">
              <w:rPr>
                <w:color w:val="000000"/>
                <w:szCs w:val="22"/>
              </w:rPr>
              <w:t>Tumour lysis syndrome</w:t>
            </w:r>
          </w:p>
        </w:tc>
      </w:tr>
      <w:tr w:rsidR="008F2DE5" w:rsidRPr="00654EF1" w14:paraId="1B68058F" w14:textId="77777777" w:rsidTr="009F0509">
        <w:trPr>
          <w:cantSplit/>
        </w:trPr>
        <w:tc>
          <w:tcPr>
            <w:tcW w:w="2235" w:type="dxa"/>
          </w:tcPr>
          <w:p w14:paraId="1B68058D" w14:textId="77777777" w:rsidR="008F2DE5" w:rsidRPr="00654EF1" w:rsidRDefault="008F2DE5" w:rsidP="001D5C8C">
            <w:pPr>
              <w:widowControl w:val="0"/>
              <w:spacing w:line="240" w:lineRule="auto"/>
              <w:rPr>
                <w:i/>
                <w:color w:val="000000"/>
                <w:szCs w:val="22"/>
              </w:rPr>
            </w:pPr>
            <w:r w:rsidRPr="00654EF1">
              <w:rPr>
                <w:i/>
                <w:color w:val="000000"/>
                <w:szCs w:val="22"/>
              </w:rPr>
              <w:t>Not known:</w:t>
            </w:r>
          </w:p>
        </w:tc>
        <w:tc>
          <w:tcPr>
            <w:tcW w:w="7087" w:type="dxa"/>
          </w:tcPr>
          <w:p w14:paraId="1B68058E" w14:textId="77777777" w:rsidR="008F2DE5" w:rsidRPr="00654EF1" w:rsidRDefault="008F2DE5" w:rsidP="001D5C8C">
            <w:pPr>
              <w:widowControl w:val="0"/>
              <w:spacing w:line="240" w:lineRule="auto"/>
              <w:rPr>
                <w:color w:val="000000"/>
                <w:szCs w:val="22"/>
              </w:rPr>
            </w:pPr>
            <w:r w:rsidRPr="00654EF1">
              <w:rPr>
                <w:color w:val="000000"/>
                <w:szCs w:val="22"/>
              </w:rPr>
              <w:t>Tumour haemorrhage/tumour necrosis*</w:t>
            </w:r>
          </w:p>
        </w:tc>
      </w:tr>
      <w:tr w:rsidR="00586AD4" w:rsidRPr="00654EF1" w14:paraId="1B680591" w14:textId="77777777" w:rsidTr="009F0509">
        <w:trPr>
          <w:cantSplit/>
        </w:trPr>
        <w:tc>
          <w:tcPr>
            <w:tcW w:w="9322" w:type="dxa"/>
            <w:gridSpan w:val="2"/>
          </w:tcPr>
          <w:p w14:paraId="1B680590" w14:textId="77777777" w:rsidR="00586AD4" w:rsidRPr="00654EF1" w:rsidRDefault="00586AD4" w:rsidP="001D5C8C">
            <w:pPr>
              <w:keepNext/>
              <w:widowControl w:val="0"/>
              <w:spacing w:line="240" w:lineRule="auto"/>
              <w:rPr>
                <w:b/>
                <w:color w:val="000000"/>
                <w:szCs w:val="22"/>
              </w:rPr>
            </w:pPr>
            <w:r w:rsidRPr="00654EF1">
              <w:rPr>
                <w:b/>
                <w:color w:val="000000"/>
                <w:szCs w:val="22"/>
              </w:rPr>
              <w:t>Immune system disorders</w:t>
            </w:r>
          </w:p>
        </w:tc>
      </w:tr>
      <w:tr w:rsidR="00586AD4" w:rsidRPr="00654EF1" w14:paraId="1B680594" w14:textId="77777777" w:rsidTr="009F0509">
        <w:trPr>
          <w:cantSplit/>
        </w:trPr>
        <w:tc>
          <w:tcPr>
            <w:tcW w:w="2235" w:type="dxa"/>
          </w:tcPr>
          <w:p w14:paraId="1B680592"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93" w14:textId="77777777" w:rsidR="00586AD4" w:rsidRPr="00654EF1" w:rsidRDefault="00586AD4" w:rsidP="001D5C8C">
            <w:pPr>
              <w:widowControl w:val="0"/>
              <w:spacing w:line="240" w:lineRule="auto"/>
              <w:rPr>
                <w:color w:val="000000"/>
                <w:szCs w:val="22"/>
              </w:rPr>
            </w:pPr>
            <w:r w:rsidRPr="00654EF1">
              <w:rPr>
                <w:color w:val="000000"/>
                <w:szCs w:val="22"/>
              </w:rPr>
              <w:t>Anaphylactic shock*</w:t>
            </w:r>
          </w:p>
        </w:tc>
      </w:tr>
      <w:tr w:rsidR="00586AD4" w:rsidRPr="00654EF1" w14:paraId="1B680596" w14:textId="77777777" w:rsidTr="009F0509">
        <w:trPr>
          <w:cantSplit/>
        </w:trPr>
        <w:tc>
          <w:tcPr>
            <w:tcW w:w="9322" w:type="dxa"/>
            <w:gridSpan w:val="2"/>
          </w:tcPr>
          <w:p w14:paraId="1B680595" w14:textId="77777777" w:rsidR="00586AD4" w:rsidRPr="00654EF1" w:rsidRDefault="00586AD4" w:rsidP="001D5C8C">
            <w:pPr>
              <w:keepNext/>
              <w:widowControl w:val="0"/>
              <w:spacing w:line="240" w:lineRule="auto"/>
              <w:rPr>
                <w:color w:val="000000"/>
              </w:rPr>
            </w:pPr>
            <w:r w:rsidRPr="00654EF1">
              <w:rPr>
                <w:b/>
                <w:color w:val="000000"/>
                <w:szCs w:val="22"/>
                <w:lang w:val="en-US"/>
              </w:rPr>
              <w:t>Blood and lymphatic system disorders</w:t>
            </w:r>
          </w:p>
        </w:tc>
      </w:tr>
      <w:tr w:rsidR="00586AD4" w:rsidRPr="00654EF1" w14:paraId="1B680599" w14:textId="77777777" w:rsidTr="009F0509">
        <w:trPr>
          <w:cantSplit/>
        </w:trPr>
        <w:tc>
          <w:tcPr>
            <w:tcW w:w="2235" w:type="dxa"/>
          </w:tcPr>
          <w:p w14:paraId="1B680597" w14:textId="77777777" w:rsidR="00586AD4" w:rsidRPr="00654EF1" w:rsidRDefault="00586AD4" w:rsidP="001D5C8C">
            <w:pPr>
              <w:keepNext/>
              <w:widowControl w:val="0"/>
              <w:spacing w:line="240" w:lineRule="auto"/>
              <w:rPr>
                <w:color w:val="000000"/>
              </w:rPr>
            </w:pPr>
            <w:r w:rsidRPr="00654EF1">
              <w:rPr>
                <w:i/>
                <w:color w:val="000000"/>
                <w:szCs w:val="22"/>
              </w:rPr>
              <w:t>Very common:</w:t>
            </w:r>
          </w:p>
        </w:tc>
        <w:tc>
          <w:tcPr>
            <w:tcW w:w="7087" w:type="dxa"/>
          </w:tcPr>
          <w:p w14:paraId="1B680598" w14:textId="77777777" w:rsidR="00586AD4" w:rsidRPr="00654EF1" w:rsidRDefault="00586AD4" w:rsidP="001D5C8C">
            <w:pPr>
              <w:keepNext/>
              <w:widowControl w:val="0"/>
              <w:spacing w:line="240" w:lineRule="auto"/>
              <w:rPr>
                <w:color w:val="000000"/>
              </w:rPr>
            </w:pPr>
            <w:r w:rsidRPr="00654EF1">
              <w:rPr>
                <w:color w:val="000000"/>
                <w:szCs w:val="22"/>
              </w:rPr>
              <w:t>Neutropenia, thrombocytopenia, anaemia</w:t>
            </w:r>
          </w:p>
        </w:tc>
      </w:tr>
      <w:tr w:rsidR="00586AD4" w:rsidRPr="00654EF1" w14:paraId="1B68059C" w14:textId="77777777" w:rsidTr="009F0509">
        <w:trPr>
          <w:cantSplit/>
        </w:trPr>
        <w:tc>
          <w:tcPr>
            <w:tcW w:w="2235" w:type="dxa"/>
          </w:tcPr>
          <w:p w14:paraId="1B68059A"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59B" w14:textId="77777777" w:rsidR="00586AD4" w:rsidRPr="00654EF1" w:rsidRDefault="00586AD4" w:rsidP="001D5C8C">
            <w:pPr>
              <w:keepNext/>
              <w:widowControl w:val="0"/>
              <w:spacing w:line="240" w:lineRule="auto"/>
              <w:rPr>
                <w:color w:val="000000"/>
              </w:rPr>
            </w:pPr>
            <w:r w:rsidRPr="00654EF1">
              <w:rPr>
                <w:color w:val="000000"/>
                <w:szCs w:val="22"/>
              </w:rPr>
              <w:t>Pancytopenia, febrile neutropenia</w:t>
            </w:r>
          </w:p>
        </w:tc>
      </w:tr>
      <w:tr w:rsidR="00586AD4" w:rsidRPr="00654EF1" w14:paraId="1B68059F" w14:textId="77777777" w:rsidTr="009F0509">
        <w:trPr>
          <w:cantSplit/>
        </w:trPr>
        <w:tc>
          <w:tcPr>
            <w:tcW w:w="2235" w:type="dxa"/>
          </w:tcPr>
          <w:p w14:paraId="1B68059D"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59E" w14:textId="77777777" w:rsidR="00586AD4" w:rsidRPr="00654EF1" w:rsidRDefault="00586AD4" w:rsidP="001D5C8C">
            <w:pPr>
              <w:keepNext/>
              <w:widowControl w:val="0"/>
              <w:spacing w:line="240" w:lineRule="auto"/>
              <w:rPr>
                <w:color w:val="000000"/>
              </w:rPr>
            </w:pPr>
            <w:r w:rsidRPr="00654EF1">
              <w:rPr>
                <w:color w:val="000000"/>
                <w:szCs w:val="22"/>
              </w:rPr>
              <w:t>Thrombocythaemia, lymphopenia, bone marrow depression, eosinophilia, lymphadenopathy</w:t>
            </w:r>
          </w:p>
        </w:tc>
      </w:tr>
      <w:tr w:rsidR="00586AD4" w:rsidRPr="00654EF1" w14:paraId="1B6805A2" w14:textId="77777777" w:rsidTr="009F0509">
        <w:trPr>
          <w:cantSplit/>
        </w:trPr>
        <w:tc>
          <w:tcPr>
            <w:tcW w:w="2235" w:type="dxa"/>
          </w:tcPr>
          <w:p w14:paraId="1B6805A0" w14:textId="77777777" w:rsidR="00586AD4" w:rsidRPr="00654EF1" w:rsidRDefault="00586AD4" w:rsidP="001D5C8C">
            <w:pPr>
              <w:widowControl w:val="0"/>
              <w:spacing w:line="240" w:lineRule="auto"/>
              <w:rPr>
                <w:i/>
                <w:color w:val="000000"/>
              </w:rPr>
            </w:pPr>
            <w:r w:rsidRPr="00654EF1">
              <w:rPr>
                <w:i/>
                <w:color w:val="000000"/>
              </w:rPr>
              <w:t>Rare:</w:t>
            </w:r>
          </w:p>
        </w:tc>
        <w:tc>
          <w:tcPr>
            <w:tcW w:w="7087" w:type="dxa"/>
          </w:tcPr>
          <w:p w14:paraId="1B6805A1" w14:textId="77777777" w:rsidR="00586AD4" w:rsidRPr="00654EF1" w:rsidRDefault="00586AD4" w:rsidP="001D5C8C">
            <w:pPr>
              <w:widowControl w:val="0"/>
              <w:spacing w:line="240" w:lineRule="auto"/>
              <w:rPr>
                <w:color w:val="000000"/>
              </w:rPr>
            </w:pPr>
            <w:r w:rsidRPr="00654EF1">
              <w:rPr>
                <w:color w:val="000000"/>
              </w:rPr>
              <w:t>Haemolytic anaemia</w:t>
            </w:r>
            <w:r w:rsidR="00846274" w:rsidRPr="00654EF1">
              <w:rPr>
                <w:color w:val="000000"/>
              </w:rPr>
              <w:t xml:space="preserve">, </w:t>
            </w:r>
            <w:r w:rsidR="0020074E" w:rsidRPr="00654EF1">
              <w:rPr>
                <w:color w:val="000000"/>
              </w:rPr>
              <w:t>t</w:t>
            </w:r>
            <w:r w:rsidR="00846274" w:rsidRPr="00654EF1">
              <w:rPr>
                <w:color w:val="000000"/>
              </w:rPr>
              <w:t>hrombotic microangiopathy</w:t>
            </w:r>
          </w:p>
        </w:tc>
      </w:tr>
      <w:tr w:rsidR="00586AD4" w:rsidRPr="00654EF1" w14:paraId="1B6805A4" w14:textId="77777777" w:rsidTr="009F0509">
        <w:trPr>
          <w:cantSplit/>
        </w:trPr>
        <w:tc>
          <w:tcPr>
            <w:tcW w:w="9322" w:type="dxa"/>
            <w:gridSpan w:val="2"/>
          </w:tcPr>
          <w:p w14:paraId="1B6805A3" w14:textId="77777777" w:rsidR="00586AD4" w:rsidRPr="00654EF1" w:rsidRDefault="00586AD4" w:rsidP="001D5C8C">
            <w:pPr>
              <w:keepNext/>
              <w:widowControl w:val="0"/>
              <w:spacing w:line="240" w:lineRule="auto"/>
              <w:rPr>
                <w:color w:val="000000"/>
                <w:szCs w:val="22"/>
              </w:rPr>
            </w:pPr>
            <w:r w:rsidRPr="00654EF1">
              <w:rPr>
                <w:b/>
                <w:color w:val="000000"/>
                <w:szCs w:val="22"/>
              </w:rPr>
              <w:t>Metabolism and nutrition disorders</w:t>
            </w:r>
          </w:p>
        </w:tc>
      </w:tr>
      <w:tr w:rsidR="00586AD4" w:rsidRPr="00654EF1" w14:paraId="1B6805A7" w14:textId="77777777" w:rsidTr="009F0509">
        <w:trPr>
          <w:cantSplit/>
        </w:trPr>
        <w:tc>
          <w:tcPr>
            <w:tcW w:w="2235" w:type="dxa"/>
          </w:tcPr>
          <w:p w14:paraId="1B6805A5"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5A6" w14:textId="77777777" w:rsidR="00586AD4" w:rsidRPr="00654EF1" w:rsidRDefault="00586AD4" w:rsidP="001D5C8C">
            <w:pPr>
              <w:keepNext/>
              <w:widowControl w:val="0"/>
              <w:spacing w:line="240" w:lineRule="auto"/>
              <w:rPr>
                <w:color w:val="000000"/>
                <w:szCs w:val="22"/>
              </w:rPr>
            </w:pPr>
            <w:r w:rsidRPr="00654EF1">
              <w:rPr>
                <w:color w:val="000000"/>
                <w:szCs w:val="22"/>
              </w:rPr>
              <w:t>Anorexia</w:t>
            </w:r>
          </w:p>
        </w:tc>
      </w:tr>
      <w:tr w:rsidR="00586AD4" w:rsidRPr="00654EF1" w14:paraId="1B6805AA" w14:textId="77777777" w:rsidTr="009F0509">
        <w:trPr>
          <w:cantSplit/>
        </w:trPr>
        <w:tc>
          <w:tcPr>
            <w:tcW w:w="2235" w:type="dxa"/>
          </w:tcPr>
          <w:p w14:paraId="1B6805A8"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5A9" w14:textId="77777777" w:rsidR="00586AD4" w:rsidRPr="00654EF1" w:rsidRDefault="00586AD4" w:rsidP="001D5C8C">
            <w:pPr>
              <w:keepNext/>
              <w:widowControl w:val="0"/>
              <w:spacing w:line="240" w:lineRule="auto"/>
              <w:rPr>
                <w:color w:val="000000"/>
                <w:szCs w:val="22"/>
              </w:rPr>
            </w:pPr>
            <w:r w:rsidRPr="00654EF1">
              <w:rPr>
                <w:color w:val="000000"/>
                <w:szCs w:val="22"/>
              </w:rPr>
              <w:t>Hypokalaemia, increased appetite, hypophosphataemia, decreased appetite, dehydration, gout, hyperuricaemia, hypercalcaemia, hyperglycaemia, hyponatraemia</w:t>
            </w:r>
          </w:p>
        </w:tc>
      </w:tr>
      <w:tr w:rsidR="00586AD4" w:rsidRPr="00654EF1" w14:paraId="1B6805AD" w14:textId="77777777" w:rsidTr="009F0509">
        <w:trPr>
          <w:cantSplit/>
        </w:trPr>
        <w:tc>
          <w:tcPr>
            <w:tcW w:w="2235" w:type="dxa"/>
          </w:tcPr>
          <w:p w14:paraId="1B6805AB" w14:textId="77777777" w:rsidR="00586AD4" w:rsidRPr="00654EF1" w:rsidRDefault="00586AD4" w:rsidP="001D5C8C">
            <w:pPr>
              <w:widowControl w:val="0"/>
              <w:spacing w:line="240" w:lineRule="auto"/>
              <w:rPr>
                <w:i/>
                <w:color w:val="000000"/>
                <w:szCs w:val="22"/>
              </w:rPr>
            </w:pPr>
            <w:r w:rsidRPr="00654EF1">
              <w:rPr>
                <w:i/>
                <w:color w:val="000000"/>
                <w:szCs w:val="22"/>
              </w:rPr>
              <w:t>Rare:</w:t>
            </w:r>
          </w:p>
        </w:tc>
        <w:tc>
          <w:tcPr>
            <w:tcW w:w="7087" w:type="dxa"/>
          </w:tcPr>
          <w:p w14:paraId="1B6805AC" w14:textId="77777777" w:rsidR="00586AD4" w:rsidRPr="00654EF1" w:rsidRDefault="00586AD4" w:rsidP="001D5C8C">
            <w:pPr>
              <w:widowControl w:val="0"/>
              <w:spacing w:line="240" w:lineRule="auto"/>
              <w:rPr>
                <w:color w:val="000000"/>
                <w:szCs w:val="22"/>
                <w:lang w:val="pt-PT"/>
              </w:rPr>
            </w:pPr>
            <w:r w:rsidRPr="00654EF1">
              <w:rPr>
                <w:color w:val="000000"/>
                <w:szCs w:val="22"/>
              </w:rPr>
              <w:t>Hyperkalaemia, hypomagnesaemia</w:t>
            </w:r>
          </w:p>
        </w:tc>
      </w:tr>
      <w:tr w:rsidR="00586AD4" w:rsidRPr="00654EF1" w14:paraId="1B6805AF" w14:textId="77777777" w:rsidTr="009F0509">
        <w:trPr>
          <w:cantSplit/>
        </w:trPr>
        <w:tc>
          <w:tcPr>
            <w:tcW w:w="9322" w:type="dxa"/>
            <w:gridSpan w:val="2"/>
          </w:tcPr>
          <w:p w14:paraId="1B6805AE" w14:textId="77777777" w:rsidR="00586AD4" w:rsidRPr="00654EF1" w:rsidRDefault="00586AD4" w:rsidP="001D5C8C">
            <w:pPr>
              <w:keepNext/>
              <w:widowControl w:val="0"/>
              <w:spacing w:line="240" w:lineRule="auto"/>
              <w:rPr>
                <w:color w:val="000000"/>
                <w:szCs w:val="22"/>
              </w:rPr>
            </w:pPr>
            <w:r w:rsidRPr="00654EF1">
              <w:rPr>
                <w:b/>
                <w:color w:val="000000"/>
                <w:szCs w:val="22"/>
              </w:rPr>
              <w:t>Psychiatric disorders</w:t>
            </w:r>
          </w:p>
        </w:tc>
      </w:tr>
      <w:tr w:rsidR="00586AD4" w:rsidRPr="00654EF1" w14:paraId="1B6805B2" w14:textId="77777777" w:rsidTr="009F0509">
        <w:trPr>
          <w:cantSplit/>
        </w:trPr>
        <w:tc>
          <w:tcPr>
            <w:tcW w:w="2235" w:type="dxa"/>
          </w:tcPr>
          <w:p w14:paraId="1B6805B0"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5B1" w14:textId="77777777" w:rsidR="00586AD4" w:rsidRPr="00654EF1" w:rsidRDefault="00586AD4" w:rsidP="001D5C8C">
            <w:pPr>
              <w:keepNext/>
              <w:widowControl w:val="0"/>
              <w:spacing w:line="240" w:lineRule="auto"/>
              <w:rPr>
                <w:color w:val="000000"/>
                <w:szCs w:val="22"/>
              </w:rPr>
            </w:pPr>
            <w:r w:rsidRPr="00654EF1">
              <w:rPr>
                <w:color w:val="000000"/>
                <w:szCs w:val="22"/>
              </w:rPr>
              <w:t>Insomnia</w:t>
            </w:r>
          </w:p>
        </w:tc>
      </w:tr>
      <w:tr w:rsidR="00586AD4" w:rsidRPr="00654EF1" w14:paraId="1B6805B5" w14:textId="77777777" w:rsidTr="009F0509">
        <w:trPr>
          <w:cantSplit/>
        </w:trPr>
        <w:tc>
          <w:tcPr>
            <w:tcW w:w="2235" w:type="dxa"/>
          </w:tcPr>
          <w:p w14:paraId="1B6805B3"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5B4" w14:textId="77777777" w:rsidR="00586AD4" w:rsidRPr="00654EF1" w:rsidRDefault="00586AD4" w:rsidP="001D5C8C">
            <w:pPr>
              <w:keepNext/>
              <w:widowControl w:val="0"/>
              <w:spacing w:line="240" w:lineRule="auto"/>
              <w:rPr>
                <w:color w:val="000000"/>
                <w:szCs w:val="22"/>
              </w:rPr>
            </w:pPr>
            <w:r w:rsidRPr="00654EF1">
              <w:rPr>
                <w:color w:val="000000"/>
                <w:szCs w:val="22"/>
              </w:rPr>
              <w:t>Depression, libido decreased, anxiety</w:t>
            </w:r>
          </w:p>
        </w:tc>
      </w:tr>
      <w:tr w:rsidR="00586AD4" w:rsidRPr="00654EF1" w14:paraId="1B6805B8" w14:textId="77777777" w:rsidTr="009F0509">
        <w:trPr>
          <w:cantSplit/>
        </w:trPr>
        <w:tc>
          <w:tcPr>
            <w:tcW w:w="2235" w:type="dxa"/>
          </w:tcPr>
          <w:p w14:paraId="1B6805B6" w14:textId="77777777" w:rsidR="00586AD4" w:rsidRPr="00654EF1" w:rsidRDefault="00586AD4" w:rsidP="001D5C8C">
            <w:pPr>
              <w:widowControl w:val="0"/>
              <w:spacing w:line="240" w:lineRule="auto"/>
              <w:rPr>
                <w:i/>
                <w:color w:val="000000"/>
                <w:szCs w:val="22"/>
              </w:rPr>
            </w:pPr>
            <w:r w:rsidRPr="00654EF1">
              <w:rPr>
                <w:i/>
                <w:color w:val="000000"/>
                <w:szCs w:val="22"/>
              </w:rPr>
              <w:t>Rare:</w:t>
            </w:r>
          </w:p>
        </w:tc>
        <w:tc>
          <w:tcPr>
            <w:tcW w:w="7087" w:type="dxa"/>
          </w:tcPr>
          <w:p w14:paraId="1B6805B7" w14:textId="77777777" w:rsidR="00586AD4" w:rsidRPr="00654EF1" w:rsidRDefault="00586AD4" w:rsidP="001D5C8C">
            <w:pPr>
              <w:widowControl w:val="0"/>
              <w:spacing w:line="240" w:lineRule="auto"/>
              <w:rPr>
                <w:color w:val="000000"/>
                <w:szCs w:val="22"/>
              </w:rPr>
            </w:pPr>
            <w:r w:rsidRPr="00654EF1">
              <w:rPr>
                <w:color w:val="000000"/>
                <w:szCs w:val="22"/>
              </w:rPr>
              <w:t>Confusional state</w:t>
            </w:r>
          </w:p>
        </w:tc>
      </w:tr>
      <w:tr w:rsidR="00586AD4" w:rsidRPr="00654EF1" w14:paraId="1B6805BA" w14:textId="77777777" w:rsidTr="009F0509">
        <w:trPr>
          <w:cantSplit/>
        </w:trPr>
        <w:tc>
          <w:tcPr>
            <w:tcW w:w="9322" w:type="dxa"/>
            <w:gridSpan w:val="2"/>
          </w:tcPr>
          <w:p w14:paraId="1B6805B9" w14:textId="77777777" w:rsidR="00586AD4" w:rsidRPr="00654EF1" w:rsidRDefault="00586AD4" w:rsidP="001D5C8C">
            <w:pPr>
              <w:keepNext/>
              <w:widowControl w:val="0"/>
              <w:spacing w:line="240" w:lineRule="auto"/>
              <w:rPr>
                <w:color w:val="000000"/>
              </w:rPr>
            </w:pPr>
            <w:r w:rsidRPr="00654EF1">
              <w:rPr>
                <w:b/>
                <w:color w:val="000000"/>
                <w:szCs w:val="22"/>
                <w:lang w:val="fr-FR"/>
              </w:rPr>
              <w:lastRenderedPageBreak/>
              <w:t>Nervous system disorders</w:t>
            </w:r>
          </w:p>
        </w:tc>
      </w:tr>
      <w:tr w:rsidR="00586AD4" w:rsidRPr="00654EF1" w14:paraId="1B6805BD" w14:textId="77777777" w:rsidTr="009F0509">
        <w:trPr>
          <w:cantSplit/>
        </w:trPr>
        <w:tc>
          <w:tcPr>
            <w:tcW w:w="2235" w:type="dxa"/>
          </w:tcPr>
          <w:p w14:paraId="1B6805BB" w14:textId="77777777" w:rsidR="00586AD4" w:rsidRPr="00654EF1" w:rsidRDefault="00586AD4" w:rsidP="001D5C8C">
            <w:pPr>
              <w:keepNext/>
              <w:widowControl w:val="0"/>
              <w:spacing w:line="240" w:lineRule="auto"/>
              <w:rPr>
                <w:color w:val="000000"/>
              </w:rPr>
            </w:pPr>
            <w:r w:rsidRPr="00654EF1">
              <w:rPr>
                <w:i/>
                <w:color w:val="000000"/>
                <w:szCs w:val="22"/>
              </w:rPr>
              <w:t>Very common:</w:t>
            </w:r>
          </w:p>
        </w:tc>
        <w:tc>
          <w:tcPr>
            <w:tcW w:w="7087" w:type="dxa"/>
          </w:tcPr>
          <w:p w14:paraId="1B6805BC" w14:textId="77777777" w:rsidR="00586AD4" w:rsidRPr="00654EF1" w:rsidRDefault="00586AD4" w:rsidP="001D5C8C">
            <w:pPr>
              <w:keepNext/>
              <w:widowControl w:val="0"/>
              <w:spacing w:line="240" w:lineRule="auto"/>
              <w:rPr>
                <w:color w:val="000000"/>
              </w:rPr>
            </w:pPr>
            <w:r w:rsidRPr="00654EF1">
              <w:rPr>
                <w:color w:val="000000"/>
                <w:szCs w:val="22"/>
              </w:rPr>
              <w:t>Headache</w:t>
            </w:r>
            <w:r w:rsidRPr="00654EF1">
              <w:rPr>
                <w:color w:val="000000"/>
                <w:szCs w:val="22"/>
                <w:vertAlign w:val="superscript"/>
              </w:rPr>
              <w:t>2</w:t>
            </w:r>
          </w:p>
        </w:tc>
      </w:tr>
      <w:tr w:rsidR="00586AD4" w:rsidRPr="00654EF1" w14:paraId="1B6805C0" w14:textId="77777777" w:rsidTr="009F0509">
        <w:trPr>
          <w:cantSplit/>
        </w:trPr>
        <w:tc>
          <w:tcPr>
            <w:tcW w:w="2235" w:type="dxa"/>
          </w:tcPr>
          <w:p w14:paraId="1B6805BE"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5BF" w14:textId="77777777" w:rsidR="00586AD4" w:rsidRPr="00654EF1" w:rsidRDefault="00586AD4" w:rsidP="001D5C8C">
            <w:pPr>
              <w:keepNext/>
              <w:widowControl w:val="0"/>
              <w:spacing w:line="240" w:lineRule="auto"/>
              <w:rPr>
                <w:color w:val="000000"/>
                <w:szCs w:val="22"/>
                <w:lang w:val="it-IT"/>
              </w:rPr>
            </w:pPr>
            <w:r w:rsidRPr="00654EF1">
              <w:rPr>
                <w:color w:val="000000"/>
                <w:szCs w:val="22"/>
                <w:lang w:val="it-IT"/>
              </w:rPr>
              <w:t>Dizziness, paraesthesia, taste disturbance, hypoaesthesia</w:t>
            </w:r>
          </w:p>
        </w:tc>
      </w:tr>
      <w:tr w:rsidR="00586AD4" w:rsidRPr="00654EF1" w14:paraId="1B6805C3" w14:textId="77777777" w:rsidTr="009F0509">
        <w:trPr>
          <w:cantSplit/>
        </w:trPr>
        <w:tc>
          <w:tcPr>
            <w:tcW w:w="2235" w:type="dxa"/>
          </w:tcPr>
          <w:p w14:paraId="1B6805C1"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5C2" w14:textId="77777777" w:rsidR="00586AD4" w:rsidRPr="00654EF1" w:rsidRDefault="00586AD4" w:rsidP="001D5C8C">
            <w:pPr>
              <w:keepNext/>
              <w:widowControl w:val="0"/>
              <w:spacing w:line="240" w:lineRule="auto"/>
              <w:rPr>
                <w:color w:val="000000"/>
              </w:rPr>
            </w:pPr>
            <w:r w:rsidRPr="00654EF1">
              <w:rPr>
                <w:color w:val="000000"/>
                <w:szCs w:val="22"/>
              </w:rPr>
              <w:t xml:space="preserve">Migraine, somnolence, syncope, peripheral neuropathy, memory impairment, sciatica, restless leg syndrome, tremor, cerebral haemorrhage </w:t>
            </w:r>
          </w:p>
        </w:tc>
      </w:tr>
      <w:tr w:rsidR="00586AD4" w:rsidRPr="00654EF1" w14:paraId="1B6805C6" w14:textId="77777777" w:rsidTr="009F0509">
        <w:trPr>
          <w:cantSplit/>
        </w:trPr>
        <w:tc>
          <w:tcPr>
            <w:tcW w:w="2235" w:type="dxa"/>
          </w:tcPr>
          <w:p w14:paraId="1B6805C4"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5C5" w14:textId="77777777" w:rsidR="00586AD4" w:rsidRPr="00654EF1" w:rsidRDefault="00586AD4" w:rsidP="001D5C8C">
            <w:pPr>
              <w:keepNext/>
              <w:widowControl w:val="0"/>
              <w:spacing w:line="240" w:lineRule="auto"/>
              <w:rPr>
                <w:color w:val="000000"/>
                <w:szCs w:val="22"/>
              </w:rPr>
            </w:pPr>
            <w:r w:rsidRPr="00654EF1">
              <w:rPr>
                <w:color w:val="000000"/>
                <w:szCs w:val="22"/>
              </w:rPr>
              <w:t>Increased intracranial pressure, convulsions, optic neuritis</w:t>
            </w:r>
          </w:p>
        </w:tc>
      </w:tr>
      <w:tr w:rsidR="00586AD4" w:rsidRPr="00654EF1" w14:paraId="1B6805C9" w14:textId="77777777" w:rsidTr="009F0509">
        <w:trPr>
          <w:cantSplit/>
        </w:trPr>
        <w:tc>
          <w:tcPr>
            <w:tcW w:w="2235" w:type="dxa"/>
          </w:tcPr>
          <w:p w14:paraId="1B6805C7"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C8" w14:textId="77777777" w:rsidR="00586AD4" w:rsidRPr="00654EF1" w:rsidRDefault="00586AD4" w:rsidP="001D5C8C">
            <w:pPr>
              <w:widowControl w:val="0"/>
              <w:spacing w:line="240" w:lineRule="auto"/>
              <w:rPr>
                <w:color w:val="000000"/>
                <w:szCs w:val="22"/>
              </w:rPr>
            </w:pPr>
            <w:r w:rsidRPr="00654EF1">
              <w:rPr>
                <w:color w:val="000000"/>
                <w:szCs w:val="22"/>
              </w:rPr>
              <w:t>Cerebral oedema*</w:t>
            </w:r>
          </w:p>
        </w:tc>
      </w:tr>
      <w:tr w:rsidR="00586AD4" w:rsidRPr="00654EF1" w14:paraId="1B6805CB" w14:textId="77777777" w:rsidTr="009F0509">
        <w:trPr>
          <w:cantSplit/>
        </w:trPr>
        <w:tc>
          <w:tcPr>
            <w:tcW w:w="9322" w:type="dxa"/>
            <w:gridSpan w:val="2"/>
          </w:tcPr>
          <w:p w14:paraId="1B6805CA" w14:textId="77777777" w:rsidR="00586AD4" w:rsidRPr="00654EF1" w:rsidRDefault="00586AD4" w:rsidP="001D5C8C">
            <w:pPr>
              <w:keepNext/>
              <w:widowControl w:val="0"/>
              <w:spacing w:line="240" w:lineRule="auto"/>
              <w:rPr>
                <w:color w:val="000000"/>
              </w:rPr>
            </w:pPr>
            <w:r w:rsidRPr="00654EF1">
              <w:rPr>
                <w:b/>
                <w:color w:val="000000"/>
                <w:szCs w:val="22"/>
                <w:lang w:val="fr-FR"/>
              </w:rPr>
              <w:t>Eye disorders</w:t>
            </w:r>
          </w:p>
        </w:tc>
      </w:tr>
      <w:tr w:rsidR="00586AD4" w:rsidRPr="00654EF1" w14:paraId="1B6805CE" w14:textId="77777777" w:rsidTr="009F0509">
        <w:trPr>
          <w:cantSplit/>
        </w:trPr>
        <w:tc>
          <w:tcPr>
            <w:tcW w:w="2235" w:type="dxa"/>
          </w:tcPr>
          <w:p w14:paraId="1B6805CC"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5CD" w14:textId="77777777" w:rsidR="00586AD4" w:rsidRPr="00654EF1" w:rsidRDefault="00586AD4" w:rsidP="001D5C8C">
            <w:pPr>
              <w:keepNext/>
              <w:widowControl w:val="0"/>
              <w:spacing w:line="240" w:lineRule="auto"/>
              <w:rPr>
                <w:color w:val="000000"/>
              </w:rPr>
            </w:pPr>
            <w:r w:rsidRPr="00654EF1">
              <w:rPr>
                <w:color w:val="000000"/>
                <w:szCs w:val="22"/>
              </w:rPr>
              <w:t>Eyelid oedema, lacrimation increased, conjunctival haemorrhage, conjunctivitis, dry eye, blurred vision</w:t>
            </w:r>
          </w:p>
        </w:tc>
      </w:tr>
      <w:tr w:rsidR="00586AD4" w:rsidRPr="00654EF1" w14:paraId="1B6805D1" w14:textId="77777777" w:rsidTr="009F0509">
        <w:trPr>
          <w:cantSplit/>
        </w:trPr>
        <w:tc>
          <w:tcPr>
            <w:tcW w:w="2235" w:type="dxa"/>
          </w:tcPr>
          <w:p w14:paraId="1B6805CF"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5D0" w14:textId="77777777" w:rsidR="00586AD4" w:rsidRPr="00654EF1" w:rsidRDefault="00586AD4" w:rsidP="001D5C8C">
            <w:pPr>
              <w:keepNext/>
              <w:widowControl w:val="0"/>
              <w:spacing w:line="240" w:lineRule="auto"/>
              <w:rPr>
                <w:color w:val="000000"/>
              </w:rPr>
            </w:pPr>
            <w:r w:rsidRPr="00654EF1">
              <w:rPr>
                <w:color w:val="000000"/>
                <w:szCs w:val="22"/>
              </w:rPr>
              <w:t>Eye irritation, eye pain, orbital oedema, scleral haemorrhage, retinal haemorrhage, blepharitis, macular oedema</w:t>
            </w:r>
          </w:p>
        </w:tc>
      </w:tr>
      <w:tr w:rsidR="00586AD4" w:rsidRPr="00654EF1" w14:paraId="1B6805D4" w14:textId="77777777" w:rsidTr="009F0509">
        <w:trPr>
          <w:cantSplit/>
        </w:trPr>
        <w:tc>
          <w:tcPr>
            <w:tcW w:w="2235" w:type="dxa"/>
          </w:tcPr>
          <w:p w14:paraId="1B6805D2"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5D3" w14:textId="77777777" w:rsidR="00586AD4" w:rsidRPr="00654EF1" w:rsidRDefault="00586AD4" w:rsidP="001D5C8C">
            <w:pPr>
              <w:keepNext/>
              <w:widowControl w:val="0"/>
              <w:spacing w:line="240" w:lineRule="auto"/>
              <w:rPr>
                <w:color w:val="000000"/>
              </w:rPr>
            </w:pPr>
            <w:r w:rsidRPr="00654EF1">
              <w:rPr>
                <w:color w:val="000000"/>
                <w:szCs w:val="22"/>
              </w:rPr>
              <w:t xml:space="preserve">Cataract, glaucoma, papilloedema </w:t>
            </w:r>
          </w:p>
        </w:tc>
      </w:tr>
      <w:tr w:rsidR="00586AD4" w:rsidRPr="00654EF1" w14:paraId="1B6805D7" w14:textId="77777777" w:rsidTr="009F0509">
        <w:trPr>
          <w:cantSplit/>
        </w:trPr>
        <w:tc>
          <w:tcPr>
            <w:tcW w:w="2235" w:type="dxa"/>
          </w:tcPr>
          <w:p w14:paraId="1B6805D5"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D6" w14:textId="77777777" w:rsidR="00586AD4" w:rsidRPr="00654EF1" w:rsidRDefault="00586AD4" w:rsidP="001D5C8C">
            <w:pPr>
              <w:widowControl w:val="0"/>
              <w:spacing w:line="240" w:lineRule="auto"/>
              <w:rPr>
                <w:color w:val="000000"/>
                <w:szCs w:val="22"/>
              </w:rPr>
            </w:pPr>
            <w:r w:rsidRPr="00654EF1">
              <w:rPr>
                <w:color w:val="000000"/>
                <w:szCs w:val="22"/>
              </w:rPr>
              <w:t>Vitreous haemorrhage*</w:t>
            </w:r>
          </w:p>
        </w:tc>
      </w:tr>
      <w:tr w:rsidR="00586AD4" w:rsidRPr="00654EF1" w14:paraId="1B6805D9" w14:textId="77777777" w:rsidTr="009F0509">
        <w:trPr>
          <w:cantSplit/>
        </w:trPr>
        <w:tc>
          <w:tcPr>
            <w:tcW w:w="9322" w:type="dxa"/>
            <w:gridSpan w:val="2"/>
          </w:tcPr>
          <w:p w14:paraId="1B6805D8" w14:textId="77777777" w:rsidR="00586AD4" w:rsidRPr="00654EF1" w:rsidRDefault="00586AD4" w:rsidP="001D5C8C">
            <w:pPr>
              <w:keepNext/>
              <w:widowControl w:val="0"/>
              <w:spacing w:line="240" w:lineRule="auto"/>
              <w:rPr>
                <w:color w:val="000000"/>
              </w:rPr>
            </w:pPr>
            <w:r w:rsidRPr="00654EF1">
              <w:rPr>
                <w:b/>
                <w:color w:val="000000"/>
                <w:szCs w:val="22"/>
                <w:lang w:val="fr-FR"/>
              </w:rPr>
              <w:t>Ear and labyrinth disorders</w:t>
            </w:r>
          </w:p>
        </w:tc>
      </w:tr>
      <w:tr w:rsidR="00586AD4" w:rsidRPr="00654EF1" w14:paraId="1B6805DC" w14:textId="77777777" w:rsidTr="009F0509">
        <w:trPr>
          <w:cantSplit/>
        </w:trPr>
        <w:tc>
          <w:tcPr>
            <w:tcW w:w="2235" w:type="dxa"/>
          </w:tcPr>
          <w:p w14:paraId="1B6805DA" w14:textId="77777777" w:rsidR="00586AD4" w:rsidRPr="00654EF1" w:rsidRDefault="00586AD4" w:rsidP="001D5C8C">
            <w:pPr>
              <w:widowControl w:val="0"/>
              <w:spacing w:line="240" w:lineRule="auto"/>
              <w:rPr>
                <w:color w:val="000000"/>
              </w:rPr>
            </w:pPr>
            <w:r w:rsidRPr="00654EF1">
              <w:rPr>
                <w:i/>
                <w:color w:val="000000"/>
                <w:szCs w:val="22"/>
              </w:rPr>
              <w:t>Uncommon:</w:t>
            </w:r>
          </w:p>
        </w:tc>
        <w:tc>
          <w:tcPr>
            <w:tcW w:w="7087" w:type="dxa"/>
          </w:tcPr>
          <w:p w14:paraId="1B6805DB" w14:textId="77777777" w:rsidR="00586AD4" w:rsidRPr="00654EF1" w:rsidRDefault="00586AD4" w:rsidP="001D5C8C">
            <w:pPr>
              <w:widowControl w:val="0"/>
              <w:spacing w:line="240" w:lineRule="auto"/>
              <w:rPr>
                <w:color w:val="000000"/>
              </w:rPr>
            </w:pPr>
            <w:r w:rsidRPr="00654EF1">
              <w:rPr>
                <w:color w:val="000000"/>
                <w:szCs w:val="22"/>
                <w:lang w:val="it-IT"/>
              </w:rPr>
              <w:t>Vertigo, tinnitus, hearing loss</w:t>
            </w:r>
          </w:p>
        </w:tc>
      </w:tr>
      <w:tr w:rsidR="00586AD4" w:rsidRPr="00654EF1" w14:paraId="1B6805DE" w14:textId="77777777" w:rsidTr="009F0509">
        <w:trPr>
          <w:cantSplit/>
        </w:trPr>
        <w:tc>
          <w:tcPr>
            <w:tcW w:w="9322" w:type="dxa"/>
            <w:gridSpan w:val="2"/>
          </w:tcPr>
          <w:p w14:paraId="1B6805DD" w14:textId="77777777" w:rsidR="00586AD4" w:rsidRPr="00654EF1" w:rsidRDefault="00586AD4" w:rsidP="001D5C8C">
            <w:pPr>
              <w:keepNext/>
              <w:widowControl w:val="0"/>
              <w:spacing w:line="240" w:lineRule="auto"/>
              <w:rPr>
                <w:color w:val="000000"/>
              </w:rPr>
            </w:pPr>
            <w:r w:rsidRPr="00654EF1">
              <w:rPr>
                <w:b/>
                <w:color w:val="000000"/>
                <w:szCs w:val="22"/>
                <w:lang w:val="fr-FR"/>
              </w:rPr>
              <w:t>Cardiac disorders</w:t>
            </w:r>
          </w:p>
        </w:tc>
      </w:tr>
      <w:tr w:rsidR="00586AD4" w:rsidRPr="00654EF1" w14:paraId="1B6805E1" w14:textId="77777777" w:rsidTr="009F0509">
        <w:trPr>
          <w:cantSplit/>
        </w:trPr>
        <w:tc>
          <w:tcPr>
            <w:tcW w:w="2235" w:type="dxa"/>
          </w:tcPr>
          <w:p w14:paraId="1B6805DF"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5E0" w14:textId="77777777" w:rsidR="00586AD4" w:rsidRPr="00654EF1" w:rsidRDefault="00586AD4" w:rsidP="001D5C8C">
            <w:pPr>
              <w:keepNext/>
              <w:widowControl w:val="0"/>
              <w:spacing w:line="240" w:lineRule="auto"/>
              <w:rPr>
                <w:color w:val="000000"/>
              </w:rPr>
            </w:pPr>
            <w:r w:rsidRPr="00654EF1">
              <w:rPr>
                <w:color w:val="000000"/>
                <w:szCs w:val="22"/>
              </w:rPr>
              <w:t>Palpitations, tachycardia, cardiac failure congestive</w:t>
            </w:r>
            <w:r w:rsidRPr="00654EF1">
              <w:rPr>
                <w:color w:val="000000"/>
                <w:szCs w:val="22"/>
                <w:vertAlign w:val="superscript"/>
              </w:rPr>
              <w:t>3</w:t>
            </w:r>
            <w:r w:rsidRPr="00654EF1">
              <w:rPr>
                <w:color w:val="000000"/>
                <w:szCs w:val="22"/>
              </w:rPr>
              <w:t>, pulmonary oedema</w:t>
            </w:r>
          </w:p>
        </w:tc>
      </w:tr>
      <w:tr w:rsidR="00586AD4" w:rsidRPr="00654EF1" w14:paraId="1B6805E4" w14:textId="77777777" w:rsidTr="009F0509">
        <w:trPr>
          <w:cantSplit/>
        </w:trPr>
        <w:tc>
          <w:tcPr>
            <w:tcW w:w="2235" w:type="dxa"/>
          </w:tcPr>
          <w:p w14:paraId="1B6805E2"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5E3" w14:textId="77777777" w:rsidR="00586AD4" w:rsidRPr="00654EF1" w:rsidRDefault="00586AD4" w:rsidP="001D5C8C">
            <w:pPr>
              <w:keepNext/>
              <w:widowControl w:val="0"/>
              <w:spacing w:line="240" w:lineRule="auto"/>
              <w:rPr>
                <w:color w:val="000000"/>
              </w:rPr>
            </w:pPr>
            <w:r w:rsidRPr="00654EF1">
              <w:rPr>
                <w:color w:val="000000"/>
                <w:szCs w:val="22"/>
              </w:rPr>
              <w:t>Arrhythmia, atrial fibrillation, cardiac arrest, myocardial infarction, angina pectoris, pericardial effusion</w:t>
            </w:r>
          </w:p>
        </w:tc>
      </w:tr>
      <w:tr w:rsidR="00586AD4" w:rsidRPr="00654EF1" w14:paraId="1B6805E7" w14:textId="77777777" w:rsidTr="009F0509">
        <w:trPr>
          <w:cantSplit/>
        </w:trPr>
        <w:tc>
          <w:tcPr>
            <w:tcW w:w="2235" w:type="dxa"/>
          </w:tcPr>
          <w:p w14:paraId="1B6805E5"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E6" w14:textId="77777777" w:rsidR="00586AD4" w:rsidRPr="00654EF1" w:rsidRDefault="00586AD4" w:rsidP="001D5C8C">
            <w:pPr>
              <w:widowControl w:val="0"/>
              <w:spacing w:line="240" w:lineRule="auto"/>
              <w:rPr>
                <w:color w:val="000000"/>
                <w:szCs w:val="22"/>
              </w:rPr>
            </w:pPr>
            <w:r w:rsidRPr="00654EF1">
              <w:rPr>
                <w:color w:val="000000"/>
                <w:szCs w:val="22"/>
              </w:rPr>
              <w:t>Pericarditis*, cardiac tamponade*</w:t>
            </w:r>
          </w:p>
        </w:tc>
      </w:tr>
      <w:tr w:rsidR="00586AD4" w:rsidRPr="00654EF1" w14:paraId="1B6805E9" w14:textId="77777777" w:rsidTr="009F0509">
        <w:trPr>
          <w:cantSplit/>
        </w:trPr>
        <w:tc>
          <w:tcPr>
            <w:tcW w:w="9322" w:type="dxa"/>
            <w:gridSpan w:val="2"/>
          </w:tcPr>
          <w:p w14:paraId="1B6805E8" w14:textId="77777777" w:rsidR="00586AD4" w:rsidRPr="00654EF1" w:rsidRDefault="00586AD4" w:rsidP="001D5C8C">
            <w:pPr>
              <w:keepNext/>
              <w:widowControl w:val="0"/>
              <w:spacing w:line="240" w:lineRule="auto"/>
              <w:rPr>
                <w:rFonts w:ascii="Times New Roman Bold" w:hAnsi="Times New Roman Bold"/>
                <w:color w:val="000000"/>
                <w:szCs w:val="22"/>
              </w:rPr>
            </w:pPr>
            <w:r w:rsidRPr="00654EF1">
              <w:rPr>
                <w:b/>
                <w:color w:val="000000"/>
                <w:szCs w:val="22"/>
              </w:rPr>
              <w:t>Vascular disorders</w:t>
            </w:r>
            <w:r w:rsidRPr="00654EF1">
              <w:rPr>
                <w:b/>
                <w:color w:val="000000"/>
                <w:szCs w:val="22"/>
                <w:vertAlign w:val="superscript"/>
              </w:rPr>
              <w:t>4</w:t>
            </w:r>
          </w:p>
        </w:tc>
      </w:tr>
      <w:tr w:rsidR="00586AD4" w:rsidRPr="00654EF1" w14:paraId="1B6805EC" w14:textId="77777777" w:rsidTr="009F0509">
        <w:trPr>
          <w:cantSplit/>
        </w:trPr>
        <w:tc>
          <w:tcPr>
            <w:tcW w:w="2235" w:type="dxa"/>
          </w:tcPr>
          <w:p w14:paraId="1B6805EA"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5EB" w14:textId="77777777" w:rsidR="00586AD4" w:rsidRPr="00654EF1" w:rsidRDefault="00586AD4" w:rsidP="001D5C8C">
            <w:pPr>
              <w:keepNext/>
              <w:widowControl w:val="0"/>
              <w:spacing w:line="240" w:lineRule="auto"/>
              <w:rPr>
                <w:color w:val="000000"/>
                <w:szCs w:val="22"/>
              </w:rPr>
            </w:pPr>
            <w:smartTag w:uri="urn:schemas-microsoft-com:office:smarttags" w:element="place">
              <w:r w:rsidRPr="00654EF1">
                <w:rPr>
                  <w:color w:val="000000"/>
                  <w:szCs w:val="22"/>
                </w:rPr>
                <w:t>Flushing</w:t>
              </w:r>
            </w:smartTag>
            <w:r w:rsidRPr="00654EF1">
              <w:rPr>
                <w:color w:val="000000"/>
                <w:szCs w:val="22"/>
              </w:rPr>
              <w:t>, haemorrhage</w:t>
            </w:r>
          </w:p>
        </w:tc>
      </w:tr>
      <w:tr w:rsidR="00586AD4" w:rsidRPr="00654EF1" w:rsidDel="00655175" w14:paraId="1B6805EF" w14:textId="77777777" w:rsidTr="009F0509">
        <w:trPr>
          <w:cantSplit/>
        </w:trPr>
        <w:tc>
          <w:tcPr>
            <w:tcW w:w="2235" w:type="dxa"/>
          </w:tcPr>
          <w:p w14:paraId="1B6805ED" w14:textId="77777777" w:rsidR="00586AD4" w:rsidRPr="00654EF1" w:rsidDel="00655175"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5EE" w14:textId="77777777" w:rsidR="00586AD4" w:rsidRPr="00654EF1" w:rsidDel="00655175" w:rsidRDefault="00586AD4" w:rsidP="001D5C8C">
            <w:pPr>
              <w:keepNext/>
              <w:widowControl w:val="0"/>
              <w:spacing w:line="240" w:lineRule="auto"/>
              <w:rPr>
                <w:color w:val="000000"/>
                <w:szCs w:val="22"/>
              </w:rPr>
            </w:pPr>
            <w:r w:rsidRPr="00654EF1">
              <w:rPr>
                <w:color w:val="000000"/>
                <w:szCs w:val="22"/>
              </w:rPr>
              <w:t>Hypertension, haematoma, subdural haematoma, peripheral coldness, hypotension, Raynaud’s phenomenon</w:t>
            </w:r>
          </w:p>
        </w:tc>
      </w:tr>
      <w:tr w:rsidR="00586AD4" w:rsidRPr="00654EF1" w:rsidDel="00655175" w14:paraId="1B6805F2" w14:textId="77777777" w:rsidTr="009F0509">
        <w:trPr>
          <w:cantSplit/>
        </w:trPr>
        <w:tc>
          <w:tcPr>
            <w:tcW w:w="2235" w:type="dxa"/>
          </w:tcPr>
          <w:p w14:paraId="1B6805F0"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F1" w14:textId="77777777" w:rsidR="00586AD4" w:rsidRPr="00654EF1" w:rsidRDefault="00586AD4" w:rsidP="001D5C8C">
            <w:pPr>
              <w:widowControl w:val="0"/>
              <w:spacing w:line="240" w:lineRule="auto"/>
              <w:rPr>
                <w:color w:val="000000"/>
                <w:szCs w:val="22"/>
              </w:rPr>
            </w:pPr>
            <w:r w:rsidRPr="00654EF1">
              <w:rPr>
                <w:color w:val="000000"/>
                <w:szCs w:val="22"/>
              </w:rPr>
              <w:t>Thrombosis/embolism*</w:t>
            </w:r>
          </w:p>
        </w:tc>
      </w:tr>
      <w:tr w:rsidR="00586AD4" w:rsidRPr="00654EF1" w14:paraId="1B6805F4" w14:textId="77777777" w:rsidTr="009F0509">
        <w:trPr>
          <w:cantSplit/>
        </w:trPr>
        <w:tc>
          <w:tcPr>
            <w:tcW w:w="9322" w:type="dxa"/>
            <w:gridSpan w:val="2"/>
          </w:tcPr>
          <w:p w14:paraId="1B6805F3" w14:textId="77777777" w:rsidR="00586AD4" w:rsidRPr="00654EF1" w:rsidRDefault="00586AD4" w:rsidP="001D5C8C">
            <w:pPr>
              <w:keepNext/>
              <w:widowControl w:val="0"/>
              <w:spacing w:line="240" w:lineRule="auto"/>
              <w:rPr>
                <w:color w:val="000000"/>
                <w:szCs w:val="22"/>
              </w:rPr>
            </w:pPr>
            <w:r w:rsidRPr="00654EF1">
              <w:rPr>
                <w:b/>
                <w:color w:val="000000"/>
                <w:szCs w:val="22"/>
              </w:rPr>
              <w:t>Respiratory, thoracic and mediastinal disorders</w:t>
            </w:r>
          </w:p>
        </w:tc>
      </w:tr>
      <w:tr w:rsidR="00586AD4" w:rsidRPr="00654EF1" w14:paraId="1B6805F7" w14:textId="77777777" w:rsidTr="009F0509">
        <w:trPr>
          <w:cantSplit/>
        </w:trPr>
        <w:tc>
          <w:tcPr>
            <w:tcW w:w="2235" w:type="dxa"/>
          </w:tcPr>
          <w:p w14:paraId="1B6805F5"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5F6" w14:textId="77777777" w:rsidR="00586AD4" w:rsidRPr="00654EF1" w:rsidRDefault="00586AD4" w:rsidP="001D5C8C">
            <w:pPr>
              <w:keepNext/>
              <w:widowControl w:val="0"/>
              <w:spacing w:line="240" w:lineRule="auto"/>
              <w:rPr>
                <w:color w:val="000000"/>
              </w:rPr>
            </w:pPr>
            <w:r w:rsidRPr="00654EF1">
              <w:rPr>
                <w:color w:val="000000"/>
                <w:szCs w:val="22"/>
                <w:lang w:val="fr-FR"/>
              </w:rPr>
              <w:t>Dyspnoea, epistaxis, cough</w:t>
            </w:r>
          </w:p>
        </w:tc>
      </w:tr>
      <w:tr w:rsidR="00586AD4" w:rsidRPr="00654EF1" w14:paraId="1B6805FA" w14:textId="77777777" w:rsidTr="009F0509">
        <w:trPr>
          <w:cantSplit/>
        </w:trPr>
        <w:tc>
          <w:tcPr>
            <w:tcW w:w="2235" w:type="dxa"/>
          </w:tcPr>
          <w:p w14:paraId="1B6805F8"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5F9" w14:textId="77777777" w:rsidR="00586AD4" w:rsidRPr="00654EF1" w:rsidRDefault="00586AD4" w:rsidP="001D5C8C">
            <w:pPr>
              <w:keepNext/>
              <w:widowControl w:val="0"/>
              <w:spacing w:line="240" w:lineRule="auto"/>
              <w:rPr>
                <w:color w:val="000000"/>
              </w:rPr>
            </w:pPr>
            <w:r w:rsidRPr="00654EF1">
              <w:rPr>
                <w:color w:val="000000"/>
                <w:szCs w:val="22"/>
              </w:rPr>
              <w:t>Pleural effusion</w:t>
            </w:r>
            <w:r w:rsidRPr="00654EF1">
              <w:rPr>
                <w:color w:val="000000"/>
                <w:szCs w:val="22"/>
                <w:vertAlign w:val="superscript"/>
              </w:rPr>
              <w:t>5</w:t>
            </w:r>
            <w:r w:rsidRPr="00654EF1">
              <w:rPr>
                <w:color w:val="000000"/>
                <w:szCs w:val="22"/>
              </w:rPr>
              <w:t xml:space="preserve">, pharyngolaryngeal pain, pharyngitis </w:t>
            </w:r>
          </w:p>
        </w:tc>
      </w:tr>
      <w:tr w:rsidR="00586AD4" w:rsidRPr="00654EF1" w14:paraId="1B6805FD" w14:textId="77777777" w:rsidTr="009F0509">
        <w:trPr>
          <w:cantSplit/>
        </w:trPr>
        <w:tc>
          <w:tcPr>
            <w:tcW w:w="2235" w:type="dxa"/>
          </w:tcPr>
          <w:p w14:paraId="1B6805FB"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5FC" w14:textId="77777777" w:rsidR="00586AD4" w:rsidRPr="00654EF1" w:rsidRDefault="00586AD4" w:rsidP="001D5C8C">
            <w:pPr>
              <w:keepNext/>
              <w:widowControl w:val="0"/>
              <w:spacing w:line="240" w:lineRule="auto"/>
              <w:rPr>
                <w:color w:val="000000"/>
              </w:rPr>
            </w:pPr>
            <w:r w:rsidRPr="00654EF1">
              <w:rPr>
                <w:color w:val="000000"/>
                <w:szCs w:val="22"/>
              </w:rPr>
              <w:t>Pleuritic pain, pulmonary fibrosis, pulmonary hypertension, pulmonary haemorrhage</w:t>
            </w:r>
          </w:p>
        </w:tc>
      </w:tr>
      <w:tr w:rsidR="00586AD4" w:rsidRPr="00654EF1" w14:paraId="1B680600" w14:textId="77777777" w:rsidTr="009F0509">
        <w:trPr>
          <w:cantSplit/>
        </w:trPr>
        <w:tc>
          <w:tcPr>
            <w:tcW w:w="2235" w:type="dxa"/>
          </w:tcPr>
          <w:p w14:paraId="1B6805FE"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5FF" w14:textId="77777777" w:rsidR="00586AD4" w:rsidRPr="00654EF1" w:rsidRDefault="00586AD4" w:rsidP="001D5C8C">
            <w:pPr>
              <w:widowControl w:val="0"/>
              <w:spacing w:line="240" w:lineRule="auto"/>
              <w:rPr>
                <w:color w:val="000000"/>
                <w:szCs w:val="22"/>
              </w:rPr>
            </w:pPr>
            <w:r w:rsidRPr="00654EF1">
              <w:rPr>
                <w:color w:val="000000"/>
                <w:szCs w:val="22"/>
              </w:rPr>
              <w:t>Acute respiratory failure</w:t>
            </w:r>
            <w:r w:rsidR="007F373C" w:rsidRPr="00654EF1">
              <w:rPr>
                <w:color w:val="000000"/>
                <w:szCs w:val="22"/>
                <w:vertAlign w:val="superscript"/>
              </w:rPr>
              <w:t>11</w:t>
            </w:r>
            <w:r w:rsidRPr="00654EF1">
              <w:rPr>
                <w:color w:val="000000"/>
                <w:szCs w:val="22"/>
              </w:rPr>
              <w:t>*, interstitial lung disease*</w:t>
            </w:r>
          </w:p>
        </w:tc>
      </w:tr>
      <w:tr w:rsidR="00586AD4" w:rsidRPr="00654EF1" w14:paraId="1B680602" w14:textId="77777777" w:rsidTr="009F0509">
        <w:trPr>
          <w:cantSplit/>
        </w:trPr>
        <w:tc>
          <w:tcPr>
            <w:tcW w:w="9322" w:type="dxa"/>
            <w:gridSpan w:val="2"/>
          </w:tcPr>
          <w:p w14:paraId="1B680601" w14:textId="77777777" w:rsidR="00586AD4" w:rsidRPr="00654EF1" w:rsidRDefault="00586AD4" w:rsidP="001D5C8C">
            <w:pPr>
              <w:keepNext/>
              <w:widowControl w:val="0"/>
              <w:spacing w:line="240" w:lineRule="auto"/>
              <w:rPr>
                <w:color w:val="000000"/>
                <w:lang w:val="fr-FR"/>
              </w:rPr>
            </w:pPr>
            <w:r w:rsidRPr="00654EF1">
              <w:rPr>
                <w:b/>
                <w:color w:val="000000"/>
                <w:szCs w:val="22"/>
              </w:rPr>
              <w:t>Gastrointestinal disorders</w:t>
            </w:r>
          </w:p>
        </w:tc>
      </w:tr>
      <w:tr w:rsidR="00586AD4" w:rsidRPr="00654EF1" w14:paraId="1B680605" w14:textId="77777777" w:rsidTr="009F0509">
        <w:trPr>
          <w:cantSplit/>
        </w:trPr>
        <w:tc>
          <w:tcPr>
            <w:tcW w:w="2235" w:type="dxa"/>
          </w:tcPr>
          <w:p w14:paraId="1B680603" w14:textId="77777777" w:rsidR="00586AD4" w:rsidRPr="00654EF1" w:rsidRDefault="00586AD4" w:rsidP="001D5C8C">
            <w:pPr>
              <w:keepNext/>
              <w:widowControl w:val="0"/>
              <w:spacing w:line="240" w:lineRule="auto"/>
              <w:rPr>
                <w:color w:val="000000"/>
              </w:rPr>
            </w:pPr>
            <w:r w:rsidRPr="00654EF1">
              <w:rPr>
                <w:i/>
                <w:color w:val="000000"/>
                <w:szCs w:val="22"/>
              </w:rPr>
              <w:t>Very common:</w:t>
            </w:r>
          </w:p>
        </w:tc>
        <w:tc>
          <w:tcPr>
            <w:tcW w:w="7087" w:type="dxa"/>
          </w:tcPr>
          <w:p w14:paraId="1B680604" w14:textId="77777777" w:rsidR="00586AD4" w:rsidRPr="00654EF1" w:rsidRDefault="00586AD4" w:rsidP="001D5C8C">
            <w:pPr>
              <w:keepNext/>
              <w:widowControl w:val="0"/>
              <w:spacing w:line="240" w:lineRule="auto"/>
              <w:rPr>
                <w:color w:val="000000"/>
              </w:rPr>
            </w:pPr>
            <w:r w:rsidRPr="00654EF1">
              <w:rPr>
                <w:color w:val="000000"/>
                <w:szCs w:val="22"/>
              </w:rPr>
              <w:t>Nausea, diarrhoea, vomiting, dyspepsia, abdominal pain</w:t>
            </w:r>
            <w:r w:rsidRPr="00654EF1">
              <w:rPr>
                <w:color w:val="000000"/>
                <w:szCs w:val="22"/>
                <w:vertAlign w:val="superscript"/>
              </w:rPr>
              <w:t>6</w:t>
            </w:r>
          </w:p>
        </w:tc>
      </w:tr>
      <w:tr w:rsidR="00586AD4" w:rsidRPr="00654EF1" w14:paraId="1B680608" w14:textId="77777777" w:rsidTr="009F0509">
        <w:trPr>
          <w:cantSplit/>
        </w:trPr>
        <w:tc>
          <w:tcPr>
            <w:tcW w:w="2235" w:type="dxa"/>
          </w:tcPr>
          <w:p w14:paraId="1B680606"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607" w14:textId="77777777" w:rsidR="00586AD4" w:rsidRPr="00654EF1" w:rsidRDefault="00586AD4" w:rsidP="001D5C8C">
            <w:pPr>
              <w:keepNext/>
              <w:widowControl w:val="0"/>
              <w:spacing w:line="240" w:lineRule="auto"/>
              <w:rPr>
                <w:color w:val="000000"/>
              </w:rPr>
            </w:pPr>
            <w:r w:rsidRPr="00654EF1">
              <w:rPr>
                <w:color w:val="000000"/>
                <w:szCs w:val="22"/>
              </w:rPr>
              <w:t>Flatulence, abdominal distension, gastro-oesophageal reflux, constipation, dry mouth, gastritis</w:t>
            </w:r>
          </w:p>
        </w:tc>
      </w:tr>
      <w:tr w:rsidR="00586AD4" w:rsidRPr="00654EF1" w14:paraId="1B68060B" w14:textId="77777777" w:rsidTr="009F0509">
        <w:trPr>
          <w:cantSplit/>
        </w:trPr>
        <w:tc>
          <w:tcPr>
            <w:tcW w:w="2235" w:type="dxa"/>
          </w:tcPr>
          <w:p w14:paraId="1B680609"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60A" w14:textId="77777777" w:rsidR="00586AD4" w:rsidRPr="00654EF1" w:rsidRDefault="00586AD4" w:rsidP="001D5C8C">
            <w:pPr>
              <w:keepNext/>
              <w:widowControl w:val="0"/>
              <w:spacing w:line="240" w:lineRule="auto"/>
              <w:rPr>
                <w:color w:val="000000"/>
              </w:rPr>
            </w:pPr>
            <w:r w:rsidRPr="00654EF1">
              <w:rPr>
                <w:color w:val="000000"/>
                <w:szCs w:val="22"/>
              </w:rPr>
              <w:t>Stomatitis, mouth ulceration, gastrointestinal haemorrhage</w:t>
            </w:r>
            <w:r w:rsidRPr="00654EF1">
              <w:rPr>
                <w:color w:val="000000"/>
                <w:szCs w:val="22"/>
                <w:vertAlign w:val="superscript"/>
              </w:rPr>
              <w:t>7</w:t>
            </w:r>
            <w:r w:rsidRPr="00654EF1">
              <w:rPr>
                <w:color w:val="000000"/>
                <w:szCs w:val="22"/>
              </w:rPr>
              <w:t>, eructation, melaena, oesophagitis, ascites, gastric ulcer, haematemesis, cheilitis, dysphagia, pancreatitis</w:t>
            </w:r>
          </w:p>
        </w:tc>
      </w:tr>
      <w:tr w:rsidR="00586AD4" w:rsidRPr="00654EF1" w14:paraId="1B68060E" w14:textId="77777777" w:rsidTr="009F0509">
        <w:trPr>
          <w:cantSplit/>
        </w:trPr>
        <w:tc>
          <w:tcPr>
            <w:tcW w:w="2235" w:type="dxa"/>
          </w:tcPr>
          <w:p w14:paraId="1B68060C"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60D" w14:textId="77777777" w:rsidR="00586AD4" w:rsidRPr="00654EF1" w:rsidRDefault="00586AD4" w:rsidP="001D5C8C">
            <w:pPr>
              <w:keepNext/>
              <w:widowControl w:val="0"/>
              <w:spacing w:line="240" w:lineRule="auto"/>
              <w:rPr>
                <w:snapToGrid w:val="0"/>
                <w:color w:val="000000"/>
                <w:szCs w:val="22"/>
                <w:lang w:val="en-US"/>
              </w:rPr>
            </w:pPr>
            <w:r w:rsidRPr="00654EF1">
              <w:rPr>
                <w:color w:val="000000"/>
                <w:szCs w:val="22"/>
              </w:rPr>
              <w:t xml:space="preserve">Colitis, </w:t>
            </w:r>
            <w:r w:rsidRPr="00654EF1">
              <w:rPr>
                <w:snapToGrid w:val="0"/>
                <w:color w:val="000000"/>
                <w:szCs w:val="22"/>
              </w:rPr>
              <w:t>ileus, inflammatory bowel disease</w:t>
            </w:r>
          </w:p>
        </w:tc>
      </w:tr>
      <w:tr w:rsidR="00586AD4" w:rsidRPr="00654EF1" w14:paraId="1B680611" w14:textId="77777777" w:rsidTr="009F0509">
        <w:trPr>
          <w:cantSplit/>
        </w:trPr>
        <w:tc>
          <w:tcPr>
            <w:tcW w:w="2235" w:type="dxa"/>
          </w:tcPr>
          <w:p w14:paraId="1B68060F"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610" w14:textId="77777777" w:rsidR="00586AD4" w:rsidRPr="00280050" w:rsidRDefault="00586AD4" w:rsidP="001D5C8C">
            <w:pPr>
              <w:widowControl w:val="0"/>
              <w:spacing w:line="240" w:lineRule="auto"/>
              <w:rPr>
                <w:color w:val="000000"/>
                <w:szCs w:val="22"/>
              </w:rPr>
            </w:pPr>
            <w:r w:rsidRPr="00280050">
              <w:rPr>
                <w:color w:val="000000"/>
                <w:szCs w:val="22"/>
              </w:rPr>
              <w:t>Ileus/intestinal obstruction</w:t>
            </w:r>
            <w:r w:rsidR="008F2DE5" w:rsidRPr="00280050">
              <w:rPr>
                <w:color w:val="000000"/>
                <w:szCs w:val="22"/>
              </w:rPr>
              <w:t>*</w:t>
            </w:r>
            <w:r w:rsidRPr="00280050">
              <w:rPr>
                <w:color w:val="000000"/>
                <w:szCs w:val="22"/>
              </w:rPr>
              <w:t>, gastrointestinal perforation*</w:t>
            </w:r>
            <w:r w:rsidRPr="00654EF1">
              <w:rPr>
                <w:snapToGrid w:val="0"/>
                <w:color w:val="000000"/>
                <w:szCs w:val="22"/>
              </w:rPr>
              <w:t>, diverticulitis*, gastric antral vascular ectasia (GAVE)*</w:t>
            </w:r>
          </w:p>
        </w:tc>
      </w:tr>
      <w:tr w:rsidR="00586AD4" w:rsidRPr="00654EF1" w14:paraId="1B680613" w14:textId="77777777" w:rsidTr="009F0509">
        <w:trPr>
          <w:cantSplit/>
        </w:trPr>
        <w:tc>
          <w:tcPr>
            <w:tcW w:w="9322" w:type="dxa"/>
            <w:gridSpan w:val="2"/>
          </w:tcPr>
          <w:p w14:paraId="1B680612" w14:textId="77777777" w:rsidR="00586AD4" w:rsidRPr="00654EF1" w:rsidRDefault="00586AD4" w:rsidP="001D5C8C">
            <w:pPr>
              <w:keepNext/>
              <w:widowControl w:val="0"/>
              <w:spacing w:line="240" w:lineRule="auto"/>
              <w:rPr>
                <w:snapToGrid w:val="0"/>
                <w:color w:val="000000"/>
                <w:szCs w:val="22"/>
                <w:lang w:val="fr-FR"/>
              </w:rPr>
            </w:pPr>
            <w:r w:rsidRPr="00654EF1">
              <w:rPr>
                <w:b/>
                <w:color w:val="000000"/>
                <w:szCs w:val="22"/>
              </w:rPr>
              <w:t>Hepatobiliary disorders</w:t>
            </w:r>
          </w:p>
        </w:tc>
      </w:tr>
      <w:tr w:rsidR="00586AD4" w:rsidRPr="00654EF1" w14:paraId="1B680616" w14:textId="77777777" w:rsidTr="009F0509">
        <w:trPr>
          <w:cantSplit/>
        </w:trPr>
        <w:tc>
          <w:tcPr>
            <w:tcW w:w="2235" w:type="dxa"/>
          </w:tcPr>
          <w:p w14:paraId="1B680614"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615" w14:textId="77777777" w:rsidR="00586AD4" w:rsidRPr="00654EF1" w:rsidRDefault="00586AD4" w:rsidP="001D5C8C">
            <w:pPr>
              <w:keepNext/>
              <w:widowControl w:val="0"/>
              <w:spacing w:line="240" w:lineRule="auto"/>
              <w:rPr>
                <w:color w:val="000000"/>
                <w:szCs w:val="22"/>
              </w:rPr>
            </w:pPr>
            <w:r w:rsidRPr="00654EF1">
              <w:rPr>
                <w:color w:val="000000"/>
                <w:szCs w:val="22"/>
              </w:rPr>
              <w:t>Increased hepatic enzymes</w:t>
            </w:r>
          </w:p>
        </w:tc>
      </w:tr>
      <w:tr w:rsidR="00586AD4" w:rsidRPr="00654EF1" w14:paraId="1B680619" w14:textId="77777777" w:rsidTr="009F0509">
        <w:trPr>
          <w:cantSplit/>
        </w:trPr>
        <w:tc>
          <w:tcPr>
            <w:tcW w:w="2235" w:type="dxa"/>
          </w:tcPr>
          <w:p w14:paraId="1B680617"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618" w14:textId="77777777" w:rsidR="00586AD4" w:rsidRPr="00654EF1" w:rsidRDefault="00586AD4" w:rsidP="001D5C8C">
            <w:pPr>
              <w:keepNext/>
              <w:widowControl w:val="0"/>
              <w:spacing w:line="240" w:lineRule="auto"/>
              <w:rPr>
                <w:color w:val="000000"/>
                <w:szCs w:val="22"/>
              </w:rPr>
            </w:pPr>
            <w:r w:rsidRPr="00654EF1">
              <w:rPr>
                <w:color w:val="000000"/>
                <w:szCs w:val="22"/>
              </w:rPr>
              <w:t>Hyperbilirubinaemia, hepatitis, jaundice</w:t>
            </w:r>
          </w:p>
        </w:tc>
      </w:tr>
      <w:tr w:rsidR="00586AD4" w:rsidRPr="00654EF1" w14:paraId="1B68061C" w14:textId="77777777" w:rsidTr="009F0509">
        <w:trPr>
          <w:cantSplit/>
        </w:trPr>
        <w:tc>
          <w:tcPr>
            <w:tcW w:w="2235" w:type="dxa"/>
          </w:tcPr>
          <w:p w14:paraId="1B68061A" w14:textId="77777777" w:rsidR="00586AD4" w:rsidRPr="00654EF1" w:rsidRDefault="00586AD4" w:rsidP="001D5C8C">
            <w:pPr>
              <w:widowControl w:val="0"/>
              <w:spacing w:line="240" w:lineRule="auto"/>
              <w:rPr>
                <w:i/>
                <w:color w:val="000000"/>
                <w:szCs w:val="22"/>
              </w:rPr>
            </w:pPr>
            <w:r w:rsidRPr="00654EF1">
              <w:rPr>
                <w:i/>
                <w:color w:val="000000"/>
                <w:szCs w:val="22"/>
              </w:rPr>
              <w:t>Rare:</w:t>
            </w:r>
          </w:p>
        </w:tc>
        <w:tc>
          <w:tcPr>
            <w:tcW w:w="7087" w:type="dxa"/>
          </w:tcPr>
          <w:p w14:paraId="1B68061B" w14:textId="77777777" w:rsidR="00586AD4" w:rsidRPr="00654EF1" w:rsidRDefault="00586AD4" w:rsidP="001D5C8C">
            <w:pPr>
              <w:widowControl w:val="0"/>
              <w:spacing w:line="240" w:lineRule="auto"/>
              <w:rPr>
                <w:color w:val="000000"/>
                <w:szCs w:val="22"/>
              </w:rPr>
            </w:pPr>
            <w:r w:rsidRPr="00654EF1">
              <w:rPr>
                <w:color w:val="000000"/>
                <w:szCs w:val="22"/>
              </w:rPr>
              <w:t>Hepatic failure</w:t>
            </w:r>
            <w:r w:rsidRPr="00654EF1">
              <w:rPr>
                <w:color w:val="000000"/>
                <w:szCs w:val="22"/>
                <w:vertAlign w:val="superscript"/>
              </w:rPr>
              <w:t>8</w:t>
            </w:r>
            <w:r w:rsidRPr="00654EF1">
              <w:rPr>
                <w:color w:val="000000"/>
                <w:szCs w:val="22"/>
              </w:rPr>
              <w:t>, hepatic necrosis</w:t>
            </w:r>
          </w:p>
        </w:tc>
      </w:tr>
      <w:tr w:rsidR="00586AD4" w:rsidRPr="00654EF1" w14:paraId="1B68061E" w14:textId="77777777" w:rsidTr="009F0509">
        <w:trPr>
          <w:cantSplit/>
        </w:trPr>
        <w:tc>
          <w:tcPr>
            <w:tcW w:w="9322" w:type="dxa"/>
            <w:gridSpan w:val="2"/>
          </w:tcPr>
          <w:p w14:paraId="1B68061D" w14:textId="77777777" w:rsidR="00586AD4" w:rsidRPr="00654EF1" w:rsidRDefault="00586AD4" w:rsidP="001D5C8C">
            <w:pPr>
              <w:keepNext/>
              <w:widowControl w:val="0"/>
              <w:spacing w:line="240" w:lineRule="auto"/>
              <w:rPr>
                <w:color w:val="000000"/>
              </w:rPr>
            </w:pPr>
            <w:r w:rsidRPr="00654EF1">
              <w:rPr>
                <w:b/>
                <w:color w:val="000000"/>
                <w:szCs w:val="22"/>
              </w:rPr>
              <w:lastRenderedPageBreak/>
              <w:t>Skin and subcutaneous tissue disorders</w:t>
            </w:r>
          </w:p>
        </w:tc>
      </w:tr>
      <w:tr w:rsidR="00586AD4" w:rsidRPr="00280050" w14:paraId="1B680621" w14:textId="77777777" w:rsidTr="009F0509">
        <w:trPr>
          <w:cantSplit/>
        </w:trPr>
        <w:tc>
          <w:tcPr>
            <w:tcW w:w="2235" w:type="dxa"/>
          </w:tcPr>
          <w:p w14:paraId="1B68061F" w14:textId="77777777" w:rsidR="00586AD4" w:rsidRPr="00654EF1" w:rsidRDefault="00586AD4" w:rsidP="001D5C8C">
            <w:pPr>
              <w:keepNext/>
              <w:widowControl w:val="0"/>
              <w:spacing w:line="240" w:lineRule="auto"/>
              <w:rPr>
                <w:color w:val="000000"/>
              </w:rPr>
            </w:pPr>
            <w:r w:rsidRPr="00654EF1">
              <w:rPr>
                <w:i/>
                <w:color w:val="000000"/>
                <w:szCs w:val="22"/>
              </w:rPr>
              <w:t>Very common:</w:t>
            </w:r>
          </w:p>
        </w:tc>
        <w:tc>
          <w:tcPr>
            <w:tcW w:w="7087" w:type="dxa"/>
          </w:tcPr>
          <w:p w14:paraId="1B680620" w14:textId="77777777" w:rsidR="00586AD4" w:rsidRPr="00280050" w:rsidRDefault="00586AD4" w:rsidP="001D5C8C">
            <w:pPr>
              <w:keepNext/>
              <w:widowControl w:val="0"/>
              <w:spacing w:line="240" w:lineRule="auto"/>
              <w:rPr>
                <w:color w:val="000000"/>
                <w:lang w:val="pt-PT"/>
              </w:rPr>
            </w:pPr>
            <w:r w:rsidRPr="00654EF1">
              <w:rPr>
                <w:color w:val="000000"/>
                <w:szCs w:val="22"/>
                <w:lang w:val="pt-PT"/>
              </w:rPr>
              <w:t>Periorbital oedema, dermatitis/eczema/rash</w:t>
            </w:r>
          </w:p>
        </w:tc>
      </w:tr>
      <w:tr w:rsidR="00586AD4" w:rsidRPr="00654EF1" w14:paraId="1B680624" w14:textId="77777777" w:rsidTr="009F0509">
        <w:trPr>
          <w:cantSplit/>
        </w:trPr>
        <w:tc>
          <w:tcPr>
            <w:tcW w:w="2235" w:type="dxa"/>
          </w:tcPr>
          <w:p w14:paraId="1B680622" w14:textId="77777777" w:rsidR="00586AD4" w:rsidRPr="00654EF1" w:rsidRDefault="00586AD4" w:rsidP="001D5C8C">
            <w:pPr>
              <w:keepNext/>
              <w:widowControl w:val="0"/>
              <w:spacing w:line="240" w:lineRule="auto"/>
              <w:rPr>
                <w:color w:val="000000"/>
              </w:rPr>
            </w:pPr>
            <w:r w:rsidRPr="00654EF1">
              <w:rPr>
                <w:i/>
                <w:color w:val="000000"/>
                <w:szCs w:val="22"/>
              </w:rPr>
              <w:t>Common:</w:t>
            </w:r>
          </w:p>
        </w:tc>
        <w:tc>
          <w:tcPr>
            <w:tcW w:w="7087" w:type="dxa"/>
          </w:tcPr>
          <w:p w14:paraId="1B680623" w14:textId="77777777" w:rsidR="00586AD4" w:rsidRPr="00654EF1" w:rsidRDefault="00586AD4" w:rsidP="001D5C8C">
            <w:pPr>
              <w:keepNext/>
              <w:widowControl w:val="0"/>
              <w:spacing w:line="240" w:lineRule="auto"/>
              <w:rPr>
                <w:color w:val="000000"/>
              </w:rPr>
            </w:pPr>
            <w:r w:rsidRPr="00280050">
              <w:rPr>
                <w:color w:val="000000"/>
                <w:szCs w:val="22"/>
              </w:rPr>
              <w:t>Pruritus, face oedema, dry skin, erythema, alopecia, night sweats, photosensitivity reaction</w:t>
            </w:r>
          </w:p>
        </w:tc>
      </w:tr>
      <w:tr w:rsidR="00586AD4" w:rsidRPr="00654EF1" w14:paraId="1B680627" w14:textId="77777777" w:rsidTr="009F0509">
        <w:trPr>
          <w:cantSplit/>
        </w:trPr>
        <w:tc>
          <w:tcPr>
            <w:tcW w:w="2235" w:type="dxa"/>
          </w:tcPr>
          <w:p w14:paraId="1B680625"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626" w14:textId="77777777" w:rsidR="00586AD4" w:rsidRPr="00280050" w:rsidRDefault="00586AD4" w:rsidP="001D5C8C">
            <w:pPr>
              <w:keepNext/>
              <w:widowControl w:val="0"/>
              <w:spacing w:line="240" w:lineRule="auto"/>
              <w:rPr>
                <w:color w:val="000000"/>
                <w:szCs w:val="22"/>
              </w:rPr>
            </w:pPr>
            <w:r w:rsidRPr="00280050">
              <w:rPr>
                <w:color w:val="000000"/>
                <w:szCs w:val="22"/>
              </w:rPr>
              <w:t>Rash pustular, contusion, sweating increased, urticaria, ecchymosis, increased tendency to bruise, hypotrichosis, skin hypopigmentation, dermatitis exfoliative, onychoclasis, folliculitis, petechiae, psoriasis, purpura, skin hyperpigmentation, bullous eruptions</w:t>
            </w:r>
          </w:p>
        </w:tc>
      </w:tr>
      <w:tr w:rsidR="00586AD4" w:rsidRPr="00654EF1" w14:paraId="1B68062A" w14:textId="77777777" w:rsidTr="009F0509">
        <w:trPr>
          <w:cantSplit/>
        </w:trPr>
        <w:tc>
          <w:tcPr>
            <w:tcW w:w="2235" w:type="dxa"/>
          </w:tcPr>
          <w:p w14:paraId="1B680628" w14:textId="77777777" w:rsidR="00586AD4" w:rsidRPr="00654EF1" w:rsidRDefault="00586AD4" w:rsidP="001D5C8C">
            <w:pPr>
              <w:keepNext/>
              <w:widowControl w:val="0"/>
              <w:spacing w:line="240" w:lineRule="auto"/>
              <w:rPr>
                <w:color w:val="000000"/>
              </w:rPr>
            </w:pPr>
            <w:r w:rsidRPr="00654EF1">
              <w:rPr>
                <w:i/>
                <w:color w:val="000000"/>
                <w:szCs w:val="22"/>
              </w:rPr>
              <w:t>Rare:</w:t>
            </w:r>
          </w:p>
        </w:tc>
        <w:tc>
          <w:tcPr>
            <w:tcW w:w="7087" w:type="dxa"/>
          </w:tcPr>
          <w:p w14:paraId="1B680629" w14:textId="77777777" w:rsidR="00586AD4" w:rsidRPr="00280050" w:rsidRDefault="00586AD4" w:rsidP="001D5C8C">
            <w:pPr>
              <w:keepNext/>
              <w:widowControl w:val="0"/>
              <w:spacing w:line="240" w:lineRule="auto"/>
              <w:rPr>
                <w:color w:val="000000"/>
              </w:rPr>
            </w:pPr>
            <w:r w:rsidRPr="00280050">
              <w:rPr>
                <w:color w:val="000000"/>
                <w:szCs w:val="22"/>
              </w:rPr>
              <w:t>Acute febrile neutrophilic dermatosis (Sweet’s syndrome), nail discolouration, angioneurotic oedema, rash vesicular, erythema multiforme, leucocytoclastic vasculitis, Stevens-Johnson syndrome</w:t>
            </w:r>
            <w:r w:rsidRPr="00654EF1">
              <w:rPr>
                <w:color w:val="000000"/>
                <w:szCs w:val="22"/>
              </w:rPr>
              <w:t>, acute generalised exanthematous pustulosis (AGEP)</w:t>
            </w:r>
          </w:p>
        </w:tc>
      </w:tr>
      <w:tr w:rsidR="00586AD4" w:rsidRPr="00654EF1" w14:paraId="1B68062D" w14:textId="77777777" w:rsidTr="009F0509">
        <w:trPr>
          <w:cantSplit/>
        </w:trPr>
        <w:tc>
          <w:tcPr>
            <w:tcW w:w="2235" w:type="dxa"/>
          </w:tcPr>
          <w:p w14:paraId="1B68062B"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62C" w14:textId="77777777" w:rsidR="00586AD4" w:rsidRPr="00280050" w:rsidRDefault="00586AD4" w:rsidP="001D5C8C">
            <w:pPr>
              <w:widowControl w:val="0"/>
              <w:spacing w:line="240" w:lineRule="auto"/>
              <w:rPr>
                <w:color w:val="000000"/>
                <w:szCs w:val="22"/>
              </w:rPr>
            </w:pPr>
            <w:r w:rsidRPr="00654EF1">
              <w:rPr>
                <w:color w:val="000000"/>
                <w:szCs w:val="22"/>
              </w:rPr>
              <w:t>P</w:t>
            </w:r>
            <w:r w:rsidRPr="00280050">
              <w:rPr>
                <w:color w:val="000000"/>
                <w:szCs w:val="22"/>
              </w:rPr>
              <w:t xml:space="preserve">almoplantar erythrodysesthesia syndrome*, </w:t>
            </w:r>
            <w:r w:rsidRPr="00654EF1">
              <w:rPr>
                <w:color w:val="000000"/>
                <w:szCs w:val="22"/>
              </w:rPr>
              <w:t>lichenoid keratosis*, lichen planus*, t</w:t>
            </w:r>
            <w:r w:rsidRPr="00280050">
              <w:rPr>
                <w:color w:val="000000"/>
                <w:szCs w:val="22"/>
              </w:rPr>
              <w:t>oxic epidermal necrolysis</w:t>
            </w:r>
            <w:r w:rsidRPr="00654EF1">
              <w:rPr>
                <w:color w:val="000000"/>
                <w:szCs w:val="22"/>
              </w:rPr>
              <w:t xml:space="preserve">*, </w:t>
            </w:r>
            <w:r w:rsidRPr="00280050">
              <w:rPr>
                <w:color w:val="000000"/>
                <w:szCs w:val="22"/>
              </w:rPr>
              <w:t>drug rash with eosinophilia and systemic symptoms (DRESS)</w:t>
            </w:r>
            <w:r w:rsidRPr="00654EF1">
              <w:rPr>
                <w:color w:val="000000"/>
                <w:szCs w:val="22"/>
              </w:rPr>
              <w:t>*</w:t>
            </w:r>
            <w:r w:rsidR="002E726C" w:rsidRPr="00654EF1">
              <w:rPr>
                <w:color w:val="000000"/>
                <w:szCs w:val="22"/>
              </w:rPr>
              <w:t>, pseudoporphyria*</w:t>
            </w:r>
          </w:p>
        </w:tc>
      </w:tr>
      <w:tr w:rsidR="00586AD4" w:rsidRPr="00654EF1" w14:paraId="1B68062F" w14:textId="77777777" w:rsidTr="009F0509">
        <w:trPr>
          <w:cantSplit/>
        </w:trPr>
        <w:tc>
          <w:tcPr>
            <w:tcW w:w="9322" w:type="dxa"/>
            <w:gridSpan w:val="2"/>
          </w:tcPr>
          <w:p w14:paraId="1B68062E" w14:textId="77777777" w:rsidR="00586AD4" w:rsidRPr="00280050" w:rsidRDefault="00586AD4" w:rsidP="001D5C8C">
            <w:pPr>
              <w:keepNext/>
              <w:widowControl w:val="0"/>
              <w:spacing w:line="240" w:lineRule="auto"/>
              <w:rPr>
                <w:color w:val="000000"/>
                <w:szCs w:val="22"/>
              </w:rPr>
            </w:pPr>
            <w:r w:rsidRPr="00654EF1">
              <w:rPr>
                <w:b/>
                <w:color w:val="000000"/>
                <w:szCs w:val="22"/>
              </w:rPr>
              <w:t>Musculoskeletal and connective tissue disorders</w:t>
            </w:r>
          </w:p>
        </w:tc>
      </w:tr>
      <w:tr w:rsidR="00586AD4" w:rsidRPr="00654EF1" w14:paraId="1B680632" w14:textId="77777777" w:rsidTr="009F0509">
        <w:trPr>
          <w:cantSplit/>
        </w:trPr>
        <w:tc>
          <w:tcPr>
            <w:tcW w:w="2235" w:type="dxa"/>
          </w:tcPr>
          <w:p w14:paraId="1B680630" w14:textId="77777777" w:rsidR="00586AD4" w:rsidRPr="00654EF1" w:rsidRDefault="00586AD4" w:rsidP="001D5C8C">
            <w:pPr>
              <w:keepNext/>
              <w:widowControl w:val="0"/>
              <w:spacing w:line="240" w:lineRule="auto"/>
              <w:rPr>
                <w:i/>
                <w:color w:val="000000"/>
                <w:szCs w:val="22"/>
              </w:rPr>
            </w:pPr>
            <w:r w:rsidRPr="00654EF1">
              <w:rPr>
                <w:i/>
                <w:color w:val="000000"/>
                <w:szCs w:val="22"/>
              </w:rPr>
              <w:t>Very common:</w:t>
            </w:r>
          </w:p>
        </w:tc>
        <w:tc>
          <w:tcPr>
            <w:tcW w:w="7087" w:type="dxa"/>
          </w:tcPr>
          <w:p w14:paraId="1B680631" w14:textId="77777777" w:rsidR="002823B9" w:rsidRPr="00280050" w:rsidRDefault="00586AD4" w:rsidP="001D5C8C">
            <w:pPr>
              <w:keepNext/>
              <w:widowControl w:val="0"/>
              <w:spacing w:line="240" w:lineRule="auto"/>
              <w:rPr>
                <w:color w:val="000000"/>
                <w:szCs w:val="22"/>
              </w:rPr>
            </w:pPr>
            <w:r w:rsidRPr="00654EF1">
              <w:rPr>
                <w:color w:val="000000"/>
                <w:szCs w:val="22"/>
              </w:rPr>
              <w:t>Muscle spasm and cramps, musculoskeletal pain including myalgia</w:t>
            </w:r>
            <w:r w:rsidR="005F2EF7" w:rsidRPr="00654EF1">
              <w:rPr>
                <w:color w:val="000000"/>
                <w:szCs w:val="22"/>
                <w:vertAlign w:val="superscript"/>
              </w:rPr>
              <w:t>9</w:t>
            </w:r>
            <w:r w:rsidRPr="00654EF1">
              <w:rPr>
                <w:color w:val="000000"/>
                <w:szCs w:val="22"/>
              </w:rPr>
              <w:t xml:space="preserve">, arthralgia, bone </w:t>
            </w:r>
            <w:r w:rsidR="007F373C" w:rsidRPr="00654EF1">
              <w:rPr>
                <w:color w:val="000000"/>
                <w:szCs w:val="22"/>
              </w:rPr>
              <w:t>pain</w:t>
            </w:r>
            <w:r w:rsidR="007F373C" w:rsidRPr="00654EF1">
              <w:rPr>
                <w:color w:val="000000"/>
                <w:szCs w:val="22"/>
                <w:vertAlign w:val="superscript"/>
              </w:rPr>
              <w:t>10</w:t>
            </w:r>
          </w:p>
        </w:tc>
      </w:tr>
      <w:tr w:rsidR="00586AD4" w:rsidRPr="00654EF1" w14:paraId="1B680635" w14:textId="77777777" w:rsidTr="009F0509">
        <w:trPr>
          <w:cantSplit/>
        </w:trPr>
        <w:tc>
          <w:tcPr>
            <w:tcW w:w="2235" w:type="dxa"/>
          </w:tcPr>
          <w:p w14:paraId="1B680633"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634" w14:textId="77777777" w:rsidR="00586AD4" w:rsidRPr="00654EF1" w:rsidRDefault="00586AD4" w:rsidP="001D5C8C">
            <w:pPr>
              <w:keepNext/>
              <w:widowControl w:val="0"/>
              <w:spacing w:line="240" w:lineRule="auto"/>
              <w:rPr>
                <w:color w:val="000000"/>
                <w:szCs w:val="22"/>
                <w:lang w:val="pt-PT"/>
              </w:rPr>
            </w:pPr>
            <w:r w:rsidRPr="00654EF1">
              <w:rPr>
                <w:color w:val="000000"/>
                <w:szCs w:val="22"/>
              </w:rPr>
              <w:t>Joint swelling</w:t>
            </w:r>
          </w:p>
        </w:tc>
      </w:tr>
      <w:tr w:rsidR="00586AD4" w:rsidRPr="00654EF1" w14:paraId="1B680638" w14:textId="77777777" w:rsidTr="009F0509">
        <w:trPr>
          <w:cantSplit/>
        </w:trPr>
        <w:tc>
          <w:tcPr>
            <w:tcW w:w="2235" w:type="dxa"/>
          </w:tcPr>
          <w:p w14:paraId="1B680636"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637" w14:textId="77777777" w:rsidR="00586AD4" w:rsidRPr="00654EF1" w:rsidRDefault="00586AD4" w:rsidP="001D5C8C">
            <w:pPr>
              <w:keepNext/>
              <w:widowControl w:val="0"/>
              <w:spacing w:line="240" w:lineRule="auto"/>
              <w:rPr>
                <w:color w:val="000000"/>
                <w:szCs w:val="22"/>
                <w:lang w:val="pt-PT"/>
              </w:rPr>
            </w:pPr>
            <w:r w:rsidRPr="00654EF1">
              <w:rPr>
                <w:color w:val="000000"/>
                <w:szCs w:val="22"/>
              </w:rPr>
              <w:t>Joint and muscle stiffness</w:t>
            </w:r>
          </w:p>
        </w:tc>
      </w:tr>
      <w:tr w:rsidR="00586AD4" w:rsidRPr="00654EF1" w14:paraId="1B68063B" w14:textId="77777777" w:rsidTr="009F0509">
        <w:trPr>
          <w:cantSplit/>
        </w:trPr>
        <w:tc>
          <w:tcPr>
            <w:tcW w:w="2235" w:type="dxa"/>
          </w:tcPr>
          <w:p w14:paraId="1B680639" w14:textId="77777777" w:rsidR="00586AD4" w:rsidRPr="00654EF1" w:rsidRDefault="00586AD4" w:rsidP="001D5C8C">
            <w:pPr>
              <w:keepNext/>
              <w:widowControl w:val="0"/>
              <w:spacing w:line="240" w:lineRule="auto"/>
              <w:rPr>
                <w:i/>
                <w:color w:val="000000"/>
                <w:szCs w:val="22"/>
              </w:rPr>
            </w:pPr>
            <w:r w:rsidRPr="00654EF1">
              <w:rPr>
                <w:i/>
                <w:color w:val="000000"/>
                <w:szCs w:val="22"/>
              </w:rPr>
              <w:t>Rare:</w:t>
            </w:r>
          </w:p>
        </w:tc>
        <w:tc>
          <w:tcPr>
            <w:tcW w:w="7087" w:type="dxa"/>
          </w:tcPr>
          <w:p w14:paraId="1B68063A" w14:textId="77777777" w:rsidR="00586AD4" w:rsidRPr="00280050" w:rsidRDefault="00586AD4" w:rsidP="001D5C8C">
            <w:pPr>
              <w:keepNext/>
              <w:widowControl w:val="0"/>
              <w:spacing w:line="240" w:lineRule="auto"/>
              <w:rPr>
                <w:color w:val="000000"/>
                <w:szCs w:val="22"/>
              </w:rPr>
            </w:pPr>
            <w:r w:rsidRPr="00654EF1">
              <w:rPr>
                <w:bCs/>
                <w:color w:val="000000"/>
                <w:szCs w:val="22"/>
              </w:rPr>
              <w:t xml:space="preserve">Muscular weakness, arthritis, </w:t>
            </w:r>
            <w:r w:rsidRPr="00654EF1">
              <w:rPr>
                <w:color w:val="000000"/>
                <w:szCs w:val="22"/>
              </w:rPr>
              <w:t>rhabdomyolysis/myopathy</w:t>
            </w:r>
          </w:p>
        </w:tc>
      </w:tr>
      <w:tr w:rsidR="00586AD4" w:rsidRPr="00654EF1" w14:paraId="1B68063E" w14:textId="77777777" w:rsidTr="009F0509">
        <w:trPr>
          <w:cantSplit/>
        </w:trPr>
        <w:tc>
          <w:tcPr>
            <w:tcW w:w="2235" w:type="dxa"/>
          </w:tcPr>
          <w:p w14:paraId="1B68063C" w14:textId="77777777" w:rsidR="00586AD4" w:rsidRPr="00654EF1" w:rsidRDefault="00586AD4" w:rsidP="001D5C8C">
            <w:pPr>
              <w:widowControl w:val="0"/>
              <w:spacing w:line="240" w:lineRule="auto"/>
              <w:rPr>
                <w:i/>
                <w:color w:val="000000"/>
                <w:szCs w:val="22"/>
              </w:rPr>
            </w:pPr>
            <w:r w:rsidRPr="00654EF1">
              <w:rPr>
                <w:i/>
                <w:color w:val="000000"/>
                <w:szCs w:val="22"/>
              </w:rPr>
              <w:t>Not known:</w:t>
            </w:r>
          </w:p>
        </w:tc>
        <w:tc>
          <w:tcPr>
            <w:tcW w:w="7087" w:type="dxa"/>
          </w:tcPr>
          <w:p w14:paraId="1B68063D" w14:textId="77777777" w:rsidR="00586AD4" w:rsidRPr="00654EF1" w:rsidRDefault="00586AD4" w:rsidP="001D5C8C">
            <w:pPr>
              <w:widowControl w:val="0"/>
              <w:spacing w:line="240" w:lineRule="auto"/>
              <w:rPr>
                <w:bCs/>
                <w:color w:val="000000"/>
                <w:szCs w:val="22"/>
              </w:rPr>
            </w:pPr>
            <w:r w:rsidRPr="00654EF1">
              <w:rPr>
                <w:color w:val="000000"/>
                <w:szCs w:val="22"/>
              </w:rPr>
              <w:t>Avascular necrosis/hip necrosis*, g</w:t>
            </w:r>
            <w:r w:rsidRPr="00654EF1">
              <w:rPr>
                <w:bCs/>
                <w:color w:val="000000"/>
                <w:szCs w:val="22"/>
              </w:rPr>
              <w:t>rowth retardation in children</w:t>
            </w:r>
            <w:r w:rsidRPr="00654EF1">
              <w:rPr>
                <w:color w:val="000000"/>
                <w:szCs w:val="22"/>
              </w:rPr>
              <w:t>*</w:t>
            </w:r>
          </w:p>
        </w:tc>
      </w:tr>
      <w:tr w:rsidR="00586AD4" w:rsidRPr="00654EF1" w14:paraId="1B680640" w14:textId="77777777" w:rsidTr="009F0509">
        <w:trPr>
          <w:cantSplit/>
        </w:trPr>
        <w:tc>
          <w:tcPr>
            <w:tcW w:w="9322" w:type="dxa"/>
            <w:gridSpan w:val="2"/>
          </w:tcPr>
          <w:p w14:paraId="1B68063F" w14:textId="77777777" w:rsidR="00586AD4" w:rsidRPr="00654EF1" w:rsidRDefault="00586AD4" w:rsidP="001D5C8C">
            <w:pPr>
              <w:keepNext/>
              <w:widowControl w:val="0"/>
              <w:spacing w:line="240" w:lineRule="auto"/>
              <w:rPr>
                <w:b/>
                <w:color w:val="000000"/>
                <w:szCs w:val="22"/>
                <w:u w:val="single"/>
              </w:rPr>
            </w:pPr>
            <w:r w:rsidRPr="00654EF1">
              <w:rPr>
                <w:b/>
                <w:color w:val="000000"/>
                <w:szCs w:val="22"/>
              </w:rPr>
              <w:t>Renal and urinary disorders</w:t>
            </w:r>
          </w:p>
        </w:tc>
      </w:tr>
      <w:tr w:rsidR="00586AD4" w:rsidRPr="00654EF1" w14:paraId="1B680643" w14:textId="77777777" w:rsidTr="009F0509">
        <w:trPr>
          <w:cantSplit/>
        </w:trPr>
        <w:tc>
          <w:tcPr>
            <w:tcW w:w="2235" w:type="dxa"/>
          </w:tcPr>
          <w:p w14:paraId="1B680641" w14:textId="77777777" w:rsidR="00586AD4" w:rsidRPr="00654EF1" w:rsidRDefault="00586AD4" w:rsidP="001D5C8C">
            <w:pPr>
              <w:keepNext/>
              <w:widowControl w:val="0"/>
              <w:spacing w:line="240" w:lineRule="auto"/>
              <w:rPr>
                <w:color w:val="000000"/>
              </w:rPr>
            </w:pPr>
            <w:r w:rsidRPr="00654EF1">
              <w:rPr>
                <w:i/>
                <w:color w:val="000000"/>
                <w:szCs w:val="22"/>
              </w:rPr>
              <w:t>Uncommon:</w:t>
            </w:r>
          </w:p>
        </w:tc>
        <w:tc>
          <w:tcPr>
            <w:tcW w:w="7087" w:type="dxa"/>
          </w:tcPr>
          <w:p w14:paraId="1B680642" w14:textId="77777777" w:rsidR="00586AD4" w:rsidRPr="00654EF1" w:rsidRDefault="00586AD4" w:rsidP="001D5C8C">
            <w:pPr>
              <w:keepNext/>
              <w:widowControl w:val="0"/>
              <w:spacing w:line="240" w:lineRule="auto"/>
              <w:rPr>
                <w:color w:val="000000"/>
              </w:rPr>
            </w:pPr>
            <w:r w:rsidRPr="00654EF1">
              <w:rPr>
                <w:color w:val="000000"/>
                <w:szCs w:val="22"/>
              </w:rPr>
              <w:t>Renal pain, haematuria, renal failure acute, urinary frequency increased</w:t>
            </w:r>
          </w:p>
        </w:tc>
      </w:tr>
      <w:tr w:rsidR="00FF7AE4" w:rsidRPr="00654EF1" w14:paraId="1B680646" w14:textId="77777777" w:rsidTr="009F0509">
        <w:trPr>
          <w:cantSplit/>
        </w:trPr>
        <w:tc>
          <w:tcPr>
            <w:tcW w:w="2235" w:type="dxa"/>
          </w:tcPr>
          <w:p w14:paraId="1B680644" w14:textId="77777777" w:rsidR="00FF7AE4" w:rsidRPr="00654EF1" w:rsidRDefault="00FF7AE4" w:rsidP="001D5C8C">
            <w:pPr>
              <w:widowControl w:val="0"/>
              <w:spacing w:line="240" w:lineRule="auto"/>
              <w:rPr>
                <w:i/>
                <w:color w:val="000000"/>
                <w:szCs w:val="22"/>
              </w:rPr>
            </w:pPr>
            <w:r w:rsidRPr="00654EF1">
              <w:rPr>
                <w:i/>
                <w:color w:val="000000"/>
                <w:szCs w:val="22"/>
              </w:rPr>
              <w:t>Not known:</w:t>
            </w:r>
          </w:p>
        </w:tc>
        <w:tc>
          <w:tcPr>
            <w:tcW w:w="7087" w:type="dxa"/>
          </w:tcPr>
          <w:p w14:paraId="1B680645" w14:textId="77777777" w:rsidR="00FF7AE4" w:rsidRPr="00654EF1" w:rsidRDefault="00FF7AE4" w:rsidP="001D5C8C">
            <w:pPr>
              <w:widowControl w:val="0"/>
              <w:spacing w:line="240" w:lineRule="auto"/>
              <w:rPr>
                <w:color w:val="000000"/>
                <w:szCs w:val="22"/>
              </w:rPr>
            </w:pPr>
            <w:r w:rsidRPr="00654EF1">
              <w:rPr>
                <w:color w:val="000000"/>
                <w:szCs w:val="22"/>
              </w:rPr>
              <w:t>Renal failure chronic</w:t>
            </w:r>
          </w:p>
        </w:tc>
      </w:tr>
      <w:tr w:rsidR="00586AD4" w:rsidRPr="00654EF1" w14:paraId="1B680648" w14:textId="77777777" w:rsidTr="009F0509">
        <w:trPr>
          <w:cantSplit/>
        </w:trPr>
        <w:tc>
          <w:tcPr>
            <w:tcW w:w="9322" w:type="dxa"/>
            <w:gridSpan w:val="2"/>
          </w:tcPr>
          <w:p w14:paraId="1B680647" w14:textId="77777777" w:rsidR="00586AD4" w:rsidRPr="00654EF1" w:rsidRDefault="00586AD4" w:rsidP="001D5C8C">
            <w:pPr>
              <w:keepNext/>
              <w:widowControl w:val="0"/>
              <w:spacing w:line="240" w:lineRule="auto"/>
              <w:rPr>
                <w:color w:val="000000"/>
                <w:szCs w:val="22"/>
              </w:rPr>
            </w:pPr>
            <w:r w:rsidRPr="00654EF1">
              <w:rPr>
                <w:b/>
                <w:color w:val="000000"/>
                <w:szCs w:val="22"/>
              </w:rPr>
              <w:t>Reproductive system and breast disorders</w:t>
            </w:r>
          </w:p>
        </w:tc>
      </w:tr>
      <w:tr w:rsidR="00586AD4" w:rsidRPr="00654EF1" w14:paraId="1B68064B" w14:textId="77777777" w:rsidTr="009F0509">
        <w:trPr>
          <w:cantSplit/>
        </w:trPr>
        <w:tc>
          <w:tcPr>
            <w:tcW w:w="2235" w:type="dxa"/>
          </w:tcPr>
          <w:p w14:paraId="1B680649" w14:textId="77777777" w:rsidR="00586AD4" w:rsidRPr="00654EF1" w:rsidRDefault="00586AD4" w:rsidP="001D5C8C">
            <w:pPr>
              <w:keepNext/>
              <w:widowControl w:val="0"/>
              <w:spacing w:line="240" w:lineRule="auto"/>
              <w:rPr>
                <w:i/>
                <w:color w:val="000000"/>
                <w:szCs w:val="22"/>
              </w:rPr>
            </w:pPr>
            <w:r w:rsidRPr="00654EF1">
              <w:rPr>
                <w:i/>
                <w:color w:val="000000"/>
                <w:szCs w:val="22"/>
              </w:rPr>
              <w:t>Uncommon:</w:t>
            </w:r>
          </w:p>
        </w:tc>
        <w:tc>
          <w:tcPr>
            <w:tcW w:w="7087" w:type="dxa"/>
          </w:tcPr>
          <w:p w14:paraId="1B68064A" w14:textId="77777777" w:rsidR="00586AD4" w:rsidRPr="00654EF1" w:rsidRDefault="00586AD4" w:rsidP="001D5C8C">
            <w:pPr>
              <w:keepNext/>
              <w:widowControl w:val="0"/>
              <w:spacing w:line="240" w:lineRule="auto"/>
              <w:rPr>
                <w:color w:val="000000"/>
                <w:szCs w:val="22"/>
              </w:rPr>
            </w:pPr>
            <w:r w:rsidRPr="00654EF1">
              <w:rPr>
                <w:color w:val="000000"/>
                <w:szCs w:val="22"/>
              </w:rPr>
              <w:t>Gynaecomastia, erectile dysfunction, menorrhagia, menstruation irregular, sexual dysfunction, nipple pain, breast enlargement, scrotal oedema</w:t>
            </w:r>
          </w:p>
        </w:tc>
      </w:tr>
      <w:tr w:rsidR="00586AD4" w:rsidRPr="00654EF1" w14:paraId="1B68064E" w14:textId="77777777" w:rsidTr="009F0509">
        <w:trPr>
          <w:cantSplit/>
        </w:trPr>
        <w:tc>
          <w:tcPr>
            <w:tcW w:w="2235" w:type="dxa"/>
          </w:tcPr>
          <w:p w14:paraId="1B68064C" w14:textId="77777777" w:rsidR="00586AD4" w:rsidRPr="00654EF1" w:rsidRDefault="00586AD4" w:rsidP="001D5C8C">
            <w:pPr>
              <w:widowControl w:val="0"/>
              <w:spacing w:line="240" w:lineRule="auto"/>
              <w:rPr>
                <w:i/>
                <w:color w:val="000000"/>
                <w:szCs w:val="22"/>
              </w:rPr>
            </w:pPr>
            <w:r w:rsidRPr="00654EF1">
              <w:rPr>
                <w:i/>
                <w:color w:val="000000"/>
                <w:szCs w:val="22"/>
              </w:rPr>
              <w:t>Rare:</w:t>
            </w:r>
          </w:p>
        </w:tc>
        <w:tc>
          <w:tcPr>
            <w:tcW w:w="7087" w:type="dxa"/>
          </w:tcPr>
          <w:p w14:paraId="1B68064D" w14:textId="77777777" w:rsidR="00586AD4" w:rsidRPr="00654EF1" w:rsidRDefault="00586AD4" w:rsidP="001D5C8C">
            <w:pPr>
              <w:widowControl w:val="0"/>
              <w:spacing w:line="240" w:lineRule="auto"/>
              <w:rPr>
                <w:color w:val="000000"/>
                <w:szCs w:val="22"/>
              </w:rPr>
            </w:pPr>
            <w:r w:rsidRPr="00654EF1">
              <w:rPr>
                <w:color w:val="000000"/>
                <w:szCs w:val="22"/>
              </w:rPr>
              <w:t>Haemorrhagic corpus luteum/haemorrhagic ovarian cyst</w:t>
            </w:r>
          </w:p>
        </w:tc>
      </w:tr>
      <w:tr w:rsidR="00586AD4" w:rsidRPr="00654EF1" w14:paraId="1B680650" w14:textId="77777777" w:rsidTr="009F0509">
        <w:trPr>
          <w:cantSplit/>
        </w:trPr>
        <w:tc>
          <w:tcPr>
            <w:tcW w:w="9322" w:type="dxa"/>
            <w:gridSpan w:val="2"/>
          </w:tcPr>
          <w:p w14:paraId="1B68064F" w14:textId="77777777" w:rsidR="00586AD4" w:rsidRPr="00654EF1" w:rsidRDefault="00586AD4" w:rsidP="001D5C8C">
            <w:pPr>
              <w:keepNext/>
              <w:widowControl w:val="0"/>
              <w:spacing w:line="240" w:lineRule="auto"/>
              <w:rPr>
                <w:color w:val="000000"/>
                <w:szCs w:val="22"/>
              </w:rPr>
            </w:pPr>
            <w:r w:rsidRPr="00654EF1">
              <w:rPr>
                <w:b/>
                <w:color w:val="000000"/>
                <w:szCs w:val="22"/>
              </w:rPr>
              <w:t>General disorders and administration site conditions</w:t>
            </w:r>
          </w:p>
        </w:tc>
      </w:tr>
      <w:tr w:rsidR="00586AD4" w:rsidRPr="00654EF1" w14:paraId="1B680653" w14:textId="77777777" w:rsidTr="009F0509">
        <w:trPr>
          <w:cantSplit/>
        </w:trPr>
        <w:tc>
          <w:tcPr>
            <w:tcW w:w="2235" w:type="dxa"/>
          </w:tcPr>
          <w:p w14:paraId="1B680651" w14:textId="77777777" w:rsidR="00586AD4" w:rsidRPr="00654EF1" w:rsidRDefault="00586AD4" w:rsidP="001D5C8C">
            <w:pPr>
              <w:keepNext/>
              <w:widowControl w:val="0"/>
              <w:spacing w:line="240" w:lineRule="auto"/>
              <w:rPr>
                <w:i/>
                <w:color w:val="000000"/>
                <w:szCs w:val="22"/>
              </w:rPr>
            </w:pPr>
            <w:r w:rsidRPr="00654EF1">
              <w:rPr>
                <w:i/>
                <w:color w:val="000000"/>
                <w:szCs w:val="22"/>
              </w:rPr>
              <w:t>Very common:</w:t>
            </w:r>
          </w:p>
        </w:tc>
        <w:tc>
          <w:tcPr>
            <w:tcW w:w="7087" w:type="dxa"/>
          </w:tcPr>
          <w:p w14:paraId="1B680652" w14:textId="77777777" w:rsidR="00586AD4" w:rsidRPr="00654EF1" w:rsidRDefault="00586AD4" w:rsidP="001D5C8C">
            <w:pPr>
              <w:keepNext/>
              <w:widowControl w:val="0"/>
              <w:spacing w:line="240" w:lineRule="auto"/>
              <w:rPr>
                <w:color w:val="000000"/>
                <w:szCs w:val="22"/>
              </w:rPr>
            </w:pPr>
            <w:r w:rsidRPr="00654EF1">
              <w:rPr>
                <w:color w:val="000000"/>
                <w:szCs w:val="22"/>
              </w:rPr>
              <w:t>Fluid retention and oedema, fatigue</w:t>
            </w:r>
          </w:p>
        </w:tc>
      </w:tr>
      <w:tr w:rsidR="00586AD4" w:rsidRPr="00654EF1" w14:paraId="1B680656" w14:textId="77777777" w:rsidTr="009F0509">
        <w:trPr>
          <w:cantSplit/>
        </w:trPr>
        <w:tc>
          <w:tcPr>
            <w:tcW w:w="2235" w:type="dxa"/>
          </w:tcPr>
          <w:p w14:paraId="1B680654" w14:textId="77777777" w:rsidR="00586AD4" w:rsidRPr="00654EF1" w:rsidRDefault="00586AD4" w:rsidP="001D5C8C">
            <w:pPr>
              <w:keepNext/>
              <w:widowControl w:val="0"/>
              <w:spacing w:line="240" w:lineRule="auto"/>
              <w:rPr>
                <w:i/>
                <w:color w:val="000000"/>
                <w:szCs w:val="22"/>
              </w:rPr>
            </w:pPr>
            <w:r w:rsidRPr="00654EF1">
              <w:rPr>
                <w:i/>
                <w:color w:val="000000"/>
                <w:szCs w:val="22"/>
              </w:rPr>
              <w:t>Common:</w:t>
            </w:r>
          </w:p>
        </w:tc>
        <w:tc>
          <w:tcPr>
            <w:tcW w:w="7087" w:type="dxa"/>
          </w:tcPr>
          <w:p w14:paraId="1B680655" w14:textId="77777777" w:rsidR="00586AD4" w:rsidRPr="00654EF1" w:rsidRDefault="00586AD4" w:rsidP="001D5C8C">
            <w:pPr>
              <w:keepNext/>
              <w:widowControl w:val="0"/>
              <w:spacing w:line="240" w:lineRule="auto"/>
              <w:rPr>
                <w:color w:val="000000"/>
                <w:szCs w:val="22"/>
              </w:rPr>
            </w:pPr>
            <w:r w:rsidRPr="00654EF1">
              <w:rPr>
                <w:color w:val="000000"/>
                <w:szCs w:val="22"/>
              </w:rPr>
              <w:t>Weakness, pyrexia, anasarca, chills, rigors</w:t>
            </w:r>
          </w:p>
        </w:tc>
      </w:tr>
      <w:tr w:rsidR="00586AD4" w:rsidRPr="00654EF1" w14:paraId="1B680659" w14:textId="77777777" w:rsidTr="009F0509">
        <w:trPr>
          <w:cantSplit/>
        </w:trPr>
        <w:tc>
          <w:tcPr>
            <w:tcW w:w="2235" w:type="dxa"/>
          </w:tcPr>
          <w:p w14:paraId="1B680657" w14:textId="77777777" w:rsidR="00586AD4" w:rsidRPr="00654EF1" w:rsidRDefault="00586AD4" w:rsidP="001D5C8C">
            <w:pPr>
              <w:widowControl w:val="0"/>
              <w:spacing w:line="240" w:lineRule="auto"/>
              <w:rPr>
                <w:i/>
                <w:color w:val="000000"/>
                <w:szCs w:val="22"/>
              </w:rPr>
            </w:pPr>
            <w:r w:rsidRPr="00654EF1">
              <w:rPr>
                <w:i/>
                <w:color w:val="000000"/>
                <w:szCs w:val="22"/>
              </w:rPr>
              <w:t>Uncommon:</w:t>
            </w:r>
          </w:p>
        </w:tc>
        <w:tc>
          <w:tcPr>
            <w:tcW w:w="7087" w:type="dxa"/>
          </w:tcPr>
          <w:p w14:paraId="1B680658" w14:textId="77777777" w:rsidR="00586AD4" w:rsidRPr="00654EF1" w:rsidRDefault="00586AD4" w:rsidP="001D5C8C">
            <w:pPr>
              <w:widowControl w:val="0"/>
              <w:spacing w:line="240" w:lineRule="auto"/>
              <w:rPr>
                <w:color w:val="000000"/>
                <w:szCs w:val="22"/>
              </w:rPr>
            </w:pPr>
            <w:r w:rsidRPr="00654EF1">
              <w:rPr>
                <w:color w:val="000000"/>
                <w:szCs w:val="22"/>
                <w:lang w:val="fr-FR"/>
              </w:rPr>
              <w:t>Chest pain, malaise</w:t>
            </w:r>
          </w:p>
        </w:tc>
      </w:tr>
      <w:tr w:rsidR="00586AD4" w:rsidRPr="00654EF1" w14:paraId="1B68065B" w14:textId="77777777" w:rsidTr="009F0509">
        <w:trPr>
          <w:cantSplit/>
        </w:trPr>
        <w:tc>
          <w:tcPr>
            <w:tcW w:w="9322" w:type="dxa"/>
            <w:gridSpan w:val="2"/>
          </w:tcPr>
          <w:p w14:paraId="1B68065A" w14:textId="77777777" w:rsidR="00586AD4" w:rsidRPr="00654EF1" w:rsidRDefault="00586AD4" w:rsidP="001D5C8C">
            <w:pPr>
              <w:keepNext/>
              <w:widowControl w:val="0"/>
              <w:spacing w:line="240" w:lineRule="auto"/>
              <w:rPr>
                <w:color w:val="000000"/>
              </w:rPr>
            </w:pPr>
            <w:r w:rsidRPr="00654EF1">
              <w:rPr>
                <w:b/>
                <w:color w:val="000000"/>
                <w:szCs w:val="22"/>
                <w:lang w:val="fr-FR"/>
              </w:rPr>
              <w:t>Investigations</w:t>
            </w:r>
          </w:p>
        </w:tc>
      </w:tr>
      <w:tr w:rsidR="00586AD4" w:rsidRPr="00654EF1" w14:paraId="1B68065E" w14:textId="77777777" w:rsidTr="009F0509">
        <w:trPr>
          <w:cantSplit/>
        </w:trPr>
        <w:tc>
          <w:tcPr>
            <w:tcW w:w="2235" w:type="dxa"/>
          </w:tcPr>
          <w:p w14:paraId="1B68065C" w14:textId="77777777" w:rsidR="00586AD4" w:rsidRPr="00654EF1" w:rsidRDefault="00586AD4" w:rsidP="001D5C8C">
            <w:pPr>
              <w:keepNext/>
              <w:widowControl w:val="0"/>
              <w:spacing w:line="240" w:lineRule="auto"/>
              <w:rPr>
                <w:color w:val="000000"/>
              </w:rPr>
            </w:pPr>
            <w:r w:rsidRPr="00654EF1">
              <w:rPr>
                <w:i/>
                <w:color w:val="000000"/>
                <w:szCs w:val="22"/>
              </w:rPr>
              <w:t>Very common:</w:t>
            </w:r>
          </w:p>
        </w:tc>
        <w:tc>
          <w:tcPr>
            <w:tcW w:w="7087" w:type="dxa"/>
          </w:tcPr>
          <w:p w14:paraId="1B68065D" w14:textId="77777777" w:rsidR="00586AD4" w:rsidRPr="00654EF1" w:rsidRDefault="00586AD4" w:rsidP="001D5C8C">
            <w:pPr>
              <w:keepNext/>
              <w:widowControl w:val="0"/>
              <w:spacing w:line="240" w:lineRule="auto"/>
              <w:rPr>
                <w:color w:val="000000"/>
              </w:rPr>
            </w:pPr>
            <w:r w:rsidRPr="00654EF1">
              <w:rPr>
                <w:color w:val="000000"/>
                <w:szCs w:val="22"/>
              </w:rPr>
              <w:t>Weight increased</w:t>
            </w:r>
          </w:p>
        </w:tc>
      </w:tr>
      <w:tr w:rsidR="00586AD4" w:rsidRPr="00654EF1" w14:paraId="1B680661" w14:textId="77777777" w:rsidTr="009F0509">
        <w:trPr>
          <w:cantSplit/>
        </w:trPr>
        <w:tc>
          <w:tcPr>
            <w:tcW w:w="2235" w:type="dxa"/>
          </w:tcPr>
          <w:p w14:paraId="1B68065F" w14:textId="77777777" w:rsidR="00586AD4" w:rsidRPr="00654EF1" w:rsidRDefault="00586AD4" w:rsidP="001D5C8C">
            <w:pPr>
              <w:keepNext/>
              <w:widowControl w:val="0"/>
              <w:spacing w:line="240" w:lineRule="auto"/>
              <w:rPr>
                <w:color w:val="000000"/>
              </w:rPr>
            </w:pPr>
            <w:r w:rsidRPr="00654EF1">
              <w:rPr>
                <w:i/>
                <w:color w:val="000000"/>
                <w:szCs w:val="22"/>
              </w:rPr>
              <w:t>Common</w:t>
            </w:r>
            <w:r w:rsidRPr="00654EF1">
              <w:rPr>
                <w:color w:val="000000"/>
                <w:szCs w:val="22"/>
              </w:rPr>
              <w:t>:</w:t>
            </w:r>
          </w:p>
        </w:tc>
        <w:tc>
          <w:tcPr>
            <w:tcW w:w="7087" w:type="dxa"/>
          </w:tcPr>
          <w:p w14:paraId="1B680660" w14:textId="77777777" w:rsidR="00586AD4" w:rsidRPr="00654EF1" w:rsidRDefault="00586AD4" w:rsidP="001D5C8C">
            <w:pPr>
              <w:keepNext/>
              <w:widowControl w:val="0"/>
              <w:spacing w:line="240" w:lineRule="auto"/>
              <w:rPr>
                <w:color w:val="000000"/>
              </w:rPr>
            </w:pPr>
            <w:r w:rsidRPr="00654EF1">
              <w:rPr>
                <w:color w:val="000000"/>
                <w:szCs w:val="22"/>
              </w:rPr>
              <w:t>Weight decreased</w:t>
            </w:r>
          </w:p>
        </w:tc>
      </w:tr>
      <w:tr w:rsidR="00586AD4" w:rsidRPr="00654EF1" w14:paraId="1B680664" w14:textId="77777777" w:rsidTr="009F0509">
        <w:trPr>
          <w:cantSplit/>
        </w:trPr>
        <w:tc>
          <w:tcPr>
            <w:tcW w:w="2235" w:type="dxa"/>
          </w:tcPr>
          <w:p w14:paraId="1B680662" w14:textId="77777777" w:rsidR="00586AD4" w:rsidRPr="00654EF1" w:rsidRDefault="00586AD4" w:rsidP="001D5C8C">
            <w:pPr>
              <w:keepNext/>
              <w:widowControl w:val="0"/>
              <w:spacing w:line="240" w:lineRule="auto"/>
              <w:rPr>
                <w:color w:val="000000"/>
              </w:rPr>
            </w:pPr>
            <w:r w:rsidRPr="00654EF1">
              <w:rPr>
                <w:i/>
                <w:color w:val="000000"/>
                <w:szCs w:val="22"/>
              </w:rPr>
              <w:t>Uncommon</w:t>
            </w:r>
            <w:r w:rsidRPr="00654EF1">
              <w:rPr>
                <w:color w:val="000000"/>
                <w:szCs w:val="22"/>
              </w:rPr>
              <w:t>:</w:t>
            </w:r>
          </w:p>
        </w:tc>
        <w:tc>
          <w:tcPr>
            <w:tcW w:w="7087" w:type="dxa"/>
          </w:tcPr>
          <w:p w14:paraId="1B680663" w14:textId="77777777" w:rsidR="00586AD4" w:rsidRPr="00654EF1" w:rsidRDefault="00586AD4" w:rsidP="001D5C8C">
            <w:pPr>
              <w:keepNext/>
              <w:widowControl w:val="0"/>
              <w:spacing w:line="240" w:lineRule="auto"/>
              <w:rPr>
                <w:color w:val="000000"/>
              </w:rPr>
            </w:pPr>
            <w:r w:rsidRPr="00654EF1">
              <w:rPr>
                <w:color w:val="000000"/>
                <w:szCs w:val="22"/>
              </w:rPr>
              <w:t>Blood creatinine increased, blood creatine phosphokinase increased, blood lactate dehydrogenase increased, blood alkaline phosphatase increased</w:t>
            </w:r>
          </w:p>
        </w:tc>
      </w:tr>
      <w:tr w:rsidR="00586AD4" w:rsidRPr="00654EF1" w14:paraId="1B680667" w14:textId="77777777" w:rsidTr="009F0509">
        <w:trPr>
          <w:cantSplit/>
        </w:trPr>
        <w:tc>
          <w:tcPr>
            <w:tcW w:w="2235" w:type="dxa"/>
          </w:tcPr>
          <w:p w14:paraId="1B680665" w14:textId="77777777" w:rsidR="00586AD4" w:rsidRPr="00654EF1" w:rsidRDefault="00586AD4" w:rsidP="001D5C8C">
            <w:pPr>
              <w:keepNext/>
              <w:widowControl w:val="0"/>
              <w:spacing w:line="240" w:lineRule="auto"/>
              <w:rPr>
                <w:i/>
                <w:color w:val="000000"/>
                <w:szCs w:val="22"/>
              </w:rPr>
            </w:pPr>
            <w:r w:rsidRPr="00654EF1">
              <w:rPr>
                <w:i/>
                <w:color w:val="000000"/>
                <w:szCs w:val="22"/>
              </w:rPr>
              <w:t>Rare:</w:t>
            </w:r>
          </w:p>
        </w:tc>
        <w:tc>
          <w:tcPr>
            <w:tcW w:w="7087" w:type="dxa"/>
          </w:tcPr>
          <w:p w14:paraId="1B680666" w14:textId="77777777" w:rsidR="00586AD4" w:rsidRPr="00654EF1" w:rsidRDefault="00586AD4" w:rsidP="001D5C8C">
            <w:pPr>
              <w:keepNext/>
              <w:widowControl w:val="0"/>
              <w:spacing w:line="240" w:lineRule="auto"/>
              <w:rPr>
                <w:color w:val="000000"/>
                <w:szCs w:val="22"/>
              </w:rPr>
            </w:pPr>
            <w:r w:rsidRPr="00654EF1">
              <w:rPr>
                <w:color w:val="000000"/>
                <w:szCs w:val="22"/>
              </w:rPr>
              <w:t>Blood amylase increased</w:t>
            </w:r>
          </w:p>
        </w:tc>
      </w:tr>
    </w:tbl>
    <w:p w14:paraId="1B680668" w14:textId="77777777" w:rsidR="00586AD4" w:rsidRPr="00654EF1" w:rsidRDefault="00586AD4" w:rsidP="001D5C8C">
      <w:pPr>
        <w:keepNext/>
        <w:widowControl w:val="0"/>
        <w:spacing w:line="240" w:lineRule="auto"/>
        <w:rPr>
          <w:color w:val="000000"/>
          <w:szCs w:val="22"/>
        </w:rPr>
      </w:pPr>
    </w:p>
    <w:p w14:paraId="1B680669" w14:textId="77777777" w:rsidR="00586AD4" w:rsidRPr="00654EF1" w:rsidRDefault="00586AD4" w:rsidP="001D5C8C">
      <w:pPr>
        <w:keepNext/>
        <w:widowControl w:val="0"/>
        <w:spacing w:line="240" w:lineRule="auto"/>
        <w:ind w:left="567" w:hanging="567"/>
        <w:rPr>
          <w:color w:val="000000"/>
          <w:szCs w:val="22"/>
        </w:rPr>
      </w:pPr>
      <w:r w:rsidRPr="00654EF1">
        <w:rPr>
          <w:color w:val="000000"/>
          <w:szCs w:val="22"/>
        </w:rPr>
        <w:t>*</w:t>
      </w:r>
      <w:r w:rsidRPr="00654EF1">
        <w:rPr>
          <w:color w:val="000000"/>
          <w:szCs w:val="22"/>
        </w:rPr>
        <w:tab/>
        <w:t>These types of reactions have been reported mainly from post-marketing experience with Glivec. This includes spontaneous case reports as well as serious adverse events from ongoing studies, the expanded access programmes, clinical pharmacology studies and exploratory studies in unapproved indications. Because these reactions are reported from a population of uncertain size, it is not always possible to reliably estimate their frequency or establish a causal relationship to imatinib exposure.</w:t>
      </w:r>
    </w:p>
    <w:p w14:paraId="1B68066A"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1</w:t>
      </w:r>
      <w:r w:rsidRPr="00654EF1">
        <w:rPr>
          <w:color w:val="000000"/>
          <w:szCs w:val="22"/>
        </w:rPr>
        <w:tab/>
        <w:t>Pneumonia was reported most commonly in patients with transformed CML and in patients with GIST.</w:t>
      </w:r>
    </w:p>
    <w:p w14:paraId="1B68066B"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2</w:t>
      </w:r>
      <w:r w:rsidRPr="00654EF1">
        <w:rPr>
          <w:color w:val="000000"/>
          <w:szCs w:val="22"/>
        </w:rPr>
        <w:tab/>
        <w:t>Headache was the most common in GIST patients.</w:t>
      </w:r>
    </w:p>
    <w:p w14:paraId="1B68066C"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3</w:t>
      </w:r>
      <w:r w:rsidRPr="00654EF1">
        <w:rPr>
          <w:color w:val="000000"/>
          <w:szCs w:val="22"/>
        </w:rPr>
        <w:tab/>
        <w:t>On a patient-year basis, cardiac events including congestive heart failure were more commonly observed in patients with transformed CML than in patients with chronic CML.</w:t>
      </w:r>
    </w:p>
    <w:p w14:paraId="1B68066D"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4</w:t>
      </w:r>
      <w:r w:rsidRPr="00654EF1">
        <w:rPr>
          <w:color w:val="000000"/>
          <w:szCs w:val="22"/>
        </w:rPr>
        <w:tab/>
      </w:r>
      <w:smartTag w:uri="urn:schemas-microsoft-com:office:smarttags" w:element="place">
        <w:r w:rsidRPr="00654EF1">
          <w:rPr>
            <w:color w:val="000000"/>
            <w:szCs w:val="22"/>
          </w:rPr>
          <w:t>Flushing</w:t>
        </w:r>
      </w:smartTag>
      <w:r w:rsidRPr="00654EF1">
        <w:rPr>
          <w:color w:val="000000"/>
          <w:szCs w:val="22"/>
        </w:rPr>
        <w:t xml:space="preserve"> was most common in GIST patients and bleeding (haematoma, haemorrhage) was most common in patients with GIST and with transformed CML (CML-AP and CML-BC).</w:t>
      </w:r>
    </w:p>
    <w:p w14:paraId="1B68066E"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5</w:t>
      </w:r>
      <w:r w:rsidRPr="00654EF1">
        <w:rPr>
          <w:color w:val="000000"/>
          <w:szCs w:val="22"/>
        </w:rPr>
        <w:tab/>
        <w:t>Pleural effusion was reported more commonly in patients with GIST and in patients with transformed CML (CML-AP and CML-BC) than in patients with chronic CML.</w:t>
      </w:r>
    </w:p>
    <w:p w14:paraId="1B68066F"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6+7</w:t>
      </w:r>
      <w:r w:rsidRPr="00654EF1">
        <w:rPr>
          <w:color w:val="000000"/>
          <w:szCs w:val="22"/>
        </w:rPr>
        <w:tab/>
        <w:t xml:space="preserve">Abdominal pain and gastrointestinal haemorrhage were most commonly observed in GIST </w:t>
      </w:r>
      <w:r w:rsidRPr="00654EF1">
        <w:rPr>
          <w:color w:val="000000"/>
          <w:szCs w:val="22"/>
        </w:rPr>
        <w:lastRenderedPageBreak/>
        <w:t>patients.</w:t>
      </w:r>
    </w:p>
    <w:p w14:paraId="1B680670" w14:textId="77777777" w:rsidR="00586AD4" w:rsidRPr="00654EF1" w:rsidRDefault="00586AD4" w:rsidP="001D5C8C">
      <w:pPr>
        <w:keepNext/>
        <w:widowControl w:val="0"/>
        <w:tabs>
          <w:tab w:val="clear" w:pos="567"/>
        </w:tabs>
        <w:spacing w:line="240" w:lineRule="auto"/>
        <w:ind w:left="567" w:hanging="567"/>
        <w:rPr>
          <w:color w:val="000000"/>
          <w:szCs w:val="22"/>
        </w:rPr>
      </w:pPr>
      <w:r w:rsidRPr="00654EF1">
        <w:rPr>
          <w:color w:val="000000"/>
          <w:szCs w:val="22"/>
        </w:rPr>
        <w:t>8</w:t>
      </w:r>
      <w:r w:rsidRPr="00654EF1">
        <w:rPr>
          <w:color w:val="000000"/>
          <w:szCs w:val="22"/>
        </w:rPr>
        <w:tab/>
        <w:t>Some fatal cases of hepatic failure and of hepatic necrosis have been reported.</w:t>
      </w:r>
    </w:p>
    <w:p w14:paraId="1B680671" w14:textId="77777777" w:rsidR="007F373C" w:rsidRPr="00654EF1" w:rsidRDefault="007F373C" w:rsidP="001D5C8C">
      <w:pPr>
        <w:keepNext/>
        <w:widowControl w:val="0"/>
        <w:tabs>
          <w:tab w:val="clear" w:pos="567"/>
        </w:tabs>
        <w:spacing w:line="240" w:lineRule="auto"/>
        <w:ind w:left="567" w:hanging="567"/>
        <w:rPr>
          <w:color w:val="000000"/>
          <w:szCs w:val="22"/>
        </w:rPr>
      </w:pPr>
      <w:r w:rsidRPr="00654EF1">
        <w:rPr>
          <w:color w:val="000000"/>
          <w:szCs w:val="22"/>
        </w:rPr>
        <w:t>9</w:t>
      </w:r>
      <w:r w:rsidRPr="00654EF1">
        <w:rPr>
          <w:color w:val="000000"/>
          <w:szCs w:val="22"/>
        </w:rPr>
        <w:tab/>
        <w:t>Musculoskeletal pain during treatment with imatinib or after discontinuation has been observed in post-marketing</w:t>
      </w:r>
      <w:r w:rsidR="005F2EF7" w:rsidRPr="00654EF1">
        <w:rPr>
          <w:color w:val="000000"/>
          <w:szCs w:val="22"/>
        </w:rPr>
        <w:t>.</w:t>
      </w:r>
    </w:p>
    <w:p w14:paraId="1B680672" w14:textId="77777777" w:rsidR="00586AD4" w:rsidRPr="00654EF1" w:rsidRDefault="007F373C" w:rsidP="001D5C8C">
      <w:pPr>
        <w:keepNext/>
        <w:widowControl w:val="0"/>
        <w:tabs>
          <w:tab w:val="clear" w:pos="567"/>
        </w:tabs>
        <w:spacing w:line="240" w:lineRule="auto"/>
        <w:ind w:left="567" w:hanging="567"/>
        <w:rPr>
          <w:color w:val="000000"/>
          <w:szCs w:val="22"/>
        </w:rPr>
      </w:pPr>
      <w:r w:rsidRPr="00654EF1">
        <w:rPr>
          <w:color w:val="000000"/>
          <w:szCs w:val="22"/>
        </w:rPr>
        <w:t>10</w:t>
      </w:r>
      <w:r w:rsidR="00586AD4" w:rsidRPr="00654EF1">
        <w:rPr>
          <w:color w:val="000000"/>
          <w:szCs w:val="22"/>
        </w:rPr>
        <w:tab/>
        <w:t>Musculoskeletal pain and related events were more commonly observed in patients with CML than in GIST patients.</w:t>
      </w:r>
    </w:p>
    <w:p w14:paraId="1B680673" w14:textId="77777777" w:rsidR="00586AD4" w:rsidRPr="00654EF1" w:rsidRDefault="007F373C" w:rsidP="001D5C8C">
      <w:pPr>
        <w:widowControl w:val="0"/>
        <w:tabs>
          <w:tab w:val="clear" w:pos="567"/>
          <w:tab w:val="left" w:pos="720"/>
        </w:tabs>
        <w:spacing w:line="240" w:lineRule="auto"/>
        <w:ind w:left="567" w:hanging="567"/>
        <w:rPr>
          <w:color w:val="000000"/>
          <w:szCs w:val="22"/>
        </w:rPr>
      </w:pPr>
      <w:r w:rsidRPr="00654EF1">
        <w:rPr>
          <w:color w:val="000000"/>
          <w:szCs w:val="22"/>
        </w:rPr>
        <w:t>11</w:t>
      </w:r>
      <w:r w:rsidR="00586AD4" w:rsidRPr="00654EF1">
        <w:rPr>
          <w:color w:val="000000"/>
          <w:szCs w:val="22"/>
        </w:rPr>
        <w:tab/>
        <w:t>Fatal cases have been reported in patients with advanced disease, severe infections, severe neutropenia and other serious concomitant conditions.</w:t>
      </w:r>
    </w:p>
    <w:p w14:paraId="1B680674" w14:textId="77777777" w:rsidR="00586AD4" w:rsidRPr="00654EF1" w:rsidRDefault="00586AD4" w:rsidP="001D5C8C">
      <w:pPr>
        <w:pStyle w:val="Text"/>
        <w:widowControl w:val="0"/>
        <w:spacing w:before="0"/>
        <w:jc w:val="left"/>
        <w:rPr>
          <w:color w:val="000000"/>
          <w:sz w:val="22"/>
          <w:szCs w:val="22"/>
          <w:lang w:val="en-GB"/>
        </w:rPr>
      </w:pPr>
    </w:p>
    <w:p w14:paraId="1B680675" w14:textId="77777777" w:rsidR="006237AB" w:rsidRPr="00654EF1" w:rsidRDefault="006237AB" w:rsidP="001D5C8C">
      <w:pPr>
        <w:pStyle w:val="Heading4"/>
        <w:widowControl w:val="0"/>
        <w:spacing w:line="240" w:lineRule="auto"/>
        <w:jc w:val="left"/>
        <w:rPr>
          <w:b w:val="0"/>
          <w:noProof w:val="0"/>
          <w:color w:val="000000"/>
          <w:szCs w:val="22"/>
          <w:u w:val="single"/>
        </w:rPr>
      </w:pPr>
      <w:r w:rsidRPr="00654EF1">
        <w:rPr>
          <w:b w:val="0"/>
          <w:noProof w:val="0"/>
          <w:color w:val="000000"/>
          <w:szCs w:val="22"/>
          <w:u w:val="single"/>
        </w:rPr>
        <w:t>Laboratory test abnormalities</w:t>
      </w:r>
    </w:p>
    <w:p w14:paraId="1B680676" w14:textId="77777777" w:rsidR="006237AB" w:rsidRPr="00654EF1" w:rsidRDefault="006237AB" w:rsidP="001D5C8C">
      <w:pPr>
        <w:pStyle w:val="Text"/>
        <w:keepNext/>
        <w:widowControl w:val="0"/>
        <w:spacing w:before="0"/>
        <w:jc w:val="left"/>
        <w:rPr>
          <w:i/>
          <w:color w:val="000000"/>
          <w:sz w:val="22"/>
          <w:szCs w:val="22"/>
          <w:lang w:val="en-GB"/>
        </w:rPr>
      </w:pPr>
      <w:r w:rsidRPr="00654EF1">
        <w:rPr>
          <w:i/>
          <w:color w:val="000000"/>
          <w:sz w:val="22"/>
          <w:szCs w:val="22"/>
          <w:lang w:val="en-GB"/>
        </w:rPr>
        <w:t>Haematology</w:t>
      </w:r>
    </w:p>
    <w:p w14:paraId="1B680677"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In CML, cytopenias, particularly neutropenia and thrombocytopenia, have been a consistent finding in all studies, with the suggestion of a higher frequency at high doses </w:t>
      </w:r>
      <w:r w:rsidRPr="00654EF1">
        <w:rPr>
          <w:color w:val="000000"/>
          <w:sz w:val="22"/>
          <w:szCs w:val="22"/>
          <w:lang w:val="en-GB"/>
        </w:rPr>
        <w:sym w:font="Symbol" w:char="F0B3"/>
      </w:r>
      <w:r w:rsidRPr="00654EF1">
        <w:rPr>
          <w:color w:val="000000"/>
          <w:sz w:val="22"/>
          <w:szCs w:val="22"/>
          <w:lang w:val="en-GB"/>
        </w:rPr>
        <w:t> 750 mg (phase I study). However, the occurrence of cytopenias was also clearly dependent on the stage of the disease, the frequency of grade 3 or 4</w:t>
      </w:r>
      <w:r w:rsidR="0036337E" w:rsidRPr="00654EF1">
        <w:rPr>
          <w:color w:val="000000"/>
          <w:sz w:val="22"/>
          <w:szCs w:val="22"/>
          <w:lang w:val="en-GB"/>
        </w:rPr>
        <w:t> </w:t>
      </w:r>
      <w:r w:rsidRPr="00654EF1">
        <w:rPr>
          <w:color w:val="000000"/>
          <w:sz w:val="22"/>
          <w:szCs w:val="22"/>
          <w:lang w:val="en-GB"/>
        </w:rPr>
        <w:t>neutropenias (ANC &lt; 1.0 x</w:t>
      </w:r>
      <w:r w:rsidR="008F0ED7" w:rsidRPr="00654EF1">
        <w:rPr>
          <w:color w:val="000000"/>
          <w:sz w:val="22"/>
          <w:szCs w:val="22"/>
          <w:lang w:val="en-GB"/>
        </w:rPr>
        <w:t> </w:t>
      </w:r>
      <w:r w:rsidRPr="00654EF1">
        <w:rPr>
          <w:color w:val="000000"/>
          <w:sz w:val="22"/>
          <w:szCs w:val="22"/>
          <w:lang w:val="en-GB"/>
        </w:rPr>
        <w:t>10</w:t>
      </w:r>
      <w:r w:rsidRPr="00654EF1">
        <w:rPr>
          <w:color w:val="000000"/>
          <w:sz w:val="22"/>
          <w:szCs w:val="22"/>
          <w:vertAlign w:val="superscript"/>
          <w:lang w:val="en-GB"/>
        </w:rPr>
        <w:t>9</w:t>
      </w:r>
      <w:r w:rsidRPr="00654EF1">
        <w:rPr>
          <w:color w:val="000000"/>
          <w:sz w:val="22"/>
          <w:szCs w:val="22"/>
          <w:lang w:val="en-GB"/>
        </w:rPr>
        <w:t>/l) and thrombocytopenias (platelet count &lt; 50 x</w:t>
      </w:r>
      <w:r w:rsidR="008F0ED7" w:rsidRPr="00654EF1">
        <w:rPr>
          <w:color w:val="000000"/>
          <w:sz w:val="22"/>
          <w:szCs w:val="22"/>
          <w:lang w:val="en-GB"/>
        </w:rPr>
        <w:t> </w:t>
      </w:r>
      <w:r w:rsidRPr="00654EF1">
        <w:rPr>
          <w:color w:val="000000"/>
          <w:sz w:val="22"/>
          <w:szCs w:val="22"/>
          <w:lang w:val="en-GB"/>
        </w:rPr>
        <w:t>10</w:t>
      </w:r>
      <w:r w:rsidRPr="00654EF1">
        <w:rPr>
          <w:color w:val="000000"/>
          <w:sz w:val="22"/>
          <w:szCs w:val="22"/>
          <w:vertAlign w:val="superscript"/>
          <w:lang w:val="en-GB"/>
        </w:rPr>
        <w:t>9</w:t>
      </w:r>
      <w:r w:rsidRPr="00654EF1">
        <w:rPr>
          <w:color w:val="000000"/>
          <w:sz w:val="22"/>
          <w:szCs w:val="22"/>
          <w:lang w:val="en-GB"/>
        </w:rPr>
        <w:t>/l) being between 4 and 6 times higher in blast crisis and accelerated phase (5</w:t>
      </w:r>
      <w:r w:rsidR="005D78E4" w:rsidRPr="00654EF1">
        <w:rPr>
          <w:color w:val="000000"/>
          <w:sz w:val="22"/>
          <w:szCs w:val="22"/>
          <w:lang w:val="en-GB"/>
        </w:rPr>
        <w:t>9</w:t>
      </w:r>
      <w:r w:rsidR="0036337E" w:rsidRPr="00654EF1">
        <w:rPr>
          <w:color w:val="000000"/>
          <w:sz w:val="22"/>
          <w:szCs w:val="22"/>
        </w:rPr>
        <w:t>–</w:t>
      </w:r>
      <w:r w:rsidRPr="00654EF1">
        <w:rPr>
          <w:color w:val="000000"/>
          <w:sz w:val="22"/>
          <w:szCs w:val="22"/>
          <w:lang w:val="en-GB"/>
        </w:rPr>
        <w:t>6</w:t>
      </w:r>
      <w:r w:rsidR="005D78E4" w:rsidRPr="00654EF1">
        <w:rPr>
          <w:color w:val="000000"/>
          <w:sz w:val="22"/>
          <w:szCs w:val="22"/>
          <w:lang w:val="en-GB"/>
        </w:rPr>
        <w:t>4</w:t>
      </w:r>
      <w:r w:rsidRPr="00654EF1">
        <w:rPr>
          <w:color w:val="000000"/>
          <w:sz w:val="22"/>
          <w:szCs w:val="22"/>
          <w:lang w:val="en-GB"/>
        </w:rPr>
        <w:t>% and 4</w:t>
      </w:r>
      <w:r w:rsidR="001E42D3" w:rsidRPr="00654EF1">
        <w:rPr>
          <w:color w:val="000000"/>
          <w:sz w:val="22"/>
          <w:szCs w:val="22"/>
          <w:lang w:val="en-GB"/>
        </w:rPr>
        <w:t>4</w:t>
      </w:r>
      <w:r w:rsidR="0036337E" w:rsidRPr="00654EF1">
        <w:rPr>
          <w:color w:val="000000"/>
          <w:sz w:val="22"/>
          <w:szCs w:val="22"/>
        </w:rPr>
        <w:t>–</w:t>
      </w:r>
      <w:r w:rsidR="005D78E4" w:rsidRPr="00654EF1">
        <w:rPr>
          <w:color w:val="000000"/>
          <w:sz w:val="22"/>
          <w:szCs w:val="22"/>
        </w:rPr>
        <w:t>63</w:t>
      </w:r>
      <w:r w:rsidRPr="00654EF1">
        <w:rPr>
          <w:color w:val="000000"/>
          <w:sz w:val="22"/>
          <w:szCs w:val="22"/>
          <w:lang w:val="en-GB"/>
        </w:rPr>
        <w:t xml:space="preserve">% for neutropenia and thrombocytopenia, respectively) as compared to newly diagnosed patients in chronic phase CML </w:t>
      </w:r>
      <w:r w:rsidR="00664496" w:rsidRPr="00654EF1">
        <w:rPr>
          <w:color w:val="000000"/>
          <w:sz w:val="22"/>
          <w:szCs w:val="22"/>
          <w:lang w:val="en-GB"/>
        </w:rPr>
        <w:t>(16.7% neutropenia and 8.9% thrombocytopenia). In newly diagnosed chronic phase CML grade 4 neutropenia (ANC &lt; 0.5 x 10</w:t>
      </w:r>
      <w:r w:rsidR="00664496" w:rsidRPr="00654EF1">
        <w:rPr>
          <w:color w:val="000000"/>
          <w:sz w:val="22"/>
          <w:szCs w:val="22"/>
          <w:vertAlign w:val="superscript"/>
          <w:lang w:val="en-GB"/>
        </w:rPr>
        <w:t>9</w:t>
      </w:r>
      <w:r w:rsidR="00664496" w:rsidRPr="00654EF1">
        <w:rPr>
          <w:color w:val="000000"/>
          <w:sz w:val="22"/>
          <w:szCs w:val="22"/>
          <w:lang w:val="en-GB"/>
        </w:rPr>
        <w:t>/l) and thrombocytopenia (platelet count &lt; 10 x 10</w:t>
      </w:r>
      <w:r w:rsidR="00664496" w:rsidRPr="00654EF1">
        <w:rPr>
          <w:color w:val="000000"/>
          <w:sz w:val="22"/>
          <w:szCs w:val="22"/>
          <w:vertAlign w:val="superscript"/>
          <w:lang w:val="en-GB"/>
        </w:rPr>
        <w:t>9</w:t>
      </w:r>
      <w:r w:rsidR="00664496" w:rsidRPr="00654EF1">
        <w:rPr>
          <w:color w:val="000000"/>
          <w:sz w:val="22"/>
          <w:szCs w:val="22"/>
          <w:lang w:val="en-GB"/>
        </w:rPr>
        <w:t xml:space="preserve">/l) were observed in 3.6% and &lt; 1% of patients, respectively. </w:t>
      </w:r>
      <w:r w:rsidRPr="00654EF1">
        <w:rPr>
          <w:color w:val="000000"/>
          <w:sz w:val="22"/>
          <w:szCs w:val="22"/>
          <w:lang w:val="en-GB"/>
        </w:rPr>
        <w:t xml:space="preserve">The median duration of the neutropenic and thrombocytopenic episodes usually ranged from </w:t>
      </w:r>
      <w:smartTag w:uri="urn:schemas-microsoft-com:office:smarttags" w:element="time">
        <w:smartTagPr>
          <w:attr w:name="Hour" w:val="2"/>
          <w:attr w:name="Minute" w:val="0"/>
        </w:smartTagPr>
        <w:r w:rsidRPr="00654EF1">
          <w:rPr>
            <w:color w:val="000000"/>
            <w:sz w:val="22"/>
            <w:szCs w:val="22"/>
            <w:lang w:val="en-GB"/>
          </w:rPr>
          <w:t>2</w:t>
        </w:r>
      </w:smartTag>
      <w:r w:rsidRPr="00654EF1">
        <w:rPr>
          <w:color w:val="000000"/>
          <w:sz w:val="22"/>
          <w:szCs w:val="22"/>
          <w:lang w:val="en-GB"/>
        </w:rPr>
        <w:t xml:space="preserve"> to 3 weeks, and from </w:t>
      </w:r>
      <w:smartTag w:uri="urn:schemas-microsoft-com:office:smarttags" w:element="time">
        <w:smartTagPr>
          <w:attr w:name="Hour" w:val="3"/>
          <w:attr w:name="Minute" w:val="0"/>
        </w:smartTagPr>
        <w:r w:rsidRPr="00654EF1">
          <w:rPr>
            <w:color w:val="000000"/>
            <w:sz w:val="22"/>
            <w:szCs w:val="22"/>
            <w:lang w:val="en-GB"/>
          </w:rPr>
          <w:t>3</w:t>
        </w:r>
      </w:smartTag>
      <w:r w:rsidRPr="00654EF1">
        <w:rPr>
          <w:color w:val="000000"/>
          <w:sz w:val="22"/>
          <w:szCs w:val="22"/>
          <w:lang w:val="en-GB"/>
        </w:rPr>
        <w:t xml:space="preserve"> to 4</w:t>
      </w:r>
      <w:r w:rsidR="0036337E" w:rsidRPr="00654EF1">
        <w:rPr>
          <w:color w:val="000000"/>
          <w:sz w:val="22"/>
          <w:szCs w:val="22"/>
          <w:lang w:val="en-GB"/>
        </w:rPr>
        <w:t> </w:t>
      </w:r>
      <w:r w:rsidRPr="00654EF1">
        <w:rPr>
          <w:color w:val="000000"/>
          <w:sz w:val="22"/>
          <w:szCs w:val="22"/>
          <w:lang w:val="en-GB"/>
        </w:rPr>
        <w:t>weeks, respectively. These events can usually be managed with either a reduction of the dose or an interruption of treatment with Glivec, but can in rare cases lead to permanent discontinuation of treatment.</w:t>
      </w:r>
      <w:r w:rsidR="007E73D8" w:rsidRPr="00654EF1">
        <w:rPr>
          <w:color w:val="000000"/>
          <w:sz w:val="22"/>
          <w:szCs w:val="22"/>
          <w:lang w:val="en-GB"/>
        </w:rPr>
        <w:t xml:space="preserve"> In paediatric CML patients the </w:t>
      </w:r>
      <w:r w:rsidR="007E73D8" w:rsidRPr="00654EF1">
        <w:rPr>
          <w:color w:val="000000"/>
          <w:sz w:val="22"/>
          <w:szCs w:val="22"/>
        </w:rPr>
        <w:t>most frequent toxicities observed were grade 3 or 4 cytopenias involving neutropenia, thrombocytopenia and anaemia. These generally occur within the first several months of therapy.</w:t>
      </w:r>
    </w:p>
    <w:p w14:paraId="1B680678" w14:textId="77777777" w:rsidR="006237AB" w:rsidRPr="00654EF1" w:rsidRDefault="006237AB" w:rsidP="001D5C8C">
      <w:pPr>
        <w:pStyle w:val="Text"/>
        <w:widowControl w:val="0"/>
        <w:spacing w:before="0"/>
        <w:jc w:val="left"/>
        <w:rPr>
          <w:color w:val="000000"/>
          <w:sz w:val="22"/>
          <w:szCs w:val="22"/>
          <w:lang w:val="en-GB"/>
        </w:rPr>
      </w:pPr>
    </w:p>
    <w:p w14:paraId="1B680679" w14:textId="77777777" w:rsidR="006237AB" w:rsidRPr="00654EF1" w:rsidRDefault="00FE1066" w:rsidP="001D5C8C">
      <w:pPr>
        <w:pStyle w:val="Text"/>
        <w:widowControl w:val="0"/>
        <w:spacing w:before="0"/>
        <w:jc w:val="left"/>
        <w:rPr>
          <w:color w:val="000000"/>
          <w:sz w:val="22"/>
          <w:szCs w:val="22"/>
          <w:lang w:val="en-GB"/>
        </w:rPr>
      </w:pPr>
      <w:r w:rsidRPr="00654EF1">
        <w:rPr>
          <w:color w:val="000000"/>
          <w:sz w:val="22"/>
          <w:szCs w:val="22"/>
          <w:lang w:val="en-GB"/>
        </w:rPr>
        <w:t xml:space="preserve">In the </w:t>
      </w:r>
      <w:r w:rsidRPr="00654EF1">
        <w:rPr>
          <w:snapToGrid w:val="0"/>
          <w:color w:val="000000"/>
          <w:sz w:val="22"/>
          <w:szCs w:val="22"/>
        </w:rPr>
        <w:t xml:space="preserve">study in patients with unresectable and/or metastatic </w:t>
      </w:r>
      <w:r w:rsidRPr="00654EF1">
        <w:rPr>
          <w:color w:val="000000"/>
          <w:sz w:val="22"/>
          <w:szCs w:val="22"/>
          <w:lang w:val="en-GB"/>
        </w:rPr>
        <w:t>GIST,</w:t>
      </w:r>
      <w:r w:rsidR="006237AB" w:rsidRPr="00654EF1">
        <w:rPr>
          <w:color w:val="000000"/>
          <w:sz w:val="22"/>
          <w:szCs w:val="22"/>
          <w:lang w:val="en-GB"/>
        </w:rPr>
        <w:t xml:space="preserve"> grade</w:t>
      </w:r>
      <w:r w:rsidR="0036337E" w:rsidRPr="00654EF1">
        <w:rPr>
          <w:color w:val="000000"/>
          <w:sz w:val="22"/>
          <w:szCs w:val="22"/>
          <w:lang w:val="en-GB"/>
        </w:rPr>
        <w:t> </w:t>
      </w:r>
      <w:r w:rsidR="006237AB" w:rsidRPr="00654EF1">
        <w:rPr>
          <w:color w:val="000000"/>
          <w:sz w:val="22"/>
          <w:szCs w:val="22"/>
          <w:lang w:val="en-GB"/>
        </w:rPr>
        <w:t xml:space="preserve">3 and 4 anaemia was reported in </w:t>
      </w:r>
      <w:r w:rsidR="005D78E4" w:rsidRPr="00654EF1">
        <w:rPr>
          <w:color w:val="000000"/>
          <w:sz w:val="22"/>
          <w:szCs w:val="22"/>
          <w:lang w:val="en-GB"/>
        </w:rPr>
        <w:t>5</w:t>
      </w:r>
      <w:r w:rsidR="006237AB" w:rsidRPr="00654EF1">
        <w:rPr>
          <w:color w:val="000000"/>
          <w:sz w:val="22"/>
          <w:szCs w:val="22"/>
          <w:lang w:val="en-GB"/>
        </w:rPr>
        <w:t>.4% and 0.7% of patients, respectively, and may have been related to gastrointestinal or intra-tumoural bleeding in at least some of these patients. Grade</w:t>
      </w:r>
      <w:r w:rsidR="0036337E" w:rsidRPr="00654EF1">
        <w:rPr>
          <w:color w:val="000000"/>
          <w:sz w:val="22"/>
          <w:szCs w:val="22"/>
          <w:lang w:val="en-GB"/>
        </w:rPr>
        <w:t> </w:t>
      </w:r>
      <w:r w:rsidR="006237AB" w:rsidRPr="00654EF1">
        <w:rPr>
          <w:color w:val="000000"/>
          <w:sz w:val="22"/>
          <w:szCs w:val="22"/>
          <w:lang w:val="en-GB"/>
        </w:rPr>
        <w:t xml:space="preserve">3 and 4 neutropenia was seen in </w:t>
      </w:r>
      <w:r w:rsidR="005D78E4" w:rsidRPr="00654EF1">
        <w:rPr>
          <w:color w:val="000000"/>
          <w:sz w:val="22"/>
          <w:szCs w:val="22"/>
          <w:lang w:val="en-GB"/>
        </w:rPr>
        <w:t>7</w:t>
      </w:r>
      <w:r w:rsidR="006237AB" w:rsidRPr="00654EF1">
        <w:rPr>
          <w:color w:val="000000"/>
          <w:sz w:val="22"/>
          <w:szCs w:val="22"/>
          <w:lang w:val="en-GB"/>
        </w:rPr>
        <w:t>.</w:t>
      </w:r>
      <w:r w:rsidR="005D78E4" w:rsidRPr="00654EF1">
        <w:rPr>
          <w:color w:val="000000"/>
          <w:sz w:val="22"/>
          <w:szCs w:val="22"/>
          <w:lang w:val="en-GB"/>
        </w:rPr>
        <w:t>5</w:t>
      </w:r>
      <w:r w:rsidR="006237AB" w:rsidRPr="00654EF1">
        <w:rPr>
          <w:color w:val="000000"/>
          <w:sz w:val="22"/>
          <w:szCs w:val="22"/>
          <w:lang w:val="en-GB"/>
        </w:rPr>
        <w:t xml:space="preserve">% and </w:t>
      </w:r>
      <w:r w:rsidR="005D78E4" w:rsidRPr="00654EF1">
        <w:rPr>
          <w:color w:val="000000"/>
          <w:sz w:val="22"/>
          <w:szCs w:val="22"/>
          <w:lang w:val="en-GB"/>
        </w:rPr>
        <w:t>2</w:t>
      </w:r>
      <w:r w:rsidR="006237AB" w:rsidRPr="00654EF1">
        <w:rPr>
          <w:color w:val="000000"/>
          <w:sz w:val="22"/>
          <w:szCs w:val="22"/>
          <w:lang w:val="en-GB"/>
        </w:rPr>
        <w:t>.</w:t>
      </w:r>
      <w:r w:rsidR="005D78E4" w:rsidRPr="00654EF1">
        <w:rPr>
          <w:color w:val="000000"/>
          <w:sz w:val="22"/>
          <w:szCs w:val="22"/>
          <w:lang w:val="en-GB"/>
        </w:rPr>
        <w:t>7</w:t>
      </w:r>
      <w:r w:rsidR="006237AB" w:rsidRPr="00654EF1">
        <w:rPr>
          <w:color w:val="000000"/>
          <w:sz w:val="22"/>
          <w:szCs w:val="22"/>
          <w:lang w:val="en-GB"/>
        </w:rPr>
        <w:t>% of patients, respectively, and grade</w:t>
      </w:r>
      <w:r w:rsidR="0036337E" w:rsidRPr="00654EF1">
        <w:rPr>
          <w:color w:val="000000"/>
          <w:sz w:val="22"/>
          <w:szCs w:val="22"/>
          <w:lang w:val="en-GB"/>
        </w:rPr>
        <w:t> </w:t>
      </w:r>
      <w:r w:rsidR="006237AB" w:rsidRPr="00654EF1">
        <w:rPr>
          <w:color w:val="000000"/>
          <w:sz w:val="22"/>
          <w:szCs w:val="22"/>
          <w:lang w:val="en-GB"/>
        </w:rPr>
        <w:t>3 thrombocytopenia in 0.7% of patients. No patient developed grade</w:t>
      </w:r>
      <w:r w:rsidR="0036337E" w:rsidRPr="00654EF1">
        <w:rPr>
          <w:color w:val="000000"/>
          <w:sz w:val="22"/>
          <w:szCs w:val="22"/>
          <w:lang w:val="en-GB"/>
        </w:rPr>
        <w:t> </w:t>
      </w:r>
      <w:r w:rsidR="006237AB" w:rsidRPr="00654EF1">
        <w:rPr>
          <w:color w:val="000000"/>
          <w:sz w:val="22"/>
          <w:szCs w:val="22"/>
          <w:lang w:val="en-GB"/>
        </w:rPr>
        <w:t>4 thrombocytopenia. The decreases in white blood cell (WBC) and neutrophil counts occurred mainly during the first six weeks of therapy, with values remaining relatively stable thereafter.</w:t>
      </w:r>
    </w:p>
    <w:p w14:paraId="1B68067A" w14:textId="77777777" w:rsidR="006237AB" w:rsidRPr="00654EF1" w:rsidRDefault="006237AB" w:rsidP="001D5C8C">
      <w:pPr>
        <w:pStyle w:val="Text"/>
        <w:widowControl w:val="0"/>
        <w:spacing w:before="0"/>
        <w:jc w:val="left"/>
        <w:rPr>
          <w:color w:val="000000"/>
          <w:sz w:val="22"/>
          <w:szCs w:val="22"/>
          <w:lang w:val="en-GB"/>
        </w:rPr>
      </w:pPr>
    </w:p>
    <w:p w14:paraId="1B68067B" w14:textId="77777777" w:rsidR="006237AB" w:rsidRPr="00654EF1" w:rsidRDefault="006237AB" w:rsidP="001D5C8C">
      <w:pPr>
        <w:pStyle w:val="Text"/>
        <w:keepNext/>
        <w:widowControl w:val="0"/>
        <w:spacing w:before="0"/>
        <w:jc w:val="left"/>
        <w:rPr>
          <w:color w:val="000000"/>
          <w:sz w:val="22"/>
          <w:szCs w:val="22"/>
          <w:lang w:val="en-GB"/>
        </w:rPr>
      </w:pPr>
      <w:r w:rsidRPr="00654EF1">
        <w:rPr>
          <w:i/>
          <w:color w:val="000000"/>
          <w:sz w:val="22"/>
          <w:szCs w:val="22"/>
          <w:lang w:val="en-GB"/>
        </w:rPr>
        <w:t>Biochemistry</w:t>
      </w:r>
    </w:p>
    <w:p w14:paraId="1B68067C" w14:textId="77777777" w:rsidR="00487685" w:rsidRPr="00654EF1" w:rsidRDefault="00487685" w:rsidP="001D5C8C">
      <w:pPr>
        <w:pStyle w:val="Text"/>
        <w:widowControl w:val="0"/>
        <w:spacing w:before="0"/>
        <w:jc w:val="left"/>
        <w:rPr>
          <w:color w:val="000000"/>
          <w:sz w:val="22"/>
          <w:szCs w:val="22"/>
        </w:rPr>
      </w:pPr>
      <w:r w:rsidRPr="00654EF1">
        <w:rPr>
          <w:color w:val="000000"/>
          <w:sz w:val="22"/>
          <w:szCs w:val="22"/>
          <w:lang w:val="en-GB"/>
        </w:rPr>
        <w:t xml:space="preserve">Severe elevation of transaminases (&lt;5%) or bilirubin (&lt;1%) was seen in CML patients and was usually managed with dose reduction or interruption (the median duration of these episodes was approximately one week). Treatment was discontinued permanently because of liver laboratory abnormalities in less than 1% of CML patients. In GIST patients </w:t>
      </w:r>
      <w:r w:rsidRPr="00654EF1">
        <w:rPr>
          <w:color w:val="000000"/>
          <w:sz w:val="22"/>
          <w:szCs w:val="22"/>
        </w:rPr>
        <w:t xml:space="preserve">(study B2222), 6.8% of grade 3 or 4 </w:t>
      </w:r>
      <w:smartTag w:uri="urn:schemas-microsoft-com:office:smarttags" w:element="stockticker">
        <w:r w:rsidRPr="00654EF1">
          <w:rPr>
            <w:color w:val="000000"/>
            <w:sz w:val="22"/>
            <w:szCs w:val="22"/>
          </w:rPr>
          <w:t>ALT</w:t>
        </w:r>
      </w:smartTag>
      <w:r w:rsidRPr="00654EF1">
        <w:rPr>
          <w:color w:val="000000"/>
          <w:sz w:val="22"/>
          <w:szCs w:val="22"/>
        </w:rPr>
        <w:t xml:space="preserve"> (alanine aminotransferase</w:t>
      </w:r>
      <w:r w:rsidRPr="00654EF1">
        <w:rPr>
          <w:rFonts w:eastAsia="MS Mincho"/>
          <w:color w:val="000000"/>
          <w:sz w:val="22"/>
          <w:szCs w:val="22"/>
        </w:rPr>
        <w:t>)</w:t>
      </w:r>
      <w:r w:rsidRPr="00654EF1">
        <w:rPr>
          <w:rFonts w:eastAsia="MS Mincho"/>
          <w:b/>
          <w:bCs/>
          <w:color w:val="000000"/>
          <w:sz w:val="22"/>
          <w:szCs w:val="22"/>
          <w:lang w:eastAsia="ja-JP"/>
        </w:rPr>
        <w:t xml:space="preserve"> </w:t>
      </w:r>
      <w:r w:rsidRPr="00654EF1">
        <w:rPr>
          <w:color w:val="000000"/>
          <w:sz w:val="22"/>
          <w:szCs w:val="22"/>
        </w:rPr>
        <w:t>elevations and 4.8% of grade 3 or 4 AST (aspartate aminotransferase</w:t>
      </w:r>
      <w:r w:rsidRPr="00654EF1">
        <w:rPr>
          <w:rFonts w:eastAsia="MS Mincho"/>
          <w:color w:val="000000"/>
          <w:sz w:val="22"/>
          <w:szCs w:val="22"/>
        </w:rPr>
        <w:t xml:space="preserve">) </w:t>
      </w:r>
      <w:r w:rsidRPr="00654EF1">
        <w:rPr>
          <w:color w:val="000000"/>
          <w:sz w:val="22"/>
          <w:szCs w:val="22"/>
        </w:rPr>
        <w:t>elevations were observed. Bilirubin elevation was below 3%.</w:t>
      </w:r>
    </w:p>
    <w:p w14:paraId="1B68067D" w14:textId="77777777" w:rsidR="00640DFF" w:rsidRPr="00654EF1" w:rsidRDefault="00640DFF" w:rsidP="001D5C8C">
      <w:pPr>
        <w:pStyle w:val="Text"/>
        <w:widowControl w:val="0"/>
        <w:spacing w:before="0"/>
        <w:jc w:val="left"/>
        <w:rPr>
          <w:color w:val="000000"/>
          <w:sz w:val="22"/>
          <w:szCs w:val="22"/>
          <w:lang w:val="en-GB"/>
        </w:rPr>
      </w:pPr>
    </w:p>
    <w:p w14:paraId="1B68067E" w14:textId="77777777" w:rsidR="00C703BD"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There have been cases of cytolytic and cholestatic hepatitis and hepatic failure; in some of them outcome was fatal</w:t>
      </w:r>
      <w:r w:rsidR="00640DFF" w:rsidRPr="00654EF1">
        <w:rPr>
          <w:color w:val="000000"/>
          <w:sz w:val="22"/>
          <w:szCs w:val="22"/>
        </w:rPr>
        <w:t>, including one patient on high dose paracetamol</w:t>
      </w:r>
      <w:r w:rsidRPr="00654EF1">
        <w:rPr>
          <w:color w:val="000000"/>
          <w:sz w:val="22"/>
          <w:szCs w:val="22"/>
          <w:lang w:val="en-GB"/>
        </w:rPr>
        <w:t>.</w:t>
      </w:r>
    </w:p>
    <w:p w14:paraId="1B68067F" w14:textId="77777777" w:rsidR="007B18B8" w:rsidRPr="00654EF1" w:rsidRDefault="007B18B8" w:rsidP="001D5C8C">
      <w:pPr>
        <w:pStyle w:val="Text"/>
        <w:widowControl w:val="0"/>
        <w:spacing w:before="0"/>
        <w:jc w:val="left"/>
        <w:rPr>
          <w:color w:val="000000"/>
          <w:sz w:val="22"/>
          <w:szCs w:val="22"/>
        </w:rPr>
      </w:pPr>
    </w:p>
    <w:p w14:paraId="1B680680" w14:textId="77777777" w:rsidR="000079FE" w:rsidRPr="00654EF1" w:rsidRDefault="000079FE" w:rsidP="001D5C8C">
      <w:pPr>
        <w:keepNext/>
        <w:widowControl w:val="0"/>
        <w:tabs>
          <w:tab w:val="clear" w:pos="567"/>
        </w:tabs>
        <w:spacing w:line="240" w:lineRule="auto"/>
        <w:rPr>
          <w:u w:val="single"/>
        </w:rPr>
      </w:pPr>
      <w:r w:rsidRPr="00654EF1">
        <w:rPr>
          <w:u w:val="single"/>
        </w:rPr>
        <w:t>Description of selected adverse reactions</w:t>
      </w:r>
    </w:p>
    <w:p w14:paraId="1B680681" w14:textId="77777777" w:rsidR="007B18B8" w:rsidRPr="00654EF1" w:rsidRDefault="007B18B8" w:rsidP="001D5C8C">
      <w:pPr>
        <w:pStyle w:val="Text"/>
        <w:keepNext/>
        <w:widowControl w:val="0"/>
        <w:spacing w:before="0"/>
        <w:jc w:val="left"/>
        <w:rPr>
          <w:i/>
          <w:color w:val="000000"/>
          <w:sz w:val="22"/>
          <w:szCs w:val="22"/>
          <w:u w:val="single"/>
        </w:rPr>
      </w:pPr>
      <w:r w:rsidRPr="00654EF1">
        <w:rPr>
          <w:i/>
          <w:color w:val="000000"/>
          <w:sz w:val="22"/>
          <w:szCs w:val="22"/>
          <w:u w:val="single"/>
        </w:rPr>
        <w:t>Hepatitis B reactivation</w:t>
      </w:r>
    </w:p>
    <w:p w14:paraId="1B680682" w14:textId="77777777" w:rsidR="007B18B8" w:rsidRPr="00654EF1" w:rsidRDefault="007B18B8" w:rsidP="001D5C8C">
      <w:pPr>
        <w:pStyle w:val="Text"/>
        <w:widowControl w:val="0"/>
        <w:spacing w:before="0"/>
        <w:jc w:val="left"/>
        <w:rPr>
          <w:color w:val="000000"/>
          <w:sz w:val="22"/>
          <w:szCs w:val="22"/>
        </w:rPr>
      </w:pPr>
      <w:r w:rsidRPr="00654EF1">
        <w:rPr>
          <w:color w:val="000000"/>
          <w:sz w:val="22"/>
          <w:szCs w:val="22"/>
        </w:rPr>
        <w:t>Hepatitis B reactivation has been reported in association with BCR-ABL TKIs. Some cases resulted in acute hepatic failure or fulminant hepatitis leading to liver transplantation or a fatal outcome (see section 4.4).</w:t>
      </w:r>
    </w:p>
    <w:p w14:paraId="1B680683" w14:textId="77777777" w:rsidR="00244ABD" w:rsidRPr="00654EF1" w:rsidRDefault="00244ABD" w:rsidP="001D5C8C">
      <w:pPr>
        <w:pStyle w:val="Text"/>
        <w:widowControl w:val="0"/>
        <w:spacing w:before="0"/>
        <w:jc w:val="left"/>
        <w:rPr>
          <w:color w:val="000000"/>
          <w:sz w:val="22"/>
          <w:szCs w:val="22"/>
          <w:lang w:eastAsia="ja-JP"/>
        </w:rPr>
      </w:pPr>
    </w:p>
    <w:p w14:paraId="1B680684" w14:textId="77777777" w:rsidR="00244ABD" w:rsidRPr="00654EF1" w:rsidRDefault="00244ABD" w:rsidP="001D5C8C">
      <w:pPr>
        <w:pStyle w:val="Text"/>
        <w:keepNext/>
        <w:widowControl w:val="0"/>
        <w:spacing w:before="0"/>
        <w:jc w:val="left"/>
        <w:rPr>
          <w:color w:val="000000"/>
          <w:sz w:val="22"/>
          <w:szCs w:val="22"/>
          <w:u w:val="single"/>
          <w:lang w:eastAsia="ja-JP"/>
        </w:rPr>
      </w:pPr>
      <w:r w:rsidRPr="00654EF1">
        <w:rPr>
          <w:color w:val="000000"/>
          <w:sz w:val="22"/>
          <w:szCs w:val="22"/>
          <w:u w:val="single"/>
          <w:lang w:eastAsia="ja-JP"/>
        </w:rPr>
        <w:t>Reporting of suspected adverse reactions</w:t>
      </w:r>
    </w:p>
    <w:p w14:paraId="1B680685" w14:textId="77777777" w:rsidR="00244ABD" w:rsidRPr="00654EF1" w:rsidRDefault="00244ABD" w:rsidP="001D5C8C">
      <w:pPr>
        <w:pStyle w:val="Text"/>
        <w:widowControl w:val="0"/>
        <w:spacing w:before="0"/>
        <w:jc w:val="left"/>
        <w:rPr>
          <w:color w:val="000000"/>
          <w:sz w:val="22"/>
          <w:szCs w:val="22"/>
          <w:lang w:eastAsia="ja-JP"/>
        </w:rPr>
      </w:pPr>
      <w:r w:rsidRPr="00654EF1">
        <w:rPr>
          <w:color w:val="000000"/>
          <w:sz w:val="22"/>
          <w:szCs w:val="22"/>
          <w:lang w:eastAsia="ja-JP"/>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Pr="00654EF1">
        <w:rPr>
          <w:color w:val="000000"/>
          <w:sz w:val="22"/>
          <w:szCs w:val="22"/>
          <w:shd w:val="clear" w:color="auto" w:fill="D9D9D9"/>
          <w:lang w:eastAsia="ja-JP"/>
        </w:rPr>
        <w:t xml:space="preserve">via the national reporting system. listed in </w:t>
      </w:r>
      <w:hyperlink r:id="rId15" w:history="1">
        <w:r w:rsidRPr="00654EF1">
          <w:rPr>
            <w:rStyle w:val="Hyperlink"/>
            <w:sz w:val="22"/>
            <w:szCs w:val="22"/>
            <w:shd w:val="clear" w:color="auto" w:fill="D9D9D9"/>
            <w:lang w:eastAsia="ja-JP"/>
          </w:rPr>
          <w:t>Appendix V</w:t>
        </w:r>
      </w:hyperlink>
      <w:r w:rsidRPr="00654EF1">
        <w:rPr>
          <w:color w:val="000000"/>
          <w:sz w:val="22"/>
          <w:szCs w:val="22"/>
          <w:lang w:eastAsia="ja-JP"/>
        </w:rPr>
        <w:t>.</w:t>
      </w:r>
    </w:p>
    <w:p w14:paraId="1B680686" w14:textId="77777777" w:rsidR="006237AB" w:rsidRPr="00654EF1" w:rsidRDefault="006237AB" w:rsidP="001D5C8C">
      <w:pPr>
        <w:pStyle w:val="EndnoteText"/>
        <w:widowControl w:val="0"/>
        <w:tabs>
          <w:tab w:val="clear" w:pos="567"/>
        </w:tabs>
        <w:rPr>
          <w:color w:val="000000"/>
          <w:szCs w:val="22"/>
          <w:lang w:val="en-US"/>
        </w:rPr>
      </w:pPr>
    </w:p>
    <w:p w14:paraId="1B680687"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4.9</w:t>
      </w:r>
      <w:r w:rsidRPr="00654EF1">
        <w:rPr>
          <w:b/>
          <w:color w:val="000000"/>
          <w:szCs w:val="22"/>
        </w:rPr>
        <w:tab/>
        <w:t>Overdose</w:t>
      </w:r>
    </w:p>
    <w:p w14:paraId="1B680688" w14:textId="77777777" w:rsidR="006237AB" w:rsidRPr="00654EF1" w:rsidRDefault="006237AB" w:rsidP="001D5C8C">
      <w:pPr>
        <w:keepNext/>
        <w:widowControl w:val="0"/>
        <w:tabs>
          <w:tab w:val="clear" w:pos="567"/>
        </w:tabs>
        <w:spacing w:line="240" w:lineRule="auto"/>
        <w:rPr>
          <w:color w:val="000000"/>
          <w:szCs w:val="22"/>
        </w:rPr>
      </w:pPr>
    </w:p>
    <w:p w14:paraId="1B680689" w14:textId="77777777" w:rsidR="00986918" w:rsidRPr="00654EF1" w:rsidRDefault="00986918" w:rsidP="001D5C8C">
      <w:pPr>
        <w:widowControl w:val="0"/>
        <w:tabs>
          <w:tab w:val="clear" w:pos="567"/>
        </w:tabs>
        <w:spacing w:line="240" w:lineRule="auto"/>
        <w:rPr>
          <w:color w:val="000000"/>
          <w:szCs w:val="22"/>
        </w:rPr>
      </w:pPr>
      <w:r w:rsidRPr="00654EF1">
        <w:rPr>
          <w:color w:val="000000"/>
          <w:szCs w:val="22"/>
        </w:rPr>
        <w:t>Experience with doses higher than the recommended therapeutic dose is limited. Isolated cases of Glivec overdose have been reported spontaneously and in the literature. In the event of overdose the patient should be observed and appropriate symptomatic treatment given. Generally the reported outcome in these cases was “improved” or “recovered”. Events that have been reported at different dose ranges are as follows:</w:t>
      </w:r>
    </w:p>
    <w:p w14:paraId="1B68068A" w14:textId="77777777" w:rsidR="00C759DD" w:rsidRPr="00654EF1" w:rsidRDefault="00C759DD" w:rsidP="001D5C8C">
      <w:pPr>
        <w:widowControl w:val="0"/>
        <w:tabs>
          <w:tab w:val="clear" w:pos="567"/>
        </w:tabs>
        <w:spacing w:line="240" w:lineRule="auto"/>
        <w:rPr>
          <w:color w:val="000000"/>
          <w:szCs w:val="22"/>
        </w:rPr>
      </w:pPr>
    </w:p>
    <w:p w14:paraId="1B68068B" w14:textId="77777777" w:rsidR="00986918" w:rsidRPr="00654EF1" w:rsidRDefault="006B706C" w:rsidP="001D5C8C">
      <w:pPr>
        <w:keepNext/>
        <w:widowControl w:val="0"/>
        <w:tabs>
          <w:tab w:val="clear" w:pos="567"/>
        </w:tabs>
        <w:spacing w:line="240" w:lineRule="auto"/>
        <w:rPr>
          <w:color w:val="000000"/>
          <w:szCs w:val="22"/>
        </w:rPr>
      </w:pPr>
      <w:r w:rsidRPr="00654EF1">
        <w:rPr>
          <w:i/>
          <w:iCs/>
          <w:color w:val="000000"/>
          <w:szCs w:val="22"/>
        </w:rPr>
        <w:t>Adult population</w:t>
      </w:r>
    </w:p>
    <w:p w14:paraId="1B68068C" w14:textId="77777777" w:rsidR="00986918" w:rsidRPr="00654EF1" w:rsidRDefault="00986918" w:rsidP="001D5C8C">
      <w:pPr>
        <w:pStyle w:val="Text"/>
        <w:widowControl w:val="0"/>
        <w:spacing w:before="0"/>
        <w:jc w:val="left"/>
        <w:rPr>
          <w:color w:val="000000"/>
          <w:sz w:val="22"/>
          <w:szCs w:val="22"/>
        </w:rPr>
      </w:pPr>
      <w:r w:rsidRPr="00654EF1">
        <w:rPr>
          <w:color w:val="000000"/>
          <w:sz w:val="22"/>
          <w:szCs w:val="22"/>
        </w:rPr>
        <w:t>1200 to 1600 mg (duration varying between 1 to 10 days): Nausea, vomiting, diarrhoea, rash, erythema, oedema, swelling, fatigue, muscle spasms, thrombocytopenia, pancytopenia, abdominal pain, headache, decreased appetite.</w:t>
      </w:r>
    </w:p>
    <w:p w14:paraId="1B68068D" w14:textId="77777777" w:rsidR="00986918" w:rsidRPr="00654EF1" w:rsidRDefault="00986918" w:rsidP="001D5C8C">
      <w:pPr>
        <w:pStyle w:val="Text"/>
        <w:widowControl w:val="0"/>
        <w:spacing w:before="0"/>
        <w:jc w:val="left"/>
        <w:rPr>
          <w:color w:val="000000"/>
          <w:sz w:val="22"/>
          <w:szCs w:val="22"/>
        </w:rPr>
      </w:pPr>
      <w:r w:rsidRPr="00654EF1">
        <w:rPr>
          <w:color w:val="000000"/>
          <w:sz w:val="22"/>
          <w:szCs w:val="22"/>
        </w:rPr>
        <w:t>1800 to 3200 mg (as high as 3200 mg daily for 6 days): Weakness, myalgia, increased creatine phosphokinase, increased bilirubin, gastrointestinal pain.</w:t>
      </w:r>
    </w:p>
    <w:p w14:paraId="1B68068E" w14:textId="77777777" w:rsidR="00986918" w:rsidRPr="00654EF1" w:rsidRDefault="00986918" w:rsidP="001D5C8C">
      <w:pPr>
        <w:pStyle w:val="Text"/>
        <w:widowControl w:val="0"/>
        <w:spacing w:before="0"/>
        <w:jc w:val="left"/>
        <w:rPr>
          <w:color w:val="000000"/>
          <w:sz w:val="22"/>
          <w:szCs w:val="22"/>
        </w:rPr>
      </w:pPr>
      <w:r w:rsidRPr="00654EF1">
        <w:rPr>
          <w:color w:val="000000"/>
          <w:sz w:val="22"/>
          <w:szCs w:val="22"/>
        </w:rPr>
        <w:t>6400 mg (single dose): One case reported in the literature of one patient who experienced nausea, vomiting, abdominal pain, pyrexia, facial swelling, decreased neutrophil count, increased transaminases.</w:t>
      </w:r>
    </w:p>
    <w:p w14:paraId="1B68068F" w14:textId="77777777" w:rsidR="00986918" w:rsidRPr="00654EF1" w:rsidRDefault="00986918" w:rsidP="001D5C8C">
      <w:pPr>
        <w:pStyle w:val="Text"/>
        <w:widowControl w:val="0"/>
        <w:spacing w:before="0"/>
        <w:jc w:val="left"/>
        <w:rPr>
          <w:color w:val="000000"/>
          <w:sz w:val="22"/>
          <w:szCs w:val="22"/>
        </w:rPr>
      </w:pPr>
      <w:r w:rsidRPr="00654EF1">
        <w:rPr>
          <w:color w:val="000000"/>
          <w:sz w:val="22"/>
          <w:szCs w:val="22"/>
        </w:rPr>
        <w:t>8 to 10 g (single dose): Vomiting and gastrointestinal pain have been reported.</w:t>
      </w:r>
    </w:p>
    <w:p w14:paraId="1B680690" w14:textId="77777777" w:rsidR="00986918" w:rsidRPr="00654EF1" w:rsidRDefault="00986918" w:rsidP="001D5C8C">
      <w:pPr>
        <w:widowControl w:val="0"/>
        <w:tabs>
          <w:tab w:val="clear" w:pos="567"/>
        </w:tabs>
        <w:spacing w:line="240" w:lineRule="auto"/>
        <w:rPr>
          <w:color w:val="000000"/>
          <w:szCs w:val="22"/>
        </w:rPr>
      </w:pPr>
    </w:p>
    <w:p w14:paraId="1B680691" w14:textId="77777777" w:rsidR="00986918" w:rsidRPr="00654EF1" w:rsidRDefault="006B706C" w:rsidP="001D5C8C">
      <w:pPr>
        <w:keepNext/>
        <w:widowControl w:val="0"/>
        <w:tabs>
          <w:tab w:val="clear" w:pos="567"/>
        </w:tabs>
        <w:spacing w:line="240" w:lineRule="auto"/>
        <w:rPr>
          <w:color w:val="000000"/>
          <w:szCs w:val="22"/>
        </w:rPr>
      </w:pPr>
      <w:r w:rsidRPr="00654EF1">
        <w:rPr>
          <w:i/>
          <w:iCs/>
          <w:color w:val="000000"/>
          <w:szCs w:val="22"/>
        </w:rPr>
        <w:t>Paediatric population</w:t>
      </w:r>
    </w:p>
    <w:p w14:paraId="1B680692" w14:textId="77777777" w:rsidR="00986918" w:rsidRPr="00654EF1" w:rsidRDefault="00986918" w:rsidP="001D5C8C">
      <w:pPr>
        <w:pStyle w:val="Text"/>
        <w:widowControl w:val="0"/>
        <w:spacing w:before="0"/>
        <w:jc w:val="left"/>
        <w:rPr>
          <w:color w:val="000000"/>
          <w:sz w:val="22"/>
          <w:szCs w:val="22"/>
        </w:rPr>
      </w:pPr>
      <w:r w:rsidRPr="00654EF1">
        <w:rPr>
          <w:color w:val="000000"/>
          <w:sz w:val="22"/>
          <w:szCs w:val="22"/>
        </w:rPr>
        <w:t>One 3-year-old male exposed to a single dose of 400 mg experienced vomiting, diarrhoea and anorexia and another 3-year-old male exposed to a single dose of 980 mg experienced decreased white blood cell count and diarrhoea.</w:t>
      </w:r>
    </w:p>
    <w:p w14:paraId="1B680693" w14:textId="77777777" w:rsidR="006237AB" w:rsidRPr="00654EF1" w:rsidRDefault="006237AB" w:rsidP="001D5C8C">
      <w:pPr>
        <w:widowControl w:val="0"/>
        <w:tabs>
          <w:tab w:val="clear" w:pos="567"/>
        </w:tabs>
        <w:spacing w:line="240" w:lineRule="auto"/>
        <w:rPr>
          <w:color w:val="000000"/>
          <w:szCs w:val="22"/>
        </w:rPr>
      </w:pPr>
    </w:p>
    <w:p w14:paraId="1B680694" w14:textId="77777777" w:rsidR="00EC499F" w:rsidRPr="00654EF1" w:rsidRDefault="00EC499F" w:rsidP="001D5C8C">
      <w:pPr>
        <w:widowControl w:val="0"/>
        <w:tabs>
          <w:tab w:val="clear" w:pos="567"/>
        </w:tabs>
        <w:spacing w:line="240" w:lineRule="auto"/>
        <w:rPr>
          <w:color w:val="000000"/>
          <w:szCs w:val="22"/>
        </w:rPr>
      </w:pPr>
      <w:r w:rsidRPr="00654EF1">
        <w:rPr>
          <w:rFonts w:eastAsia="MS Mincho"/>
          <w:color w:val="000000"/>
        </w:rPr>
        <w:t>In the event of overdose, the patient should be observed and appropriate supportive treatment given.</w:t>
      </w:r>
    </w:p>
    <w:p w14:paraId="1B680695" w14:textId="77777777" w:rsidR="006237AB" w:rsidRPr="00654EF1" w:rsidRDefault="006237AB" w:rsidP="001D5C8C">
      <w:pPr>
        <w:widowControl w:val="0"/>
        <w:tabs>
          <w:tab w:val="clear" w:pos="567"/>
        </w:tabs>
        <w:spacing w:line="240" w:lineRule="auto"/>
        <w:rPr>
          <w:color w:val="000000"/>
          <w:szCs w:val="22"/>
        </w:rPr>
      </w:pPr>
    </w:p>
    <w:p w14:paraId="1B680696" w14:textId="77777777" w:rsidR="00EC499F" w:rsidRPr="00654EF1" w:rsidRDefault="00EC499F" w:rsidP="001D5C8C">
      <w:pPr>
        <w:widowControl w:val="0"/>
        <w:tabs>
          <w:tab w:val="clear" w:pos="567"/>
        </w:tabs>
        <w:spacing w:line="240" w:lineRule="auto"/>
        <w:rPr>
          <w:color w:val="000000"/>
          <w:szCs w:val="22"/>
        </w:rPr>
      </w:pPr>
    </w:p>
    <w:p w14:paraId="1B680697"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5.</w:t>
      </w:r>
      <w:r w:rsidRPr="00654EF1">
        <w:rPr>
          <w:b/>
          <w:color w:val="000000"/>
          <w:szCs w:val="22"/>
        </w:rPr>
        <w:tab/>
        <w:t>PHARMACOLOGICAL PROPERTIES</w:t>
      </w:r>
    </w:p>
    <w:p w14:paraId="1B680698" w14:textId="77777777" w:rsidR="006237AB" w:rsidRPr="00654EF1" w:rsidRDefault="006237AB" w:rsidP="001D5C8C">
      <w:pPr>
        <w:keepNext/>
        <w:widowControl w:val="0"/>
        <w:tabs>
          <w:tab w:val="clear" w:pos="567"/>
        </w:tabs>
        <w:spacing w:line="240" w:lineRule="auto"/>
        <w:rPr>
          <w:color w:val="000000"/>
          <w:szCs w:val="22"/>
        </w:rPr>
      </w:pPr>
    </w:p>
    <w:p w14:paraId="1B680699" w14:textId="77777777" w:rsidR="006237AB" w:rsidRPr="00654EF1" w:rsidRDefault="00FD119A" w:rsidP="001D5C8C">
      <w:pPr>
        <w:keepNext/>
        <w:widowControl w:val="0"/>
        <w:tabs>
          <w:tab w:val="clear" w:pos="567"/>
        </w:tabs>
        <w:spacing w:line="240" w:lineRule="auto"/>
        <w:ind w:left="567" w:hanging="567"/>
        <w:rPr>
          <w:color w:val="000000"/>
          <w:szCs w:val="22"/>
        </w:rPr>
      </w:pPr>
      <w:r w:rsidRPr="00654EF1">
        <w:rPr>
          <w:b/>
          <w:color w:val="000000"/>
          <w:szCs w:val="22"/>
        </w:rPr>
        <w:t>5.1</w:t>
      </w:r>
      <w:r w:rsidR="006237AB" w:rsidRPr="00654EF1">
        <w:rPr>
          <w:b/>
          <w:color w:val="000000"/>
          <w:szCs w:val="22"/>
        </w:rPr>
        <w:tab/>
        <w:t>Pharmacodynamic properties</w:t>
      </w:r>
    </w:p>
    <w:p w14:paraId="1B68069A" w14:textId="77777777" w:rsidR="006237AB" w:rsidRPr="00654EF1" w:rsidRDefault="006237AB" w:rsidP="001D5C8C">
      <w:pPr>
        <w:pStyle w:val="EndnoteText"/>
        <w:keepNext/>
        <w:widowControl w:val="0"/>
        <w:tabs>
          <w:tab w:val="clear" w:pos="567"/>
        </w:tabs>
        <w:rPr>
          <w:color w:val="000000"/>
          <w:szCs w:val="22"/>
        </w:rPr>
      </w:pPr>
    </w:p>
    <w:p w14:paraId="1B68069B"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 xml:space="preserve">Pharmacotherapeutic group: protein-tyrosine kinase inhibitor, ATC code: </w:t>
      </w:r>
      <w:r w:rsidR="007569BA" w:rsidRPr="00654EF1">
        <w:rPr>
          <w:color w:val="000000"/>
          <w:szCs w:val="22"/>
        </w:rPr>
        <w:t>L01XE01</w:t>
      </w:r>
    </w:p>
    <w:p w14:paraId="1B68069C" w14:textId="77777777" w:rsidR="00BB7FBF" w:rsidRPr="00654EF1" w:rsidRDefault="00BB7FBF" w:rsidP="001D5C8C">
      <w:pPr>
        <w:pStyle w:val="EndnoteText"/>
        <w:widowControl w:val="0"/>
        <w:tabs>
          <w:tab w:val="clear" w:pos="567"/>
        </w:tabs>
        <w:rPr>
          <w:color w:val="000000"/>
          <w:szCs w:val="22"/>
        </w:rPr>
      </w:pPr>
    </w:p>
    <w:p w14:paraId="1B68069D" w14:textId="77777777" w:rsidR="00BB7FBF" w:rsidRPr="00654EF1" w:rsidRDefault="00BB7FBF" w:rsidP="001D5C8C">
      <w:pPr>
        <w:pStyle w:val="EndnoteText"/>
        <w:keepNext/>
        <w:widowControl w:val="0"/>
        <w:tabs>
          <w:tab w:val="clear" w:pos="567"/>
        </w:tabs>
        <w:rPr>
          <w:color w:val="000000"/>
          <w:szCs w:val="22"/>
          <w:u w:val="single"/>
        </w:rPr>
      </w:pPr>
      <w:r w:rsidRPr="00654EF1">
        <w:rPr>
          <w:color w:val="000000"/>
          <w:szCs w:val="22"/>
          <w:u w:val="single"/>
        </w:rPr>
        <w:t>Mechanism of action</w:t>
      </w:r>
    </w:p>
    <w:p w14:paraId="1B68069E" w14:textId="77777777" w:rsidR="00BB7FBF" w:rsidRPr="00654EF1" w:rsidRDefault="00BB7FBF" w:rsidP="001D5C8C">
      <w:pPr>
        <w:pStyle w:val="EndnoteText"/>
        <w:widowControl w:val="0"/>
        <w:tabs>
          <w:tab w:val="clear" w:pos="567"/>
        </w:tabs>
      </w:pPr>
      <w:r w:rsidRPr="00654EF1">
        <w:t>Imatinib is a small molecule protein-tyrosine kinase inhibitor that potently inhibits the activity of the Bcr-Abl tyrosine kinase (TK), as well as several receptor TKs: Kit, the receptor for stem cell factor (SCF) coded for by the c-Kit proto-oncogene, the discoidin domain receptors (DDR1 and DDR2), the colony stimulating factor receptor (CSF-1R) and the platelet-derived growth factor receptors alpha and beta (PDGFR-alpha and PDGFR-beta). Imatinib can also inhibit cellular events mediated by activation of these receptor kinases</w:t>
      </w:r>
      <w:r w:rsidRPr="00654EF1">
        <w:rPr>
          <w:color w:val="0000FF"/>
        </w:rPr>
        <w:t>.</w:t>
      </w:r>
    </w:p>
    <w:p w14:paraId="1B68069F" w14:textId="77777777" w:rsidR="00BB7FBF" w:rsidRPr="00654EF1" w:rsidRDefault="00BB7FBF" w:rsidP="001D5C8C">
      <w:pPr>
        <w:pStyle w:val="EndnoteText"/>
        <w:widowControl w:val="0"/>
        <w:tabs>
          <w:tab w:val="clear" w:pos="567"/>
        </w:tabs>
        <w:rPr>
          <w:color w:val="000000"/>
          <w:szCs w:val="22"/>
        </w:rPr>
      </w:pPr>
    </w:p>
    <w:p w14:paraId="1B6806A0" w14:textId="77777777" w:rsidR="006237AB" w:rsidRPr="00654EF1" w:rsidRDefault="00BB7FBF" w:rsidP="001D5C8C">
      <w:pPr>
        <w:pStyle w:val="EndnoteText"/>
        <w:keepNext/>
        <w:widowControl w:val="0"/>
        <w:tabs>
          <w:tab w:val="clear" w:pos="567"/>
        </w:tabs>
        <w:rPr>
          <w:color w:val="000000"/>
          <w:szCs w:val="22"/>
        </w:rPr>
      </w:pPr>
      <w:r w:rsidRPr="00654EF1">
        <w:rPr>
          <w:color w:val="000000"/>
          <w:szCs w:val="22"/>
          <w:u w:val="single"/>
        </w:rPr>
        <w:t>Pharmacodynamic effects</w:t>
      </w:r>
    </w:p>
    <w:p w14:paraId="1B6806A1"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Imatinib is a protein-tyrosine kinase inhibitor which potently inhibits the Bcr-Abl tyrosine kinase at the </w:t>
      </w:r>
      <w:r w:rsidRPr="00654EF1">
        <w:rPr>
          <w:i/>
          <w:color w:val="000000"/>
          <w:szCs w:val="22"/>
        </w:rPr>
        <w:t>in vitro</w:t>
      </w:r>
      <w:r w:rsidRPr="00654EF1">
        <w:rPr>
          <w:color w:val="000000"/>
          <w:szCs w:val="22"/>
        </w:rPr>
        <w:t xml:space="preserve">, cellular and </w:t>
      </w:r>
      <w:r w:rsidRPr="00654EF1">
        <w:rPr>
          <w:i/>
          <w:color w:val="000000"/>
          <w:szCs w:val="22"/>
        </w:rPr>
        <w:t>in vivo</w:t>
      </w:r>
      <w:r w:rsidRPr="00654EF1">
        <w:rPr>
          <w:color w:val="000000"/>
          <w:szCs w:val="22"/>
        </w:rPr>
        <w:t xml:space="preserve"> levels. The compound selectively inhibits proliferation and induces apoptosis in Bcr-Abl positive cell lines as well as fresh leukaemic cells from Philadelphia chromosome positive CML and acute lymphoblastic leukaemia (</w:t>
      </w:r>
      <w:smartTag w:uri="urn:schemas-microsoft-com:office:smarttags" w:element="stockticker">
        <w:r w:rsidRPr="00654EF1">
          <w:rPr>
            <w:color w:val="000000"/>
            <w:szCs w:val="22"/>
          </w:rPr>
          <w:t>ALL</w:t>
        </w:r>
      </w:smartTag>
      <w:r w:rsidRPr="00654EF1">
        <w:rPr>
          <w:color w:val="000000"/>
          <w:szCs w:val="22"/>
        </w:rPr>
        <w:t>) patients.</w:t>
      </w:r>
    </w:p>
    <w:p w14:paraId="1B6806A2" w14:textId="77777777" w:rsidR="006237AB" w:rsidRPr="00654EF1" w:rsidRDefault="006237AB" w:rsidP="001D5C8C">
      <w:pPr>
        <w:pStyle w:val="EndnoteText"/>
        <w:widowControl w:val="0"/>
        <w:tabs>
          <w:tab w:val="clear" w:pos="567"/>
        </w:tabs>
        <w:rPr>
          <w:color w:val="000000"/>
          <w:szCs w:val="22"/>
        </w:rPr>
      </w:pPr>
    </w:p>
    <w:p w14:paraId="1B6806A3" w14:textId="77777777" w:rsidR="006237AB" w:rsidRPr="00654EF1" w:rsidRDefault="006237AB" w:rsidP="001D5C8C">
      <w:pPr>
        <w:pStyle w:val="EndnoteText"/>
        <w:widowControl w:val="0"/>
        <w:tabs>
          <w:tab w:val="clear" w:pos="567"/>
        </w:tabs>
        <w:rPr>
          <w:color w:val="000000"/>
          <w:szCs w:val="22"/>
        </w:rPr>
      </w:pPr>
      <w:r w:rsidRPr="00654EF1">
        <w:rPr>
          <w:i/>
          <w:color w:val="000000"/>
          <w:szCs w:val="22"/>
        </w:rPr>
        <w:t>In vivo</w:t>
      </w:r>
      <w:r w:rsidRPr="00654EF1">
        <w:rPr>
          <w:color w:val="000000"/>
          <w:szCs w:val="22"/>
        </w:rPr>
        <w:t xml:space="preserve"> the compound shows anti-tumour activity as a single agent in animal models using Bcr-Abl positive tumour cells.</w:t>
      </w:r>
    </w:p>
    <w:p w14:paraId="1B6806A4" w14:textId="77777777" w:rsidR="006237AB" w:rsidRPr="00654EF1" w:rsidRDefault="006237AB" w:rsidP="001D5C8C">
      <w:pPr>
        <w:pStyle w:val="EndnoteText"/>
        <w:widowControl w:val="0"/>
        <w:tabs>
          <w:tab w:val="clear" w:pos="567"/>
        </w:tabs>
        <w:rPr>
          <w:color w:val="000000"/>
          <w:szCs w:val="22"/>
        </w:rPr>
      </w:pPr>
    </w:p>
    <w:p w14:paraId="1B6806A5" w14:textId="77777777" w:rsidR="00487685" w:rsidRPr="00654EF1" w:rsidRDefault="00487685" w:rsidP="001D5C8C">
      <w:pPr>
        <w:pStyle w:val="EndnoteText"/>
        <w:widowControl w:val="0"/>
        <w:tabs>
          <w:tab w:val="clear" w:pos="567"/>
        </w:tabs>
        <w:rPr>
          <w:color w:val="000000"/>
          <w:szCs w:val="22"/>
        </w:rPr>
      </w:pPr>
      <w:r w:rsidRPr="00654EF1">
        <w:rPr>
          <w:color w:val="000000"/>
          <w:szCs w:val="22"/>
        </w:rPr>
        <w:t xml:space="preserve">Imatinib is also an inhibitor of the receptor tyrosine kinases for platelet-derived growth factor (PDGF), PDGF-R, and stem cell factor (SCF), c-Kit, and inhibits PDGF- and SCF-mediated cellular events. </w:t>
      </w:r>
      <w:r w:rsidRPr="00654EF1">
        <w:rPr>
          <w:i/>
          <w:color w:val="000000"/>
          <w:szCs w:val="22"/>
        </w:rPr>
        <w:t>In vitro</w:t>
      </w:r>
      <w:r w:rsidRPr="00654EF1">
        <w:rPr>
          <w:color w:val="000000"/>
          <w:szCs w:val="22"/>
        </w:rPr>
        <w:t xml:space="preserve">, imatinib inhibits proliferation and induces apoptosis in gastrointestinal stromal tumour (GIST) cells, which express an activating </w:t>
      </w:r>
      <w:r w:rsidRPr="00654EF1">
        <w:rPr>
          <w:i/>
          <w:color w:val="000000"/>
          <w:szCs w:val="22"/>
        </w:rPr>
        <w:t>kit</w:t>
      </w:r>
      <w:r w:rsidRPr="00654EF1">
        <w:rPr>
          <w:color w:val="000000"/>
          <w:szCs w:val="22"/>
        </w:rPr>
        <w:t xml:space="preserve"> mutation.</w:t>
      </w:r>
      <w:r w:rsidRPr="00654EF1">
        <w:rPr>
          <w:color w:val="000000"/>
        </w:rPr>
        <w:t xml:space="preserve"> Constitutive activation of the PDGF receptor or the Abl protein tyrosine kinases as a consequence of fusion to diverse partner proteins or constitutive production of PDGF have been implicated in the pathogenesis of </w:t>
      </w:r>
      <w:smartTag w:uri="urn:schemas-microsoft-com:office:smarttags" w:element="stockticker">
        <w:r w:rsidRPr="00654EF1">
          <w:rPr>
            <w:color w:val="000000"/>
          </w:rPr>
          <w:t>MDS</w:t>
        </w:r>
      </w:smartTag>
      <w:r w:rsidRPr="00654EF1">
        <w:rPr>
          <w:color w:val="000000"/>
        </w:rPr>
        <w:t>/MPD, HES/</w:t>
      </w:r>
      <w:smartTag w:uri="urn:schemas-microsoft-com:office:smarttags" w:element="stockticker">
        <w:r w:rsidRPr="00654EF1">
          <w:rPr>
            <w:color w:val="000000"/>
          </w:rPr>
          <w:t>CEL</w:t>
        </w:r>
      </w:smartTag>
      <w:r w:rsidRPr="00654EF1">
        <w:rPr>
          <w:color w:val="000000"/>
        </w:rPr>
        <w:t xml:space="preserve"> and DFSP. </w:t>
      </w:r>
      <w:r w:rsidRPr="00654EF1">
        <w:rPr>
          <w:color w:val="000000"/>
        </w:rPr>
        <w:lastRenderedPageBreak/>
        <w:t>Imatinib inhibits signalling and proliferation of cells driven by dysregulated PDGFR and Abl kinase activity.</w:t>
      </w:r>
    </w:p>
    <w:p w14:paraId="1B6806A6" w14:textId="77777777" w:rsidR="006237AB" w:rsidRPr="00654EF1" w:rsidRDefault="006237AB" w:rsidP="001D5C8C">
      <w:pPr>
        <w:pStyle w:val="EndnoteText"/>
        <w:widowControl w:val="0"/>
        <w:tabs>
          <w:tab w:val="clear" w:pos="567"/>
        </w:tabs>
        <w:rPr>
          <w:color w:val="000000"/>
          <w:szCs w:val="22"/>
        </w:rPr>
      </w:pPr>
    </w:p>
    <w:p w14:paraId="1B6806A7"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Clinical studies in chronic myeloid leukaemia</w:t>
      </w:r>
    </w:p>
    <w:p w14:paraId="1B6806A8" w14:textId="77777777" w:rsidR="00664496" w:rsidRPr="00654EF1" w:rsidRDefault="00664496" w:rsidP="001D5C8C">
      <w:pPr>
        <w:pStyle w:val="EndnoteText"/>
        <w:widowControl w:val="0"/>
        <w:tabs>
          <w:tab w:val="clear" w:pos="567"/>
        </w:tabs>
        <w:rPr>
          <w:color w:val="000000"/>
          <w:szCs w:val="22"/>
          <w:u w:val="single"/>
        </w:rPr>
      </w:pPr>
      <w:r w:rsidRPr="00654EF1">
        <w:rPr>
          <w:color w:val="000000"/>
          <w:szCs w:val="22"/>
        </w:rPr>
        <w:t>The effectiveness of Glivec is based on overall haematological and cytogenetic response rates and progression-free survival. Except in newly diagnosed chronic phase CML, there are no controlled trials demonstrating a clinical benefit, such as improvement in disease-related symptoms or increased survival.</w:t>
      </w:r>
    </w:p>
    <w:p w14:paraId="1B6806A9" w14:textId="77777777" w:rsidR="006237AB" w:rsidRPr="00654EF1" w:rsidRDefault="006237AB" w:rsidP="001D5C8C">
      <w:pPr>
        <w:pStyle w:val="EndnoteText"/>
        <w:widowControl w:val="0"/>
        <w:tabs>
          <w:tab w:val="clear" w:pos="567"/>
        </w:tabs>
        <w:rPr>
          <w:color w:val="000000"/>
          <w:szCs w:val="22"/>
        </w:rPr>
      </w:pPr>
    </w:p>
    <w:p w14:paraId="1B6806AA"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Three large, international, open-label, non-controlled phase II studies were conducted in patients with Philadelphia chromosome positive (Ph+) CML in advanced, blast or accelerated phase disease, other Ph+ leukaemias or with CML in the chronic phase but failing prior interferon-alpha (IFN) therapy. One large, open-label, multicentre, international randomised phase </w:t>
      </w:r>
      <w:smartTag w:uri="urn:schemas-microsoft-com:office:smarttags" w:element="stockticker">
        <w:r w:rsidRPr="00654EF1">
          <w:rPr>
            <w:color w:val="000000"/>
            <w:szCs w:val="22"/>
          </w:rPr>
          <w:t>III</w:t>
        </w:r>
      </w:smartTag>
      <w:r w:rsidRPr="00654EF1">
        <w:rPr>
          <w:color w:val="000000"/>
          <w:szCs w:val="22"/>
        </w:rPr>
        <w:t xml:space="preserve"> study has been conducted in patients with newly diagnosed Ph+ CML. In addition, children have been treated in two phase I studies</w:t>
      </w:r>
      <w:r w:rsidR="007E73D8" w:rsidRPr="00654EF1">
        <w:rPr>
          <w:color w:val="000000"/>
          <w:szCs w:val="22"/>
        </w:rPr>
        <w:t xml:space="preserve"> and one phase II study</w:t>
      </w:r>
      <w:r w:rsidRPr="00654EF1">
        <w:rPr>
          <w:color w:val="000000"/>
          <w:szCs w:val="22"/>
        </w:rPr>
        <w:t>.</w:t>
      </w:r>
    </w:p>
    <w:p w14:paraId="1B6806AB" w14:textId="77777777" w:rsidR="006237AB" w:rsidRPr="00654EF1" w:rsidRDefault="006237AB" w:rsidP="001D5C8C">
      <w:pPr>
        <w:pStyle w:val="EndnoteText"/>
        <w:widowControl w:val="0"/>
        <w:tabs>
          <w:tab w:val="clear" w:pos="567"/>
        </w:tabs>
        <w:rPr>
          <w:color w:val="000000"/>
          <w:szCs w:val="22"/>
        </w:rPr>
      </w:pPr>
    </w:p>
    <w:p w14:paraId="1B6806AC"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In all clinical studies 38–40% of patients were </w:t>
      </w:r>
      <w:r w:rsidRPr="00654EF1">
        <w:rPr>
          <w:color w:val="000000"/>
          <w:szCs w:val="22"/>
        </w:rPr>
        <w:sym w:font="Symbol" w:char="F0B3"/>
      </w:r>
      <w:r w:rsidRPr="00654EF1">
        <w:rPr>
          <w:color w:val="000000"/>
          <w:szCs w:val="22"/>
        </w:rPr>
        <w:t xml:space="preserve"> 60 years of age and 10–12% of patients were </w:t>
      </w:r>
      <w:r w:rsidRPr="00654EF1">
        <w:rPr>
          <w:color w:val="000000"/>
          <w:szCs w:val="22"/>
        </w:rPr>
        <w:sym w:font="Symbol" w:char="F0B3"/>
      </w:r>
      <w:r w:rsidRPr="00654EF1">
        <w:rPr>
          <w:color w:val="000000"/>
          <w:szCs w:val="22"/>
        </w:rPr>
        <w:t> 70 years of age.</w:t>
      </w:r>
    </w:p>
    <w:p w14:paraId="1B6806AD" w14:textId="77777777" w:rsidR="006237AB" w:rsidRPr="00654EF1" w:rsidRDefault="006237AB" w:rsidP="001D5C8C">
      <w:pPr>
        <w:pStyle w:val="EndnoteText"/>
        <w:widowControl w:val="0"/>
        <w:tabs>
          <w:tab w:val="clear" w:pos="567"/>
        </w:tabs>
        <w:rPr>
          <w:color w:val="000000"/>
          <w:szCs w:val="22"/>
        </w:rPr>
      </w:pPr>
    </w:p>
    <w:p w14:paraId="1B6806AE" w14:textId="77777777" w:rsidR="006237AB" w:rsidRPr="00654EF1" w:rsidRDefault="006237AB" w:rsidP="001D5C8C">
      <w:pPr>
        <w:pStyle w:val="EndnoteText"/>
        <w:widowControl w:val="0"/>
        <w:rPr>
          <w:color w:val="000000"/>
          <w:szCs w:val="22"/>
        </w:rPr>
      </w:pPr>
      <w:r w:rsidRPr="00654EF1">
        <w:rPr>
          <w:i/>
          <w:color w:val="000000"/>
          <w:szCs w:val="22"/>
        </w:rPr>
        <w:t>Chronic phase, newly diagnosed:</w:t>
      </w:r>
      <w:r w:rsidRPr="00654EF1">
        <w:rPr>
          <w:color w:val="000000"/>
          <w:szCs w:val="22"/>
        </w:rPr>
        <w:t xml:space="preserve"> This phase </w:t>
      </w:r>
      <w:smartTag w:uri="urn:schemas-microsoft-com:office:smarttags" w:element="stockticker">
        <w:r w:rsidRPr="00654EF1">
          <w:rPr>
            <w:color w:val="000000"/>
            <w:szCs w:val="22"/>
          </w:rPr>
          <w:t>III</w:t>
        </w:r>
      </w:smartTag>
      <w:r w:rsidRPr="00654EF1">
        <w:rPr>
          <w:color w:val="000000"/>
          <w:szCs w:val="22"/>
        </w:rPr>
        <w:t xml:space="preserve"> study </w:t>
      </w:r>
      <w:r w:rsidR="007E73D8" w:rsidRPr="00654EF1">
        <w:rPr>
          <w:color w:val="000000"/>
          <w:szCs w:val="22"/>
        </w:rPr>
        <w:t xml:space="preserve">in adult patients </w:t>
      </w:r>
      <w:r w:rsidRPr="00654EF1">
        <w:rPr>
          <w:color w:val="000000"/>
          <w:szCs w:val="22"/>
        </w:rPr>
        <w:t>compared treatment with either single-agent Glivec or a combination of interferon-al</w:t>
      </w:r>
      <w:r w:rsidR="00394E9C" w:rsidRPr="00654EF1">
        <w:rPr>
          <w:color w:val="000000"/>
          <w:szCs w:val="22"/>
        </w:rPr>
        <w:t>ph</w:t>
      </w:r>
      <w:r w:rsidRPr="00654EF1">
        <w:rPr>
          <w:color w:val="000000"/>
          <w:szCs w:val="22"/>
        </w:rPr>
        <w:t>a (IFN) plus cytarabine (Ara-C). Patients showing lack of response (lack of complete haematological response (</w:t>
      </w:r>
      <w:smartTag w:uri="urn:schemas-microsoft-com:office:smarttags" w:element="stockticker">
        <w:r w:rsidRPr="00654EF1">
          <w:rPr>
            <w:color w:val="000000"/>
            <w:szCs w:val="22"/>
          </w:rPr>
          <w:t>CHR</w:t>
        </w:r>
      </w:smartTag>
      <w:r w:rsidRPr="00654EF1">
        <w:rPr>
          <w:color w:val="000000"/>
          <w:szCs w:val="22"/>
        </w:rPr>
        <w:t>) at 6</w:t>
      </w:r>
      <w:r w:rsidR="0036337E" w:rsidRPr="00654EF1">
        <w:rPr>
          <w:color w:val="000000"/>
          <w:szCs w:val="22"/>
        </w:rPr>
        <w:t> </w:t>
      </w:r>
      <w:r w:rsidRPr="00654EF1">
        <w:rPr>
          <w:color w:val="000000"/>
          <w:szCs w:val="22"/>
        </w:rPr>
        <w:t xml:space="preserve">months, increasing WBC, no major cytogenetic response (MCyR) at 24 months), loss of response (loss of </w:t>
      </w:r>
      <w:smartTag w:uri="urn:schemas-microsoft-com:office:smarttags" w:element="stockticker">
        <w:r w:rsidRPr="00654EF1">
          <w:rPr>
            <w:color w:val="000000"/>
            <w:szCs w:val="22"/>
          </w:rPr>
          <w:t>CHR</w:t>
        </w:r>
      </w:smartTag>
      <w:r w:rsidRPr="00654EF1">
        <w:rPr>
          <w:color w:val="000000"/>
          <w:szCs w:val="22"/>
        </w:rPr>
        <w:t xml:space="preserve"> or MCyR) or severe intolerance to treatment were allowed to cross over to the alternative treatment arm. In the Glivec arm, patients were treated with 400 mg daily. In the IFN arm, patients were treated with a target dose of IFN of 5 MIU/m</w:t>
      </w:r>
      <w:r w:rsidRPr="00654EF1">
        <w:rPr>
          <w:color w:val="000000"/>
          <w:szCs w:val="22"/>
          <w:vertAlign w:val="superscript"/>
        </w:rPr>
        <w:t>2</w:t>
      </w:r>
      <w:r w:rsidRPr="00654EF1">
        <w:rPr>
          <w:color w:val="000000"/>
          <w:szCs w:val="22"/>
        </w:rPr>
        <w:t>/day subcutaneously in combination with subcutaneous Ara-C 20 mg/m</w:t>
      </w:r>
      <w:r w:rsidRPr="00654EF1">
        <w:rPr>
          <w:color w:val="000000"/>
          <w:szCs w:val="22"/>
          <w:vertAlign w:val="superscript"/>
        </w:rPr>
        <w:t>2</w:t>
      </w:r>
      <w:r w:rsidRPr="00654EF1">
        <w:rPr>
          <w:color w:val="000000"/>
          <w:szCs w:val="22"/>
        </w:rPr>
        <w:t>/day for 10 days/month.</w:t>
      </w:r>
    </w:p>
    <w:p w14:paraId="1B6806AF" w14:textId="77777777" w:rsidR="00C703BD" w:rsidRPr="00654EF1" w:rsidRDefault="00C703BD" w:rsidP="001D5C8C">
      <w:pPr>
        <w:pStyle w:val="EndnoteText"/>
        <w:widowControl w:val="0"/>
        <w:rPr>
          <w:color w:val="000000"/>
          <w:szCs w:val="22"/>
        </w:rPr>
      </w:pPr>
    </w:p>
    <w:p w14:paraId="1B6806B0" w14:textId="77777777" w:rsidR="00BE0FA4" w:rsidRPr="00654EF1" w:rsidRDefault="00BE0FA4" w:rsidP="001D5C8C">
      <w:pPr>
        <w:pStyle w:val="EndnoteText"/>
        <w:widowControl w:val="0"/>
        <w:rPr>
          <w:color w:val="000000"/>
          <w:szCs w:val="22"/>
        </w:rPr>
      </w:pPr>
      <w:r w:rsidRPr="00654EF1">
        <w:rPr>
          <w:color w:val="000000"/>
          <w:szCs w:val="22"/>
        </w:rPr>
        <w:t xml:space="preserve">A total of 1,106 patients were randomised, 553 to each arm. Baseline characteristics were well balanced between the two arms. Median age was 51 years (range 18–70 years), with 21.9% of patients ≥ 60 years of age. There were 59% males and 41% females; 89.9% caucasian and 4.7% black patients. Seven years after the last patient had been recruited, the median duration of first-line treatment was 82 and 8 months in the Glivec and IFN arms, respectively. </w:t>
      </w:r>
      <w:r w:rsidRPr="00654EF1">
        <w:rPr>
          <w:color w:val="000000"/>
        </w:rPr>
        <w:t xml:space="preserve">The median duration of second-line treatment with Glivec was 64 months. Overall, in patients receiving first-line Glivec, the average daily dose delivered was 406 ± 76 mg. </w:t>
      </w:r>
      <w:r w:rsidRPr="00654EF1">
        <w:rPr>
          <w:color w:val="000000"/>
          <w:szCs w:val="22"/>
        </w:rPr>
        <w:t xml:space="preserve">The primary efficacy endpoint of the study is progression-free survival. Progression was defined as any of the following events: progression to accelerated phase or blast crisis, death, loss of </w:t>
      </w:r>
      <w:smartTag w:uri="urn:schemas-microsoft-com:office:smarttags" w:element="stockticker">
        <w:r w:rsidRPr="00654EF1">
          <w:rPr>
            <w:color w:val="000000"/>
            <w:szCs w:val="22"/>
          </w:rPr>
          <w:t>CHR</w:t>
        </w:r>
      </w:smartTag>
      <w:r w:rsidRPr="00654EF1">
        <w:rPr>
          <w:color w:val="000000"/>
          <w:szCs w:val="22"/>
        </w:rPr>
        <w:t xml:space="preserve"> or MCyR, or in patients not achieving a </w:t>
      </w:r>
      <w:smartTag w:uri="urn:schemas-microsoft-com:office:smarttags" w:element="stockticker">
        <w:r w:rsidRPr="00654EF1">
          <w:rPr>
            <w:color w:val="000000"/>
            <w:szCs w:val="22"/>
          </w:rPr>
          <w:t>CHR</w:t>
        </w:r>
      </w:smartTag>
      <w:r w:rsidRPr="00654EF1">
        <w:rPr>
          <w:color w:val="000000"/>
          <w:szCs w:val="22"/>
        </w:rPr>
        <w:t xml:space="preserve"> an increasing WBC despite appropriate therapeutic management. Major cytogenetic response, haematological response, molecular response (evaluation of minimal residual disease), time to accelerated phase or blast crisis and survival are main secondary endpoints. Response data are shown in Table </w:t>
      </w:r>
      <w:r w:rsidR="008F2DE5" w:rsidRPr="00654EF1">
        <w:rPr>
          <w:color w:val="000000"/>
          <w:szCs w:val="22"/>
        </w:rPr>
        <w:t>2</w:t>
      </w:r>
      <w:r w:rsidRPr="00654EF1">
        <w:rPr>
          <w:color w:val="000000"/>
          <w:szCs w:val="22"/>
        </w:rPr>
        <w:t>.</w:t>
      </w:r>
    </w:p>
    <w:p w14:paraId="1B6806B1" w14:textId="77777777" w:rsidR="00BE0FA4" w:rsidRPr="00654EF1" w:rsidRDefault="00BE0FA4" w:rsidP="001D5C8C">
      <w:pPr>
        <w:pStyle w:val="EndnoteText"/>
        <w:widowControl w:val="0"/>
        <w:rPr>
          <w:color w:val="000000"/>
          <w:szCs w:val="22"/>
        </w:rPr>
      </w:pPr>
    </w:p>
    <w:p w14:paraId="1B6806B2" w14:textId="77777777" w:rsidR="00BE0FA4" w:rsidRPr="00654EF1" w:rsidRDefault="00BE0FA4" w:rsidP="001D5C8C">
      <w:pPr>
        <w:pStyle w:val="EndnoteText"/>
        <w:keepNext/>
        <w:widowControl w:val="0"/>
        <w:tabs>
          <w:tab w:val="clear" w:pos="567"/>
          <w:tab w:val="left" w:pos="1134"/>
        </w:tabs>
        <w:rPr>
          <w:b/>
          <w:color w:val="000000"/>
          <w:szCs w:val="22"/>
        </w:rPr>
      </w:pPr>
      <w:r w:rsidRPr="00654EF1">
        <w:rPr>
          <w:b/>
          <w:color w:val="000000"/>
          <w:szCs w:val="22"/>
        </w:rPr>
        <w:lastRenderedPageBreak/>
        <w:t>Table </w:t>
      </w:r>
      <w:r w:rsidR="008F2DE5" w:rsidRPr="00654EF1">
        <w:rPr>
          <w:b/>
          <w:color w:val="000000"/>
          <w:szCs w:val="22"/>
        </w:rPr>
        <w:t>2</w:t>
      </w:r>
      <w:r w:rsidRPr="00654EF1">
        <w:rPr>
          <w:b/>
          <w:color w:val="000000"/>
          <w:szCs w:val="22"/>
        </w:rPr>
        <w:tab/>
        <w:t>Response in newly diagnosed CML Study (84-month data)</w:t>
      </w:r>
    </w:p>
    <w:p w14:paraId="1B6806B3" w14:textId="77777777" w:rsidR="00BE0FA4" w:rsidRPr="00654EF1" w:rsidRDefault="00BE0FA4" w:rsidP="001D5C8C">
      <w:pPr>
        <w:pStyle w:val="EndnoteText"/>
        <w:keepNext/>
        <w:widowControl w:val="0"/>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E0FA4" w:rsidRPr="00654EF1" w14:paraId="1B6806B7" w14:textId="77777777" w:rsidTr="005E7BE5">
        <w:trPr>
          <w:cantSplit/>
        </w:trPr>
        <w:tc>
          <w:tcPr>
            <w:tcW w:w="3794" w:type="dxa"/>
            <w:tcBorders>
              <w:top w:val="single" w:sz="4" w:space="0" w:color="auto"/>
              <w:left w:val="single" w:sz="4" w:space="0" w:color="auto"/>
              <w:bottom w:val="nil"/>
            </w:tcBorders>
          </w:tcPr>
          <w:p w14:paraId="1B6806B4"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693" w:type="dxa"/>
            <w:tcBorders>
              <w:top w:val="single" w:sz="4" w:space="0" w:color="auto"/>
              <w:bottom w:val="nil"/>
            </w:tcBorders>
          </w:tcPr>
          <w:p w14:paraId="1B6806B5" w14:textId="77777777" w:rsidR="00BE0FA4" w:rsidRPr="00654EF1" w:rsidRDefault="00BE0FA4" w:rsidP="001D5C8C">
            <w:pPr>
              <w:pStyle w:val="Table"/>
              <w:keepLines w:val="0"/>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1B6806B6" w14:textId="77777777" w:rsidR="00BE0FA4" w:rsidRPr="00654EF1" w:rsidRDefault="00BE0FA4" w:rsidP="001D5C8C">
            <w:pPr>
              <w:pStyle w:val="Table"/>
              <w:keepLines w:val="0"/>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IFN+Ara-C</w:t>
            </w:r>
          </w:p>
        </w:tc>
      </w:tr>
      <w:tr w:rsidR="00BE0FA4" w:rsidRPr="00654EF1" w14:paraId="1B6806BB" w14:textId="77777777" w:rsidTr="005E7BE5">
        <w:trPr>
          <w:cantSplit/>
        </w:trPr>
        <w:tc>
          <w:tcPr>
            <w:tcW w:w="3794" w:type="dxa"/>
            <w:tcBorders>
              <w:top w:val="nil"/>
              <w:left w:val="single" w:sz="4" w:space="0" w:color="auto"/>
              <w:bottom w:val="single" w:sz="4" w:space="0" w:color="auto"/>
            </w:tcBorders>
          </w:tcPr>
          <w:p w14:paraId="1B6806B8" w14:textId="77777777" w:rsidR="00BE0FA4" w:rsidRPr="00654EF1" w:rsidRDefault="00BE0FA4"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(Best response rates)</w:t>
            </w:r>
          </w:p>
        </w:tc>
        <w:tc>
          <w:tcPr>
            <w:tcW w:w="2693" w:type="dxa"/>
            <w:tcBorders>
              <w:top w:val="nil"/>
              <w:bottom w:val="single" w:sz="4" w:space="0" w:color="auto"/>
            </w:tcBorders>
          </w:tcPr>
          <w:p w14:paraId="1B6806B9"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1B6806BA"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n=553</w:t>
            </w:r>
          </w:p>
        </w:tc>
      </w:tr>
      <w:tr w:rsidR="00BE0FA4" w:rsidRPr="00654EF1" w14:paraId="1B6806BF" w14:textId="77777777" w:rsidTr="005E7BE5">
        <w:trPr>
          <w:cantSplit/>
        </w:trPr>
        <w:tc>
          <w:tcPr>
            <w:tcW w:w="3794" w:type="dxa"/>
            <w:tcBorders>
              <w:top w:val="nil"/>
              <w:left w:val="single" w:sz="4" w:space="0" w:color="auto"/>
            </w:tcBorders>
          </w:tcPr>
          <w:p w14:paraId="1B6806BC" w14:textId="77777777" w:rsidR="00BE0FA4" w:rsidRPr="00654EF1" w:rsidRDefault="00BE0FA4"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Haematological response</w:t>
            </w:r>
          </w:p>
        </w:tc>
        <w:tc>
          <w:tcPr>
            <w:tcW w:w="2693" w:type="dxa"/>
            <w:tcBorders>
              <w:top w:val="nil"/>
            </w:tcBorders>
          </w:tcPr>
          <w:p w14:paraId="1B6806BD" w14:textId="77777777" w:rsidR="00BE0FA4" w:rsidRPr="00654EF1" w:rsidRDefault="00BE0FA4" w:rsidP="001D5C8C">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1B6806BE" w14:textId="77777777" w:rsidR="00BE0FA4" w:rsidRPr="00654EF1" w:rsidRDefault="00BE0FA4" w:rsidP="001D5C8C">
            <w:pPr>
              <w:pStyle w:val="Table"/>
              <w:keepLines w:val="0"/>
              <w:widowControl w:val="0"/>
              <w:spacing w:before="0" w:after="0"/>
              <w:jc w:val="center"/>
              <w:rPr>
                <w:rFonts w:ascii="Times New Roman" w:hAnsi="Times New Roman"/>
                <w:b/>
                <w:color w:val="000000"/>
                <w:sz w:val="22"/>
                <w:szCs w:val="22"/>
              </w:rPr>
            </w:pPr>
          </w:p>
        </w:tc>
      </w:tr>
      <w:tr w:rsidR="00BE0FA4" w:rsidRPr="00654EF1" w14:paraId="1B6806C3" w14:textId="77777777" w:rsidTr="005E7BE5">
        <w:trPr>
          <w:cantSplit/>
        </w:trPr>
        <w:tc>
          <w:tcPr>
            <w:tcW w:w="3794" w:type="dxa"/>
            <w:tcBorders>
              <w:top w:val="nil"/>
              <w:left w:val="single" w:sz="4" w:space="0" w:color="auto"/>
            </w:tcBorders>
          </w:tcPr>
          <w:p w14:paraId="1B6806C0"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CHR</w:t>
              </w:r>
            </w:smartTag>
            <w:r w:rsidRPr="00654EF1">
              <w:rPr>
                <w:rFonts w:ascii="Times New Roman" w:hAnsi="Times New Roman"/>
                <w:color w:val="000000"/>
                <w:sz w:val="22"/>
                <w:szCs w:val="22"/>
              </w:rPr>
              <w:t xml:space="preserve"> rate n (%)</w:t>
            </w:r>
          </w:p>
        </w:tc>
        <w:tc>
          <w:tcPr>
            <w:tcW w:w="2693" w:type="dxa"/>
            <w:tcBorders>
              <w:top w:val="nil"/>
            </w:tcBorders>
          </w:tcPr>
          <w:p w14:paraId="1B6806C1"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534 (96.6%)*</w:t>
            </w:r>
          </w:p>
        </w:tc>
        <w:tc>
          <w:tcPr>
            <w:tcW w:w="2718" w:type="dxa"/>
            <w:tcBorders>
              <w:top w:val="nil"/>
              <w:right w:val="single" w:sz="4" w:space="0" w:color="auto"/>
            </w:tcBorders>
          </w:tcPr>
          <w:p w14:paraId="1B6806C2"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313 (56.6%)*</w:t>
            </w:r>
          </w:p>
        </w:tc>
      </w:tr>
      <w:tr w:rsidR="00BE0FA4" w:rsidRPr="00654EF1" w14:paraId="1B6806C7" w14:textId="77777777" w:rsidTr="005E7BE5">
        <w:trPr>
          <w:cantSplit/>
        </w:trPr>
        <w:tc>
          <w:tcPr>
            <w:tcW w:w="3794" w:type="dxa"/>
            <w:tcBorders>
              <w:left w:val="single" w:sz="4" w:space="0" w:color="auto"/>
            </w:tcBorders>
          </w:tcPr>
          <w:p w14:paraId="1B6806C4"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[95% CI]</w:t>
            </w:r>
          </w:p>
        </w:tc>
        <w:tc>
          <w:tcPr>
            <w:tcW w:w="2693" w:type="dxa"/>
          </w:tcPr>
          <w:p w14:paraId="1B6806C5"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[94.7%, 97.9%]</w:t>
            </w:r>
          </w:p>
        </w:tc>
        <w:tc>
          <w:tcPr>
            <w:tcW w:w="2718" w:type="dxa"/>
            <w:tcBorders>
              <w:right w:val="single" w:sz="4" w:space="0" w:color="auto"/>
            </w:tcBorders>
          </w:tcPr>
          <w:p w14:paraId="1B6806C6"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[52.4%, 60.8%]</w:t>
            </w:r>
          </w:p>
        </w:tc>
      </w:tr>
      <w:tr w:rsidR="00BE0FA4" w:rsidRPr="00654EF1" w14:paraId="1B6806CB" w14:textId="77777777" w:rsidTr="005E7BE5">
        <w:trPr>
          <w:cantSplit/>
        </w:trPr>
        <w:tc>
          <w:tcPr>
            <w:tcW w:w="3794" w:type="dxa"/>
            <w:tcBorders>
              <w:left w:val="single" w:sz="4" w:space="0" w:color="auto"/>
            </w:tcBorders>
          </w:tcPr>
          <w:p w14:paraId="1B6806C8"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693" w:type="dxa"/>
          </w:tcPr>
          <w:p w14:paraId="1B6806C9"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1B6806CA"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r>
      <w:tr w:rsidR="00BE0FA4" w:rsidRPr="00654EF1" w14:paraId="1B6806CF" w14:textId="77777777" w:rsidTr="005E7BE5">
        <w:trPr>
          <w:cantSplit/>
        </w:trPr>
        <w:tc>
          <w:tcPr>
            <w:tcW w:w="3794" w:type="dxa"/>
            <w:tcBorders>
              <w:left w:val="single" w:sz="4" w:space="0" w:color="auto"/>
            </w:tcBorders>
          </w:tcPr>
          <w:p w14:paraId="1B6806CC" w14:textId="77777777" w:rsidR="00BE0FA4" w:rsidRPr="00654EF1" w:rsidRDefault="00BE0FA4"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Cytogenetic response</w:t>
            </w:r>
          </w:p>
        </w:tc>
        <w:tc>
          <w:tcPr>
            <w:tcW w:w="2693" w:type="dxa"/>
          </w:tcPr>
          <w:p w14:paraId="1B6806CD" w14:textId="77777777" w:rsidR="00BE0FA4" w:rsidRPr="00654EF1" w:rsidRDefault="00BE0FA4" w:rsidP="001D5C8C">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1B6806CE" w14:textId="77777777" w:rsidR="00BE0FA4" w:rsidRPr="00654EF1" w:rsidRDefault="00BE0FA4" w:rsidP="001D5C8C">
            <w:pPr>
              <w:pStyle w:val="Table"/>
              <w:keepLines w:val="0"/>
              <w:widowControl w:val="0"/>
              <w:spacing w:before="0" w:after="0"/>
              <w:rPr>
                <w:rFonts w:ascii="Times New Roman" w:hAnsi="Times New Roman"/>
                <w:b/>
                <w:color w:val="000000"/>
                <w:sz w:val="22"/>
                <w:szCs w:val="22"/>
              </w:rPr>
            </w:pPr>
          </w:p>
        </w:tc>
      </w:tr>
      <w:tr w:rsidR="00BE0FA4" w:rsidRPr="00654EF1" w14:paraId="1B6806D3" w14:textId="77777777" w:rsidTr="005E7BE5">
        <w:trPr>
          <w:cantSplit/>
        </w:trPr>
        <w:tc>
          <w:tcPr>
            <w:tcW w:w="3794" w:type="dxa"/>
            <w:tcBorders>
              <w:left w:val="single" w:sz="4" w:space="0" w:color="auto"/>
            </w:tcBorders>
          </w:tcPr>
          <w:p w14:paraId="1B6806D0"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Major response n (%)</w:t>
            </w:r>
          </w:p>
        </w:tc>
        <w:tc>
          <w:tcPr>
            <w:tcW w:w="2693" w:type="dxa"/>
          </w:tcPr>
          <w:p w14:paraId="1B6806D1"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490 (88.6%)*</w:t>
            </w:r>
          </w:p>
        </w:tc>
        <w:tc>
          <w:tcPr>
            <w:tcW w:w="2718" w:type="dxa"/>
            <w:tcBorders>
              <w:right w:val="single" w:sz="4" w:space="0" w:color="auto"/>
            </w:tcBorders>
          </w:tcPr>
          <w:p w14:paraId="1B6806D2"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129 (23.3%)*</w:t>
            </w:r>
          </w:p>
        </w:tc>
      </w:tr>
      <w:tr w:rsidR="00BE0FA4" w:rsidRPr="00654EF1" w14:paraId="1B6806D7" w14:textId="77777777" w:rsidTr="005E7BE5">
        <w:trPr>
          <w:cantSplit/>
        </w:trPr>
        <w:tc>
          <w:tcPr>
            <w:tcW w:w="3794" w:type="dxa"/>
            <w:tcBorders>
              <w:left w:val="single" w:sz="4" w:space="0" w:color="auto"/>
            </w:tcBorders>
          </w:tcPr>
          <w:p w14:paraId="1B6806D4"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[95% CI]</w:t>
            </w:r>
          </w:p>
        </w:tc>
        <w:tc>
          <w:tcPr>
            <w:tcW w:w="2693" w:type="dxa"/>
          </w:tcPr>
          <w:p w14:paraId="1B6806D5"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[85.7%, 91.1%]</w:t>
            </w:r>
          </w:p>
        </w:tc>
        <w:tc>
          <w:tcPr>
            <w:tcW w:w="2718" w:type="dxa"/>
            <w:tcBorders>
              <w:right w:val="single" w:sz="4" w:space="0" w:color="auto"/>
            </w:tcBorders>
          </w:tcPr>
          <w:p w14:paraId="1B6806D6"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[19.9%, 27.1%]</w:t>
            </w:r>
          </w:p>
        </w:tc>
      </w:tr>
      <w:tr w:rsidR="00BE0FA4" w:rsidRPr="00654EF1" w14:paraId="1B6806DB" w14:textId="77777777" w:rsidTr="005E7BE5">
        <w:trPr>
          <w:cantSplit/>
        </w:trPr>
        <w:tc>
          <w:tcPr>
            <w:tcW w:w="3794" w:type="dxa"/>
            <w:tcBorders>
              <w:left w:val="single" w:sz="4" w:space="0" w:color="auto"/>
            </w:tcBorders>
          </w:tcPr>
          <w:p w14:paraId="1B6806D8"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Complete CyR n (%)</w:t>
            </w:r>
          </w:p>
        </w:tc>
        <w:tc>
          <w:tcPr>
            <w:tcW w:w="2693" w:type="dxa"/>
          </w:tcPr>
          <w:p w14:paraId="1B6806D9"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456 (82.5%)*</w:t>
            </w:r>
          </w:p>
        </w:tc>
        <w:tc>
          <w:tcPr>
            <w:tcW w:w="2718" w:type="dxa"/>
            <w:tcBorders>
              <w:right w:val="single" w:sz="4" w:space="0" w:color="auto"/>
            </w:tcBorders>
          </w:tcPr>
          <w:p w14:paraId="1B6806DA"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64 (11.6%)*</w:t>
            </w:r>
          </w:p>
        </w:tc>
      </w:tr>
      <w:tr w:rsidR="00BE0FA4" w:rsidRPr="00654EF1" w14:paraId="1B6806DF" w14:textId="77777777" w:rsidTr="005E7BE5">
        <w:trPr>
          <w:cantSplit/>
        </w:trPr>
        <w:tc>
          <w:tcPr>
            <w:tcW w:w="3794" w:type="dxa"/>
            <w:tcBorders>
              <w:left w:val="single" w:sz="4" w:space="0" w:color="auto"/>
            </w:tcBorders>
          </w:tcPr>
          <w:p w14:paraId="1B6806DC"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b/>
              <w:t>Partial CyR n (%)</w:t>
            </w:r>
          </w:p>
        </w:tc>
        <w:tc>
          <w:tcPr>
            <w:tcW w:w="2693" w:type="dxa"/>
          </w:tcPr>
          <w:p w14:paraId="1B6806DD"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34 (6.1%)</w:t>
            </w:r>
          </w:p>
        </w:tc>
        <w:tc>
          <w:tcPr>
            <w:tcW w:w="2718" w:type="dxa"/>
            <w:tcBorders>
              <w:right w:val="single" w:sz="4" w:space="0" w:color="auto"/>
            </w:tcBorders>
          </w:tcPr>
          <w:p w14:paraId="1B6806DE"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65 (11.8%)</w:t>
            </w:r>
          </w:p>
        </w:tc>
      </w:tr>
      <w:tr w:rsidR="00BE0FA4" w:rsidRPr="00654EF1" w14:paraId="1B6806E3" w14:textId="77777777" w:rsidTr="005E7BE5">
        <w:trPr>
          <w:cantSplit/>
        </w:trPr>
        <w:tc>
          <w:tcPr>
            <w:tcW w:w="3794" w:type="dxa"/>
            <w:tcBorders>
              <w:left w:val="single" w:sz="4" w:space="0" w:color="auto"/>
              <w:bottom w:val="nil"/>
            </w:tcBorders>
          </w:tcPr>
          <w:p w14:paraId="1B6806E0"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1B6806E1"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6806E2"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r>
      <w:tr w:rsidR="00BE0FA4" w:rsidRPr="00654EF1" w14:paraId="1B6806E7" w14:textId="77777777" w:rsidTr="005E7BE5">
        <w:trPr>
          <w:cantSplit/>
        </w:trPr>
        <w:tc>
          <w:tcPr>
            <w:tcW w:w="3794" w:type="dxa"/>
            <w:tcBorders>
              <w:left w:val="single" w:sz="4" w:space="0" w:color="auto"/>
              <w:bottom w:val="nil"/>
            </w:tcBorders>
          </w:tcPr>
          <w:p w14:paraId="1B6806E4"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Molecular response</w:t>
            </w:r>
            <w:r w:rsidR="00155EF9" w:rsidRPr="00654EF1">
              <w:rPr>
                <w:rFonts w:ascii="Times New Roman" w:hAnsi="Times New Roman"/>
                <w:color w:val="000000"/>
                <w:sz w:val="22"/>
                <w:szCs w:val="22"/>
              </w:rPr>
              <w:t>**</w:t>
            </w:r>
          </w:p>
        </w:tc>
        <w:tc>
          <w:tcPr>
            <w:tcW w:w="2693" w:type="dxa"/>
            <w:tcBorders>
              <w:bottom w:val="nil"/>
            </w:tcBorders>
          </w:tcPr>
          <w:p w14:paraId="1B6806E5"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6806E6"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p>
        </w:tc>
      </w:tr>
      <w:tr w:rsidR="00BE0FA4" w:rsidRPr="00654EF1" w14:paraId="1B6806EB" w14:textId="77777777" w:rsidTr="005E7BE5">
        <w:trPr>
          <w:cantSplit/>
        </w:trPr>
        <w:tc>
          <w:tcPr>
            <w:tcW w:w="3794" w:type="dxa"/>
            <w:tcBorders>
              <w:left w:val="single" w:sz="4" w:space="0" w:color="auto"/>
              <w:bottom w:val="nil"/>
            </w:tcBorders>
          </w:tcPr>
          <w:p w14:paraId="1B6806E8"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Major response at 12 months (%)</w:t>
            </w:r>
          </w:p>
        </w:tc>
        <w:tc>
          <w:tcPr>
            <w:tcW w:w="2693" w:type="dxa"/>
            <w:tcBorders>
              <w:bottom w:val="nil"/>
            </w:tcBorders>
          </w:tcPr>
          <w:p w14:paraId="1B6806E9"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153/305=50.2%</w:t>
            </w:r>
          </w:p>
        </w:tc>
        <w:tc>
          <w:tcPr>
            <w:tcW w:w="2718" w:type="dxa"/>
            <w:tcBorders>
              <w:bottom w:val="nil"/>
              <w:right w:val="single" w:sz="4" w:space="0" w:color="auto"/>
            </w:tcBorders>
          </w:tcPr>
          <w:p w14:paraId="1B6806EA"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8/83=9.6%</w:t>
            </w:r>
          </w:p>
        </w:tc>
      </w:tr>
      <w:tr w:rsidR="00BE0FA4" w:rsidRPr="00654EF1" w14:paraId="1B6806EF" w14:textId="77777777" w:rsidTr="005E7BE5">
        <w:trPr>
          <w:cantSplit/>
        </w:trPr>
        <w:tc>
          <w:tcPr>
            <w:tcW w:w="3794" w:type="dxa"/>
            <w:tcBorders>
              <w:left w:val="single" w:sz="4" w:space="0" w:color="auto"/>
              <w:bottom w:val="nil"/>
            </w:tcBorders>
          </w:tcPr>
          <w:p w14:paraId="1B6806EC" w14:textId="77777777" w:rsidR="00BE0FA4" w:rsidRPr="00654EF1" w:rsidRDefault="00BE0FA4"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Major response at 24 months (%)</w:t>
            </w:r>
          </w:p>
        </w:tc>
        <w:tc>
          <w:tcPr>
            <w:tcW w:w="2693" w:type="dxa"/>
            <w:tcBorders>
              <w:bottom w:val="nil"/>
            </w:tcBorders>
          </w:tcPr>
          <w:p w14:paraId="1B6806ED"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73/104=70.2%</w:t>
            </w:r>
          </w:p>
        </w:tc>
        <w:tc>
          <w:tcPr>
            <w:tcW w:w="2718" w:type="dxa"/>
            <w:tcBorders>
              <w:bottom w:val="nil"/>
              <w:right w:val="single" w:sz="4" w:space="0" w:color="auto"/>
            </w:tcBorders>
          </w:tcPr>
          <w:p w14:paraId="1B6806EE"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lang w:val="en-GB"/>
              </w:rPr>
              <w:t>3/12=25%</w:t>
            </w:r>
          </w:p>
        </w:tc>
      </w:tr>
      <w:tr w:rsidR="00BE0FA4" w:rsidRPr="00654EF1" w14:paraId="1B6806F3" w14:textId="77777777" w:rsidTr="005E7BE5">
        <w:trPr>
          <w:cantSplit/>
        </w:trPr>
        <w:tc>
          <w:tcPr>
            <w:tcW w:w="3794" w:type="dxa"/>
            <w:tcBorders>
              <w:left w:val="single" w:sz="4" w:space="0" w:color="auto"/>
              <w:bottom w:val="nil"/>
            </w:tcBorders>
          </w:tcPr>
          <w:p w14:paraId="1B6806F0" w14:textId="77777777" w:rsidR="00BE0FA4" w:rsidRPr="00654EF1" w:rsidRDefault="00BE0FA4" w:rsidP="001D5C8C">
            <w:pPr>
              <w:pStyle w:val="Table"/>
              <w:keepLines w:val="0"/>
              <w:widowControl w:val="0"/>
              <w:spacing w:before="0" w:after="0"/>
              <w:rPr>
                <w:rFonts w:ascii="Times New Roman" w:hAnsi="Times New Roman"/>
                <w:color w:val="000000"/>
                <w:sz w:val="22"/>
                <w:szCs w:val="22"/>
                <w:lang w:val="en-GB"/>
              </w:rPr>
            </w:pPr>
            <w:r w:rsidRPr="00654EF1">
              <w:rPr>
                <w:rFonts w:ascii="Times New Roman" w:hAnsi="Times New Roman"/>
                <w:color w:val="000000"/>
                <w:sz w:val="22"/>
                <w:szCs w:val="22"/>
                <w:lang w:val="en-GB"/>
              </w:rPr>
              <w:t>Major response at 84 months (%)</w:t>
            </w:r>
          </w:p>
        </w:tc>
        <w:tc>
          <w:tcPr>
            <w:tcW w:w="2693" w:type="dxa"/>
            <w:tcBorders>
              <w:bottom w:val="nil"/>
            </w:tcBorders>
          </w:tcPr>
          <w:p w14:paraId="1B6806F1"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lang w:val="en-GB"/>
              </w:rPr>
              <w:t>102/116=87.9%</w:t>
            </w:r>
          </w:p>
        </w:tc>
        <w:tc>
          <w:tcPr>
            <w:tcW w:w="2718" w:type="dxa"/>
            <w:tcBorders>
              <w:bottom w:val="nil"/>
              <w:right w:val="single" w:sz="4" w:space="0" w:color="auto"/>
            </w:tcBorders>
          </w:tcPr>
          <w:p w14:paraId="1B6806F2" w14:textId="77777777" w:rsidR="00BE0FA4" w:rsidRPr="00654EF1" w:rsidRDefault="00BE0FA4" w:rsidP="001D5C8C">
            <w:pPr>
              <w:pStyle w:val="Table"/>
              <w:keepLines w:val="0"/>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lang w:val="en-GB"/>
              </w:rPr>
              <w:t>3/4=75%</w:t>
            </w:r>
          </w:p>
        </w:tc>
      </w:tr>
      <w:tr w:rsidR="00BE0FA4" w:rsidRPr="00654EF1" w14:paraId="1B6806FA" w14:textId="77777777" w:rsidTr="005E7BE5">
        <w:trPr>
          <w:cantSplit/>
        </w:trPr>
        <w:tc>
          <w:tcPr>
            <w:tcW w:w="9205" w:type="dxa"/>
            <w:gridSpan w:val="3"/>
            <w:tcBorders>
              <w:top w:val="single" w:sz="4" w:space="0" w:color="auto"/>
              <w:left w:val="single" w:sz="4" w:space="0" w:color="auto"/>
              <w:bottom w:val="single" w:sz="4" w:space="0" w:color="auto"/>
              <w:right w:val="single" w:sz="4" w:space="0" w:color="auto"/>
            </w:tcBorders>
          </w:tcPr>
          <w:p w14:paraId="1B6806F4" w14:textId="77777777" w:rsidR="00BE0FA4" w:rsidRPr="00654EF1" w:rsidRDefault="00BE0FA4"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p&lt;0.001, Fischer’s exact test</w:t>
            </w:r>
          </w:p>
          <w:p w14:paraId="1B6806F5" w14:textId="77777777" w:rsidR="00BE0FA4" w:rsidRPr="00654EF1" w:rsidRDefault="00BE0FA4"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lang w:val="en-GB"/>
              </w:rPr>
              <w:t>** molecular response percentages are based on available samples</w:t>
            </w:r>
          </w:p>
          <w:p w14:paraId="1B6806F6" w14:textId="77777777" w:rsidR="00BE0FA4" w:rsidRPr="00654EF1" w:rsidRDefault="00BE0FA4" w:rsidP="001D5C8C">
            <w:pPr>
              <w:pStyle w:val="Table"/>
              <w:keepNext w:val="0"/>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 xml:space="preserve">Haematological response criteria (all responses to be confirmed after </w:t>
            </w:r>
            <w:r w:rsidRPr="00654EF1">
              <w:rPr>
                <w:rFonts w:ascii="Times New Roman" w:hAnsi="Times New Roman"/>
                <w:b/>
                <w:color w:val="000000"/>
                <w:sz w:val="22"/>
                <w:szCs w:val="22"/>
              </w:rPr>
              <w:sym w:font="Symbol" w:char="F0B3"/>
            </w:r>
            <w:r w:rsidRPr="00654EF1">
              <w:rPr>
                <w:rFonts w:ascii="Times New Roman" w:hAnsi="Times New Roman"/>
                <w:b/>
                <w:color w:val="000000"/>
                <w:sz w:val="22"/>
                <w:szCs w:val="22"/>
              </w:rPr>
              <w:t> 4 weeks):</w:t>
            </w:r>
          </w:p>
          <w:p w14:paraId="1B6806F7" w14:textId="77777777" w:rsidR="00BE0FA4" w:rsidRPr="00654EF1" w:rsidRDefault="00BE0FA4"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WBC &lt; 10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 platelet &lt; 450 x 10</w:t>
            </w:r>
            <w:r w:rsidRPr="00654EF1">
              <w:rPr>
                <w:rFonts w:ascii="Times New Roman" w:hAnsi="Times New Roman"/>
                <w:color w:val="000000"/>
                <w:sz w:val="22"/>
                <w:szCs w:val="22"/>
                <w:vertAlign w:val="superscript"/>
              </w:rPr>
              <w:t>9</w:t>
            </w:r>
            <w:r w:rsidRPr="00654EF1">
              <w:rPr>
                <w:rFonts w:ascii="Times New Roman" w:hAnsi="Times New Roman"/>
                <w:color w:val="000000"/>
                <w:sz w:val="22"/>
                <w:szCs w:val="22"/>
              </w:rPr>
              <w:t>/l, myelocyte+metamyelocyte &lt; 5% in blood, no blasts and promyelocytes in blood, basophils &lt; 20%, no extramedullary involvement</w:t>
            </w:r>
          </w:p>
          <w:p w14:paraId="1B6806F8" w14:textId="77777777" w:rsidR="00BE0FA4" w:rsidRPr="00654EF1" w:rsidRDefault="00BE0FA4"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 xml:space="preserve">Cytogenetic response criteria: </w:t>
            </w:r>
            <w:r w:rsidRPr="00654EF1">
              <w:rPr>
                <w:rFonts w:ascii="Times New Roman" w:hAnsi="Times New Roman"/>
                <w:color w:val="000000"/>
                <w:sz w:val="22"/>
                <w:szCs w:val="22"/>
              </w:rPr>
              <w:t>complete (0% Ph+ metaphases), partial (1–35%), minor (36–65%) or minimal (66–95%). A major response (0–35%) combines both complete and partial responses.</w:t>
            </w:r>
          </w:p>
          <w:p w14:paraId="1B6806F9" w14:textId="77777777" w:rsidR="00BE0FA4" w:rsidRPr="00654EF1" w:rsidRDefault="00BE0FA4"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lang w:val="en-GB"/>
              </w:rPr>
              <w:t>Major molecular response criteria</w:t>
            </w:r>
            <w:r w:rsidRPr="00654EF1">
              <w:rPr>
                <w:rFonts w:ascii="Times New Roman" w:hAnsi="Times New Roman"/>
                <w:color w:val="000000"/>
                <w:sz w:val="22"/>
                <w:szCs w:val="22"/>
                <w:lang w:val="en-GB"/>
              </w:rPr>
              <w:t xml:space="preserve">: in the peripheral blood reduction of ≥ 3 logarithms in the amount of Bcr-Abl transcripts (measured by real-time quantitative reverse transcriptase </w:t>
            </w:r>
            <w:smartTag w:uri="urn:schemas-microsoft-com:office:smarttags" w:element="stockticker">
              <w:r w:rsidRPr="00654EF1">
                <w:rPr>
                  <w:rFonts w:ascii="Times New Roman" w:hAnsi="Times New Roman"/>
                  <w:color w:val="000000"/>
                  <w:sz w:val="22"/>
                  <w:szCs w:val="22"/>
                  <w:lang w:val="en-GB"/>
                </w:rPr>
                <w:t>PCR</w:t>
              </w:r>
            </w:smartTag>
            <w:r w:rsidRPr="00654EF1">
              <w:rPr>
                <w:rFonts w:ascii="Times New Roman" w:hAnsi="Times New Roman"/>
                <w:color w:val="000000"/>
                <w:sz w:val="22"/>
                <w:szCs w:val="22"/>
                <w:lang w:val="en-GB"/>
              </w:rPr>
              <w:t xml:space="preserve"> assay) over a standardised baseline.</w:t>
            </w:r>
          </w:p>
        </w:tc>
      </w:tr>
    </w:tbl>
    <w:p w14:paraId="1B6806FB" w14:textId="77777777" w:rsidR="00BE0FA4" w:rsidRPr="00654EF1" w:rsidRDefault="00BE0FA4" w:rsidP="001D5C8C">
      <w:pPr>
        <w:pStyle w:val="EndnoteText"/>
        <w:widowControl w:val="0"/>
        <w:rPr>
          <w:color w:val="000000"/>
          <w:szCs w:val="22"/>
        </w:rPr>
      </w:pPr>
    </w:p>
    <w:p w14:paraId="1B6806FC" w14:textId="77777777" w:rsidR="00BE0FA4" w:rsidRPr="00654EF1" w:rsidRDefault="00BE0FA4" w:rsidP="001D5C8C">
      <w:pPr>
        <w:pStyle w:val="EndnoteText"/>
        <w:widowControl w:val="0"/>
        <w:rPr>
          <w:color w:val="000000"/>
        </w:rPr>
      </w:pPr>
      <w:r w:rsidRPr="00654EF1">
        <w:rPr>
          <w:color w:val="000000"/>
        </w:rPr>
        <w:t>Rates of complete haematological response, major cytogenetic response and complete cytogenetic response on first-line treatment were estimated using the Kaplan-Meier approach, for which non-responses were censored at the date of last examination. Using this approach, the estimated cumulative response rates for first-line treatment with Glivec</w:t>
      </w:r>
      <w:r w:rsidRPr="00654EF1">
        <w:rPr>
          <w:color w:val="000000"/>
          <w:szCs w:val="22"/>
        </w:rPr>
        <w:t xml:space="preserve"> improved from 12 months of therapy to 84 months of therapy as follows: </w:t>
      </w:r>
      <w:smartTag w:uri="urn:schemas-microsoft-com:office:smarttags" w:element="stockticker">
        <w:r w:rsidRPr="00654EF1">
          <w:rPr>
            <w:color w:val="000000"/>
            <w:szCs w:val="22"/>
          </w:rPr>
          <w:t>CHR</w:t>
        </w:r>
      </w:smartTag>
      <w:r w:rsidRPr="00654EF1">
        <w:rPr>
          <w:color w:val="000000"/>
          <w:szCs w:val="22"/>
        </w:rPr>
        <w:t xml:space="preserve"> from 96.4% to 98.4% and CCyR from 69.5% to 87.2%, respectively</w:t>
      </w:r>
      <w:r w:rsidRPr="00654EF1">
        <w:rPr>
          <w:color w:val="000000"/>
        </w:rPr>
        <w:t>.</w:t>
      </w:r>
    </w:p>
    <w:p w14:paraId="1B6806FD" w14:textId="77777777" w:rsidR="00BE0FA4" w:rsidRPr="00654EF1" w:rsidRDefault="00BE0FA4" w:rsidP="001D5C8C">
      <w:pPr>
        <w:pStyle w:val="EndnoteText"/>
        <w:widowControl w:val="0"/>
        <w:rPr>
          <w:color w:val="000000"/>
        </w:rPr>
      </w:pPr>
    </w:p>
    <w:p w14:paraId="1B6806FE" w14:textId="77777777" w:rsidR="00BE0FA4" w:rsidRPr="00654EF1" w:rsidRDefault="00BE0FA4" w:rsidP="001D5C8C">
      <w:pPr>
        <w:pStyle w:val="EndnoteText"/>
        <w:widowControl w:val="0"/>
        <w:rPr>
          <w:color w:val="000000"/>
        </w:rPr>
      </w:pPr>
      <w:r w:rsidRPr="00654EF1">
        <w:rPr>
          <w:color w:val="000000"/>
        </w:rPr>
        <w:t xml:space="preserve">With 7 years follow-up, there were 93 (16.8%) progression events in the Glivec arm: 37 (6.7%) involving progression to accelerated phase/blast crisis, 31 (5.6%) loss of MCyR, 15 (2.7%) loss of </w:t>
      </w:r>
      <w:smartTag w:uri="urn:schemas-microsoft-com:office:smarttags" w:element="stockticker">
        <w:r w:rsidRPr="00654EF1">
          <w:rPr>
            <w:color w:val="000000"/>
          </w:rPr>
          <w:t>CHR</w:t>
        </w:r>
      </w:smartTag>
      <w:r w:rsidRPr="00654EF1">
        <w:rPr>
          <w:color w:val="000000"/>
        </w:rPr>
        <w:t xml:space="preserve"> or increase in WBC, and 10 (1.8%) CML unrelated deaths. In contrast, there were 165 (29.8%) events in the IFN+Ara-C arm, of which 130 occurred during first-line treatment with IFN+Ara-C.</w:t>
      </w:r>
    </w:p>
    <w:p w14:paraId="1B6806FF" w14:textId="77777777" w:rsidR="00BE0FA4" w:rsidRPr="00654EF1" w:rsidRDefault="00BE0FA4" w:rsidP="001D5C8C">
      <w:pPr>
        <w:pStyle w:val="EndnoteText"/>
        <w:widowControl w:val="0"/>
        <w:rPr>
          <w:color w:val="000000"/>
        </w:rPr>
      </w:pPr>
    </w:p>
    <w:p w14:paraId="1B680700" w14:textId="77777777" w:rsidR="00BE0FA4" w:rsidRPr="00654EF1" w:rsidRDefault="00BE0FA4" w:rsidP="001D5C8C">
      <w:pPr>
        <w:pStyle w:val="EndnoteText"/>
        <w:widowControl w:val="0"/>
        <w:rPr>
          <w:color w:val="000000"/>
        </w:rPr>
      </w:pPr>
      <w:r w:rsidRPr="00654EF1">
        <w:rPr>
          <w:color w:val="000000"/>
          <w:szCs w:val="22"/>
        </w:rPr>
        <w:t xml:space="preserve">The estimated rate of patients free of progression to accelerated phase or blast crisis at 84 months was significantly higher in the Glivec arm compared to the IFN arm (92.5% versus 85.1%, p&lt;0.001). </w:t>
      </w:r>
      <w:r w:rsidRPr="00654EF1">
        <w:rPr>
          <w:color w:val="000000"/>
        </w:rPr>
        <w:t xml:space="preserve">The annual rate of progression </w:t>
      </w:r>
      <w:r w:rsidRPr="00654EF1">
        <w:rPr>
          <w:color w:val="000000"/>
          <w:szCs w:val="22"/>
        </w:rPr>
        <w:t xml:space="preserve">to accelerated phase or blast crisis </w:t>
      </w:r>
      <w:r w:rsidRPr="00654EF1">
        <w:rPr>
          <w:color w:val="000000"/>
        </w:rPr>
        <w:t xml:space="preserve">decreased with time on therapy </w:t>
      </w:r>
      <w:r w:rsidRPr="00654EF1">
        <w:rPr>
          <w:color w:val="000000"/>
          <w:szCs w:val="22"/>
        </w:rPr>
        <w:t>and was less than 1% annually in the fourth and fifth years</w:t>
      </w:r>
      <w:r w:rsidRPr="00654EF1">
        <w:rPr>
          <w:color w:val="000000"/>
        </w:rPr>
        <w:t xml:space="preserve">. </w:t>
      </w:r>
      <w:r w:rsidRPr="00654EF1">
        <w:rPr>
          <w:color w:val="000000"/>
          <w:szCs w:val="22"/>
        </w:rPr>
        <w:t xml:space="preserve">The estimated rate of progression-free survival at 84 months was 81.2% in the Glivec arm and 60.6% in the control arm </w:t>
      </w:r>
      <w:r w:rsidRPr="00654EF1">
        <w:rPr>
          <w:color w:val="000000"/>
        </w:rPr>
        <w:t>(p&lt;0.001).</w:t>
      </w:r>
      <w:r w:rsidRPr="00654EF1">
        <w:rPr>
          <w:rStyle w:val="EndnoteTextChar"/>
          <w:color w:val="000000"/>
        </w:rPr>
        <w:t xml:space="preserve"> The yearly rates of progression of any type for Glivec </w:t>
      </w:r>
      <w:r w:rsidRPr="00654EF1">
        <w:rPr>
          <w:rStyle w:val="Char"/>
          <w:color w:val="000000"/>
          <w:szCs w:val="22"/>
        </w:rPr>
        <w:t>also decreased over time</w:t>
      </w:r>
      <w:r w:rsidRPr="00654EF1">
        <w:rPr>
          <w:rStyle w:val="EndnoteTextChar"/>
          <w:color w:val="000000"/>
        </w:rPr>
        <w:t>.</w:t>
      </w:r>
    </w:p>
    <w:p w14:paraId="1B680701" w14:textId="77777777" w:rsidR="00BE0FA4" w:rsidRPr="00654EF1" w:rsidRDefault="00BE0FA4" w:rsidP="001D5C8C">
      <w:pPr>
        <w:pStyle w:val="EndnoteText"/>
        <w:widowControl w:val="0"/>
        <w:rPr>
          <w:color w:val="000000"/>
        </w:rPr>
      </w:pPr>
    </w:p>
    <w:p w14:paraId="1B680702" w14:textId="77777777" w:rsidR="00BE0FA4" w:rsidRPr="00654EF1" w:rsidRDefault="00BE0FA4" w:rsidP="001D5C8C">
      <w:pPr>
        <w:pStyle w:val="EndnoteText"/>
        <w:widowControl w:val="0"/>
        <w:rPr>
          <w:color w:val="000000"/>
        </w:rPr>
      </w:pPr>
      <w:r w:rsidRPr="00654EF1">
        <w:rPr>
          <w:color w:val="000000"/>
        </w:rPr>
        <w:t xml:space="preserve">A total of 71 (12.8%) and 85 (15.4%) patients died in the Glivec and IFN+Ara-C groups, respectively. At 84 months the estimated overall survival is 86.4% (83, 90) vs. 83.3% (80, 87) in the randomised Glivec and the IFN+Ara-C groups, respectively (p=0.073, log-rank test). This time-to-event endpoint is strongly affected by the high crossover rate from IFN+Ara-C to Glivec. The effect of Glivec treatment on survival in chronic phase, newly diagnosed CML has been further examined in a retrospective analysis of the above reported Glivec data with the primary data from another Phase </w:t>
      </w:r>
      <w:smartTag w:uri="urn:schemas-microsoft-com:office:smarttags" w:element="stockticker">
        <w:r w:rsidRPr="00654EF1">
          <w:rPr>
            <w:color w:val="000000"/>
          </w:rPr>
          <w:t>III</w:t>
        </w:r>
      </w:smartTag>
      <w:r w:rsidRPr="00654EF1">
        <w:rPr>
          <w:color w:val="000000"/>
        </w:rPr>
        <w:t xml:space="preserve"> study using IFN+Ara-C (n=325) in an identical regimen. In this retrospective analysis, the superiority of Glivec over IFN+Ara-C in overall survival was demonstrated (p&lt;0.001); within 42 months, 47 (8.5%) Glivec patients and 63 (19.4%) IFN+Ara-C patients had died.</w:t>
      </w:r>
    </w:p>
    <w:p w14:paraId="1B680703" w14:textId="77777777" w:rsidR="00BE0FA4" w:rsidRPr="00654EF1" w:rsidRDefault="00BE0FA4" w:rsidP="001D5C8C">
      <w:pPr>
        <w:pStyle w:val="EndnoteText"/>
        <w:widowControl w:val="0"/>
        <w:rPr>
          <w:color w:val="000000"/>
        </w:rPr>
      </w:pPr>
    </w:p>
    <w:p w14:paraId="1B680704" w14:textId="77777777" w:rsidR="00BE0FA4" w:rsidRPr="00654EF1" w:rsidRDefault="00BE0FA4" w:rsidP="001D5C8C">
      <w:pPr>
        <w:pStyle w:val="EndnoteText"/>
        <w:widowControl w:val="0"/>
        <w:rPr>
          <w:color w:val="000000"/>
        </w:rPr>
      </w:pPr>
      <w:r w:rsidRPr="00654EF1">
        <w:rPr>
          <w:color w:val="000000"/>
        </w:rPr>
        <w:lastRenderedPageBreak/>
        <w:t xml:space="preserve">The degree of cytogenetic response </w:t>
      </w:r>
      <w:r w:rsidRPr="00654EF1">
        <w:rPr>
          <w:color w:val="000000"/>
          <w:szCs w:val="22"/>
        </w:rPr>
        <w:t xml:space="preserve">and molecular response </w:t>
      </w:r>
      <w:r w:rsidRPr="00654EF1">
        <w:rPr>
          <w:color w:val="000000"/>
        </w:rPr>
        <w:t xml:space="preserve">had a clear effect on long-term outcomes in patients on Glivec. Whereas an estimated 96% (93%) of patients with CCyR (PCyR) at 12 months were free of progression to accelerated phase/blast crisis at 84 months, only 81% of patients without MCyR at 12 months were free of progression to advanced CML at 84 months (p&lt;0.001 overall, p=0.25 between CCyR and PCyR). </w:t>
      </w:r>
      <w:r w:rsidRPr="00654EF1">
        <w:rPr>
          <w:color w:val="000000"/>
          <w:szCs w:val="22"/>
        </w:rPr>
        <w:t>For patients with reduction in Bcr-Abl transcripts of at least 3 logarithms at 12 months, the probability of remaining free from progression to accelerated phase/blast crisis was 99% at 84 months. Similar findings were found based on a 18-months landmark analysis</w:t>
      </w:r>
      <w:r w:rsidRPr="00654EF1">
        <w:rPr>
          <w:color w:val="000000"/>
        </w:rPr>
        <w:t>.</w:t>
      </w:r>
    </w:p>
    <w:p w14:paraId="1B680705" w14:textId="77777777" w:rsidR="005B7A57" w:rsidRPr="00654EF1" w:rsidRDefault="005B7A57" w:rsidP="001D5C8C">
      <w:pPr>
        <w:pStyle w:val="EndnoteText"/>
        <w:widowControl w:val="0"/>
        <w:rPr>
          <w:color w:val="000000"/>
          <w:szCs w:val="22"/>
        </w:rPr>
      </w:pPr>
    </w:p>
    <w:p w14:paraId="1B680706" w14:textId="77777777" w:rsidR="00631BEB" w:rsidRPr="00654EF1" w:rsidRDefault="00631BEB" w:rsidP="001D5C8C">
      <w:pPr>
        <w:pStyle w:val="EndnoteText"/>
        <w:widowControl w:val="0"/>
        <w:rPr>
          <w:color w:val="000000"/>
          <w:szCs w:val="22"/>
        </w:rPr>
      </w:pPr>
      <w:r w:rsidRPr="00654EF1">
        <w:rPr>
          <w:color w:val="000000"/>
        </w:rPr>
        <w:t>In this study, dose escalations were allowed from 400 mg daily to 600 mg daily, then from 600 mg daily to 800 mg daily. After 42 months of follow-up, 11 patients experienced a confirmed loss (within 4 weeks) of their cytogenetic response. Of these 11 patients, 4 patients escalated up to 800 mg daily, 2 of whom regained a cytogenetic response (1 partial and 1 complete, the latter also achieving a molecular response), while of the 7 patients who did not escalate the dose, only one regained a complete cytogenetic response. The percentage of some adverse reactions was higher in the 40 patients in whom the dose was increased to 800 mg daily compared to the population of patients before dose increase (n=551). The more frequent adverse reactions included gastrointestinal haemorrhages, conjunctivitis and elevation of transaminases or bilirubin. Other adverse reactions were reported with lower or equal frequency.</w:t>
      </w:r>
    </w:p>
    <w:p w14:paraId="1B680707" w14:textId="77777777" w:rsidR="00631BEB" w:rsidRPr="00654EF1" w:rsidRDefault="00631BEB" w:rsidP="001D5C8C">
      <w:pPr>
        <w:pStyle w:val="Text"/>
        <w:widowControl w:val="0"/>
        <w:spacing w:before="0"/>
        <w:jc w:val="left"/>
        <w:rPr>
          <w:color w:val="000000"/>
          <w:sz w:val="22"/>
          <w:szCs w:val="22"/>
          <w:lang w:val="en-GB"/>
        </w:rPr>
      </w:pPr>
    </w:p>
    <w:p w14:paraId="1B680708" w14:textId="77777777" w:rsidR="006237AB" w:rsidRPr="00654EF1" w:rsidRDefault="006237AB" w:rsidP="001D5C8C">
      <w:pPr>
        <w:pStyle w:val="EndnoteText"/>
        <w:widowControl w:val="0"/>
        <w:tabs>
          <w:tab w:val="clear" w:pos="567"/>
        </w:tabs>
        <w:rPr>
          <w:color w:val="000000"/>
          <w:szCs w:val="22"/>
        </w:rPr>
      </w:pPr>
      <w:r w:rsidRPr="00654EF1">
        <w:rPr>
          <w:i/>
          <w:color w:val="000000"/>
          <w:szCs w:val="22"/>
        </w:rPr>
        <w:t xml:space="preserve">Chronic phase, Interferon failure: </w:t>
      </w:r>
      <w:r w:rsidRPr="00654EF1">
        <w:rPr>
          <w:color w:val="000000"/>
          <w:szCs w:val="22"/>
        </w:rPr>
        <w:t>532</w:t>
      </w:r>
      <w:r w:rsidR="0036337E" w:rsidRPr="00654EF1">
        <w:rPr>
          <w:color w:val="000000"/>
          <w:szCs w:val="22"/>
        </w:rPr>
        <w:t> </w:t>
      </w:r>
      <w:r w:rsidR="007E73D8" w:rsidRPr="00654EF1">
        <w:rPr>
          <w:color w:val="000000"/>
          <w:szCs w:val="22"/>
        </w:rPr>
        <w:t xml:space="preserve">adult </w:t>
      </w:r>
      <w:r w:rsidRPr="00654EF1">
        <w:rPr>
          <w:color w:val="000000"/>
          <w:szCs w:val="22"/>
        </w:rPr>
        <w:t xml:space="preserve">patients were treated at a starting dose of 400 mg. The patients were distributed in three main categories: haematological failure (29%), cytogenetic failure (35%), or intolerance to interferon (36%). Patients had received a median of 14 months of prior IFN therapy at doses </w:t>
      </w:r>
      <w:r w:rsidRPr="00654EF1">
        <w:rPr>
          <w:color w:val="000000"/>
          <w:szCs w:val="22"/>
        </w:rPr>
        <w:sym w:font="Symbol" w:char="F0B3"/>
      </w:r>
      <w:r w:rsidRPr="00654EF1">
        <w:rPr>
          <w:color w:val="000000"/>
          <w:szCs w:val="22"/>
        </w:rPr>
        <w:t> 25 x</w:t>
      </w:r>
      <w:r w:rsidR="008F0ED7" w:rsidRPr="00654EF1">
        <w:rPr>
          <w:color w:val="000000"/>
          <w:szCs w:val="22"/>
        </w:rPr>
        <w:t> </w:t>
      </w:r>
      <w:r w:rsidRPr="00654EF1">
        <w:rPr>
          <w:color w:val="000000"/>
          <w:szCs w:val="22"/>
        </w:rPr>
        <w:t>10</w:t>
      </w:r>
      <w:r w:rsidRPr="00654EF1">
        <w:rPr>
          <w:color w:val="000000"/>
          <w:szCs w:val="22"/>
          <w:vertAlign w:val="superscript"/>
        </w:rPr>
        <w:t>6</w:t>
      </w:r>
      <w:r w:rsidRPr="00654EF1">
        <w:rPr>
          <w:color w:val="000000"/>
          <w:szCs w:val="22"/>
        </w:rPr>
        <w:t xml:space="preserve"> IU/week and were all in late chronic phase, with a median time from diagnosis of 32 months. The primary efficacy variable of the study was the rate of major cytogenetic response (complete plus partial response, 0 to 35% Ph+ metaphases in the bone marrow).</w:t>
      </w:r>
    </w:p>
    <w:p w14:paraId="1B680709" w14:textId="77777777" w:rsidR="006237AB" w:rsidRPr="00654EF1" w:rsidRDefault="006237AB" w:rsidP="001D5C8C">
      <w:pPr>
        <w:pStyle w:val="EndnoteText"/>
        <w:widowControl w:val="0"/>
        <w:tabs>
          <w:tab w:val="clear" w:pos="567"/>
        </w:tabs>
        <w:rPr>
          <w:color w:val="000000"/>
          <w:szCs w:val="22"/>
        </w:rPr>
      </w:pPr>
    </w:p>
    <w:p w14:paraId="1B68070A"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In this study 6</w:t>
      </w:r>
      <w:r w:rsidR="005D78E4" w:rsidRPr="00654EF1">
        <w:rPr>
          <w:color w:val="000000"/>
          <w:szCs w:val="22"/>
        </w:rPr>
        <w:t>5</w:t>
      </w:r>
      <w:r w:rsidRPr="00654EF1">
        <w:rPr>
          <w:color w:val="000000"/>
          <w:szCs w:val="22"/>
        </w:rPr>
        <w:t xml:space="preserve">% of the patients achieved a major cytogenetic response that was complete in </w:t>
      </w:r>
      <w:r w:rsidR="005D78E4" w:rsidRPr="00654EF1">
        <w:rPr>
          <w:color w:val="000000"/>
          <w:szCs w:val="22"/>
        </w:rPr>
        <w:t>53</w:t>
      </w:r>
      <w:r w:rsidRPr="00654EF1">
        <w:rPr>
          <w:color w:val="000000"/>
          <w:szCs w:val="22"/>
        </w:rPr>
        <w:t xml:space="preserve">% (confirmed </w:t>
      </w:r>
      <w:r w:rsidR="00EC499F" w:rsidRPr="00654EF1">
        <w:rPr>
          <w:color w:val="000000"/>
          <w:szCs w:val="22"/>
        </w:rPr>
        <w:t>43</w:t>
      </w:r>
      <w:r w:rsidRPr="00654EF1">
        <w:rPr>
          <w:color w:val="000000"/>
          <w:szCs w:val="22"/>
        </w:rPr>
        <w:t>%) of patients (Table </w:t>
      </w:r>
      <w:r w:rsidR="008F2DE5" w:rsidRPr="00654EF1">
        <w:rPr>
          <w:color w:val="000000"/>
          <w:szCs w:val="22"/>
        </w:rPr>
        <w:t>3</w:t>
      </w:r>
      <w:r w:rsidRPr="00654EF1">
        <w:rPr>
          <w:color w:val="000000"/>
          <w:szCs w:val="22"/>
        </w:rPr>
        <w:t>). A complete haematological response was achieved in 9</w:t>
      </w:r>
      <w:r w:rsidR="005D78E4" w:rsidRPr="00654EF1">
        <w:rPr>
          <w:color w:val="000000"/>
          <w:szCs w:val="22"/>
        </w:rPr>
        <w:t>5</w:t>
      </w:r>
      <w:r w:rsidRPr="00654EF1">
        <w:rPr>
          <w:color w:val="000000"/>
          <w:szCs w:val="22"/>
        </w:rPr>
        <w:t>% of patients.</w:t>
      </w:r>
    </w:p>
    <w:p w14:paraId="1B68070B" w14:textId="77777777" w:rsidR="006237AB" w:rsidRPr="00654EF1" w:rsidRDefault="006237AB" w:rsidP="001D5C8C">
      <w:pPr>
        <w:pStyle w:val="EndnoteText"/>
        <w:widowControl w:val="0"/>
        <w:tabs>
          <w:tab w:val="clear" w:pos="567"/>
        </w:tabs>
        <w:rPr>
          <w:color w:val="000000"/>
          <w:szCs w:val="22"/>
        </w:rPr>
      </w:pPr>
    </w:p>
    <w:p w14:paraId="1B68070C" w14:textId="77777777" w:rsidR="006237AB" w:rsidRPr="00654EF1" w:rsidRDefault="006237AB" w:rsidP="001D5C8C">
      <w:pPr>
        <w:pStyle w:val="EndnoteText"/>
        <w:widowControl w:val="0"/>
        <w:tabs>
          <w:tab w:val="clear" w:pos="567"/>
        </w:tabs>
        <w:rPr>
          <w:color w:val="000000"/>
          <w:szCs w:val="22"/>
        </w:rPr>
      </w:pPr>
      <w:r w:rsidRPr="00654EF1">
        <w:rPr>
          <w:i/>
          <w:color w:val="000000"/>
          <w:szCs w:val="22"/>
        </w:rPr>
        <w:t>Accelerated phase</w:t>
      </w:r>
      <w:r w:rsidRPr="00654EF1">
        <w:rPr>
          <w:color w:val="000000"/>
          <w:szCs w:val="22"/>
        </w:rPr>
        <w:t>: 235 </w:t>
      </w:r>
      <w:r w:rsidR="007E73D8" w:rsidRPr="00654EF1">
        <w:rPr>
          <w:color w:val="000000"/>
          <w:szCs w:val="22"/>
        </w:rPr>
        <w:t xml:space="preserve">adult </w:t>
      </w:r>
      <w:r w:rsidRPr="00654EF1">
        <w:rPr>
          <w:color w:val="000000"/>
          <w:szCs w:val="22"/>
        </w:rPr>
        <w:t>patients with accelerated phase disease were enrolled. The first 77 patients were started at 400 mg, the protocol was subsequently amended to allow higher dosing and the remaining 158 patients were started at 600 mg.</w:t>
      </w:r>
    </w:p>
    <w:p w14:paraId="1B68070D" w14:textId="77777777" w:rsidR="006237AB" w:rsidRPr="00654EF1" w:rsidRDefault="006237AB" w:rsidP="001D5C8C">
      <w:pPr>
        <w:pStyle w:val="EndnoteText"/>
        <w:widowControl w:val="0"/>
        <w:tabs>
          <w:tab w:val="clear" w:pos="567"/>
        </w:tabs>
        <w:rPr>
          <w:color w:val="000000"/>
          <w:szCs w:val="22"/>
        </w:rPr>
      </w:pPr>
    </w:p>
    <w:p w14:paraId="1B68070E" w14:textId="77777777" w:rsidR="00C703BD" w:rsidRPr="00654EF1" w:rsidRDefault="006237AB" w:rsidP="001D5C8C">
      <w:pPr>
        <w:pStyle w:val="EndnoteText"/>
        <w:widowControl w:val="0"/>
        <w:tabs>
          <w:tab w:val="clear" w:pos="567"/>
        </w:tabs>
        <w:rPr>
          <w:color w:val="000000"/>
          <w:szCs w:val="22"/>
        </w:rPr>
      </w:pPr>
      <w:r w:rsidRPr="00654EF1">
        <w:rPr>
          <w:color w:val="000000"/>
          <w:szCs w:val="22"/>
        </w:rPr>
        <w:t>The primary efficacy variable was the rate of haematological response, reported as either complete haematological response, no evidence of leukaemia (i.e. clearance of blasts from the marrow and the blood, but without a full peripheral blood recovery as for complete responses), or return to chronic phase CML. A confirmed haematological response was achieved in 7</w:t>
      </w:r>
      <w:r w:rsidR="005D78E4" w:rsidRPr="00654EF1">
        <w:rPr>
          <w:color w:val="000000"/>
          <w:szCs w:val="22"/>
        </w:rPr>
        <w:t>1.5</w:t>
      </w:r>
      <w:r w:rsidRPr="00654EF1">
        <w:rPr>
          <w:color w:val="000000"/>
          <w:szCs w:val="22"/>
        </w:rPr>
        <w:t>% of patients (Table</w:t>
      </w:r>
      <w:r w:rsidR="00AA48AB" w:rsidRPr="00654EF1">
        <w:rPr>
          <w:color w:val="000000"/>
          <w:szCs w:val="22"/>
        </w:rPr>
        <w:t> </w:t>
      </w:r>
      <w:r w:rsidR="008F2DE5" w:rsidRPr="00654EF1">
        <w:rPr>
          <w:color w:val="000000"/>
          <w:szCs w:val="22"/>
        </w:rPr>
        <w:t>3</w:t>
      </w:r>
      <w:r w:rsidRPr="00654EF1">
        <w:rPr>
          <w:color w:val="000000"/>
          <w:szCs w:val="22"/>
        </w:rPr>
        <w:t>). Importantly, 2</w:t>
      </w:r>
      <w:r w:rsidR="005D78E4" w:rsidRPr="00654EF1">
        <w:rPr>
          <w:color w:val="000000"/>
          <w:szCs w:val="22"/>
        </w:rPr>
        <w:t>7.7</w:t>
      </w:r>
      <w:r w:rsidRPr="00654EF1">
        <w:rPr>
          <w:color w:val="000000"/>
          <w:szCs w:val="22"/>
        </w:rPr>
        <w:t xml:space="preserve">% of patients also achieved a major cytogenetic response, which was complete in </w:t>
      </w:r>
      <w:r w:rsidR="005D78E4" w:rsidRPr="00654EF1">
        <w:rPr>
          <w:color w:val="000000"/>
          <w:szCs w:val="22"/>
        </w:rPr>
        <w:t>20.4</w:t>
      </w:r>
      <w:r w:rsidRPr="00654EF1">
        <w:rPr>
          <w:color w:val="000000"/>
          <w:szCs w:val="22"/>
        </w:rPr>
        <w:t>% (confirmed 1</w:t>
      </w:r>
      <w:r w:rsidR="005D78E4" w:rsidRPr="00654EF1">
        <w:rPr>
          <w:color w:val="000000"/>
          <w:szCs w:val="22"/>
        </w:rPr>
        <w:t>6</w:t>
      </w:r>
      <w:r w:rsidRPr="00654EF1">
        <w:rPr>
          <w:color w:val="000000"/>
          <w:szCs w:val="22"/>
        </w:rPr>
        <w:t xml:space="preserve">%) of patients. For the patients treated at 600 mg, the </w:t>
      </w:r>
      <w:r w:rsidR="00EC499F" w:rsidRPr="00654EF1">
        <w:rPr>
          <w:color w:val="000000"/>
          <w:szCs w:val="22"/>
        </w:rPr>
        <w:t>current estimates for median</w:t>
      </w:r>
      <w:r w:rsidRPr="00654EF1">
        <w:rPr>
          <w:color w:val="000000"/>
          <w:szCs w:val="22"/>
        </w:rPr>
        <w:t xml:space="preserve"> progression-free-survival and overall survival </w:t>
      </w:r>
      <w:r w:rsidR="00EC499F" w:rsidRPr="00654EF1">
        <w:rPr>
          <w:color w:val="000000"/>
          <w:szCs w:val="22"/>
        </w:rPr>
        <w:t>were 22.9 and 42.5 months,</w:t>
      </w:r>
      <w:r w:rsidRPr="00654EF1">
        <w:rPr>
          <w:color w:val="000000"/>
          <w:szCs w:val="22"/>
        </w:rPr>
        <w:t xml:space="preserve"> respectively.</w:t>
      </w:r>
    </w:p>
    <w:p w14:paraId="1B68070F" w14:textId="77777777" w:rsidR="006237AB" w:rsidRPr="00654EF1" w:rsidRDefault="006237AB" w:rsidP="001D5C8C">
      <w:pPr>
        <w:pStyle w:val="EndnoteText"/>
        <w:widowControl w:val="0"/>
        <w:tabs>
          <w:tab w:val="clear" w:pos="567"/>
        </w:tabs>
        <w:rPr>
          <w:color w:val="000000"/>
          <w:szCs w:val="22"/>
        </w:rPr>
      </w:pPr>
    </w:p>
    <w:p w14:paraId="1B680710" w14:textId="77777777" w:rsidR="006237AB" w:rsidRPr="00654EF1" w:rsidRDefault="006237AB" w:rsidP="001D5C8C">
      <w:pPr>
        <w:pStyle w:val="EndnoteText"/>
        <w:widowControl w:val="0"/>
        <w:tabs>
          <w:tab w:val="clear" w:pos="567"/>
        </w:tabs>
        <w:rPr>
          <w:color w:val="000000"/>
          <w:szCs w:val="22"/>
        </w:rPr>
      </w:pPr>
      <w:r w:rsidRPr="00654EF1">
        <w:rPr>
          <w:i/>
          <w:color w:val="000000"/>
          <w:szCs w:val="22"/>
        </w:rPr>
        <w:t>Myeloid blast crisis:</w:t>
      </w:r>
      <w:r w:rsidRPr="00654EF1">
        <w:rPr>
          <w:color w:val="000000"/>
          <w:szCs w:val="22"/>
        </w:rPr>
        <w:t xml:space="preserve"> 260 patients with myeloid blast crisis were enrolled. 95 (37%) had received prior chemotherapy for treatment of either accelerated phase or blast crisis (“pretreated patients”) whereas 165 (63%) had not (“untreated patients”). The first 37 patients were started at 400 mg, the protocol was subsequently amended to allow higher dosing and the remaining 223 patients were started at 600 mg.</w:t>
      </w:r>
    </w:p>
    <w:p w14:paraId="1B680711" w14:textId="77777777" w:rsidR="006237AB" w:rsidRPr="00654EF1" w:rsidRDefault="006237AB" w:rsidP="001D5C8C">
      <w:pPr>
        <w:pStyle w:val="EndnoteText"/>
        <w:widowControl w:val="0"/>
        <w:tabs>
          <w:tab w:val="clear" w:pos="567"/>
        </w:tabs>
        <w:rPr>
          <w:color w:val="000000"/>
          <w:szCs w:val="22"/>
        </w:rPr>
      </w:pPr>
    </w:p>
    <w:p w14:paraId="1B680712"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The primary efficacy variable was the rate of haematological response, reported as either complete haematological response, no evidence of leukaemia, or return to chronic phase CML using the same criteria as for the study in accelerated phase. In this study, 31% of patients achieved a haematological response (36% in previously untreated patients and 22% in previously treated patients). The rate of response was also higher in the patients treated at 600 mg (33%) as compared to the patients treated at 400 mg (16%, p=0.0220). The current estimate of the median survival of the previously untreated and treated patients was 7.7 and 4.7 months, respectively.</w:t>
      </w:r>
    </w:p>
    <w:p w14:paraId="1B680713" w14:textId="77777777" w:rsidR="006237AB" w:rsidRPr="00654EF1" w:rsidRDefault="006237AB" w:rsidP="001D5C8C">
      <w:pPr>
        <w:pStyle w:val="EndnoteText"/>
        <w:widowControl w:val="0"/>
        <w:tabs>
          <w:tab w:val="clear" w:pos="567"/>
        </w:tabs>
        <w:rPr>
          <w:color w:val="000000"/>
          <w:szCs w:val="22"/>
        </w:rPr>
      </w:pPr>
    </w:p>
    <w:p w14:paraId="1B680714" w14:textId="77777777" w:rsidR="006237AB" w:rsidRPr="00654EF1" w:rsidRDefault="006237AB" w:rsidP="001D5C8C">
      <w:pPr>
        <w:pStyle w:val="BodyText"/>
        <w:widowControl w:val="0"/>
        <w:spacing w:line="240" w:lineRule="auto"/>
        <w:rPr>
          <w:b w:val="0"/>
          <w:i w:val="0"/>
          <w:color w:val="000000"/>
          <w:szCs w:val="22"/>
        </w:rPr>
      </w:pPr>
      <w:r w:rsidRPr="00654EF1">
        <w:rPr>
          <w:b w:val="0"/>
          <w:color w:val="000000"/>
          <w:szCs w:val="22"/>
        </w:rPr>
        <w:lastRenderedPageBreak/>
        <w:t>Lymphoid blast crisis</w:t>
      </w:r>
      <w:r w:rsidRPr="00654EF1">
        <w:rPr>
          <w:b w:val="0"/>
          <w:i w:val="0"/>
          <w:color w:val="000000"/>
          <w:szCs w:val="22"/>
        </w:rPr>
        <w:t>: a limited number of patients were enrolled in phase I studies (n=10). The rate of haematological response was 70% with a duration of 2</w:t>
      </w:r>
      <w:r w:rsidR="00A36A10" w:rsidRPr="00654EF1">
        <w:rPr>
          <w:color w:val="000000"/>
          <w:szCs w:val="22"/>
        </w:rPr>
        <w:t>–</w:t>
      </w:r>
      <w:r w:rsidRPr="00654EF1">
        <w:rPr>
          <w:b w:val="0"/>
          <w:i w:val="0"/>
          <w:color w:val="000000"/>
          <w:szCs w:val="22"/>
        </w:rPr>
        <w:t>3</w:t>
      </w:r>
      <w:r w:rsidR="00A36A10" w:rsidRPr="00654EF1">
        <w:rPr>
          <w:b w:val="0"/>
          <w:i w:val="0"/>
          <w:color w:val="000000"/>
          <w:szCs w:val="22"/>
        </w:rPr>
        <w:t> </w:t>
      </w:r>
      <w:r w:rsidRPr="00654EF1">
        <w:rPr>
          <w:b w:val="0"/>
          <w:i w:val="0"/>
          <w:color w:val="000000"/>
          <w:szCs w:val="22"/>
        </w:rPr>
        <w:t>months.</w:t>
      </w:r>
    </w:p>
    <w:p w14:paraId="1B680715" w14:textId="77777777" w:rsidR="006237AB" w:rsidRPr="00654EF1" w:rsidRDefault="006237AB" w:rsidP="001D5C8C">
      <w:pPr>
        <w:pStyle w:val="EndnoteText"/>
        <w:widowControl w:val="0"/>
        <w:tabs>
          <w:tab w:val="clear" w:pos="567"/>
        </w:tabs>
        <w:rPr>
          <w:color w:val="000000"/>
          <w:szCs w:val="22"/>
        </w:rPr>
      </w:pPr>
    </w:p>
    <w:p w14:paraId="1B680716" w14:textId="77777777" w:rsidR="006237AB" w:rsidRPr="00654EF1" w:rsidRDefault="006237AB" w:rsidP="001D5C8C">
      <w:pPr>
        <w:pStyle w:val="EndnoteText"/>
        <w:keepNext/>
        <w:widowControl w:val="0"/>
        <w:tabs>
          <w:tab w:val="clear" w:pos="567"/>
        </w:tabs>
        <w:rPr>
          <w:color w:val="000000"/>
          <w:szCs w:val="22"/>
        </w:rPr>
      </w:pPr>
      <w:r w:rsidRPr="00654EF1">
        <w:rPr>
          <w:b/>
          <w:color w:val="000000"/>
          <w:szCs w:val="22"/>
        </w:rPr>
        <w:t>Table</w:t>
      </w:r>
      <w:r w:rsidR="00AA48AB" w:rsidRPr="00654EF1">
        <w:rPr>
          <w:b/>
          <w:color w:val="000000"/>
          <w:szCs w:val="22"/>
        </w:rPr>
        <w:t> </w:t>
      </w:r>
      <w:r w:rsidR="008F2DE5" w:rsidRPr="00654EF1">
        <w:rPr>
          <w:b/>
          <w:color w:val="000000"/>
          <w:szCs w:val="22"/>
        </w:rPr>
        <w:t>3</w:t>
      </w:r>
      <w:r w:rsidRPr="00654EF1">
        <w:rPr>
          <w:b/>
          <w:color w:val="000000"/>
          <w:szCs w:val="22"/>
        </w:rPr>
        <w:tab/>
        <w:t xml:space="preserve">Response in </w:t>
      </w:r>
      <w:r w:rsidR="007E73D8" w:rsidRPr="00654EF1">
        <w:rPr>
          <w:b/>
          <w:color w:val="000000"/>
          <w:szCs w:val="22"/>
        </w:rPr>
        <w:t xml:space="preserve">adult </w:t>
      </w:r>
      <w:r w:rsidRPr="00654EF1">
        <w:rPr>
          <w:b/>
          <w:color w:val="000000"/>
          <w:szCs w:val="22"/>
        </w:rPr>
        <w:t>CML studies</w:t>
      </w:r>
    </w:p>
    <w:p w14:paraId="1B680717" w14:textId="77777777" w:rsidR="006237AB" w:rsidRPr="00654EF1" w:rsidRDefault="006237AB"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6237AB" w:rsidRPr="00654EF1" w14:paraId="1B680725" w14:textId="77777777" w:rsidTr="005E7BE5">
        <w:trPr>
          <w:cantSplit/>
        </w:trPr>
        <w:tc>
          <w:tcPr>
            <w:tcW w:w="3227" w:type="dxa"/>
            <w:tcBorders>
              <w:bottom w:val="nil"/>
            </w:tcBorders>
          </w:tcPr>
          <w:p w14:paraId="1B680718" w14:textId="77777777" w:rsidR="006237AB" w:rsidRPr="00654EF1" w:rsidRDefault="006237AB" w:rsidP="001D5C8C">
            <w:pPr>
              <w:pStyle w:val="EndnoteText"/>
              <w:keepNext/>
              <w:widowControl w:val="0"/>
              <w:tabs>
                <w:tab w:val="clear" w:pos="567"/>
              </w:tabs>
              <w:rPr>
                <w:color w:val="000000"/>
                <w:szCs w:val="22"/>
              </w:rPr>
            </w:pPr>
          </w:p>
        </w:tc>
        <w:tc>
          <w:tcPr>
            <w:tcW w:w="1898" w:type="dxa"/>
            <w:tcBorders>
              <w:bottom w:val="nil"/>
            </w:tcBorders>
          </w:tcPr>
          <w:p w14:paraId="1B680719"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Study 0110</w:t>
            </w:r>
          </w:p>
          <w:p w14:paraId="1B68071A" w14:textId="77777777" w:rsidR="005D78E4" w:rsidRPr="00654EF1" w:rsidRDefault="005D78E4" w:rsidP="001D5C8C">
            <w:pPr>
              <w:pStyle w:val="Table"/>
              <w:widowControl w:val="0"/>
              <w:spacing w:before="0" w:after="0"/>
              <w:jc w:val="center"/>
              <w:rPr>
                <w:rFonts w:ascii="Times New Roman" w:hAnsi="Times New Roman"/>
                <w:color w:val="000000"/>
                <w:sz w:val="22"/>
                <w:szCs w:val="22"/>
                <w:lang w:val="en-GB"/>
              </w:rPr>
            </w:pPr>
            <w:r w:rsidRPr="00654EF1">
              <w:rPr>
                <w:rFonts w:ascii="Times New Roman" w:hAnsi="Times New Roman"/>
                <w:color w:val="000000"/>
                <w:sz w:val="22"/>
                <w:szCs w:val="22"/>
              </w:rPr>
              <w:t>37-month data</w:t>
            </w:r>
          </w:p>
          <w:p w14:paraId="1B68071B"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Chronic phase, IFN failure</w:t>
            </w:r>
          </w:p>
          <w:p w14:paraId="1B68071C"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(n=532)</w:t>
            </w:r>
          </w:p>
        </w:tc>
        <w:tc>
          <w:tcPr>
            <w:tcW w:w="1985" w:type="dxa"/>
            <w:tcBorders>
              <w:bottom w:val="nil"/>
            </w:tcBorders>
          </w:tcPr>
          <w:p w14:paraId="1B68071D"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Study 0109</w:t>
            </w:r>
          </w:p>
          <w:p w14:paraId="1B68071E" w14:textId="77777777" w:rsidR="005D78E4" w:rsidRPr="00654EF1" w:rsidRDefault="005D78E4" w:rsidP="001D5C8C">
            <w:pPr>
              <w:pStyle w:val="EndnoteText"/>
              <w:keepNext/>
              <w:widowControl w:val="0"/>
              <w:tabs>
                <w:tab w:val="clear" w:pos="567"/>
              </w:tabs>
              <w:jc w:val="center"/>
              <w:rPr>
                <w:color w:val="000000"/>
                <w:szCs w:val="22"/>
              </w:rPr>
            </w:pPr>
            <w:r w:rsidRPr="00654EF1">
              <w:rPr>
                <w:color w:val="000000"/>
                <w:szCs w:val="22"/>
              </w:rPr>
              <w:t>40.5-month data</w:t>
            </w:r>
          </w:p>
          <w:p w14:paraId="1B68071F"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Accelerated phase</w:t>
            </w:r>
          </w:p>
          <w:p w14:paraId="1B680720"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(n=235)</w:t>
            </w:r>
          </w:p>
        </w:tc>
        <w:tc>
          <w:tcPr>
            <w:tcW w:w="1929" w:type="dxa"/>
            <w:tcBorders>
              <w:bottom w:val="nil"/>
            </w:tcBorders>
          </w:tcPr>
          <w:p w14:paraId="1B680721"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Study 0102</w:t>
            </w:r>
          </w:p>
          <w:p w14:paraId="1B680722" w14:textId="77777777" w:rsidR="005D78E4" w:rsidRPr="00654EF1" w:rsidRDefault="005D78E4" w:rsidP="001D5C8C">
            <w:pPr>
              <w:pStyle w:val="EndnoteText"/>
              <w:keepNext/>
              <w:widowControl w:val="0"/>
              <w:tabs>
                <w:tab w:val="clear" w:pos="567"/>
              </w:tabs>
              <w:jc w:val="center"/>
              <w:rPr>
                <w:color w:val="000000"/>
                <w:szCs w:val="22"/>
              </w:rPr>
            </w:pPr>
            <w:r w:rsidRPr="00654EF1">
              <w:rPr>
                <w:color w:val="000000"/>
                <w:szCs w:val="22"/>
              </w:rPr>
              <w:t>38-month data</w:t>
            </w:r>
          </w:p>
          <w:p w14:paraId="1B680723"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Myeloid blast crisis</w:t>
            </w:r>
          </w:p>
          <w:p w14:paraId="1B680724"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(n=260)</w:t>
            </w:r>
          </w:p>
        </w:tc>
      </w:tr>
      <w:tr w:rsidR="006237AB" w:rsidRPr="00654EF1" w14:paraId="1B680728" w14:textId="77777777" w:rsidTr="005E7BE5">
        <w:trPr>
          <w:cantSplit/>
        </w:trPr>
        <w:tc>
          <w:tcPr>
            <w:tcW w:w="3227" w:type="dxa"/>
            <w:tcBorders>
              <w:bottom w:val="nil"/>
            </w:tcBorders>
          </w:tcPr>
          <w:p w14:paraId="1B680726" w14:textId="77777777" w:rsidR="006237AB" w:rsidRPr="00654EF1" w:rsidRDefault="006237AB" w:rsidP="001D5C8C">
            <w:pPr>
              <w:pStyle w:val="EndnoteText"/>
              <w:keepNext/>
              <w:widowControl w:val="0"/>
              <w:tabs>
                <w:tab w:val="clear" w:pos="567"/>
              </w:tabs>
              <w:rPr>
                <w:color w:val="000000"/>
                <w:szCs w:val="22"/>
              </w:rPr>
            </w:pPr>
          </w:p>
        </w:tc>
        <w:tc>
          <w:tcPr>
            <w:tcW w:w="5812" w:type="dxa"/>
            <w:gridSpan w:val="3"/>
            <w:tcBorders>
              <w:bottom w:val="nil"/>
            </w:tcBorders>
          </w:tcPr>
          <w:p w14:paraId="1B680727"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 of patients (CI</w:t>
            </w:r>
            <w:r w:rsidRPr="00654EF1">
              <w:rPr>
                <w:color w:val="000000"/>
                <w:szCs w:val="22"/>
                <w:vertAlign w:val="subscript"/>
              </w:rPr>
              <w:t>95%</w:t>
            </w:r>
            <w:r w:rsidRPr="00654EF1">
              <w:rPr>
                <w:color w:val="000000"/>
                <w:szCs w:val="22"/>
              </w:rPr>
              <w:t>)</w:t>
            </w:r>
          </w:p>
        </w:tc>
      </w:tr>
      <w:tr w:rsidR="00BE2245" w:rsidRPr="00654EF1" w14:paraId="1B68072D" w14:textId="77777777" w:rsidTr="005E7BE5">
        <w:trPr>
          <w:cantSplit/>
        </w:trPr>
        <w:tc>
          <w:tcPr>
            <w:tcW w:w="3227" w:type="dxa"/>
            <w:tcBorders>
              <w:bottom w:val="nil"/>
            </w:tcBorders>
          </w:tcPr>
          <w:p w14:paraId="1B680729"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Haematological response</w:t>
            </w:r>
            <w:r w:rsidRPr="00654EF1">
              <w:rPr>
                <w:color w:val="000000"/>
                <w:szCs w:val="22"/>
                <w:vertAlign w:val="superscript"/>
              </w:rPr>
              <w:t>1</w:t>
            </w:r>
          </w:p>
        </w:tc>
        <w:tc>
          <w:tcPr>
            <w:tcW w:w="1898" w:type="dxa"/>
            <w:tcBorders>
              <w:bottom w:val="nil"/>
            </w:tcBorders>
          </w:tcPr>
          <w:p w14:paraId="1B68072A"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95% (92.3–96.3)</w:t>
            </w:r>
          </w:p>
        </w:tc>
        <w:tc>
          <w:tcPr>
            <w:tcW w:w="1985" w:type="dxa"/>
            <w:tcBorders>
              <w:bottom w:val="nil"/>
            </w:tcBorders>
          </w:tcPr>
          <w:p w14:paraId="1B68072B"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71% (65.3–77.2)</w:t>
            </w:r>
          </w:p>
        </w:tc>
        <w:tc>
          <w:tcPr>
            <w:tcW w:w="1929" w:type="dxa"/>
            <w:tcBorders>
              <w:bottom w:val="nil"/>
            </w:tcBorders>
          </w:tcPr>
          <w:p w14:paraId="1B68072C"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31% (25.2–36.8)</w:t>
            </w:r>
          </w:p>
        </w:tc>
      </w:tr>
      <w:tr w:rsidR="00BE2245" w:rsidRPr="00654EF1" w14:paraId="1B680732" w14:textId="77777777" w:rsidTr="005E7BE5">
        <w:trPr>
          <w:cantSplit/>
        </w:trPr>
        <w:tc>
          <w:tcPr>
            <w:tcW w:w="3227" w:type="dxa"/>
            <w:tcBorders>
              <w:top w:val="nil"/>
              <w:bottom w:val="nil"/>
            </w:tcBorders>
          </w:tcPr>
          <w:p w14:paraId="1B68072E" w14:textId="77777777" w:rsidR="00BE2245" w:rsidRPr="00654EF1" w:rsidRDefault="00BE2245" w:rsidP="001D5C8C">
            <w:pPr>
              <w:pStyle w:val="EndnoteText"/>
              <w:keepNext/>
              <w:widowControl w:val="0"/>
              <w:tabs>
                <w:tab w:val="clear" w:pos="567"/>
              </w:tabs>
              <w:ind w:left="284"/>
              <w:rPr>
                <w:color w:val="000000"/>
                <w:szCs w:val="22"/>
              </w:rPr>
            </w:pPr>
            <w:r w:rsidRPr="00654EF1">
              <w:rPr>
                <w:color w:val="000000"/>
                <w:szCs w:val="22"/>
              </w:rPr>
              <w:t>Complete haematological response (</w:t>
            </w:r>
            <w:smartTag w:uri="urn:schemas-microsoft-com:office:smarttags" w:element="stockticker">
              <w:r w:rsidRPr="00654EF1">
                <w:rPr>
                  <w:color w:val="000000"/>
                  <w:szCs w:val="22"/>
                </w:rPr>
                <w:t>CHR</w:t>
              </w:r>
            </w:smartTag>
            <w:r w:rsidRPr="00654EF1">
              <w:rPr>
                <w:color w:val="000000"/>
                <w:szCs w:val="22"/>
              </w:rPr>
              <w:t>)</w:t>
            </w:r>
          </w:p>
        </w:tc>
        <w:tc>
          <w:tcPr>
            <w:tcW w:w="1898" w:type="dxa"/>
            <w:tcBorders>
              <w:top w:val="nil"/>
              <w:bottom w:val="nil"/>
            </w:tcBorders>
          </w:tcPr>
          <w:p w14:paraId="1B68072F"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95%</w:t>
            </w:r>
          </w:p>
        </w:tc>
        <w:tc>
          <w:tcPr>
            <w:tcW w:w="1985" w:type="dxa"/>
            <w:tcBorders>
              <w:top w:val="nil"/>
              <w:bottom w:val="nil"/>
            </w:tcBorders>
          </w:tcPr>
          <w:p w14:paraId="1B680730"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42%</w:t>
            </w:r>
          </w:p>
        </w:tc>
        <w:tc>
          <w:tcPr>
            <w:tcW w:w="1929" w:type="dxa"/>
            <w:tcBorders>
              <w:top w:val="nil"/>
              <w:bottom w:val="nil"/>
            </w:tcBorders>
          </w:tcPr>
          <w:p w14:paraId="1B680731"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8%</w:t>
            </w:r>
          </w:p>
        </w:tc>
      </w:tr>
      <w:tr w:rsidR="006237AB" w:rsidRPr="00654EF1" w14:paraId="1B680737" w14:textId="77777777" w:rsidTr="005E7BE5">
        <w:trPr>
          <w:cantSplit/>
        </w:trPr>
        <w:tc>
          <w:tcPr>
            <w:tcW w:w="3227" w:type="dxa"/>
            <w:tcBorders>
              <w:top w:val="nil"/>
              <w:bottom w:val="nil"/>
            </w:tcBorders>
          </w:tcPr>
          <w:p w14:paraId="1B680733" w14:textId="77777777" w:rsidR="006237AB" w:rsidRPr="00654EF1" w:rsidRDefault="006237AB" w:rsidP="001D5C8C">
            <w:pPr>
              <w:pStyle w:val="EndnoteText"/>
              <w:keepNext/>
              <w:widowControl w:val="0"/>
              <w:tabs>
                <w:tab w:val="clear" w:pos="567"/>
              </w:tabs>
              <w:ind w:left="284"/>
              <w:rPr>
                <w:color w:val="000000"/>
                <w:szCs w:val="22"/>
              </w:rPr>
            </w:pPr>
            <w:r w:rsidRPr="00654EF1">
              <w:rPr>
                <w:color w:val="000000"/>
                <w:szCs w:val="22"/>
              </w:rPr>
              <w:t>No evidence of leukaemia (NEL)</w:t>
            </w:r>
          </w:p>
        </w:tc>
        <w:tc>
          <w:tcPr>
            <w:tcW w:w="1898" w:type="dxa"/>
            <w:tcBorders>
              <w:top w:val="nil"/>
              <w:bottom w:val="nil"/>
            </w:tcBorders>
          </w:tcPr>
          <w:p w14:paraId="1B680734"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Not applicable</w:t>
            </w:r>
          </w:p>
        </w:tc>
        <w:tc>
          <w:tcPr>
            <w:tcW w:w="1985" w:type="dxa"/>
            <w:tcBorders>
              <w:top w:val="nil"/>
              <w:bottom w:val="nil"/>
            </w:tcBorders>
          </w:tcPr>
          <w:p w14:paraId="1B680735"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12%</w:t>
            </w:r>
          </w:p>
        </w:tc>
        <w:tc>
          <w:tcPr>
            <w:tcW w:w="1929" w:type="dxa"/>
            <w:tcBorders>
              <w:top w:val="nil"/>
              <w:bottom w:val="nil"/>
            </w:tcBorders>
          </w:tcPr>
          <w:p w14:paraId="1B680736"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5%</w:t>
            </w:r>
          </w:p>
        </w:tc>
      </w:tr>
      <w:tr w:rsidR="006237AB" w:rsidRPr="00654EF1" w14:paraId="1B68073C" w14:textId="77777777" w:rsidTr="005E7BE5">
        <w:trPr>
          <w:cantSplit/>
        </w:trPr>
        <w:tc>
          <w:tcPr>
            <w:tcW w:w="3227" w:type="dxa"/>
            <w:tcBorders>
              <w:top w:val="nil"/>
              <w:bottom w:val="nil"/>
            </w:tcBorders>
          </w:tcPr>
          <w:p w14:paraId="1B680738" w14:textId="77777777" w:rsidR="006237AB" w:rsidRPr="00654EF1" w:rsidRDefault="006237AB" w:rsidP="001D5C8C">
            <w:pPr>
              <w:pStyle w:val="EndnoteText"/>
              <w:keepNext/>
              <w:widowControl w:val="0"/>
              <w:tabs>
                <w:tab w:val="clear" w:pos="567"/>
              </w:tabs>
              <w:ind w:left="284"/>
              <w:rPr>
                <w:color w:val="000000"/>
                <w:szCs w:val="22"/>
              </w:rPr>
            </w:pPr>
            <w:r w:rsidRPr="00654EF1">
              <w:rPr>
                <w:color w:val="000000"/>
                <w:szCs w:val="22"/>
              </w:rPr>
              <w:t>Return to chronic phase (</w:t>
            </w:r>
            <w:smartTag w:uri="urn:schemas-microsoft-com:office:smarttags" w:element="stockticker">
              <w:r w:rsidRPr="00654EF1">
                <w:rPr>
                  <w:color w:val="000000"/>
                  <w:szCs w:val="22"/>
                </w:rPr>
                <w:t>RTC</w:t>
              </w:r>
            </w:smartTag>
            <w:r w:rsidRPr="00654EF1">
              <w:rPr>
                <w:color w:val="000000"/>
                <w:szCs w:val="22"/>
              </w:rPr>
              <w:t>)</w:t>
            </w:r>
          </w:p>
        </w:tc>
        <w:tc>
          <w:tcPr>
            <w:tcW w:w="1898" w:type="dxa"/>
            <w:tcBorders>
              <w:top w:val="nil"/>
              <w:bottom w:val="nil"/>
            </w:tcBorders>
          </w:tcPr>
          <w:p w14:paraId="1B680739"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Not applicable</w:t>
            </w:r>
          </w:p>
        </w:tc>
        <w:tc>
          <w:tcPr>
            <w:tcW w:w="1985" w:type="dxa"/>
            <w:tcBorders>
              <w:top w:val="nil"/>
              <w:bottom w:val="nil"/>
            </w:tcBorders>
          </w:tcPr>
          <w:p w14:paraId="1B68073A" w14:textId="77777777" w:rsidR="006237AB" w:rsidRPr="00654EF1" w:rsidRDefault="00BE2245" w:rsidP="001D5C8C">
            <w:pPr>
              <w:pStyle w:val="EndnoteText"/>
              <w:keepNext/>
              <w:widowControl w:val="0"/>
              <w:tabs>
                <w:tab w:val="clear" w:pos="567"/>
              </w:tabs>
              <w:jc w:val="center"/>
              <w:rPr>
                <w:color w:val="000000"/>
                <w:szCs w:val="22"/>
              </w:rPr>
            </w:pPr>
            <w:r w:rsidRPr="00654EF1">
              <w:rPr>
                <w:color w:val="000000"/>
                <w:szCs w:val="22"/>
              </w:rPr>
              <w:t>17</w:t>
            </w:r>
            <w:r w:rsidR="006237AB" w:rsidRPr="00654EF1">
              <w:rPr>
                <w:color w:val="000000"/>
                <w:szCs w:val="22"/>
              </w:rPr>
              <w:t>%</w:t>
            </w:r>
          </w:p>
        </w:tc>
        <w:tc>
          <w:tcPr>
            <w:tcW w:w="1929" w:type="dxa"/>
            <w:tcBorders>
              <w:top w:val="nil"/>
              <w:bottom w:val="nil"/>
            </w:tcBorders>
          </w:tcPr>
          <w:p w14:paraId="1B68073B"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18%</w:t>
            </w:r>
          </w:p>
        </w:tc>
      </w:tr>
      <w:tr w:rsidR="00BE2245" w:rsidRPr="00654EF1" w14:paraId="1B680741" w14:textId="77777777" w:rsidTr="005E7BE5">
        <w:trPr>
          <w:cantSplit/>
        </w:trPr>
        <w:tc>
          <w:tcPr>
            <w:tcW w:w="3227" w:type="dxa"/>
            <w:tcBorders>
              <w:bottom w:val="nil"/>
            </w:tcBorders>
          </w:tcPr>
          <w:p w14:paraId="1B68073D"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Major cytogenetic response</w:t>
            </w:r>
            <w:r w:rsidRPr="00654EF1">
              <w:rPr>
                <w:color w:val="000000"/>
                <w:szCs w:val="22"/>
                <w:vertAlign w:val="superscript"/>
              </w:rPr>
              <w:t>2</w:t>
            </w:r>
          </w:p>
        </w:tc>
        <w:tc>
          <w:tcPr>
            <w:tcW w:w="1898" w:type="dxa"/>
            <w:tcBorders>
              <w:bottom w:val="nil"/>
            </w:tcBorders>
          </w:tcPr>
          <w:p w14:paraId="1B68073E"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65% (61.2–69.5)</w:t>
            </w:r>
          </w:p>
        </w:tc>
        <w:tc>
          <w:tcPr>
            <w:tcW w:w="1985" w:type="dxa"/>
            <w:tcBorders>
              <w:bottom w:val="nil"/>
            </w:tcBorders>
          </w:tcPr>
          <w:p w14:paraId="1B68073F"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28% (22.0–33.9)</w:t>
            </w:r>
          </w:p>
        </w:tc>
        <w:tc>
          <w:tcPr>
            <w:tcW w:w="1929" w:type="dxa"/>
            <w:tcBorders>
              <w:bottom w:val="nil"/>
            </w:tcBorders>
          </w:tcPr>
          <w:p w14:paraId="1B680740"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15% (11.2–20.4)</w:t>
            </w:r>
          </w:p>
        </w:tc>
      </w:tr>
      <w:tr w:rsidR="00BE2245" w:rsidRPr="00654EF1" w14:paraId="1B680746" w14:textId="77777777" w:rsidTr="005E7BE5">
        <w:trPr>
          <w:cantSplit/>
        </w:trPr>
        <w:tc>
          <w:tcPr>
            <w:tcW w:w="3227" w:type="dxa"/>
            <w:tcBorders>
              <w:top w:val="nil"/>
              <w:bottom w:val="nil"/>
            </w:tcBorders>
          </w:tcPr>
          <w:p w14:paraId="1B680742" w14:textId="77777777" w:rsidR="00BE2245" w:rsidRPr="00654EF1" w:rsidRDefault="00BE2245" w:rsidP="001D5C8C">
            <w:pPr>
              <w:pStyle w:val="EndnoteText"/>
              <w:keepNext/>
              <w:widowControl w:val="0"/>
              <w:tabs>
                <w:tab w:val="clear" w:pos="567"/>
              </w:tabs>
              <w:ind w:left="284"/>
              <w:rPr>
                <w:color w:val="000000"/>
                <w:szCs w:val="22"/>
              </w:rPr>
            </w:pPr>
            <w:r w:rsidRPr="00654EF1">
              <w:rPr>
                <w:color w:val="000000"/>
                <w:szCs w:val="22"/>
              </w:rPr>
              <w:t>Complete</w:t>
            </w:r>
          </w:p>
        </w:tc>
        <w:tc>
          <w:tcPr>
            <w:tcW w:w="1898" w:type="dxa"/>
            <w:tcBorders>
              <w:top w:val="nil"/>
              <w:bottom w:val="nil"/>
            </w:tcBorders>
          </w:tcPr>
          <w:p w14:paraId="1B680743"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53%</w:t>
            </w:r>
          </w:p>
        </w:tc>
        <w:tc>
          <w:tcPr>
            <w:tcW w:w="1985" w:type="dxa"/>
            <w:tcBorders>
              <w:top w:val="nil"/>
              <w:bottom w:val="nil"/>
            </w:tcBorders>
          </w:tcPr>
          <w:p w14:paraId="1B680744"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20%</w:t>
            </w:r>
          </w:p>
        </w:tc>
        <w:tc>
          <w:tcPr>
            <w:tcW w:w="1929" w:type="dxa"/>
            <w:tcBorders>
              <w:top w:val="nil"/>
              <w:bottom w:val="nil"/>
            </w:tcBorders>
          </w:tcPr>
          <w:p w14:paraId="1B680745"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7%</w:t>
            </w:r>
          </w:p>
        </w:tc>
      </w:tr>
      <w:tr w:rsidR="00BE2245" w:rsidRPr="00654EF1" w14:paraId="1B68074B" w14:textId="77777777" w:rsidTr="005E7BE5">
        <w:trPr>
          <w:cantSplit/>
        </w:trPr>
        <w:tc>
          <w:tcPr>
            <w:tcW w:w="3227" w:type="dxa"/>
            <w:tcBorders>
              <w:top w:val="nil"/>
              <w:bottom w:val="nil"/>
            </w:tcBorders>
          </w:tcPr>
          <w:p w14:paraId="1B680747" w14:textId="77777777" w:rsidR="00BE2245" w:rsidRPr="00654EF1" w:rsidRDefault="00BE2245" w:rsidP="001D5C8C">
            <w:pPr>
              <w:pStyle w:val="BodyTextIndent2"/>
              <w:keepNext/>
              <w:widowControl w:val="0"/>
              <w:tabs>
                <w:tab w:val="clear" w:pos="567"/>
              </w:tabs>
              <w:spacing w:line="240" w:lineRule="auto"/>
              <w:ind w:left="284" w:firstLine="0"/>
              <w:rPr>
                <w:b w:val="0"/>
                <w:color w:val="000000"/>
                <w:szCs w:val="22"/>
              </w:rPr>
            </w:pPr>
            <w:r w:rsidRPr="00654EF1">
              <w:rPr>
                <w:b w:val="0"/>
                <w:color w:val="000000"/>
                <w:szCs w:val="22"/>
              </w:rPr>
              <w:t>(Confirmed</w:t>
            </w:r>
            <w:r w:rsidRPr="00654EF1">
              <w:rPr>
                <w:b w:val="0"/>
                <w:color w:val="000000"/>
                <w:szCs w:val="22"/>
                <w:vertAlign w:val="superscript"/>
              </w:rPr>
              <w:t>3</w:t>
            </w:r>
            <w:r w:rsidRPr="00654EF1">
              <w:rPr>
                <w:b w:val="0"/>
                <w:color w:val="000000"/>
                <w:szCs w:val="22"/>
              </w:rPr>
              <w:t>) [95% CI]</w:t>
            </w:r>
          </w:p>
        </w:tc>
        <w:tc>
          <w:tcPr>
            <w:tcW w:w="1898" w:type="dxa"/>
            <w:tcBorders>
              <w:top w:val="nil"/>
              <w:bottom w:val="nil"/>
            </w:tcBorders>
          </w:tcPr>
          <w:p w14:paraId="1B680748" w14:textId="77777777" w:rsidR="00BE2245" w:rsidRPr="00654EF1" w:rsidRDefault="00BE2245"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(43%) [38.6–47.2]</w:t>
            </w:r>
          </w:p>
        </w:tc>
        <w:tc>
          <w:tcPr>
            <w:tcW w:w="1985" w:type="dxa"/>
            <w:tcBorders>
              <w:top w:val="nil"/>
              <w:bottom w:val="nil"/>
            </w:tcBorders>
          </w:tcPr>
          <w:p w14:paraId="1B680749" w14:textId="77777777" w:rsidR="00BE2245" w:rsidRPr="00654EF1" w:rsidRDefault="00BE2245"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(16%) [11.3–21.0]</w:t>
            </w:r>
          </w:p>
        </w:tc>
        <w:tc>
          <w:tcPr>
            <w:tcW w:w="1929" w:type="dxa"/>
            <w:tcBorders>
              <w:top w:val="nil"/>
              <w:bottom w:val="nil"/>
            </w:tcBorders>
          </w:tcPr>
          <w:p w14:paraId="1B68074A" w14:textId="77777777" w:rsidR="00BE2245" w:rsidRPr="00654EF1" w:rsidRDefault="00BE2245" w:rsidP="001D5C8C">
            <w:pPr>
              <w:pStyle w:val="BodyTextIndent2"/>
              <w:keepNext/>
              <w:widowControl w:val="0"/>
              <w:tabs>
                <w:tab w:val="clear" w:pos="567"/>
              </w:tabs>
              <w:spacing w:line="240" w:lineRule="auto"/>
              <w:jc w:val="center"/>
              <w:rPr>
                <w:b w:val="0"/>
                <w:color w:val="000000"/>
                <w:szCs w:val="22"/>
              </w:rPr>
            </w:pPr>
            <w:r w:rsidRPr="00654EF1">
              <w:rPr>
                <w:b w:val="0"/>
                <w:color w:val="000000"/>
                <w:szCs w:val="22"/>
              </w:rPr>
              <w:t>(2%) [0.6–4.4]</w:t>
            </w:r>
          </w:p>
        </w:tc>
      </w:tr>
      <w:tr w:rsidR="00BE2245" w:rsidRPr="00654EF1" w14:paraId="1B680750" w14:textId="77777777" w:rsidTr="005E7BE5">
        <w:trPr>
          <w:cantSplit/>
        </w:trPr>
        <w:tc>
          <w:tcPr>
            <w:tcW w:w="3227" w:type="dxa"/>
            <w:tcBorders>
              <w:top w:val="nil"/>
              <w:bottom w:val="nil"/>
            </w:tcBorders>
          </w:tcPr>
          <w:p w14:paraId="1B68074C" w14:textId="77777777" w:rsidR="00BE2245" w:rsidRPr="00654EF1" w:rsidRDefault="00BE2245" w:rsidP="001D5C8C">
            <w:pPr>
              <w:pStyle w:val="EndnoteText"/>
              <w:keepNext/>
              <w:widowControl w:val="0"/>
              <w:tabs>
                <w:tab w:val="clear" w:pos="567"/>
              </w:tabs>
              <w:ind w:left="284"/>
              <w:rPr>
                <w:color w:val="000000"/>
                <w:szCs w:val="22"/>
              </w:rPr>
            </w:pPr>
            <w:r w:rsidRPr="00654EF1">
              <w:rPr>
                <w:color w:val="000000"/>
                <w:szCs w:val="22"/>
              </w:rPr>
              <w:t>Partial</w:t>
            </w:r>
          </w:p>
        </w:tc>
        <w:tc>
          <w:tcPr>
            <w:tcW w:w="1898" w:type="dxa"/>
            <w:tcBorders>
              <w:top w:val="nil"/>
              <w:bottom w:val="nil"/>
            </w:tcBorders>
          </w:tcPr>
          <w:p w14:paraId="1B68074D"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12%</w:t>
            </w:r>
          </w:p>
        </w:tc>
        <w:tc>
          <w:tcPr>
            <w:tcW w:w="1985" w:type="dxa"/>
            <w:tcBorders>
              <w:top w:val="nil"/>
              <w:bottom w:val="nil"/>
            </w:tcBorders>
          </w:tcPr>
          <w:p w14:paraId="1B68074E"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7%</w:t>
            </w:r>
          </w:p>
        </w:tc>
        <w:tc>
          <w:tcPr>
            <w:tcW w:w="1929" w:type="dxa"/>
            <w:tcBorders>
              <w:top w:val="nil"/>
              <w:bottom w:val="nil"/>
            </w:tcBorders>
          </w:tcPr>
          <w:p w14:paraId="1B68074F" w14:textId="77777777" w:rsidR="00BE2245" w:rsidRPr="00654EF1" w:rsidRDefault="00BE2245" w:rsidP="001D5C8C">
            <w:pPr>
              <w:pStyle w:val="EndnoteText"/>
              <w:keepNext/>
              <w:widowControl w:val="0"/>
              <w:tabs>
                <w:tab w:val="clear" w:pos="567"/>
              </w:tabs>
              <w:jc w:val="center"/>
              <w:rPr>
                <w:color w:val="000000"/>
                <w:szCs w:val="22"/>
              </w:rPr>
            </w:pPr>
            <w:r w:rsidRPr="00654EF1">
              <w:rPr>
                <w:color w:val="000000"/>
                <w:szCs w:val="22"/>
              </w:rPr>
              <w:t>8%</w:t>
            </w:r>
          </w:p>
        </w:tc>
      </w:tr>
      <w:tr w:rsidR="006237AB" w:rsidRPr="00654EF1" w14:paraId="1B680759" w14:textId="77777777" w:rsidTr="005E7BE5">
        <w:trPr>
          <w:cantSplit/>
        </w:trPr>
        <w:tc>
          <w:tcPr>
            <w:tcW w:w="9039" w:type="dxa"/>
            <w:gridSpan w:val="4"/>
            <w:tcBorders>
              <w:top w:val="single" w:sz="4" w:space="0" w:color="auto"/>
              <w:bottom w:val="single" w:sz="4" w:space="0" w:color="auto"/>
            </w:tcBorders>
          </w:tcPr>
          <w:p w14:paraId="1B680751" w14:textId="77777777" w:rsidR="006237AB" w:rsidRPr="00654EF1" w:rsidRDefault="006237AB" w:rsidP="001D5C8C">
            <w:pPr>
              <w:pStyle w:val="Table"/>
              <w:keepNext w:val="0"/>
              <w:keepLines w:val="0"/>
              <w:widowControl w:val="0"/>
              <w:spacing w:before="0" w:after="0"/>
              <w:rPr>
                <w:rFonts w:ascii="Times New Roman" w:hAnsi="Times New Roman"/>
                <w:b/>
                <w:color w:val="000000"/>
                <w:sz w:val="22"/>
                <w:szCs w:val="22"/>
                <w:lang w:val="en-GB"/>
              </w:rPr>
            </w:pPr>
            <w:r w:rsidRPr="00654EF1">
              <w:rPr>
                <w:rFonts w:ascii="Times New Roman" w:hAnsi="Times New Roman"/>
                <w:b/>
                <w:color w:val="000000"/>
                <w:sz w:val="22"/>
                <w:szCs w:val="22"/>
                <w:vertAlign w:val="superscript"/>
                <w:lang w:val="en-GB"/>
              </w:rPr>
              <w:t xml:space="preserve">1 </w:t>
            </w:r>
            <w:r w:rsidRPr="00654EF1">
              <w:rPr>
                <w:rFonts w:ascii="Times New Roman" w:hAnsi="Times New Roman"/>
                <w:b/>
                <w:color w:val="000000"/>
                <w:sz w:val="22"/>
                <w:szCs w:val="22"/>
                <w:lang w:val="en-GB"/>
              </w:rPr>
              <w:t xml:space="preserve">Haematological response criteria (all responses to be confirmed after </w:t>
            </w:r>
            <w:r w:rsidRPr="00654EF1">
              <w:rPr>
                <w:rFonts w:ascii="Times New Roman" w:hAnsi="Times New Roman"/>
                <w:b/>
                <w:color w:val="000000"/>
                <w:sz w:val="22"/>
                <w:szCs w:val="22"/>
                <w:lang w:val="en-GB"/>
              </w:rPr>
              <w:sym w:font="Symbol" w:char="F0B3"/>
            </w:r>
            <w:r w:rsidR="00A36A10" w:rsidRPr="00654EF1">
              <w:rPr>
                <w:rFonts w:ascii="Times New Roman" w:hAnsi="Times New Roman"/>
                <w:b/>
                <w:color w:val="000000"/>
                <w:sz w:val="22"/>
                <w:szCs w:val="22"/>
                <w:lang w:val="en-GB"/>
              </w:rPr>
              <w:t> </w:t>
            </w:r>
            <w:r w:rsidRPr="00654EF1">
              <w:rPr>
                <w:rFonts w:ascii="Times New Roman" w:hAnsi="Times New Roman"/>
                <w:b/>
                <w:color w:val="000000"/>
                <w:sz w:val="22"/>
                <w:szCs w:val="22"/>
                <w:lang w:val="en-GB"/>
              </w:rPr>
              <w:t>4</w:t>
            </w:r>
            <w:r w:rsidR="00A36A10" w:rsidRPr="00654EF1">
              <w:rPr>
                <w:rFonts w:ascii="Times New Roman" w:hAnsi="Times New Roman"/>
                <w:b/>
                <w:color w:val="000000"/>
                <w:sz w:val="22"/>
                <w:szCs w:val="22"/>
                <w:lang w:val="en-GB"/>
              </w:rPr>
              <w:t> </w:t>
            </w:r>
            <w:r w:rsidRPr="00654EF1">
              <w:rPr>
                <w:rFonts w:ascii="Times New Roman" w:hAnsi="Times New Roman"/>
                <w:b/>
                <w:color w:val="000000"/>
                <w:sz w:val="22"/>
                <w:szCs w:val="22"/>
                <w:lang w:val="en-GB"/>
              </w:rPr>
              <w:t>weeks):</w:t>
            </w:r>
          </w:p>
          <w:p w14:paraId="1B680752" w14:textId="77777777" w:rsidR="006237AB" w:rsidRPr="00654EF1" w:rsidRDefault="006237AB"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654EF1">
                <w:rPr>
                  <w:rFonts w:ascii="Times New Roman" w:hAnsi="Times New Roman"/>
                  <w:color w:val="000000"/>
                  <w:sz w:val="22"/>
                  <w:szCs w:val="22"/>
                  <w:lang w:val="en-GB"/>
                </w:rPr>
                <w:t>CHR</w:t>
              </w:r>
            </w:smartTag>
            <w:r w:rsidRPr="00654EF1">
              <w:rPr>
                <w:rFonts w:ascii="Times New Roman" w:hAnsi="Times New Roman"/>
                <w:color w:val="000000"/>
                <w:sz w:val="22"/>
                <w:szCs w:val="22"/>
                <w:lang w:val="en-GB"/>
              </w:rPr>
              <w:t>:</w:t>
            </w:r>
            <w:r w:rsidRPr="00654EF1">
              <w:rPr>
                <w:rFonts w:ascii="Times New Roman" w:hAnsi="Times New Roman"/>
                <w:color w:val="000000"/>
                <w:sz w:val="22"/>
                <w:szCs w:val="22"/>
                <w:lang w:val="en-GB"/>
              </w:rPr>
              <w:tab/>
              <w:t>Study 0110 [WBC &lt; 10</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platelets &lt; 450</w:t>
            </w:r>
            <w:r w:rsidR="00FF79B9"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FF79B9"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myelocyte+metamyelocyte &lt; 5% in blood, no blasts and promyelocytes in blood, basophils &lt; 20%, no extramedullary involvement] and in studies 0102 and 0109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1.5</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100</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no blood blasts, BM blasts &lt; 5% and no extramedullary disease]</w:t>
            </w:r>
          </w:p>
          <w:p w14:paraId="1B680753" w14:textId="77777777" w:rsidR="006237AB" w:rsidRPr="00654EF1" w:rsidRDefault="006237AB"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r w:rsidRPr="00654EF1">
              <w:rPr>
                <w:rFonts w:ascii="Times New Roman" w:hAnsi="Times New Roman"/>
                <w:color w:val="000000"/>
                <w:sz w:val="22"/>
                <w:szCs w:val="22"/>
                <w:lang w:val="en-GB"/>
              </w:rPr>
              <w:t>NEL</w:t>
            </w:r>
            <w:r w:rsidRPr="00654EF1">
              <w:rPr>
                <w:rFonts w:ascii="Times New Roman" w:hAnsi="Times New Roman"/>
                <w:color w:val="000000"/>
                <w:sz w:val="22"/>
                <w:szCs w:val="22"/>
                <w:lang w:val="en-GB"/>
              </w:rPr>
              <w:tab/>
              <w:t xml:space="preserve">Same criteria as for </w:t>
            </w:r>
            <w:smartTag w:uri="urn:schemas-microsoft-com:office:smarttags" w:element="stockticker">
              <w:r w:rsidRPr="00654EF1">
                <w:rPr>
                  <w:rFonts w:ascii="Times New Roman" w:hAnsi="Times New Roman"/>
                  <w:color w:val="000000"/>
                  <w:sz w:val="22"/>
                  <w:szCs w:val="22"/>
                  <w:lang w:val="en-GB"/>
                </w:rPr>
                <w:t>CHR</w:t>
              </w:r>
            </w:smartTag>
            <w:r w:rsidRPr="00654EF1">
              <w:rPr>
                <w:rFonts w:ascii="Times New Roman" w:hAnsi="Times New Roman"/>
                <w:color w:val="000000"/>
                <w:sz w:val="22"/>
                <w:szCs w:val="22"/>
                <w:lang w:val="en-GB"/>
              </w:rPr>
              <w:t xml:space="preserve"> but ANC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1</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 xml:space="preserve">/l and platelets </w:t>
            </w:r>
            <w:r w:rsidRPr="00654EF1">
              <w:rPr>
                <w:rFonts w:ascii="Times New Roman" w:hAnsi="Times New Roman"/>
                <w:color w:val="000000"/>
                <w:sz w:val="22"/>
                <w:szCs w:val="22"/>
                <w:lang w:val="en-GB"/>
              </w:rPr>
              <w:sym w:font="Symbol" w:char="F0B3"/>
            </w:r>
            <w:r w:rsidRPr="00654EF1">
              <w:rPr>
                <w:rFonts w:ascii="Times New Roman" w:hAnsi="Times New Roman"/>
                <w:color w:val="000000"/>
                <w:sz w:val="22"/>
                <w:szCs w:val="22"/>
                <w:lang w:val="en-GB"/>
              </w:rPr>
              <w:t> 20</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x</w:t>
            </w:r>
            <w:r w:rsidR="008F0ED7" w:rsidRPr="00654EF1">
              <w:rPr>
                <w:rFonts w:ascii="Times New Roman" w:hAnsi="Times New Roman"/>
                <w:color w:val="000000"/>
                <w:sz w:val="22"/>
                <w:szCs w:val="22"/>
                <w:lang w:val="en-GB"/>
              </w:rPr>
              <w:t> </w:t>
            </w:r>
            <w:r w:rsidRPr="00654EF1">
              <w:rPr>
                <w:rFonts w:ascii="Times New Roman" w:hAnsi="Times New Roman"/>
                <w:color w:val="000000"/>
                <w:sz w:val="22"/>
                <w:szCs w:val="22"/>
                <w:lang w:val="en-GB"/>
              </w:rPr>
              <w:t>10</w:t>
            </w:r>
            <w:r w:rsidRPr="00654EF1">
              <w:rPr>
                <w:rFonts w:ascii="Times New Roman" w:hAnsi="Times New Roman"/>
                <w:color w:val="000000"/>
                <w:sz w:val="22"/>
                <w:szCs w:val="22"/>
                <w:vertAlign w:val="superscript"/>
                <w:lang w:val="en-GB"/>
              </w:rPr>
              <w:t>9</w:t>
            </w:r>
            <w:r w:rsidRPr="00654EF1">
              <w:rPr>
                <w:rFonts w:ascii="Times New Roman" w:hAnsi="Times New Roman"/>
                <w:color w:val="000000"/>
                <w:sz w:val="22"/>
                <w:szCs w:val="22"/>
                <w:lang w:val="en-GB"/>
              </w:rPr>
              <w:t>/l (0102 and 0109 only)</w:t>
            </w:r>
          </w:p>
          <w:p w14:paraId="1B680754" w14:textId="77777777" w:rsidR="006237AB" w:rsidRPr="00654EF1" w:rsidRDefault="006237AB"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654EF1">
                <w:rPr>
                  <w:rFonts w:ascii="Times New Roman" w:hAnsi="Times New Roman"/>
                  <w:color w:val="000000"/>
                  <w:sz w:val="22"/>
                  <w:szCs w:val="22"/>
                  <w:lang w:val="en-GB"/>
                </w:rPr>
                <w:t>RTC</w:t>
              </w:r>
            </w:smartTag>
            <w:r w:rsidRPr="00654EF1">
              <w:rPr>
                <w:rFonts w:ascii="Times New Roman" w:hAnsi="Times New Roman"/>
                <w:color w:val="000000"/>
                <w:sz w:val="22"/>
                <w:szCs w:val="22"/>
                <w:lang w:val="en-GB"/>
              </w:rPr>
              <w:tab/>
              <w:t>&lt; 15% blasts BM and PB, &lt; 30% blasts+promyelocytes in BM and PB, &lt; 20% basophils in PB, no extramedullary disease other than spleen and liver (only for 0102 and 0109).</w:t>
            </w:r>
          </w:p>
          <w:p w14:paraId="1B680755" w14:textId="77777777" w:rsidR="006237AB" w:rsidRPr="00654EF1" w:rsidRDefault="006237AB" w:rsidP="001D5C8C">
            <w:pPr>
              <w:pStyle w:val="Table"/>
              <w:keepNext w:val="0"/>
              <w:keepLines w:val="0"/>
              <w:widowControl w:val="0"/>
              <w:tabs>
                <w:tab w:val="clear" w:pos="284"/>
              </w:tabs>
              <w:spacing w:before="0" w:after="0"/>
              <w:ind w:left="567" w:hanging="567"/>
              <w:rPr>
                <w:rFonts w:ascii="Times New Roman" w:hAnsi="Times New Roman"/>
                <w:color w:val="000000"/>
                <w:sz w:val="22"/>
                <w:szCs w:val="22"/>
                <w:lang w:val="en-GB"/>
              </w:rPr>
            </w:pPr>
            <w:r w:rsidRPr="00654EF1">
              <w:rPr>
                <w:rFonts w:ascii="Times New Roman" w:hAnsi="Times New Roman"/>
                <w:color w:val="000000"/>
                <w:sz w:val="22"/>
                <w:szCs w:val="22"/>
                <w:lang w:val="en-GB"/>
              </w:rPr>
              <w:t>BM = bone marrow, PB = peripheral blood</w:t>
            </w:r>
          </w:p>
          <w:p w14:paraId="1B680756" w14:textId="77777777" w:rsidR="006237AB" w:rsidRPr="00654EF1" w:rsidRDefault="006237AB" w:rsidP="001D5C8C">
            <w:pPr>
              <w:pStyle w:val="Table"/>
              <w:keepNext w:val="0"/>
              <w:keepLines w:val="0"/>
              <w:widowControl w:val="0"/>
              <w:spacing w:before="0" w:after="0"/>
              <w:rPr>
                <w:rFonts w:ascii="Times New Roman" w:hAnsi="Times New Roman"/>
                <w:color w:val="000000"/>
                <w:sz w:val="22"/>
                <w:szCs w:val="22"/>
                <w:lang w:val="en-GB"/>
              </w:rPr>
            </w:pPr>
            <w:r w:rsidRPr="00654EF1">
              <w:rPr>
                <w:rFonts w:ascii="Times New Roman" w:hAnsi="Times New Roman"/>
                <w:b/>
                <w:color w:val="000000"/>
                <w:sz w:val="22"/>
                <w:szCs w:val="22"/>
                <w:vertAlign w:val="superscript"/>
                <w:lang w:val="en-GB"/>
              </w:rPr>
              <w:t xml:space="preserve">2 </w:t>
            </w:r>
            <w:r w:rsidRPr="00654EF1">
              <w:rPr>
                <w:rFonts w:ascii="Times New Roman" w:hAnsi="Times New Roman"/>
                <w:b/>
                <w:color w:val="000000"/>
                <w:sz w:val="22"/>
                <w:szCs w:val="22"/>
                <w:lang w:val="en-GB"/>
              </w:rPr>
              <w:t>Cytogenetic response criteria:</w:t>
            </w:r>
          </w:p>
          <w:p w14:paraId="1B680757"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A major response combines both complete and partial responses: complete (0% Ph+ metaphases), partial (1–35%)</w:t>
            </w:r>
          </w:p>
          <w:p w14:paraId="1B680758" w14:textId="77777777" w:rsidR="006237AB" w:rsidRPr="00654EF1" w:rsidRDefault="006237AB" w:rsidP="001D5C8C">
            <w:pPr>
              <w:pStyle w:val="EndnoteText"/>
              <w:widowControl w:val="0"/>
              <w:tabs>
                <w:tab w:val="clear" w:pos="567"/>
              </w:tabs>
              <w:rPr>
                <w:color w:val="000000"/>
                <w:szCs w:val="22"/>
              </w:rPr>
            </w:pPr>
            <w:r w:rsidRPr="00654EF1">
              <w:rPr>
                <w:color w:val="000000"/>
                <w:szCs w:val="22"/>
                <w:vertAlign w:val="superscript"/>
              </w:rPr>
              <w:t>3</w:t>
            </w:r>
            <w:r w:rsidRPr="00654EF1">
              <w:rPr>
                <w:color w:val="000000"/>
                <w:szCs w:val="22"/>
              </w:rPr>
              <w:t xml:space="preserve"> Complete cytogenetic response confirmed by a second bone marrow cytogenetic evaluation performed at least one month after the initial bone marrow study.</w:t>
            </w:r>
          </w:p>
        </w:tc>
      </w:tr>
    </w:tbl>
    <w:p w14:paraId="1B68075A" w14:textId="77777777" w:rsidR="006237AB" w:rsidRPr="00654EF1" w:rsidRDefault="006237AB" w:rsidP="001D5C8C">
      <w:pPr>
        <w:pStyle w:val="EndnoteText"/>
        <w:widowControl w:val="0"/>
        <w:tabs>
          <w:tab w:val="clear" w:pos="567"/>
        </w:tabs>
        <w:rPr>
          <w:color w:val="000000"/>
          <w:szCs w:val="22"/>
        </w:rPr>
      </w:pPr>
    </w:p>
    <w:p w14:paraId="1B68075B" w14:textId="77777777" w:rsidR="007E73D8" w:rsidRPr="00654EF1" w:rsidRDefault="007E73D8" w:rsidP="001D5C8C">
      <w:pPr>
        <w:pStyle w:val="EndnoteText"/>
        <w:widowControl w:val="0"/>
        <w:rPr>
          <w:color w:val="000000"/>
          <w:szCs w:val="22"/>
        </w:rPr>
      </w:pPr>
      <w:r w:rsidRPr="00654EF1">
        <w:rPr>
          <w:i/>
          <w:color w:val="000000"/>
        </w:rPr>
        <w:t>Paediatric patients</w:t>
      </w:r>
      <w:r w:rsidRPr="00654EF1">
        <w:rPr>
          <w:color w:val="000000"/>
        </w:rPr>
        <w:t>: A total of 26 paediatric patients of age &lt; 18 years with either chronic phase CML (n=11) or CML in blast crisis or Ph+ acute leukaemias (n=15) were enrolled in a dose-escalation phase I trial. This was a population of heavily pretreated patients, as 46% had received prior BMT and 73% a prior multi-agent chemotherapy. Patients were treated at doses of Glivec of 260 mg/m</w:t>
      </w:r>
      <w:r w:rsidRPr="00654EF1">
        <w:rPr>
          <w:color w:val="000000"/>
          <w:vertAlign w:val="superscript"/>
        </w:rPr>
        <w:t>2</w:t>
      </w:r>
      <w:r w:rsidRPr="00654EF1">
        <w:rPr>
          <w:color w:val="000000"/>
        </w:rPr>
        <w:t>/day (n=5), 340 mg/m</w:t>
      </w:r>
      <w:r w:rsidRPr="00654EF1">
        <w:rPr>
          <w:color w:val="000000"/>
          <w:vertAlign w:val="superscript"/>
        </w:rPr>
        <w:t>2</w:t>
      </w:r>
      <w:r w:rsidRPr="00654EF1">
        <w:rPr>
          <w:color w:val="000000"/>
        </w:rPr>
        <w:t>/day (n=9), 440 mg/m</w:t>
      </w:r>
      <w:r w:rsidRPr="00654EF1">
        <w:rPr>
          <w:color w:val="000000"/>
          <w:vertAlign w:val="superscript"/>
        </w:rPr>
        <w:t>2</w:t>
      </w:r>
      <w:r w:rsidRPr="00654EF1">
        <w:rPr>
          <w:color w:val="000000"/>
        </w:rPr>
        <w:t>/day (n=7) and 570 mg/m</w:t>
      </w:r>
      <w:r w:rsidRPr="00654EF1">
        <w:rPr>
          <w:color w:val="000000"/>
          <w:vertAlign w:val="superscript"/>
        </w:rPr>
        <w:t>2</w:t>
      </w:r>
      <w:r w:rsidRPr="00654EF1">
        <w:rPr>
          <w:color w:val="000000"/>
        </w:rPr>
        <w:t xml:space="preserve">/day (n=5). Out of 9 patients with chronic phase CML and cytogenetic data available, 4 (44%) and 3 (33%) achieved a complete and partial cytogenetic response, </w:t>
      </w:r>
      <w:r w:rsidRPr="00654EF1">
        <w:rPr>
          <w:color w:val="000000"/>
          <w:szCs w:val="22"/>
        </w:rPr>
        <w:t>respectively, for a rate of MCyR of 77%.</w:t>
      </w:r>
    </w:p>
    <w:p w14:paraId="1B68075C" w14:textId="77777777" w:rsidR="007E73D8" w:rsidRPr="00654EF1" w:rsidRDefault="007E73D8" w:rsidP="001D5C8C">
      <w:pPr>
        <w:pStyle w:val="EndnoteText"/>
        <w:widowControl w:val="0"/>
        <w:rPr>
          <w:color w:val="000000"/>
          <w:szCs w:val="22"/>
        </w:rPr>
      </w:pPr>
    </w:p>
    <w:p w14:paraId="1B68075D" w14:textId="77777777" w:rsidR="007E73D8" w:rsidRPr="00654EF1" w:rsidRDefault="007E73D8" w:rsidP="001D5C8C">
      <w:pPr>
        <w:pStyle w:val="EndnoteText"/>
        <w:widowControl w:val="0"/>
        <w:rPr>
          <w:color w:val="000000"/>
          <w:szCs w:val="22"/>
        </w:rPr>
      </w:pPr>
      <w:r w:rsidRPr="00654EF1">
        <w:rPr>
          <w:color w:val="000000"/>
          <w:szCs w:val="22"/>
        </w:rPr>
        <w:t>A total of 51 paediatric patients with newly diagnosed and untreated CML in chronic phase have been enrolled in an open-label, multicentre, single-arm phase II trial. Patients were treated with Glivec 340 mg/m</w:t>
      </w:r>
      <w:r w:rsidRPr="00654EF1">
        <w:rPr>
          <w:color w:val="000000"/>
          <w:szCs w:val="22"/>
          <w:vertAlign w:val="superscript"/>
        </w:rPr>
        <w:t>2</w:t>
      </w:r>
      <w:r w:rsidRPr="00654EF1">
        <w:rPr>
          <w:color w:val="000000"/>
          <w:szCs w:val="22"/>
        </w:rPr>
        <w:t xml:space="preserve">/day, with no interruptions in the absence of dose limiting toxicity. Glivec treatment induces a rapid response in newly diagnosed paediatric CML patients with a </w:t>
      </w:r>
      <w:smartTag w:uri="urn:schemas-microsoft-com:office:smarttags" w:element="stockticker">
        <w:r w:rsidRPr="00654EF1">
          <w:rPr>
            <w:color w:val="000000"/>
            <w:szCs w:val="22"/>
          </w:rPr>
          <w:t>CHR</w:t>
        </w:r>
      </w:smartTag>
      <w:r w:rsidRPr="00654EF1">
        <w:rPr>
          <w:color w:val="000000"/>
          <w:szCs w:val="22"/>
        </w:rPr>
        <w:t xml:space="preserve"> of 78% after 8 weeks of therapy. The high rate of </w:t>
      </w:r>
      <w:smartTag w:uri="urn:schemas-microsoft-com:office:smarttags" w:element="stockticker">
        <w:r w:rsidRPr="00654EF1">
          <w:rPr>
            <w:color w:val="000000"/>
            <w:szCs w:val="22"/>
          </w:rPr>
          <w:t>CHR</w:t>
        </w:r>
      </w:smartTag>
      <w:r w:rsidRPr="00654EF1">
        <w:rPr>
          <w:color w:val="000000"/>
          <w:szCs w:val="22"/>
        </w:rPr>
        <w:t xml:space="preserve"> is accompanied by the development of a complete cytogenetic response (CCyR) of 65% which is comparable to the results observed in adults. Additionally, partial cytogenetic response (PCyR) was observed in 16% for a MCyR of 81%. The majority of patients who achieved a CCyR developed the CCyR between months 3 and 10 with a median time to response based on the Kaplan-Meier estimate of 5.6 months.</w:t>
      </w:r>
    </w:p>
    <w:p w14:paraId="1B68075E" w14:textId="77777777" w:rsidR="006B706C" w:rsidRPr="00654EF1" w:rsidRDefault="006B706C" w:rsidP="001D5C8C">
      <w:pPr>
        <w:pStyle w:val="EndnoteText"/>
        <w:widowControl w:val="0"/>
        <w:rPr>
          <w:color w:val="000000"/>
          <w:szCs w:val="22"/>
        </w:rPr>
      </w:pPr>
    </w:p>
    <w:p w14:paraId="1B68075F" w14:textId="77777777" w:rsidR="006B706C" w:rsidRPr="00654EF1" w:rsidRDefault="006B706C" w:rsidP="001D5C8C">
      <w:pPr>
        <w:widowControl w:val="0"/>
        <w:tabs>
          <w:tab w:val="clear" w:pos="567"/>
        </w:tabs>
        <w:autoSpaceDE w:val="0"/>
        <w:autoSpaceDN w:val="0"/>
        <w:adjustRightInd w:val="0"/>
        <w:spacing w:line="240" w:lineRule="auto"/>
        <w:rPr>
          <w:color w:val="000000"/>
          <w:lang w:val="en-US"/>
        </w:rPr>
      </w:pPr>
      <w:r w:rsidRPr="00654EF1">
        <w:rPr>
          <w:color w:val="000000"/>
        </w:rPr>
        <w:t xml:space="preserve">The European Medicines Agency has waived the obligation to submit the results of studies with Glivec in all subsets of the paediatric population in </w:t>
      </w:r>
      <w:smartTag w:uri="urn:schemas-microsoft-com:office:smarttags" w:element="City">
        <w:smartTag w:uri="urn:schemas-microsoft-com:office:smarttags" w:element="place">
          <w:r w:rsidRPr="00654EF1">
            <w:rPr>
              <w:rFonts w:cs="TimesNewRomanPSMT"/>
              <w:color w:val="000000"/>
              <w:lang w:val="en-US" w:bidi="th-TH"/>
            </w:rPr>
            <w:t>Philadelphia</w:t>
          </w:r>
        </w:smartTag>
      </w:smartTag>
      <w:r w:rsidRPr="00654EF1">
        <w:rPr>
          <w:rFonts w:cs="TimesNewRomanPSMT"/>
          <w:color w:val="000000"/>
          <w:lang w:val="en-US" w:bidi="th-TH"/>
        </w:rPr>
        <w:t xml:space="preserve"> chromosome (bcr-abl translocation)-positive chronic myeloid leukaemia (see section 4.2 for information on paediatric use).</w:t>
      </w:r>
    </w:p>
    <w:p w14:paraId="1B680760" w14:textId="77777777" w:rsidR="007E73D8" w:rsidRPr="00654EF1" w:rsidRDefault="007E73D8" w:rsidP="001D5C8C">
      <w:pPr>
        <w:pStyle w:val="EndnoteText"/>
        <w:widowControl w:val="0"/>
        <w:rPr>
          <w:color w:val="000000"/>
          <w:szCs w:val="22"/>
        </w:rPr>
      </w:pPr>
    </w:p>
    <w:p w14:paraId="1B680761" w14:textId="77777777" w:rsidR="007E73D8" w:rsidRPr="00654EF1" w:rsidRDefault="007E73D8" w:rsidP="001D5C8C">
      <w:pPr>
        <w:pStyle w:val="EndnoteText"/>
        <w:keepNext/>
        <w:widowControl w:val="0"/>
        <w:rPr>
          <w:color w:val="000000"/>
          <w:szCs w:val="22"/>
          <w:u w:val="single"/>
        </w:rPr>
      </w:pPr>
      <w:r w:rsidRPr="00654EF1">
        <w:rPr>
          <w:color w:val="000000"/>
          <w:szCs w:val="22"/>
          <w:u w:val="single"/>
        </w:rPr>
        <w:t xml:space="preserve">Clinical studies in Ph+ </w:t>
      </w:r>
      <w:smartTag w:uri="urn:schemas-microsoft-com:office:smarttags" w:element="stockticker">
        <w:r w:rsidRPr="00654EF1">
          <w:rPr>
            <w:color w:val="000000"/>
            <w:szCs w:val="22"/>
            <w:u w:val="single"/>
          </w:rPr>
          <w:t>ALL</w:t>
        </w:r>
      </w:smartTag>
    </w:p>
    <w:p w14:paraId="1B680762" w14:textId="77777777" w:rsidR="007E73D8" w:rsidRPr="00654EF1" w:rsidRDefault="007E73D8" w:rsidP="001D5C8C">
      <w:pPr>
        <w:pStyle w:val="Text"/>
        <w:widowControl w:val="0"/>
        <w:spacing w:before="0"/>
        <w:jc w:val="left"/>
        <w:rPr>
          <w:color w:val="000000"/>
          <w:sz w:val="22"/>
          <w:szCs w:val="22"/>
        </w:rPr>
      </w:pPr>
      <w:r w:rsidRPr="00654EF1">
        <w:rPr>
          <w:i/>
          <w:color w:val="000000"/>
          <w:sz w:val="22"/>
          <w:szCs w:val="22"/>
        </w:rPr>
        <w:t xml:space="preserve">Newly diagnosed Ph+ </w:t>
      </w:r>
      <w:smartTag w:uri="urn:schemas-microsoft-com:office:smarttags" w:element="stockticker">
        <w:r w:rsidRPr="00654EF1">
          <w:rPr>
            <w:i/>
            <w:color w:val="000000"/>
            <w:sz w:val="22"/>
            <w:szCs w:val="22"/>
          </w:rPr>
          <w:t>ALL</w:t>
        </w:r>
      </w:smartTag>
      <w:r w:rsidRPr="00654EF1">
        <w:rPr>
          <w:color w:val="000000"/>
          <w:sz w:val="22"/>
          <w:szCs w:val="22"/>
        </w:rPr>
        <w:t>: In a controlled study (ADE10) of imatinib versus chemotherapy induction in 55 newly diagnosed patients aged 55 years and over, imatinib used as single agent induced a significantly higher rate of complete haematological response than chemotherapy (96.3% vs. 50%; p=0.0001). When salvage therapy with imatinib was administered in patients who did not respond or who responded poorly to chemotherapy, it resulted in 9 patients (81.8%) out of 11 achieving a complete haematological response. This clinical effect was associated with a higher reduction in bcr-abl transcripts in the imatinib-treated patients than in the chemotherapy arm after 2 weeks of therapy (p=0.02). All patients received imatinib and consolidation chemotherapy (see Table </w:t>
      </w:r>
      <w:r w:rsidR="008F2DE5" w:rsidRPr="00654EF1">
        <w:rPr>
          <w:color w:val="000000"/>
          <w:sz w:val="22"/>
          <w:szCs w:val="22"/>
        </w:rPr>
        <w:t>4</w:t>
      </w:r>
      <w:r w:rsidRPr="00654EF1">
        <w:rPr>
          <w:color w:val="000000"/>
          <w:sz w:val="22"/>
          <w:szCs w:val="22"/>
        </w:rPr>
        <w:t xml:space="preserve">) after induction and the levels of bcr-abl transcripts were identical in the two arms at 8 weeks. </w:t>
      </w:r>
      <w:r w:rsidRPr="00654EF1">
        <w:rPr>
          <w:rFonts w:eastAsia="MS Mincho"/>
          <w:color w:val="000000"/>
          <w:sz w:val="22"/>
          <w:szCs w:val="22"/>
          <w:lang w:eastAsia="ja-JP"/>
        </w:rPr>
        <w:t>As expected on the basis of the study design, no difference was observed in remission duration, disease-free survival or overall survival, although patients with complete molecular response and remaining in minimal residual disease had a better outcome in terms of both remission duration (p=0.01) and disease-free survival (p=0.02)</w:t>
      </w:r>
      <w:r w:rsidRPr="00654EF1">
        <w:rPr>
          <w:color w:val="000000"/>
          <w:sz w:val="22"/>
          <w:szCs w:val="22"/>
        </w:rPr>
        <w:t>.</w:t>
      </w:r>
    </w:p>
    <w:p w14:paraId="1B680763" w14:textId="77777777" w:rsidR="007E73D8" w:rsidRPr="00654EF1" w:rsidRDefault="007E73D8" w:rsidP="001D5C8C">
      <w:pPr>
        <w:pStyle w:val="Text"/>
        <w:widowControl w:val="0"/>
        <w:spacing w:before="0"/>
        <w:jc w:val="left"/>
        <w:rPr>
          <w:color w:val="000000"/>
          <w:sz w:val="22"/>
          <w:szCs w:val="22"/>
        </w:rPr>
      </w:pPr>
    </w:p>
    <w:p w14:paraId="1B680764" w14:textId="77777777" w:rsidR="007E73D8" w:rsidRPr="00654EF1" w:rsidRDefault="007E73D8" w:rsidP="001D5C8C">
      <w:pPr>
        <w:pStyle w:val="EndnoteText"/>
        <w:widowControl w:val="0"/>
        <w:rPr>
          <w:color w:val="000000"/>
          <w:szCs w:val="22"/>
        </w:rPr>
      </w:pPr>
      <w:r w:rsidRPr="00654EF1">
        <w:rPr>
          <w:color w:val="000000"/>
          <w:szCs w:val="22"/>
        </w:rPr>
        <w:t xml:space="preserve">The results observed in a population of 211 newly diagnosed Ph+ </w:t>
      </w:r>
      <w:smartTag w:uri="urn:schemas-microsoft-com:office:smarttags" w:element="stockticker">
        <w:r w:rsidRPr="00654EF1">
          <w:rPr>
            <w:color w:val="000000"/>
            <w:szCs w:val="22"/>
          </w:rPr>
          <w:t>ALL</w:t>
        </w:r>
      </w:smartTag>
      <w:r w:rsidRPr="00654EF1">
        <w:rPr>
          <w:color w:val="000000"/>
          <w:szCs w:val="22"/>
        </w:rPr>
        <w:t xml:space="preserve"> patients in four uncontrolled clinical studies (AAU02, ADE04, AJP01 and AUS01) are consistent with the results described above. Imatinib in combination with chemotherapy induction (see Table </w:t>
      </w:r>
      <w:r w:rsidR="008F2DE5" w:rsidRPr="00654EF1">
        <w:rPr>
          <w:color w:val="000000"/>
          <w:szCs w:val="22"/>
        </w:rPr>
        <w:t>4</w:t>
      </w:r>
      <w:r w:rsidRPr="00654EF1">
        <w:rPr>
          <w:color w:val="000000"/>
          <w:szCs w:val="22"/>
        </w:rPr>
        <w:t>) resulted in a complete haematological response rate of 93% (147 out of 158 evaluable patients) and in a major cytogenetic response rate of 90% (19 out of 21 evaluable patients). The complete molecular response rate was 48% (49 out of 102 evaluable patients). Disease-free survival (</w:t>
      </w:r>
      <w:smartTag w:uri="urn:schemas-microsoft-com:office:smarttags" w:element="stockticker">
        <w:r w:rsidRPr="00654EF1">
          <w:rPr>
            <w:color w:val="000000"/>
            <w:szCs w:val="22"/>
          </w:rPr>
          <w:t>DFS</w:t>
        </w:r>
      </w:smartTag>
      <w:r w:rsidRPr="00654EF1">
        <w:rPr>
          <w:color w:val="000000"/>
          <w:szCs w:val="22"/>
        </w:rPr>
        <w:t>) and overall survival (OS) constantly exceeded 1 year and were superior to historical control (</w:t>
      </w:r>
      <w:smartTag w:uri="urn:schemas-microsoft-com:office:smarttags" w:element="stockticker">
        <w:r w:rsidRPr="00654EF1">
          <w:rPr>
            <w:color w:val="000000"/>
            <w:szCs w:val="22"/>
          </w:rPr>
          <w:t>DFS</w:t>
        </w:r>
      </w:smartTag>
      <w:r w:rsidRPr="00654EF1">
        <w:rPr>
          <w:color w:val="000000"/>
          <w:szCs w:val="22"/>
        </w:rPr>
        <w:t xml:space="preserve"> p&lt;0.001; OS p&lt;0.0001) in two studies (AJP01 and AUS01).</w:t>
      </w:r>
    </w:p>
    <w:p w14:paraId="1B680765" w14:textId="77777777" w:rsidR="007E73D8" w:rsidRPr="00654EF1" w:rsidRDefault="007E73D8" w:rsidP="001D5C8C">
      <w:pPr>
        <w:pStyle w:val="EndnoteText"/>
        <w:widowControl w:val="0"/>
        <w:rPr>
          <w:color w:val="000000"/>
          <w:szCs w:val="22"/>
          <w:lang w:val="en-US"/>
        </w:rPr>
      </w:pPr>
    </w:p>
    <w:p w14:paraId="1B680766" w14:textId="77777777" w:rsidR="00244ABD" w:rsidRPr="00654EF1" w:rsidRDefault="00244ABD" w:rsidP="001D5C8C">
      <w:pPr>
        <w:pStyle w:val="EndnoteText"/>
        <w:keepNext/>
        <w:widowControl w:val="0"/>
        <w:rPr>
          <w:b/>
          <w:bCs/>
          <w:color w:val="000000"/>
          <w:szCs w:val="22"/>
        </w:rPr>
      </w:pPr>
      <w:r w:rsidRPr="00654EF1">
        <w:rPr>
          <w:b/>
          <w:bCs/>
          <w:color w:val="000000"/>
          <w:szCs w:val="22"/>
        </w:rPr>
        <w:t>Table </w:t>
      </w:r>
      <w:r w:rsidR="008F2DE5" w:rsidRPr="00654EF1">
        <w:rPr>
          <w:b/>
          <w:bCs/>
          <w:color w:val="000000"/>
          <w:szCs w:val="22"/>
        </w:rPr>
        <w:t>4</w:t>
      </w:r>
      <w:r w:rsidRPr="00654EF1">
        <w:rPr>
          <w:b/>
          <w:bCs/>
          <w:color w:val="000000"/>
          <w:szCs w:val="22"/>
        </w:rPr>
        <w:tab/>
      </w:r>
      <w:r w:rsidRPr="00654EF1">
        <w:rPr>
          <w:b/>
          <w:color w:val="000000"/>
          <w:szCs w:val="22"/>
        </w:rPr>
        <w:t>Chemotherapy regimen used in combination with imatinib</w:t>
      </w:r>
    </w:p>
    <w:p w14:paraId="1B680767" w14:textId="77777777" w:rsidR="00244ABD" w:rsidRPr="00654EF1" w:rsidRDefault="00244ABD" w:rsidP="001D5C8C">
      <w:pPr>
        <w:pStyle w:val="EndnoteText"/>
        <w:keepNext/>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44ABD" w:rsidRPr="00654EF1" w14:paraId="1B68076A" w14:textId="77777777" w:rsidTr="005E7BE5">
        <w:trPr>
          <w:cantSplit/>
        </w:trPr>
        <w:tc>
          <w:tcPr>
            <w:tcW w:w="2148" w:type="dxa"/>
            <w:tcBorders>
              <w:top w:val="single" w:sz="4" w:space="0" w:color="auto"/>
              <w:bottom w:val="single" w:sz="4" w:space="0" w:color="auto"/>
            </w:tcBorders>
            <w:shd w:val="clear" w:color="auto" w:fill="auto"/>
          </w:tcPr>
          <w:p w14:paraId="1B68076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Study ADE10</w:t>
            </w:r>
          </w:p>
        </w:tc>
        <w:tc>
          <w:tcPr>
            <w:tcW w:w="6732" w:type="dxa"/>
            <w:gridSpan w:val="4"/>
            <w:tcBorders>
              <w:top w:val="single" w:sz="4" w:space="0" w:color="auto"/>
              <w:bottom w:val="single" w:sz="4" w:space="0" w:color="auto"/>
            </w:tcBorders>
            <w:shd w:val="clear" w:color="auto" w:fill="auto"/>
          </w:tcPr>
          <w:p w14:paraId="1B68076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76F" w14:textId="77777777" w:rsidTr="005E7BE5">
        <w:trPr>
          <w:cantSplit/>
        </w:trPr>
        <w:tc>
          <w:tcPr>
            <w:tcW w:w="2148" w:type="dxa"/>
            <w:tcBorders>
              <w:top w:val="single" w:sz="4" w:space="0" w:color="auto"/>
              <w:bottom w:val="single" w:sz="4" w:space="0" w:color="auto"/>
            </w:tcBorders>
            <w:shd w:val="clear" w:color="auto" w:fill="auto"/>
          </w:tcPr>
          <w:p w14:paraId="1B68076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Prephase</w:t>
            </w:r>
          </w:p>
        </w:tc>
        <w:tc>
          <w:tcPr>
            <w:tcW w:w="6732" w:type="dxa"/>
            <w:gridSpan w:val="4"/>
            <w:tcBorders>
              <w:top w:val="single" w:sz="4" w:space="0" w:color="auto"/>
              <w:bottom w:val="single" w:sz="4" w:space="0" w:color="auto"/>
            </w:tcBorders>
            <w:shd w:val="clear" w:color="auto" w:fill="auto"/>
          </w:tcPr>
          <w:p w14:paraId="1B68076C"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76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200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3, 4, 5;</w:t>
            </w:r>
          </w:p>
          <w:p w14:paraId="1B68076E"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MTX 12 mg intrathecal, day 1</w:t>
            </w:r>
          </w:p>
        </w:tc>
      </w:tr>
      <w:tr w:rsidR="00244ABD" w:rsidRPr="00654EF1" w14:paraId="1B680776" w14:textId="77777777" w:rsidTr="005E7BE5">
        <w:trPr>
          <w:cantSplit/>
        </w:trPr>
        <w:tc>
          <w:tcPr>
            <w:tcW w:w="2148" w:type="dxa"/>
            <w:tcBorders>
              <w:top w:val="single" w:sz="4" w:space="0" w:color="auto"/>
              <w:bottom w:val="single" w:sz="4" w:space="0" w:color="auto"/>
            </w:tcBorders>
            <w:shd w:val="clear" w:color="auto" w:fill="auto"/>
          </w:tcPr>
          <w:p w14:paraId="1B68077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Remission induction</w:t>
            </w:r>
          </w:p>
        </w:tc>
        <w:tc>
          <w:tcPr>
            <w:tcW w:w="6732" w:type="dxa"/>
            <w:gridSpan w:val="4"/>
            <w:tcBorders>
              <w:top w:val="single" w:sz="4" w:space="0" w:color="auto"/>
              <w:bottom w:val="single" w:sz="4" w:space="0" w:color="auto"/>
            </w:tcBorders>
            <w:shd w:val="clear" w:color="auto" w:fill="auto"/>
          </w:tcPr>
          <w:p w14:paraId="1B68077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6-7, 13-16;</w:t>
            </w:r>
          </w:p>
          <w:p w14:paraId="1B68077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VCR 1 mg i.v., days 7, 14;</w:t>
            </w:r>
          </w:p>
          <w:p w14:paraId="1B680773" w14:textId="77777777" w:rsidR="00244ABD" w:rsidRPr="00280050" w:rsidRDefault="00244ABD" w:rsidP="001D5C8C">
            <w:pPr>
              <w:pStyle w:val="Table"/>
              <w:keepLines w:val="0"/>
              <w:widowControl w:val="0"/>
              <w:spacing w:before="0" w:after="0"/>
              <w:rPr>
                <w:rFonts w:ascii="Times New Roman" w:hAnsi="Times New Roman"/>
                <w:color w:val="000000"/>
                <w:sz w:val="22"/>
                <w:szCs w:val="22"/>
                <w:lang w:val="pt-PT"/>
              </w:rPr>
            </w:pPr>
            <w:smartTag w:uri="urn:schemas-microsoft-com:office:smarttags" w:element="stockticker">
              <w:r w:rsidRPr="00280050">
                <w:rPr>
                  <w:rFonts w:ascii="Times New Roman" w:hAnsi="Times New Roman"/>
                  <w:color w:val="000000"/>
                  <w:sz w:val="22"/>
                  <w:szCs w:val="22"/>
                  <w:lang w:val="pt-PT"/>
                </w:rPr>
                <w:t>IDA</w:t>
              </w:r>
            </w:smartTag>
            <w:r w:rsidRPr="00280050">
              <w:rPr>
                <w:rFonts w:ascii="Times New Roman" w:hAnsi="Times New Roman"/>
                <w:color w:val="000000"/>
                <w:sz w:val="22"/>
                <w:szCs w:val="22"/>
                <w:lang w:val="pt-PT"/>
              </w:rPr>
              <w:t xml:space="preserve"> 8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(0.5 h), days 7, 8, 14, 15;</w:t>
            </w:r>
          </w:p>
          <w:p w14:paraId="1B68077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500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i.v.(1 h) day 1;</w:t>
            </w:r>
          </w:p>
          <w:p w14:paraId="1B68077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22-25, 29-32</w:t>
            </w:r>
          </w:p>
        </w:tc>
      </w:tr>
      <w:tr w:rsidR="00244ABD" w:rsidRPr="00654EF1" w14:paraId="1B68077A" w14:textId="77777777" w:rsidTr="005E7BE5">
        <w:trPr>
          <w:cantSplit/>
        </w:trPr>
        <w:tc>
          <w:tcPr>
            <w:tcW w:w="2148" w:type="dxa"/>
            <w:tcBorders>
              <w:top w:val="single" w:sz="4" w:space="0" w:color="auto"/>
              <w:bottom w:val="single" w:sz="4" w:space="0" w:color="auto"/>
            </w:tcBorders>
            <w:shd w:val="clear" w:color="auto" w:fill="auto"/>
          </w:tcPr>
          <w:p w14:paraId="1B68077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Consolidation therapy I, </w:t>
            </w:r>
            <w:smartTag w:uri="urn:schemas-microsoft-com:office:smarttags" w:element="stockticker">
              <w:r w:rsidRPr="00654EF1">
                <w:rPr>
                  <w:rFonts w:ascii="Times New Roman" w:hAnsi="Times New Roman"/>
                  <w:color w:val="000000"/>
                  <w:sz w:val="22"/>
                  <w:szCs w:val="22"/>
                </w:rPr>
                <w:t>III</w:t>
              </w:r>
            </w:smartTag>
            <w:r w:rsidRPr="00654EF1">
              <w:rPr>
                <w:rFonts w:ascii="Times New Roman" w:hAnsi="Times New Roman"/>
                <w:color w:val="000000"/>
                <w:sz w:val="22"/>
                <w:szCs w:val="22"/>
              </w:rPr>
              <w:t>, V</w:t>
            </w:r>
          </w:p>
        </w:tc>
        <w:tc>
          <w:tcPr>
            <w:tcW w:w="6732" w:type="dxa"/>
            <w:gridSpan w:val="4"/>
            <w:tcBorders>
              <w:top w:val="single" w:sz="4" w:space="0" w:color="auto"/>
              <w:bottom w:val="single" w:sz="4" w:space="0" w:color="auto"/>
            </w:tcBorders>
            <w:shd w:val="clear" w:color="auto" w:fill="auto"/>
          </w:tcPr>
          <w:p w14:paraId="1B68077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500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days 1, 15;</w:t>
            </w:r>
          </w:p>
          <w:p w14:paraId="1B68077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6-MP 25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1-20</w:t>
            </w:r>
          </w:p>
        </w:tc>
      </w:tr>
      <w:tr w:rsidR="00244ABD" w:rsidRPr="00654EF1" w14:paraId="1B68077E" w14:textId="77777777" w:rsidTr="005E7BE5">
        <w:trPr>
          <w:cantSplit/>
        </w:trPr>
        <w:tc>
          <w:tcPr>
            <w:tcW w:w="2148" w:type="dxa"/>
            <w:tcBorders>
              <w:top w:val="single" w:sz="4" w:space="0" w:color="auto"/>
              <w:bottom w:val="single" w:sz="4" w:space="0" w:color="auto"/>
            </w:tcBorders>
            <w:shd w:val="clear" w:color="auto" w:fill="auto"/>
          </w:tcPr>
          <w:p w14:paraId="1B68077B"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Consolidation therapy II, IV</w:t>
            </w:r>
          </w:p>
        </w:tc>
        <w:tc>
          <w:tcPr>
            <w:tcW w:w="6732" w:type="dxa"/>
            <w:gridSpan w:val="4"/>
            <w:tcBorders>
              <w:top w:val="single" w:sz="4" w:space="0" w:color="auto"/>
              <w:bottom w:val="single" w:sz="4" w:space="0" w:color="auto"/>
            </w:tcBorders>
            <w:shd w:val="clear" w:color="auto" w:fill="auto"/>
          </w:tcPr>
          <w:p w14:paraId="1B68077C"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lang w:val="pt-BR"/>
              </w:rPr>
            </w:pPr>
            <w:r w:rsidRPr="00654EF1">
              <w:rPr>
                <w:rFonts w:ascii="Times New Roman" w:hAnsi="Times New Roman"/>
                <w:color w:val="000000"/>
                <w:sz w:val="22"/>
                <w:szCs w:val="22"/>
                <w:lang w:val="pt-BR"/>
              </w:rPr>
              <w:t>Ara-C 75 mg/m</w:t>
            </w:r>
            <w:r w:rsidRPr="00654EF1">
              <w:rPr>
                <w:rFonts w:ascii="Times New Roman" w:hAnsi="Times New Roman"/>
                <w:color w:val="000000"/>
                <w:sz w:val="22"/>
                <w:szCs w:val="22"/>
                <w:vertAlign w:val="superscript"/>
                <w:lang w:val="pt-BR"/>
              </w:rPr>
              <w:t>2</w:t>
            </w:r>
            <w:r w:rsidRPr="00654EF1">
              <w:rPr>
                <w:rFonts w:ascii="Times New Roman" w:hAnsi="Times New Roman"/>
                <w:color w:val="000000"/>
                <w:sz w:val="22"/>
                <w:szCs w:val="22"/>
                <w:lang w:val="pt-BR"/>
              </w:rPr>
              <w:t xml:space="preserve"> i.v. (1 h), days 1-5;</w:t>
            </w:r>
          </w:p>
          <w:p w14:paraId="1B68077D"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en-GB"/>
              </w:rPr>
            </w:pPr>
            <w:r w:rsidRPr="00280050">
              <w:rPr>
                <w:rFonts w:ascii="Times New Roman" w:hAnsi="Times New Roman"/>
                <w:color w:val="000000"/>
                <w:sz w:val="22"/>
                <w:szCs w:val="22"/>
                <w:lang w:val="en-GB"/>
              </w:rPr>
              <w:t>VM26 60 mg/m</w:t>
            </w:r>
            <w:r w:rsidRPr="00280050">
              <w:rPr>
                <w:rFonts w:ascii="Times New Roman" w:hAnsi="Times New Roman"/>
                <w:color w:val="000000"/>
                <w:sz w:val="22"/>
                <w:szCs w:val="22"/>
                <w:vertAlign w:val="superscript"/>
                <w:lang w:val="en-GB"/>
              </w:rPr>
              <w:t>2</w:t>
            </w:r>
            <w:r w:rsidRPr="00280050">
              <w:rPr>
                <w:rFonts w:ascii="Times New Roman" w:hAnsi="Times New Roman"/>
                <w:color w:val="000000"/>
                <w:sz w:val="22"/>
                <w:szCs w:val="22"/>
                <w:lang w:val="en-GB"/>
              </w:rPr>
              <w:t xml:space="preserve"> i.v. (1 h), days 1-5</w:t>
            </w:r>
          </w:p>
        </w:tc>
      </w:tr>
      <w:tr w:rsidR="00244ABD" w:rsidRPr="00654EF1" w14:paraId="1B680784" w14:textId="77777777" w:rsidTr="005E7BE5">
        <w:trPr>
          <w:cantSplit/>
        </w:trPr>
        <w:tc>
          <w:tcPr>
            <w:tcW w:w="2148" w:type="dxa"/>
            <w:tcBorders>
              <w:top w:val="single" w:sz="4" w:space="0" w:color="auto"/>
              <w:bottom w:val="single" w:sz="4" w:space="0" w:color="auto"/>
            </w:tcBorders>
            <w:shd w:val="clear" w:color="auto" w:fill="auto"/>
          </w:tcPr>
          <w:p w14:paraId="1B68077F"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Study AAU02</w:t>
            </w:r>
          </w:p>
        </w:tc>
        <w:tc>
          <w:tcPr>
            <w:tcW w:w="2652" w:type="dxa"/>
            <w:tcBorders>
              <w:top w:val="single" w:sz="4" w:space="0" w:color="auto"/>
              <w:bottom w:val="single" w:sz="4" w:space="0" w:color="auto"/>
            </w:tcBorders>
            <w:shd w:val="clear" w:color="auto" w:fill="auto"/>
          </w:tcPr>
          <w:p w14:paraId="1B68078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1B68078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78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78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78E" w14:textId="77777777" w:rsidTr="005E7BE5">
        <w:trPr>
          <w:cantSplit/>
        </w:trPr>
        <w:tc>
          <w:tcPr>
            <w:tcW w:w="2148" w:type="dxa"/>
            <w:tcBorders>
              <w:top w:val="single" w:sz="4" w:space="0" w:color="auto"/>
              <w:bottom w:val="single" w:sz="4" w:space="0" w:color="auto"/>
            </w:tcBorders>
            <w:shd w:val="clear" w:color="auto" w:fill="auto"/>
          </w:tcPr>
          <w:p w14:paraId="1B68078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w:t>
            </w:r>
            <w:r w:rsidRPr="00654EF1">
              <w:rPr>
                <w:rFonts w:ascii="Times New Roman" w:hAnsi="Times New Roman"/>
                <w:i/>
                <w:color w:val="000000"/>
                <w:sz w:val="22"/>
                <w:szCs w:val="22"/>
              </w:rPr>
              <w:t>de novo</w:t>
            </w:r>
            <w:r w:rsidRPr="00654EF1">
              <w:rPr>
                <w:rFonts w:ascii="Times New Roman" w:hAnsi="Times New Roman"/>
                <w:color w:val="000000"/>
                <w:sz w:val="22"/>
                <w:szCs w:val="22"/>
              </w:rPr>
              <w:t xml:space="preserve"> Ph+ </w:t>
            </w:r>
            <w:smartTag w:uri="urn:schemas-microsoft-com:office:smarttags" w:element="stockticker">
              <w:r w:rsidRPr="00654EF1">
                <w:rPr>
                  <w:rFonts w:ascii="Times New Roman" w:hAnsi="Times New Roman"/>
                  <w:color w:val="000000"/>
                  <w:sz w:val="22"/>
                  <w:szCs w:val="22"/>
                </w:rPr>
                <w:t>ALL</w:t>
              </w:r>
            </w:smartTag>
            <w:r w:rsidRPr="00654EF1">
              <w:rPr>
                <w:rFonts w:ascii="Times New Roman" w:hAnsi="Times New Roman"/>
                <w:color w:val="000000"/>
                <w:sz w:val="22"/>
                <w:szCs w:val="22"/>
              </w:rPr>
              <w:t>)</w:t>
            </w:r>
          </w:p>
        </w:tc>
        <w:tc>
          <w:tcPr>
            <w:tcW w:w="6732" w:type="dxa"/>
            <w:gridSpan w:val="4"/>
            <w:tcBorders>
              <w:top w:val="single" w:sz="4" w:space="0" w:color="auto"/>
              <w:bottom w:val="single" w:sz="4" w:space="0" w:color="auto"/>
            </w:tcBorders>
            <w:shd w:val="clear" w:color="auto" w:fill="auto"/>
          </w:tcPr>
          <w:p w14:paraId="1B68078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30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1-3, 15-16;</w:t>
            </w:r>
          </w:p>
          <w:p w14:paraId="1B68078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total dose i.v., days 1, 8, 15, 22;</w:t>
            </w:r>
          </w:p>
          <w:p w14:paraId="1B68078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750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 8;</w:t>
            </w:r>
          </w:p>
          <w:p w14:paraId="1B68078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1-7, 15-21;</w:t>
            </w:r>
          </w:p>
          <w:p w14:paraId="1B68078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IDA</w:t>
              </w:r>
            </w:smartTag>
            <w:r w:rsidRPr="00654EF1">
              <w:rPr>
                <w:rFonts w:ascii="Times New Roman" w:hAnsi="Times New Roman"/>
                <w:color w:val="000000"/>
                <w:sz w:val="22"/>
                <w:szCs w:val="22"/>
              </w:rPr>
              <w:t xml:space="preserve"> 9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1-28;</w:t>
            </w:r>
          </w:p>
          <w:p w14:paraId="1B68078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days 1, 8, 15, 22;</w:t>
            </w:r>
          </w:p>
          <w:p w14:paraId="1B68078C"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40 mg intrathecal, days 1, 8, 15, 22;</w:t>
            </w:r>
          </w:p>
          <w:p w14:paraId="1B68078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Methylprednisolone 40 mg intrathecal, days 1, 8, 15, 22</w:t>
            </w:r>
          </w:p>
        </w:tc>
      </w:tr>
      <w:tr w:rsidR="00244ABD" w:rsidRPr="00654EF1" w14:paraId="1B680794" w14:textId="77777777" w:rsidTr="005E7BE5">
        <w:trPr>
          <w:cantSplit/>
        </w:trPr>
        <w:tc>
          <w:tcPr>
            <w:tcW w:w="2148" w:type="dxa"/>
            <w:tcBorders>
              <w:top w:val="single" w:sz="4" w:space="0" w:color="auto"/>
              <w:bottom w:val="single" w:sz="4" w:space="0" w:color="auto"/>
            </w:tcBorders>
            <w:shd w:val="clear" w:color="auto" w:fill="auto"/>
          </w:tcPr>
          <w:p w14:paraId="1B68078F"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lang w:val="fr-FR"/>
              </w:rPr>
            </w:pPr>
            <w:r w:rsidRPr="00654EF1">
              <w:rPr>
                <w:rFonts w:ascii="Times New Roman" w:hAnsi="Times New Roman"/>
                <w:color w:val="000000"/>
                <w:sz w:val="22"/>
                <w:szCs w:val="22"/>
                <w:lang w:val="fr-FR"/>
              </w:rPr>
              <w:t>Consolidation (</w:t>
            </w:r>
            <w:r w:rsidRPr="00654EF1">
              <w:rPr>
                <w:rFonts w:ascii="Times New Roman" w:hAnsi="Times New Roman"/>
                <w:i/>
                <w:color w:val="000000"/>
                <w:sz w:val="22"/>
                <w:szCs w:val="22"/>
                <w:lang w:val="fr-FR"/>
              </w:rPr>
              <w:t>de novo</w:t>
            </w:r>
            <w:r w:rsidRPr="00654EF1">
              <w:rPr>
                <w:rFonts w:ascii="Times New Roman" w:hAnsi="Times New Roman"/>
                <w:color w:val="000000"/>
                <w:sz w:val="22"/>
                <w:szCs w:val="22"/>
                <w:lang w:val="fr-FR"/>
              </w:rPr>
              <w:t xml:space="preserve"> Ph+ </w:t>
            </w:r>
            <w:smartTag w:uri="urn:schemas-microsoft-com:office:smarttags" w:element="stockticker">
              <w:r w:rsidRPr="00654EF1">
                <w:rPr>
                  <w:rFonts w:ascii="Times New Roman" w:hAnsi="Times New Roman"/>
                  <w:color w:val="000000"/>
                  <w:sz w:val="22"/>
                  <w:szCs w:val="22"/>
                  <w:lang w:val="fr-FR"/>
                </w:rPr>
                <w:t>ALL</w:t>
              </w:r>
            </w:smartTag>
            <w:r w:rsidRPr="00654EF1">
              <w:rPr>
                <w:rFonts w:ascii="Times New Roman" w:hAnsi="Times New Roman"/>
                <w:color w:val="000000"/>
                <w:sz w:val="22"/>
                <w:szCs w:val="22"/>
                <w:lang w:val="fr-FR"/>
              </w:rPr>
              <w:t>)</w:t>
            </w:r>
          </w:p>
        </w:tc>
        <w:tc>
          <w:tcPr>
            <w:tcW w:w="6732" w:type="dxa"/>
            <w:gridSpan w:val="4"/>
            <w:tcBorders>
              <w:top w:val="single" w:sz="4" w:space="0" w:color="auto"/>
              <w:bottom w:val="single" w:sz="4" w:space="0" w:color="auto"/>
            </w:tcBorders>
            <w:shd w:val="clear" w:color="auto" w:fill="auto"/>
          </w:tcPr>
          <w:p w14:paraId="1B680790"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Ara-C 1,000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/12 h i.v.(3 h), days 1-4;</w:t>
            </w:r>
          </w:p>
          <w:p w14:paraId="1B680791"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Mitoxantrone 10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days 3-5;</w:t>
            </w:r>
          </w:p>
          <w:p w14:paraId="1B680792"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 1;</w:t>
            </w:r>
          </w:p>
          <w:p w14:paraId="1B680793"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Methylprednisolone 40 mg intrathecal, day 1</w:t>
            </w:r>
          </w:p>
        </w:tc>
      </w:tr>
      <w:tr w:rsidR="00244ABD" w:rsidRPr="00654EF1" w14:paraId="1B680799" w14:textId="77777777" w:rsidTr="005E7BE5">
        <w:trPr>
          <w:cantSplit/>
        </w:trPr>
        <w:tc>
          <w:tcPr>
            <w:tcW w:w="4800" w:type="dxa"/>
            <w:gridSpan w:val="2"/>
            <w:tcBorders>
              <w:top w:val="single" w:sz="4" w:space="0" w:color="auto"/>
              <w:bottom w:val="single" w:sz="4" w:space="0" w:color="auto"/>
            </w:tcBorders>
            <w:shd w:val="clear" w:color="auto" w:fill="auto"/>
          </w:tcPr>
          <w:p w14:paraId="1B680795"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lastRenderedPageBreak/>
              <w:t>Study ADE04</w:t>
            </w:r>
          </w:p>
        </w:tc>
        <w:tc>
          <w:tcPr>
            <w:tcW w:w="1080" w:type="dxa"/>
            <w:tcBorders>
              <w:top w:val="single" w:sz="4" w:space="0" w:color="auto"/>
              <w:bottom w:val="single" w:sz="4" w:space="0" w:color="auto"/>
            </w:tcBorders>
          </w:tcPr>
          <w:p w14:paraId="1B68079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79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79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79E" w14:textId="77777777" w:rsidTr="005E7BE5">
        <w:trPr>
          <w:cantSplit/>
        </w:trPr>
        <w:tc>
          <w:tcPr>
            <w:tcW w:w="2148" w:type="dxa"/>
            <w:tcBorders>
              <w:top w:val="single" w:sz="4" w:space="0" w:color="auto"/>
              <w:bottom w:val="single" w:sz="4" w:space="0" w:color="auto"/>
            </w:tcBorders>
            <w:shd w:val="clear" w:color="auto" w:fill="auto"/>
          </w:tcPr>
          <w:p w14:paraId="1B68079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Prephase</w:t>
            </w:r>
          </w:p>
        </w:tc>
        <w:tc>
          <w:tcPr>
            <w:tcW w:w="6732" w:type="dxa"/>
            <w:gridSpan w:val="4"/>
            <w:tcBorders>
              <w:top w:val="single" w:sz="4" w:space="0" w:color="auto"/>
              <w:bottom w:val="single" w:sz="4" w:space="0" w:color="auto"/>
            </w:tcBorders>
            <w:shd w:val="clear" w:color="auto" w:fill="auto"/>
          </w:tcPr>
          <w:p w14:paraId="1B68079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79C"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200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3-5;</w:t>
            </w:r>
          </w:p>
          <w:p w14:paraId="1B68079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mg intrathecal, day 1</w:t>
            </w:r>
          </w:p>
        </w:tc>
      </w:tr>
      <w:tr w:rsidR="00244ABD" w:rsidRPr="00654EF1" w14:paraId="1B6807A3" w14:textId="77777777" w:rsidTr="005E7BE5">
        <w:trPr>
          <w:cantSplit/>
        </w:trPr>
        <w:tc>
          <w:tcPr>
            <w:tcW w:w="2148" w:type="dxa"/>
            <w:tcBorders>
              <w:top w:val="single" w:sz="4" w:space="0" w:color="auto"/>
              <w:bottom w:val="single" w:sz="4" w:space="0" w:color="auto"/>
            </w:tcBorders>
            <w:shd w:val="clear" w:color="auto" w:fill="auto"/>
          </w:tcPr>
          <w:p w14:paraId="1B68079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I</w:t>
            </w:r>
          </w:p>
        </w:tc>
        <w:tc>
          <w:tcPr>
            <w:tcW w:w="6732" w:type="dxa"/>
            <w:gridSpan w:val="4"/>
            <w:tcBorders>
              <w:top w:val="single" w:sz="4" w:space="0" w:color="auto"/>
              <w:bottom w:val="single" w:sz="4" w:space="0" w:color="auto"/>
            </w:tcBorders>
            <w:shd w:val="clear" w:color="auto" w:fill="auto"/>
          </w:tcPr>
          <w:p w14:paraId="1B6807A0"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p w14:paraId="1B6807A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i.v., days 6, 13, 20;</w:t>
            </w:r>
          </w:p>
          <w:p w14:paraId="1B6807A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45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6-7, 13-14</w:t>
            </w:r>
          </w:p>
        </w:tc>
      </w:tr>
      <w:tr w:rsidR="00244ABD" w:rsidRPr="00654EF1" w14:paraId="1B6807A8" w14:textId="77777777" w:rsidTr="005E7BE5">
        <w:trPr>
          <w:cantSplit/>
        </w:trPr>
        <w:tc>
          <w:tcPr>
            <w:tcW w:w="2148" w:type="dxa"/>
            <w:tcBorders>
              <w:top w:val="single" w:sz="4" w:space="0" w:color="auto"/>
              <w:bottom w:val="single" w:sz="4" w:space="0" w:color="auto"/>
            </w:tcBorders>
            <w:shd w:val="clear" w:color="auto" w:fill="auto"/>
          </w:tcPr>
          <w:p w14:paraId="1B6807A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 therapy II</w:t>
            </w:r>
          </w:p>
        </w:tc>
        <w:tc>
          <w:tcPr>
            <w:tcW w:w="6732" w:type="dxa"/>
            <w:gridSpan w:val="4"/>
            <w:tcBorders>
              <w:top w:val="single" w:sz="4" w:space="0" w:color="auto"/>
              <w:bottom w:val="single" w:sz="4" w:space="0" w:color="auto"/>
            </w:tcBorders>
            <w:shd w:val="clear" w:color="auto" w:fill="auto"/>
          </w:tcPr>
          <w:p w14:paraId="1B6807A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26, 46;</w:t>
            </w:r>
          </w:p>
          <w:p w14:paraId="1B6807A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Ara-C 75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28-31, 35-38, 42-45;</w:t>
            </w:r>
          </w:p>
          <w:p w14:paraId="1B6807A7" w14:textId="77777777" w:rsidR="00244ABD" w:rsidRPr="00280050"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6-MP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26-46</w:t>
            </w:r>
          </w:p>
        </w:tc>
      </w:tr>
      <w:tr w:rsidR="00244ABD" w:rsidRPr="00280050" w14:paraId="1B6807AF" w14:textId="77777777" w:rsidTr="005E7BE5">
        <w:trPr>
          <w:cantSplit/>
        </w:trPr>
        <w:tc>
          <w:tcPr>
            <w:tcW w:w="2148" w:type="dxa"/>
            <w:tcBorders>
              <w:top w:val="nil"/>
              <w:bottom w:val="single" w:sz="4" w:space="0" w:color="auto"/>
            </w:tcBorders>
            <w:shd w:val="clear" w:color="auto" w:fill="auto"/>
          </w:tcPr>
          <w:p w14:paraId="1B6807A9" w14:textId="77777777" w:rsidR="00244ABD" w:rsidRPr="00654EF1" w:rsidRDefault="005E7BE5" w:rsidP="001D5C8C">
            <w:pPr>
              <w:pStyle w:val="Table"/>
              <w:keepNext w:val="0"/>
              <w:keepLines w:val="0"/>
              <w:widowControl w:val="0"/>
              <w:spacing w:before="0" w:after="0"/>
              <w:rPr>
                <w:rFonts w:ascii="Times New Roman" w:hAnsi="Times New Roman"/>
                <w:color w:val="000000"/>
                <w:sz w:val="22"/>
                <w:szCs w:val="22"/>
              </w:rPr>
            </w:pPr>
            <w:r>
              <w:rPr>
                <w:rFonts w:ascii="Times New Roman" w:hAnsi="Times New Roman"/>
                <w:color w:val="000000"/>
                <w:sz w:val="22"/>
                <w:szCs w:val="22"/>
              </w:rPr>
              <w:t>Consolidation therapy</w:t>
            </w:r>
          </w:p>
        </w:tc>
        <w:tc>
          <w:tcPr>
            <w:tcW w:w="6732" w:type="dxa"/>
            <w:gridSpan w:val="4"/>
            <w:tcBorders>
              <w:top w:val="nil"/>
              <w:bottom w:val="single" w:sz="4" w:space="0" w:color="auto"/>
            </w:tcBorders>
            <w:shd w:val="clear" w:color="auto" w:fill="auto"/>
          </w:tcPr>
          <w:p w14:paraId="1B6807AA"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DEX 10 mg/m</w:t>
            </w:r>
            <w:r w:rsidRPr="00654EF1">
              <w:rPr>
                <w:rFonts w:ascii="Times New Roman" w:hAnsi="Times New Roman"/>
                <w:color w:val="000000"/>
                <w:sz w:val="22"/>
                <w:szCs w:val="22"/>
                <w:vertAlign w:val="superscript"/>
              </w:rPr>
              <w:t xml:space="preserve">2 </w:t>
            </w:r>
            <w:r w:rsidRPr="00654EF1">
              <w:rPr>
                <w:rFonts w:ascii="Times New Roman" w:hAnsi="Times New Roman"/>
                <w:color w:val="000000"/>
                <w:sz w:val="22"/>
                <w:szCs w:val="22"/>
              </w:rPr>
              <w:t xml:space="preserve"> oral, days 1-5;</w:t>
            </w:r>
          </w:p>
          <w:p w14:paraId="1B6807AB"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da-DK"/>
              </w:rPr>
            </w:pPr>
            <w:r w:rsidRPr="00280050">
              <w:rPr>
                <w:rFonts w:ascii="Times New Roman" w:hAnsi="Times New Roman"/>
                <w:color w:val="000000"/>
                <w:sz w:val="22"/>
                <w:szCs w:val="22"/>
                <w:lang w:val="da-DK"/>
              </w:rPr>
              <w:t>Vindesine 3 mg/m</w:t>
            </w:r>
            <w:r w:rsidRPr="00280050">
              <w:rPr>
                <w:rFonts w:ascii="Times New Roman" w:hAnsi="Times New Roman"/>
                <w:color w:val="000000"/>
                <w:sz w:val="22"/>
                <w:szCs w:val="22"/>
                <w:vertAlign w:val="superscript"/>
                <w:lang w:val="da-DK"/>
              </w:rPr>
              <w:t>2</w:t>
            </w:r>
            <w:r w:rsidRPr="00280050">
              <w:rPr>
                <w:rFonts w:ascii="Times New Roman" w:hAnsi="Times New Roman"/>
                <w:color w:val="000000"/>
                <w:sz w:val="22"/>
                <w:szCs w:val="22"/>
                <w:lang w:val="da-DK"/>
              </w:rPr>
              <w:t xml:space="preserve"> i.v., day 1;</w:t>
            </w:r>
          </w:p>
          <w:p w14:paraId="1B6807AC"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1.5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w:t>
            </w:r>
          </w:p>
          <w:p w14:paraId="1B6807AD"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Etoposide 250 mg/m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(1 h) days 4-5;</w:t>
            </w:r>
          </w:p>
          <w:p w14:paraId="1B6807AE" w14:textId="77777777" w:rsidR="00244ABD" w:rsidRPr="00280050" w:rsidRDefault="00244ABD" w:rsidP="001D5C8C">
            <w:pPr>
              <w:pStyle w:val="Table"/>
              <w:keepNext w:val="0"/>
              <w:keepLines w:val="0"/>
              <w:widowControl w:val="0"/>
              <w:spacing w:before="0" w:after="0"/>
              <w:rPr>
                <w:rFonts w:ascii="Times New Roman" w:hAnsi="Times New Roman"/>
                <w:color w:val="000000"/>
                <w:sz w:val="22"/>
                <w:szCs w:val="22"/>
                <w:lang w:val="pt-PT"/>
              </w:rPr>
            </w:pPr>
            <w:r w:rsidRPr="00280050">
              <w:rPr>
                <w:rFonts w:ascii="Times New Roman" w:hAnsi="Times New Roman"/>
                <w:color w:val="000000"/>
                <w:sz w:val="22"/>
                <w:szCs w:val="22"/>
                <w:lang w:val="pt-PT"/>
              </w:rPr>
              <w:t>Ara-C 2x 2 g/m</w:t>
            </w:r>
            <w:r w:rsidRPr="00280050">
              <w:rPr>
                <w:rFonts w:ascii="Times New Roman" w:hAnsi="Times New Roman"/>
                <w:color w:val="000000"/>
                <w:sz w:val="22"/>
                <w:szCs w:val="22"/>
                <w:vertAlign w:val="superscript"/>
                <w:lang w:val="pt-PT"/>
              </w:rPr>
              <w:t>2</w:t>
            </w:r>
            <w:r w:rsidRPr="00280050">
              <w:rPr>
                <w:rFonts w:ascii="Times New Roman" w:hAnsi="Times New Roman"/>
                <w:color w:val="000000"/>
                <w:sz w:val="22"/>
                <w:szCs w:val="22"/>
                <w:lang w:val="pt-PT"/>
              </w:rPr>
              <w:t xml:space="preserve"> i.v. (3 h, q 12 h), day 5</w:t>
            </w:r>
          </w:p>
        </w:tc>
      </w:tr>
      <w:tr w:rsidR="00244ABD" w:rsidRPr="00654EF1" w14:paraId="1B6807B5" w14:textId="77777777" w:rsidTr="005E7BE5">
        <w:trPr>
          <w:cantSplit/>
        </w:trPr>
        <w:tc>
          <w:tcPr>
            <w:tcW w:w="2148" w:type="dxa"/>
            <w:tcBorders>
              <w:top w:val="nil"/>
              <w:bottom w:val="single" w:sz="4" w:space="0" w:color="auto"/>
            </w:tcBorders>
            <w:shd w:val="clear" w:color="auto" w:fill="auto"/>
          </w:tcPr>
          <w:p w14:paraId="1B6807B0" w14:textId="77777777" w:rsidR="00244ABD" w:rsidRPr="00654EF1" w:rsidRDefault="00244ABD" w:rsidP="001D5C8C">
            <w:pPr>
              <w:pStyle w:val="Table"/>
              <w:keepLines w:val="0"/>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Study AJP01</w:t>
            </w:r>
          </w:p>
        </w:tc>
        <w:tc>
          <w:tcPr>
            <w:tcW w:w="2652" w:type="dxa"/>
            <w:tcBorders>
              <w:top w:val="nil"/>
              <w:bottom w:val="single" w:sz="4" w:space="0" w:color="auto"/>
            </w:tcBorders>
            <w:shd w:val="clear" w:color="auto" w:fill="auto"/>
          </w:tcPr>
          <w:p w14:paraId="1B6807B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1B6807B2"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1B6807B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1B6807B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7BB" w14:textId="77777777" w:rsidTr="005E7BE5">
        <w:trPr>
          <w:cantSplit/>
        </w:trPr>
        <w:tc>
          <w:tcPr>
            <w:tcW w:w="2148" w:type="dxa"/>
            <w:tcBorders>
              <w:top w:val="nil"/>
              <w:bottom w:val="single" w:sz="4" w:space="0" w:color="auto"/>
            </w:tcBorders>
            <w:shd w:val="clear" w:color="auto" w:fill="auto"/>
          </w:tcPr>
          <w:p w14:paraId="1B6807B6" w14:textId="77777777" w:rsidR="00244ABD" w:rsidRPr="00654EF1" w:rsidRDefault="00244ABD" w:rsidP="001D5C8C">
            <w:pPr>
              <w:pStyle w:val="Table"/>
              <w:keepLines w:val="0"/>
              <w:widowControl w:val="0"/>
              <w:spacing w:before="0" w:after="0"/>
              <w:jc w:val="both"/>
              <w:rPr>
                <w:rFonts w:ascii="Times New Roman" w:hAnsi="Times New Roman"/>
                <w:color w:val="000000"/>
                <w:sz w:val="22"/>
                <w:szCs w:val="22"/>
              </w:rPr>
            </w:pPr>
            <w:r w:rsidRPr="00654EF1">
              <w:rPr>
                <w:rFonts w:ascii="Times New Roman" w:hAnsi="Times New Roman"/>
                <w:color w:val="000000"/>
                <w:sz w:val="22"/>
                <w:szCs w:val="22"/>
              </w:rPr>
              <w:t>Induction therapy</w:t>
            </w:r>
          </w:p>
        </w:tc>
        <w:tc>
          <w:tcPr>
            <w:tcW w:w="6732" w:type="dxa"/>
            <w:gridSpan w:val="4"/>
            <w:tcBorders>
              <w:top w:val="nil"/>
              <w:bottom w:val="single" w:sz="4" w:space="0" w:color="auto"/>
            </w:tcBorders>
            <w:shd w:val="clear" w:color="auto" w:fill="auto"/>
          </w:tcPr>
          <w:p w14:paraId="1B6807B7"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CP 1.2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(3 h), day 1;</w:t>
            </w:r>
          </w:p>
          <w:p w14:paraId="1B6807B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Daunorubicin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(1 h), days 1-3;</w:t>
            </w:r>
          </w:p>
          <w:p w14:paraId="1B6807B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Vincristine 1.3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days 1, 8, 15, 21;</w:t>
            </w:r>
          </w:p>
          <w:p w14:paraId="1B6807B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/day oral</w:t>
            </w:r>
          </w:p>
        </w:tc>
      </w:tr>
      <w:tr w:rsidR="00244ABD" w:rsidRPr="00654EF1" w14:paraId="1B6807BE" w14:textId="77777777" w:rsidTr="005E7BE5">
        <w:trPr>
          <w:cantSplit/>
        </w:trPr>
        <w:tc>
          <w:tcPr>
            <w:tcW w:w="2148" w:type="dxa"/>
            <w:tcBorders>
              <w:top w:val="single" w:sz="4" w:space="0" w:color="auto"/>
              <w:bottom w:val="single" w:sz="4" w:space="0" w:color="auto"/>
            </w:tcBorders>
            <w:shd w:val="clear" w:color="auto" w:fill="auto"/>
          </w:tcPr>
          <w:p w14:paraId="1B6807BC" w14:textId="77777777" w:rsidR="00244ABD" w:rsidRPr="00654EF1" w:rsidRDefault="00244ABD" w:rsidP="001D5C8C">
            <w:pPr>
              <w:pStyle w:val="Table"/>
              <w:keepLines w:val="0"/>
              <w:widowControl w:val="0"/>
              <w:tabs>
                <w:tab w:val="left" w:pos="0"/>
              </w:tabs>
              <w:spacing w:before="0" w:after="0"/>
              <w:rPr>
                <w:rFonts w:ascii="Times New Roman" w:hAnsi="Times New Roman"/>
                <w:color w:val="000000"/>
                <w:sz w:val="22"/>
                <w:szCs w:val="22"/>
              </w:rPr>
            </w:pPr>
            <w:r w:rsidRPr="00654EF1">
              <w:rPr>
                <w:rFonts w:ascii="Times New Roman" w:hAnsi="Times New Roman"/>
                <w:color w:val="000000"/>
                <w:sz w:val="22"/>
                <w:szCs w:val="22"/>
              </w:rPr>
              <w:t>Consolidation therapy</w:t>
            </w:r>
          </w:p>
        </w:tc>
        <w:tc>
          <w:tcPr>
            <w:tcW w:w="6732" w:type="dxa"/>
            <w:gridSpan w:val="4"/>
            <w:tcBorders>
              <w:top w:val="single" w:sz="4" w:space="0" w:color="auto"/>
              <w:bottom w:val="single" w:sz="4" w:space="0" w:color="auto"/>
            </w:tcBorders>
            <w:shd w:val="clear" w:color="auto" w:fill="auto"/>
          </w:tcPr>
          <w:p w14:paraId="1B6807B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Alternating chemotherapy course: high dose chemotherapy with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 and Ara-C 2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(q 12 h), days 2-3, for 4 cycles</w:t>
            </w:r>
          </w:p>
        </w:tc>
      </w:tr>
      <w:tr w:rsidR="00244ABD" w:rsidRPr="00654EF1" w14:paraId="1B6807C2" w14:textId="77777777" w:rsidTr="005E7BE5">
        <w:trPr>
          <w:cantSplit/>
        </w:trPr>
        <w:tc>
          <w:tcPr>
            <w:tcW w:w="2148" w:type="dxa"/>
            <w:tcBorders>
              <w:top w:val="single" w:sz="4" w:space="0" w:color="auto"/>
              <w:bottom w:val="single" w:sz="4" w:space="0" w:color="auto"/>
            </w:tcBorders>
            <w:shd w:val="clear" w:color="auto" w:fill="auto"/>
          </w:tcPr>
          <w:p w14:paraId="1B6807BF" w14:textId="77777777" w:rsidR="00244ABD" w:rsidRPr="00654EF1" w:rsidRDefault="00244ABD" w:rsidP="001D5C8C">
            <w:pPr>
              <w:pStyle w:val="Table"/>
              <w:keepNext w:val="0"/>
              <w:keepLines w:val="0"/>
              <w:widowControl w:val="0"/>
              <w:tabs>
                <w:tab w:val="left" w:pos="0"/>
              </w:tabs>
              <w:spacing w:before="0" w:after="0"/>
              <w:rPr>
                <w:rFonts w:ascii="Times New Roman" w:hAnsi="Times New Roman"/>
                <w:color w:val="000000"/>
                <w:sz w:val="22"/>
                <w:szCs w:val="22"/>
              </w:rPr>
            </w:pPr>
            <w:r w:rsidRPr="00654EF1">
              <w:rPr>
                <w:rFonts w:ascii="Times New Roman" w:hAnsi="Times New Roman"/>
                <w:color w:val="000000"/>
                <w:sz w:val="22"/>
                <w:szCs w:val="22"/>
              </w:rPr>
              <w:t>Maintenance</w:t>
            </w:r>
          </w:p>
        </w:tc>
        <w:tc>
          <w:tcPr>
            <w:tcW w:w="6732" w:type="dxa"/>
            <w:gridSpan w:val="4"/>
            <w:tcBorders>
              <w:top w:val="single" w:sz="4" w:space="0" w:color="auto"/>
              <w:bottom w:val="single" w:sz="4" w:space="0" w:color="auto"/>
            </w:tcBorders>
            <w:shd w:val="clear" w:color="auto" w:fill="auto"/>
          </w:tcPr>
          <w:p w14:paraId="1B6807C0"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1.3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day 1;</w:t>
            </w:r>
          </w:p>
          <w:p w14:paraId="1B6807C1" w14:textId="77777777" w:rsidR="00244ABD" w:rsidRPr="00654EF1" w:rsidRDefault="00244ABD" w:rsidP="001D5C8C">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60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oral, days 1-5</w:t>
            </w:r>
          </w:p>
        </w:tc>
      </w:tr>
      <w:tr w:rsidR="00244ABD" w:rsidRPr="00654EF1" w14:paraId="1B6807C7" w14:textId="77777777" w:rsidTr="005E7BE5">
        <w:trPr>
          <w:cantSplit/>
        </w:trPr>
        <w:tc>
          <w:tcPr>
            <w:tcW w:w="4800" w:type="dxa"/>
            <w:gridSpan w:val="2"/>
            <w:tcBorders>
              <w:top w:val="single" w:sz="4" w:space="0" w:color="auto"/>
              <w:bottom w:val="single" w:sz="4" w:space="0" w:color="auto"/>
            </w:tcBorders>
            <w:shd w:val="clear" w:color="auto" w:fill="auto"/>
          </w:tcPr>
          <w:p w14:paraId="1B6807C3"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b/>
                <w:color w:val="000000"/>
                <w:sz w:val="22"/>
                <w:szCs w:val="22"/>
              </w:rPr>
              <w:t>Study AUS01</w:t>
            </w:r>
          </w:p>
        </w:tc>
        <w:tc>
          <w:tcPr>
            <w:tcW w:w="1080" w:type="dxa"/>
            <w:tcBorders>
              <w:top w:val="single" w:sz="4" w:space="0" w:color="auto"/>
              <w:bottom w:val="single" w:sz="4" w:space="0" w:color="auto"/>
            </w:tcBorders>
          </w:tcPr>
          <w:p w14:paraId="1B6807C4"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6807C5"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B6807C6"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p>
        </w:tc>
      </w:tr>
      <w:tr w:rsidR="00244ABD" w:rsidRPr="00654EF1" w14:paraId="1B6807CC" w14:textId="77777777" w:rsidTr="005E7BE5">
        <w:trPr>
          <w:cantSplit/>
        </w:trPr>
        <w:tc>
          <w:tcPr>
            <w:tcW w:w="2148" w:type="dxa"/>
            <w:tcBorders>
              <w:top w:val="single" w:sz="4" w:space="0" w:color="auto"/>
              <w:bottom w:val="single" w:sz="4" w:space="0" w:color="auto"/>
            </w:tcBorders>
            <w:shd w:val="clear" w:color="auto" w:fill="auto"/>
          </w:tcPr>
          <w:p w14:paraId="1B6807C8"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Induction-consolidation therapy</w:t>
            </w:r>
          </w:p>
        </w:tc>
        <w:tc>
          <w:tcPr>
            <w:tcW w:w="6732" w:type="dxa"/>
            <w:gridSpan w:val="4"/>
            <w:tcBorders>
              <w:top w:val="single" w:sz="4" w:space="0" w:color="auto"/>
              <w:bottom w:val="single" w:sz="4" w:space="0" w:color="auto"/>
            </w:tcBorders>
            <w:shd w:val="clear" w:color="auto" w:fill="auto"/>
          </w:tcPr>
          <w:p w14:paraId="1B6807C9"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Hyper-CVAD regimen: CP 300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(3 h, q 12 h), days 1-3; Vincristine 2 mg i.v., days 4, 11;</w:t>
            </w:r>
          </w:p>
          <w:p w14:paraId="1B6807CA"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Doxorubicine 50 mg/m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4;</w:t>
            </w:r>
          </w:p>
          <w:p w14:paraId="1B6807CB"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DEX 40 mg/day on days 1-4 and 11-14, alternated with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(24 h), day 1, Ara-C 1 g/m</w:t>
            </w:r>
            <w:r w:rsidRPr="00654EF1">
              <w:rPr>
                <w:rFonts w:ascii="Times New Roman" w:hAnsi="Times New Roman"/>
                <w:color w:val="000000"/>
                <w:sz w:val="22"/>
                <w:szCs w:val="22"/>
                <w:vertAlign w:val="superscript"/>
              </w:rPr>
              <w:t>2</w:t>
            </w:r>
            <w:r w:rsidRPr="00654EF1">
              <w:rPr>
                <w:rFonts w:ascii="Times New Roman" w:hAnsi="Times New Roman"/>
                <w:color w:val="000000"/>
                <w:sz w:val="22"/>
                <w:szCs w:val="22"/>
              </w:rPr>
              <w:t xml:space="preserve"> i.v. (2 h, q 12 h), days 2-3 (total of 8 courses)</w:t>
            </w:r>
          </w:p>
        </w:tc>
      </w:tr>
      <w:tr w:rsidR="00244ABD" w:rsidRPr="00654EF1" w14:paraId="1B6807D0" w14:textId="77777777" w:rsidTr="005E7BE5">
        <w:trPr>
          <w:cantSplit/>
        </w:trPr>
        <w:tc>
          <w:tcPr>
            <w:tcW w:w="2148" w:type="dxa"/>
            <w:tcBorders>
              <w:top w:val="single" w:sz="4" w:space="0" w:color="auto"/>
              <w:bottom w:val="single" w:sz="4" w:space="0" w:color="auto"/>
            </w:tcBorders>
            <w:shd w:val="clear" w:color="auto" w:fill="auto"/>
          </w:tcPr>
          <w:p w14:paraId="1B6807CD"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Maintenance</w:t>
            </w:r>
          </w:p>
        </w:tc>
        <w:tc>
          <w:tcPr>
            <w:tcW w:w="6732" w:type="dxa"/>
            <w:gridSpan w:val="4"/>
            <w:tcBorders>
              <w:top w:val="single" w:sz="4" w:space="0" w:color="auto"/>
              <w:bottom w:val="single" w:sz="4" w:space="0" w:color="auto"/>
            </w:tcBorders>
            <w:shd w:val="clear" w:color="auto" w:fill="auto"/>
          </w:tcPr>
          <w:p w14:paraId="1B6807CE"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2 mg i.v. monthly for 13 months;</w:t>
            </w:r>
          </w:p>
          <w:p w14:paraId="1B6807CF"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Prednisolone 200 mg oral, 5 days per month for 13 months</w:t>
            </w:r>
          </w:p>
        </w:tc>
      </w:tr>
      <w:tr w:rsidR="00244ABD" w:rsidRPr="00654EF1" w14:paraId="1B6807D2" w14:textId="77777777" w:rsidTr="005E7BE5">
        <w:trPr>
          <w:cantSplit/>
        </w:trPr>
        <w:tc>
          <w:tcPr>
            <w:tcW w:w="8880" w:type="dxa"/>
            <w:gridSpan w:val="5"/>
            <w:tcBorders>
              <w:top w:val="single" w:sz="4" w:space="0" w:color="auto"/>
              <w:bottom w:val="single" w:sz="4" w:space="0" w:color="auto"/>
            </w:tcBorders>
            <w:shd w:val="clear" w:color="auto" w:fill="auto"/>
          </w:tcPr>
          <w:p w14:paraId="1B6807D1" w14:textId="77777777" w:rsidR="00244ABD" w:rsidRPr="00654EF1" w:rsidRDefault="00244ABD" w:rsidP="001D5C8C">
            <w:pPr>
              <w:pStyle w:val="Table"/>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All treatment regimens include administration of steroids for </w:t>
            </w:r>
            <w:smartTag w:uri="urn:schemas-microsoft-com:office:smarttags" w:element="stockticker">
              <w:r w:rsidRPr="00654EF1">
                <w:rPr>
                  <w:rFonts w:ascii="Times New Roman" w:hAnsi="Times New Roman"/>
                  <w:color w:val="000000"/>
                  <w:sz w:val="22"/>
                  <w:szCs w:val="22"/>
                </w:rPr>
                <w:t>CNS</w:t>
              </w:r>
            </w:smartTag>
            <w:r w:rsidRPr="00654EF1">
              <w:rPr>
                <w:rFonts w:ascii="Times New Roman" w:hAnsi="Times New Roman"/>
                <w:color w:val="000000"/>
                <w:sz w:val="22"/>
                <w:szCs w:val="22"/>
              </w:rPr>
              <w:t xml:space="preserve"> prophylaxis.</w:t>
            </w:r>
          </w:p>
        </w:tc>
      </w:tr>
      <w:tr w:rsidR="00244ABD" w:rsidRPr="00654EF1" w14:paraId="1B6807D4" w14:textId="77777777" w:rsidTr="005E7BE5">
        <w:trPr>
          <w:cantSplit/>
        </w:trPr>
        <w:tc>
          <w:tcPr>
            <w:tcW w:w="8880" w:type="dxa"/>
            <w:gridSpan w:val="5"/>
            <w:tcBorders>
              <w:top w:val="single" w:sz="4" w:space="0" w:color="auto"/>
              <w:bottom w:val="single" w:sz="4" w:space="0" w:color="auto"/>
            </w:tcBorders>
            <w:shd w:val="clear" w:color="auto" w:fill="auto"/>
          </w:tcPr>
          <w:p w14:paraId="1B6807D3" w14:textId="77777777" w:rsidR="00244ABD" w:rsidRPr="00654EF1" w:rsidRDefault="00244ABD" w:rsidP="005E7BE5">
            <w:pPr>
              <w:pStyle w:val="Table"/>
              <w:keepNext w:val="0"/>
              <w:keepLines w:val="0"/>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 xml:space="preserve">Ara-C: cytosine arabinoside; CP: cyclophosphamide; DEX: dexamethasone; </w:t>
            </w:r>
            <w:smartTag w:uri="urn:schemas-microsoft-com:office:smarttags" w:element="stockticker">
              <w:r w:rsidRPr="00654EF1">
                <w:rPr>
                  <w:rFonts w:ascii="Times New Roman" w:hAnsi="Times New Roman"/>
                  <w:color w:val="000000"/>
                  <w:sz w:val="22"/>
                  <w:szCs w:val="22"/>
                </w:rPr>
                <w:t>MTX</w:t>
              </w:r>
            </w:smartTag>
            <w:r w:rsidRPr="00654EF1">
              <w:rPr>
                <w:rFonts w:ascii="Times New Roman" w:hAnsi="Times New Roman"/>
                <w:color w:val="000000"/>
                <w:sz w:val="22"/>
                <w:szCs w:val="22"/>
              </w:rPr>
              <w:t xml:space="preserve">: methotrexate; 6-MP: 6-mercaptopurine VM26: Teniposide; </w:t>
            </w:r>
            <w:smartTag w:uri="urn:schemas-microsoft-com:office:smarttags" w:element="stockticker">
              <w:r w:rsidRPr="00654EF1">
                <w:rPr>
                  <w:rFonts w:ascii="Times New Roman" w:hAnsi="Times New Roman"/>
                  <w:color w:val="000000"/>
                  <w:sz w:val="22"/>
                  <w:szCs w:val="22"/>
                </w:rPr>
                <w:t>VCR</w:t>
              </w:r>
            </w:smartTag>
            <w:r w:rsidRPr="00654EF1">
              <w:rPr>
                <w:rFonts w:ascii="Times New Roman" w:hAnsi="Times New Roman"/>
                <w:color w:val="000000"/>
                <w:sz w:val="22"/>
                <w:szCs w:val="22"/>
              </w:rPr>
              <w:t xml:space="preserve">: vincristine; </w:t>
            </w:r>
            <w:smartTag w:uri="urn:schemas-microsoft-com:office:smarttags" w:element="stockticker">
              <w:r w:rsidRPr="00654EF1">
                <w:rPr>
                  <w:rFonts w:ascii="Times New Roman" w:hAnsi="Times New Roman"/>
                  <w:color w:val="000000"/>
                  <w:sz w:val="22"/>
                  <w:szCs w:val="22"/>
                </w:rPr>
                <w:t>IDA</w:t>
              </w:r>
            </w:smartTag>
            <w:r w:rsidRPr="00654EF1">
              <w:rPr>
                <w:rFonts w:ascii="Times New Roman" w:hAnsi="Times New Roman"/>
                <w:color w:val="000000"/>
                <w:sz w:val="22"/>
                <w:szCs w:val="22"/>
              </w:rPr>
              <w:t>: idarubicine; i.v.: intravenous</w:t>
            </w:r>
          </w:p>
        </w:tc>
      </w:tr>
    </w:tbl>
    <w:p w14:paraId="1B6807D5" w14:textId="77777777" w:rsidR="00244ABD" w:rsidRPr="00654EF1" w:rsidRDefault="00244ABD" w:rsidP="001D5C8C">
      <w:pPr>
        <w:pStyle w:val="EndnoteText"/>
        <w:widowControl w:val="0"/>
        <w:rPr>
          <w:color w:val="000000"/>
          <w:szCs w:val="22"/>
          <w:lang w:val="en-US"/>
        </w:rPr>
      </w:pPr>
    </w:p>
    <w:p w14:paraId="1B6807D6" w14:textId="77777777" w:rsidR="00836B4E" w:rsidRPr="00654EF1" w:rsidRDefault="00836B4E" w:rsidP="001D5C8C">
      <w:pPr>
        <w:pStyle w:val="EndnoteText"/>
        <w:widowControl w:val="0"/>
        <w:rPr>
          <w:color w:val="000000"/>
        </w:rPr>
      </w:pPr>
      <w:r w:rsidRPr="00654EF1">
        <w:rPr>
          <w:i/>
          <w:color w:val="000000"/>
        </w:rPr>
        <w:t>Paediatric patients</w:t>
      </w:r>
      <w:r w:rsidRPr="00654EF1">
        <w:rPr>
          <w:color w:val="000000"/>
        </w:rPr>
        <w:t>:</w:t>
      </w:r>
      <w:r w:rsidRPr="00654EF1">
        <w:t xml:space="preserve"> </w:t>
      </w:r>
      <w:r w:rsidRPr="00654EF1">
        <w:rPr>
          <w:color w:val="000000"/>
        </w:rPr>
        <w:t>In study I2301, a total of 93 paediatric, adolescent and young adult patients (from 1 to 22 years old) with Ph+ ALL were enrolled in an open-label, multicentre, sequential cohort, non-randomised phase III trial, and were treated with Glivec (340 mg/m</w:t>
      </w:r>
      <w:r w:rsidRPr="00654EF1">
        <w:rPr>
          <w:color w:val="000000"/>
          <w:vertAlign w:val="superscript"/>
        </w:rPr>
        <w:t>2</w:t>
      </w:r>
      <w:r w:rsidRPr="00654EF1">
        <w:rPr>
          <w:color w:val="000000"/>
        </w:rPr>
        <w:t>/day) in combination with intensive chemotherapy after induction therapy. Glivec was administered intermittently in cohorts 1</w:t>
      </w:r>
      <w:r w:rsidRPr="00654EF1">
        <w:rPr>
          <w:color w:val="000000"/>
        </w:rPr>
        <w:noBreakHyphen/>
        <w:t>5, with increasing duration and earlier start of Glivec from cohort to cohort; cohort 1 receiving the lowest intensitiy and cohort 5 receiving the highest intensity of Glivec (longest duration in days with continuous daily Glivec dosing during the first chemotherapy treatment courses). Continuous daily exposure to Glivec early in the course of treatment in combination with chemotherapy in cohort 5-patients (n=50) improved the 4-year event-free survival (EFS) compared to historical controls (n=120), who received standard chemotherapy without Glivec (69.6% vs. 31.6%, respectively). The estimated 4-year OS in cohort 5-patients was 83.6% compared to 44.8% in the historical controls. 20 out of the 50 (40%) patients in cohort 5 received haematopoietic stem cell transplant.</w:t>
      </w:r>
    </w:p>
    <w:p w14:paraId="1B6807D7" w14:textId="77777777" w:rsidR="00836B4E" w:rsidRPr="00654EF1" w:rsidRDefault="00836B4E" w:rsidP="001D5C8C">
      <w:pPr>
        <w:pStyle w:val="EndnoteText"/>
        <w:widowControl w:val="0"/>
        <w:rPr>
          <w:color w:val="000000"/>
        </w:rPr>
      </w:pPr>
    </w:p>
    <w:p w14:paraId="1B6807D8" w14:textId="77777777" w:rsidR="00836B4E" w:rsidRPr="00654EF1" w:rsidRDefault="00836B4E" w:rsidP="001D5C8C">
      <w:pPr>
        <w:pStyle w:val="EndnoteText"/>
        <w:keepNext/>
        <w:widowControl w:val="0"/>
        <w:tabs>
          <w:tab w:val="clear" w:pos="567"/>
        </w:tabs>
        <w:ind w:left="1134" w:hanging="1134"/>
        <w:rPr>
          <w:b/>
          <w:color w:val="000000"/>
        </w:rPr>
      </w:pPr>
      <w:r w:rsidRPr="00654EF1">
        <w:rPr>
          <w:b/>
          <w:color w:val="000000"/>
        </w:rPr>
        <w:lastRenderedPageBreak/>
        <w:t>Table </w:t>
      </w:r>
      <w:r w:rsidR="008F2DE5" w:rsidRPr="00654EF1">
        <w:rPr>
          <w:b/>
          <w:color w:val="000000"/>
        </w:rPr>
        <w:t>5</w:t>
      </w:r>
      <w:r w:rsidRPr="00654EF1">
        <w:rPr>
          <w:b/>
          <w:color w:val="000000"/>
        </w:rPr>
        <w:tab/>
        <w:t>Chemotherapy regimen used in combination with imatinib in study I2301</w:t>
      </w:r>
    </w:p>
    <w:p w14:paraId="1B6807D9" w14:textId="77777777" w:rsidR="00836B4E" w:rsidRPr="00654EF1" w:rsidRDefault="00836B4E" w:rsidP="001D5C8C">
      <w:pPr>
        <w:pStyle w:val="EndnoteText"/>
        <w:keepNext/>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6735"/>
      </w:tblGrid>
      <w:tr w:rsidR="00836B4E" w:rsidRPr="00654EF1" w14:paraId="1B6807E2" w14:textId="77777777" w:rsidTr="00582A41">
        <w:trPr>
          <w:cantSplit/>
        </w:trPr>
        <w:tc>
          <w:tcPr>
            <w:tcW w:w="2358" w:type="dxa"/>
            <w:shd w:val="clear" w:color="auto" w:fill="auto"/>
          </w:tcPr>
          <w:p w14:paraId="1B6807DA" w14:textId="77777777" w:rsidR="00836B4E" w:rsidRPr="00654EF1" w:rsidRDefault="00836B4E" w:rsidP="001D5C8C">
            <w:pPr>
              <w:pStyle w:val="EndnoteText"/>
              <w:widowControl w:val="0"/>
              <w:rPr>
                <w:color w:val="000000"/>
              </w:rPr>
            </w:pPr>
            <w:r w:rsidRPr="00654EF1">
              <w:rPr>
                <w:color w:val="000000"/>
              </w:rPr>
              <w:t>Consolidation block 1</w:t>
            </w:r>
          </w:p>
          <w:p w14:paraId="1B6807DB" w14:textId="77777777" w:rsidR="00836B4E" w:rsidRPr="00654EF1" w:rsidRDefault="00836B4E" w:rsidP="001D5C8C">
            <w:pPr>
              <w:pStyle w:val="EndnoteText"/>
              <w:widowControl w:val="0"/>
              <w:rPr>
                <w:color w:val="000000"/>
              </w:rPr>
            </w:pPr>
            <w:r w:rsidRPr="00654EF1">
              <w:rPr>
                <w:color w:val="000000"/>
              </w:rPr>
              <w:t>(3 weeks)</w:t>
            </w:r>
          </w:p>
        </w:tc>
        <w:tc>
          <w:tcPr>
            <w:tcW w:w="6929" w:type="dxa"/>
            <w:shd w:val="clear" w:color="auto" w:fill="auto"/>
          </w:tcPr>
          <w:p w14:paraId="1B6807DC" w14:textId="77777777" w:rsidR="00836B4E" w:rsidRPr="00654EF1" w:rsidRDefault="00836B4E"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1</w:t>
            </w:r>
            <w:r w:rsidRPr="00654EF1">
              <w:rPr>
                <w:color w:val="000000"/>
              </w:rPr>
              <w:noBreakHyphen/>
              <w:t>5</w:t>
            </w:r>
          </w:p>
          <w:p w14:paraId="1B6807DD" w14:textId="77777777" w:rsidR="00836B4E" w:rsidRPr="00654EF1" w:rsidRDefault="00836B4E" w:rsidP="001D5C8C">
            <w:pPr>
              <w:pStyle w:val="EndnoteText"/>
              <w:widowControl w:val="0"/>
              <w:rPr>
                <w:color w:val="000000"/>
              </w:rPr>
            </w:pPr>
            <w:r w:rsidRPr="00654EF1">
              <w:rPr>
                <w:color w:val="000000"/>
              </w:rPr>
              <w:t>Ifosfamide (1.8 g/m</w:t>
            </w:r>
            <w:r w:rsidRPr="00654EF1">
              <w:rPr>
                <w:color w:val="000000"/>
                <w:vertAlign w:val="superscript"/>
              </w:rPr>
              <w:t>2</w:t>
            </w:r>
            <w:r w:rsidRPr="00654EF1">
              <w:rPr>
                <w:color w:val="000000"/>
              </w:rPr>
              <w:t>/day, IV): days 1</w:t>
            </w:r>
            <w:r w:rsidRPr="00654EF1">
              <w:rPr>
                <w:color w:val="000000"/>
              </w:rPr>
              <w:noBreakHyphen/>
              <w:t>5</w:t>
            </w:r>
          </w:p>
          <w:p w14:paraId="1B6807DE" w14:textId="77777777" w:rsidR="00836B4E" w:rsidRPr="00654EF1" w:rsidRDefault="00836B4E" w:rsidP="001D5C8C">
            <w:pPr>
              <w:pStyle w:val="EndnoteText"/>
              <w:widowControl w:val="0"/>
              <w:rPr>
                <w:color w:val="000000"/>
              </w:rPr>
            </w:pPr>
            <w:r w:rsidRPr="00654EF1">
              <w:rPr>
                <w:color w:val="000000"/>
              </w:rPr>
              <w:t>MESNA (360 mg/m</w:t>
            </w:r>
            <w:r w:rsidRPr="00654EF1">
              <w:rPr>
                <w:color w:val="000000"/>
                <w:vertAlign w:val="superscript"/>
              </w:rPr>
              <w:t>2</w:t>
            </w:r>
            <w:r w:rsidRPr="00654EF1">
              <w:rPr>
                <w:color w:val="000000"/>
              </w:rPr>
              <w:t>/dose q3h, x 8 doses/day, IV): days 1</w:t>
            </w:r>
            <w:r w:rsidRPr="00654EF1">
              <w:rPr>
                <w:color w:val="000000"/>
              </w:rPr>
              <w:noBreakHyphen/>
              <w:t>5</w:t>
            </w:r>
          </w:p>
          <w:p w14:paraId="1B6807DF" w14:textId="77777777" w:rsidR="00836B4E" w:rsidRPr="00654EF1" w:rsidRDefault="00836B4E" w:rsidP="001D5C8C">
            <w:pPr>
              <w:pStyle w:val="EndnoteText"/>
              <w:widowControl w:val="0"/>
              <w:rPr>
                <w:color w:val="000000"/>
              </w:rPr>
            </w:pPr>
            <w:r w:rsidRPr="00654EF1">
              <w:rPr>
                <w:color w:val="000000"/>
              </w:rPr>
              <w:t>G-CSF (5 μg/kg, SC): days 6</w:t>
            </w:r>
            <w:r w:rsidRPr="00654EF1">
              <w:rPr>
                <w:color w:val="000000"/>
              </w:rPr>
              <w:noBreakHyphen/>
              <w:t>15 or until ANC &gt; 1500 post nadir</w:t>
            </w:r>
          </w:p>
          <w:p w14:paraId="1B6807E0" w14:textId="77777777" w:rsidR="00836B4E" w:rsidRPr="00654EF1" w:rsidRDefault="00836B4E" w:rsidP="001D5C8C">
            <w:pPr>
              <w:pStyle w:val="EndnoteText"/>
              <w:widowControl w:val="0"/>
              <w:rPr>
                <w:color w:val="000000"/>
              </w:rPr>
            </w:pPr>
            <w:r w:rsidRPr="00654EF1">
              <w:rPr>
                <w:color w:val="000000"/>
              </w:rPr>
              <w:t>IT Methotrexate (age-adjusted): day 1 ONLY</w:t>
            </w:r>
          </w:p>
          <w:p w14:paraId="1B6807E1" w14:textId="77777777" w:rsidR="00836B4E" w:rsidRPr="00654EF1" w:rsidRDefault="00836B4E" w:rsidP="001D5C8C">
            <w:pPr>
              <w:pStyle w:val="EndnoteText"/>
              <w:widowControl w:val="0"/>
              <w:rPr>
                <w:color w:val="000000"/>
              </w:rPr>
            </w:pPr>
            <w:r w:rsidRPr="00654EF1">
              <w:rPr>
                <w:color w:val="000000"/>
              </w:rPr>
              <w:t>Triple IT therapy (age-adjusted): day 8, 15</w:t>
            </w:r>
          </w:p>
        </w:tc>
      </w:tr>
      <w:tr w:rsidR="00836B4E" w:rsidRPr="00654EF1" w14:paraId="1B6807EA" w14:textId="77777777" w:rsidTr="00582A41">
        <w:trPr>
          <w:cantSplit/>
        </w:trPr>
        <w:tc>
          <w:tcPr>
            <w:tcW w:w="2358" w:type="dxa"/>
            <w:shd w:val="clear" w:color="auto" w:fill="auto"/>
          </w:tcPr>
          <w:p w14:paraId="1B6807E3" w14:textId="77777777" w:rsidR="00836B4E" w:rsidRPr="00654EF1" w:rsidRDefault="00836B4E" w:rsidP="001D5C8C">
            <w:pPr>
              <w:pStyle w:val="EndnoteText"/>
              <w:widowControl w:val="0"/>
              <w:rPr>
                <w:color w:val="000000"/>
              </w:rPr>
            </w:pPr>
            <w:r w:rsidRPr="00654EF1">
              <w:rPr>
                <w:color w:val="000000"/>
              </w:rPr>
              <w:t>Consolidation block 2</w:t>
            </w:r>
          </w:p>
          <w:p w14:paraId="1B6807E4" w14:textId="77777777" w:rsidR="00836B4E" w:rsidRPr="00654EF1" w:rsidRDefault="00836B4E" w:rsidP="001D5C8C">
            <w:pPr>
              <w:pStyle w:val="EndnoteText"/>
              <w:widowControl w:val="0"/>
              <w:rPr>
                <w:color w:val="000000"/>
              </w:rPr>
            </w:pPr>
            <w:r w:rsidRPr="00654EF1">
              <w:rPr>
                <w:color w:val="000000"/>
              </w:rPr>
              <w:t>(3 weeks)</w:t>
            </w:r>
          </w:p>
        </w:tc>
        <w:tc>
          <w:tcPr>
            <w:tcW w:w="6929" w:type="dxa"/>
            <w:shd w:val="clear" w:color="auto" w:fill="auto"/>
          </w:tcPr>
          <w:p w14:paraId="1B6807E5" w14:textId="77777777" w:rsidR="00836B4E" w:rsidRPr="00654EF1" w:rsidRDefault="00836B4E"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 1</w:t>
            </w:r>
          </w:p>
          <w:p w14:paraId="1B6807E6" w14:textId="77777777" w:rsidR="00836B4E" w:rsidRPr="00654EF1" w:rsidRDefault="00836B4E"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and 3</w:t>
            </w:r>
          </w:p>
          <w:p w14:paraId="1B6807E7" w14:textId="77777777" w:rsidR="00836B4E" w:rsidRPr="00654EF1" w:rsidRDefault="00836B4E" w:rsidP="001D5C8C">
            <w:pPr>
              <w:pStyle w:val="EndnoteText"/>
              <w:widowControl w:val="0"/>
              <w:rPr>
                <w:color w:val="000000"/>
              </w:rPr>
            </w:pPr>
            <w:r w:rsidRPr="00654EF1">
              <w:rPr>
                <w:color w:val="000000"/>
              </w:rPr>
              <w:t>Triple IT therapy (age-adjusted): day 1</w:t>
            </w:r>
          </w:p>
          <w:p w14:paraId="1B6807E8" w14:textId="77777777" w:rsidR="00836B4E" w:rsidRPr="00654EF1" w:rsidRDefault="00836B4E" w:rsidP="001D5C8C">
            <w:pPr>
              <w:pStyle w:val="EndnoteText"/>
              <w:widowControl w:val="0"/>
              <w:rPr>
                <w:color w:val="000000"/>
              </w:rPr>
            </w:pPr>
            <w:r w:rsidRPr="00654EF1">
              <w:rPr>
                <w:color w:val="000000"/>
              </w:rPr>
              <w:t>ARA-C (3 g/m</w:t>
            </w:r>
            <w:r w:rsidRPr="00654EF1">
              <w:rPr>
                <w:color w:val="000000"/>
                <w:vertAlign w:val="superscript"/>
              </w:rPr>
              <w:t>2</w:t>
            </w:r>
            <w:r w:rsidRPr="00654EF1">
              <w:rPr>
                <w:color w:val="000000"/>
              </w:rPr>
              <w:t>/dose q 12 h x 4, IV): days 2 and 3</w:t>
            </w:r>
          </w:p>
          <w:p w14:paraId="1B6807E9" w14:textId="77777777" w:rsidR="00836B4E" w:rsidRPr="00654EF1" w:rsidRDefault="00836B4E" w:rsidP="001D5C8C">
            <w:pPr>
              <w:pStyle w:val="EndnoteText"/>
              <w:widowControl w:val="0"/>
              <w:rPr>
                <w:color w:val="000000"/>
              </w:rPr>
            </w:pPr>
            <w:r w:rsidRPr="00654EF1">
              <w:rPr>
                <w:color w:val="000000"/>
              </w:rPr>
              <w:t>G-CSF (5 μg/kg, SC): days 4-13 or until ANC &gt; 1500 post nadir</w:t>
            </w:r>
          </w:p>
        </w:tc>
      </w:tr>
      <w:tr w:rsidR="00836B4E" w:rsidRPr="00654EF1" w14:paraId="1B6807F4" w14:textId="77777777" w:rsidTr="00582A41">
        <w:trPr>
          <w:cantSplit/>
        </w:trPr>
        <w:tc>
          <w:tcPr>
            <w:tcW w:w="2358" w:type="dxa"/>
            <w:shd w:val="clear" w:color="auto" w:fill="auto"/>
          </w:tcPr>
          <w:p w14:paraId="1B6807EB" w14:textId="77777777" w:rsidR="00836B4E" w:rsidRPr="00654EF1" w:rsidRDefault="00836B4E" w:rsidP="001D5C8C">
            <w:pPr>
              <w:pStyle w:val="EndnoteText"/>
              <w:widowControl w:val="0"/>
              <w:rPr>
                <w:color w:val="000000"/>
              </w:rPr>
            </w:pPr>
            <w:r w:rsidRPr="00654EF1">
              <w:rPr>
                <w:color w:val="000000"/>
              </w:rPr>
              <w:t>Reinduction block 1</w:t>
            </w:r>
          </w:p>
          <w:p w14:paraId="1B6807EC" w14:textId="77777777" w:rsidR="00836B4E" w:rsidRPr="00654EF1" w:rsidRDefault="00836B4E" w:rsidP="001D5C8C">
            <w:pPr>
              <w:pStyle w:val="EndnoteText"/>
              <w:widowControl w:val="0"/>
              <w:rPr>
                <w:color w:val="000000"/>
              </w:rPr>
            </w:pPr>
            <w:r w:rsidRPr="00654EF1">
              <w:rPr>
                <w:color w:val="000000"/>
              </w:rPr>
              <w:t>(3 weeks)</w:t>
            </w:r>
          </w:p>
        </w:tc>
        <w:tc>
          <w:tcPr>
            <w:tcW w:w="6929" w:type="dxa"/>
            <w:shd w:val="clear" w:color="auto" w:fill="auto"/>
          </w:tcPr>
          <w:p w14:paraId="1B6807ED" w14:textId="77777777" w:rsidR="00836B4E" w:rsidRPr="00654EF1" w:rsidRDefault="00836B4E"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8, and 15</w:t>
            </w:r>
          </w:p>
          <w:p w14:paraId="1B6807EE" w14:textId="77777777" w:rsidR="00836B4E" w:rsidRPr="00654EF1" w:rsidRDefault="00836B4E" w:rsidP="001D5C8C">
            <w:pPr>
              <w:pStyle w:val="EndnoteText"/>
              <w:widowControl w:val="0"/>
              <w:rPr>
                <w:color w:val="000000"/>
              </w:rPr>
            </w:pPr>
            <w:r w:rsidRPr="00654EF1">
              <w:rPr>
                <w:color w:val="000000"/>
              </w:rPr>
              <w:t>DAUN (45 mg/m</w:t>
            </w:r>
            <w:r w:rsidRPr="00654EF1">
              <w:rPr>
                <w:color w:val="000000"/>
                <w:vertAlign w:val="superscript"/>
              </w:rPr>
              <w:t>2</w:t>
            </w:r>
            <w:r w:rsidRPr="00654EF1">
              <w:rPr>
                <w:color w:val="000000"/>
              </w:rPr>
              <w:t>/day bolus, IV): days 1 and 2</w:t>
            </w:r>
          </w:p>
          <w:p w14:paraId="1B6807EF" w14:textId="77777777" w:rsidR="00836B4E" w:rsidRPr="00654EF1" w:rsidRDefault="00836B4E" w:rsidP="001D5C8C">
            <w:pPr>
              <w:pStyle w:val="EndnoteText"/>
              <w:widowControl w:val="0"/>
              <w:rPr>
                <w:color w:val="000000"/>
              </w:rPr>
            </w:pPr>
            <w:r w:rsidRPr="00654EF1">
              <w:rPr>
                <w:color w:val="000000"/>
              </w:rPr>
              <w:t>CPM (250 mg/m</w:t>
            </w:r>
            <w:r w:rsidRPr="00654EF1">
              <w:rPr>
                <w:color w:val="000000"/>
                <w:vertAlign w:val="superscript"/>
              </w:rPr>
              <w:t>2</w:t>
            </w:r>
            <w:r w:rsidRPr="00654EF1">
              <w:rPr>
                <w:color w:val="000000"/>
              </w:rPr>
              <w:t>/dose q12h x 4 doses, IV): days 3 and 4</w:t>
            </w:r>
          </w:p>
          <w:p w14:paraId="1B6807F0" w14:textId="77777777" w:rsidR="00836B4E" w:rsidRPr="00654EF1" w:rsidRDefault="00836B4E" w:rsidP="001D5C8C">
            <w:pPr>
              <w:pStyle w:val="EndnoteText"/>
              <w:widowControl w:val="0"/>
              <w:rPr>
                <w:color w:val="000000"/>
              </w:rPr>
            </w:pPr>
            <w:r w:rsidRPr="00654EF1">
              <w:rPr>
                <w:color w:val="000000"/>
              </w:rPr>
              <w:t>PEG-ASP (2500 IUnits/m</w:t>
            </w:r>
            <w:r w:rsidRPr="00654EF1">
              <w:rPr>
                <w:color w:val="000000"/>
                <w:vertAlign w:val="superscript"/>
              </w:rPr>
              <w:t>2</w:t>
            </w:r>
            <w:r w:rsidRPr="00654EF1">
              <w:rPr>
                <w:color w:val="000000"/>
              </w:rPr>
              <w:t>, IM): day 4</w:t>
            </w:r>
          </w:p>
          <w:p w14:paraId="1B6807F1" w14:textId="77777777" w:rsidR="00836B4E" w:rsidRPr="00654EF1" w:rsidRDefault="00836B4E" w:rsidP="001D5C8C">
            <w:pPr>
              <w:pStyle w:val="EndnoteText"/>
              <w:widowControl w:val="0"/>
              <w:rPr>
                <w:color w:val="000000"/>
              </w:rPr>
            </w:pPr>
            <w:r w:rsidRPr="00654EF1">
              <w:rPr>
                <w:color w:val="000000"/>
              </w:rPr>
              <w:t>G-CSF (5 μg/kg, SC): days 5</w:t>
            </w:r>
            <w:r w:rsidRPr="00654EF1">
              <w:rPr>
                <w:color w:val="000000"/>
              </w:rPr>
              <w:noBreakHyphen/>
              <w:t>14 or until ANC &gt; 1500 post nadir</w:t>
            </w:r>
          </w:p>
          <w:p w14:paraId="1B6807F2" w14:textId="77777777" w:rsidR="00836B4E" w:rsidRPr="00654EF1" w:rsidRDefault="00836B4E" w:rsidP="001D5C8C">
            <w:pPr>
              <w:pStyle w:val="EndnoteText"/>
              <w:widowControl w:val="0"/>
              <w:rPr>
                <w:color w:val="000000"/>
              </w:rPr>
            </w:pPr>
            <w:r w:rsidRPr="00654EF1">
              <w:rPr>
                <w:color w:val="000000"/>
              </w:rPr>
              <w:t>Triple IT therapy (age-adjusted): days 1 and 15</w:t>
            </w:r>
          </w:p>
          <w:p w14:paraId="1B6807F3" w14:textId="77777777" w:rsidR="00836B4E" w:rsidRPr="00654EF1" w:rsidRDefault="00836B4E"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7 and 15</w:t>
            </w:r>
            <w:r w:rsidRPr="00654EF1">
              <w:rPr>
                <w:color w:val="000000"/>
              </w:rPr>
              <w:noBreakHyphen/>
              <w:t>21</w:t>
            </w:r>
          </w:p>
        </w:tc>
      </w:tr>
      <w:tr w:rsidR="00836B4E" w:rsidRPr="00654EF1" w14:paraId="1B680800" w14:textId="77777777" w:rsidTr="00582A41">
        <w:trPr>
          <w:cantSplit/>
        </w:trPr>
        <w:tc>
          <w:tcPr>
            <w:tcW w:w="2358" w:type="dxa"/>
            <w:shd w:val="clear" w:color="auto" w:fill="auto"/>
          </w:tcPr>
          <w:p w14:paraId="1B6807F5" w14:textId="77777777" w:rsidR="00836B4E" w:rsidRPr="00654EF1" w:rsidRDefault="00836B4E" w:rsidP="001D5C8C">
            <w:pPr>
              <w:pStyle w:val="EndnoteText"/>
              <w:widowControl w:val="0"/>
              <w:rPr>
                <w:color w:val="000000"/>
              </w:rPr>
            </w:pPr>
            <w:r w:rsidRPr="00654EF1">
              <w:rPr>
                <w:color w:val="000000"/>
              </w:rPr>
              <w:t>Intensification block 1</w:t>
            </w:r>
          </w:p>
          <w:p w14:paraId="1B6807F6" w14:textId="77777777" w:rsidR="00836B4E" w:rsidRPr="00654EF1" w:rsidRDefault="00836B4E" w:rsidP="001D5C8C">
            <w:pPr>
              <w:pStyle w:val="EndnoteText"/>
              <w:widowControl w:val="0"/>
              <w:rPr>
                <w:color w:val="000000"/>
              </w:rPr>
            </w:pPr>
            <w:r w:rsidRPr="00654EF1">
              <w:rPr>
                <w:color w:val="000000"/>
              </w:rPr>
              <w:t>(9 weeks)</w:t>
            </w:r>
          </w:p>
        </w:tc>
        <w:tc>
          <w:tcPr>
            <w:tcW w:w="6929" w:type="dxa"/>
            <w:shd w:val="clear" w:color="auto" w:fill="auto"/>
          </w:tcPr>
          <w:p w14:paraId="1B6807F7" w14:textId="77777777" w:rsidR="00836B4E" w:rsidRPr="00654EF1" w:rsidRDefault="00836B4E"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days 1 and 15</w:t>
            </w:r>
          </w:p>
          <w:p w14:paraId="1B6807F8" w14:textId="77777777" w:rsidR="00836B4E" w:rsidRPr="00654EF1" w:rsidRDefault="00836B4E"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3, 16, and 17</w:t>
            </w:r>
          </w:p>
          <w:p w14:paraId="1B6807F9" w14:textId="77777777" w:rsidR="00836B4E" w:rsidRPr="00654EF1" w:rsidRDefault="00836B4E" w:rsidP="001D5C8C">
            <w:pPr>
              <w:pStyle w:val="EndnoteText"/>
              <w:widowControl w:val="0"/>
              <w:rPr>
                <w:color w:val="000000"/>
              </w:rPr>
            </w:pPr>
            <w:r w:rsidRPr="00654EF1">
              <w:rPr>
                <w:color w:val="000000"/>
              </w:rPr>
              <w:t>Triple IT therapy (age-adjusted): days 1 and 22</w:t>
            </w:r>
          </w:p>
          <w:p w14:paraId="1B6807FA" w14:textId="77777777" w:rsidR="00836B4E" w:rsidRPr="00654EF1" w:rsidRDefault="00836B4E"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22</w:t>
            </w:r>
            <w:r w:rsidRPr="00654EF1">
              <w:rPr>
                <w:color w:val="000000"/>
              </w:rPr>
              <w:noBreakHyphen/>
              <w:t>26</w:t>
            </w:r>
          </w:p>
          <w:p w14:paraId="1B6807FB" w14:textId="77777777" w:rsidR="00836B4E" w:rsidRPr="00654EF1" w:rsidRDefault="00836B4E"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/day, IV): days 22</w:t>
            </w:r>
            <w:r w:rsidRPr="00654EF1">
              <w:rPr>
                <w:color w:val="000000"/>
              </w:rPr>
              <w:noBreakHyphen/>
              <w:t>26</w:t>
            </w:r>
          </w:p>
          <w:p w14:paraId="1B6807FC" w14:textId="77777777" w:rsidR="00836B4E" w:rsidRPr="00654EF1" w:rsidRDefault="00836B4E" w:rsidP="001D5C8C">
            <w:pPr>
              <w:pStyle w:val="EndnoteText"/>
              <w:widowControl w:val="0"/>
              <w:rPr>
                <w:color w:val="000000"/>
              </w:rPr>
            </w:pPr>
            <w:r w:rsidRPr="00654EF1">
              <w:rPr>
                <w:color w:val="000000"/>
              </w:rPr>
              <w:t>MESNA (150 mg/m</w:t>
            </w:r>
            <w:r w:rsidRPr="00654EF1">
              <w:rPr>
                <w:color w:val="000000"/>
                <w:vertAlign w:val="superscript"/>
              </w:rPr>
              <w:t>2</w:t>
            </w:r>
            <w:r w:rsidRPr="00654EF1">
              <w:rPr>
                <w:color w:val="000000"/>
              </w:rPr>
              <w:t>/day, IV): days 22</w:t>
            </w:r>
            <w:r w:rsidRPr="00654EF1">
              <w:rPr>
                <w:color w:val="000000"/>
              </w:rPr>
              <w:noBreakHyphen/>
              <w:t>26</w:t>
            </w:r>
          </w:p>
          <w:p w14:paraId="1B6807FD" w14:textId="77777777" w:rsidR="00836B4E" w:rsidRPr="00654EF1" w:rsidRDefault="00836B4E" w:rsidP="001D5C8C">
            <w:pPr>
              <w:pStyle w:val="EndnoteText"/>
              <w:widowControl w:val="0"/>
              <w:rPr>
                <w:color w:val="000000"/>
              </w:rPr>
            </w:pPr>
            <w:r w:rsidRPr="00654EF1">
              <w:rPr>
                <w:color w:val="000000"/>
              </w:rPr>
              <w:t>G-CSF (5 μg/kg, SC): days 27-36 or until ANC &gt; 1500 post nadir</w:t>
            </w:r>
          </w:p>
          <w:p w14:paraId="1B6807FE" w14:textId="77777777" w:rsidR="00836B4E" w:rsidRPr="00280050" w:rsidRDefault="00836B4E" w:rsidP="001D5C8C">
            <w:pPr>
              <w:pStyle w:val="EndnoteText"/>
              <w:widowControl w:val="0"/>
              <w:rPr>
                <w:color w:val="000000"/>
                <w:lang w:val="pt-PT"/>
              </w:rPr>
            </w:pPr>
            <w:r w:rsidRPr="00280050">
              <w:rPr>
                <w:color w:val="000000"/>
                <w:lang w:val="pt-PT"/>
              </w:rPr>
              <w:t>ARA-C (3 g/m</w:t>
            </w:r>
            <w:r w:rsidRPr="00280050">
              <w:rPr>
                <w:color w:val="000000"/>
                <w:vertAlign w:val="superscript"/>
                <w:lang w:val="pt-PT"/>
              </w:rPr>
              <w:t>2</w:t>
            </w:r>
            <w:r w:rsidRPr="00280050">
              <w:rPr>
                <w:color w:val="000000"/>
                <w:lang w:val="pt-PT"/>
              </w:rPr>
              <w:t>, q12h, IV): days 43, 44</w:t>
            </w:r>
          </w:p>
          <w:p w14:paraId="1B6807FF" w14:textId="77777777" w:rsidR="00836B4E" w:rsidRPr="00654EF1" w:rsidRDefault="00836B4E" w:rsidP="001D5C8C">
            <w:pPr>
              <w:pStyle w:val="EndnoteText"/>
              <w:widowControl w:val="0"/>
              <w:rPr>
                <w:color w:val="000000"/>
              </w:rPr>
            </w:pPr>
            <w:r w:rsidRPr="00654EF1">
              <w:rPr>
                <w:color w:val="000000"/>
              </w:rPr>
              <w:t>L-ASP (6000 IUnits/m</w:t>
            </w:r>
            <w:r w:rsidRPr="00654EF1">
              <w:rPr>
                <w:color w:val="000000"/>
                <w:vertAlign w:val="superscript"/>
              </w:rPr>
              <w:t>2</w:t>
            </w:r>
            <w:r w:rsidRPr="00654EF1">
              <w:rPr>
                <w:color w:val="000000"/>
              </w:rPr>
              <w:t>, IM): day 44</w:t>
            </w:r>
          </w:p>
        </w:tc>
      </w:tr>
      <w:tr w:rsidR="00836B4E" w:rsidRPr="00654EF1" w14:paraId="1B68080A" w14:textId="77777777" w:rsidTr="00582A41">
        <w:trPr>
          <w:cantSplit/>
        </w:trPr>
        <w:tc>
          <w:tcPr>
            <w:tcW w:w="2358" w:type="dxa"/>
            <w:shd w:val="clear" w:color="auto" w:fill="auto"/>
          </w:tcPr>
          <w:p w14:paraId="1B680801" w14:textId="77777777" w:rsidR="00836B4E" w:rsidRPr="00654EF1" w:rsidRDefault="00836B4E" w:rsidP="001D5C8C">
            <w:pPr>
              <w:pStyle w:val="EndnoteText"/>
              <w:widowControl w:val="0"/>
              <w:rPr>
                <w:color w:val="000000"/>
              </w:rPr>
            </w:pPr>
            <w:r w:rsidRPr="00654EF1">
              <w:rPr>
                <w:color w:val="000000"/>
              </w:rPr>
              <w:t>Reinduction block 2</w:t>
            </w:r>
          </w:p>
          <w:p w14:paraId="1B680802" w14:textId="77777777" w:rsidR="00836B4E" w:rsidRPr="00654EF1" w:rsidRDefault="00836B4E" w:rsidP="001D5C8C">
            <w:pPr>
              <w:pStyle w:val="EndnoteText"/>
              <w:widowControl w:val="0"/>
              <w:rPr>
                <w:color w:val="000000"/>
              </w:rPr>
            </w:pPr>
            <w:r w:rsidRPr="00654EF1">
              <w:rPr>
                <w:color w:val="000000"/>
              </w:rPr>
              <w:t>(3 weeks)</w:t>
            </w:r>
          </w:p>
        </w:tc>
        <w:tc>
          <w:tcPr>
            <w:tcW w:w="6929" w:type="dxa"/>
            <w:shd w:val="clear" w:color="auto" w:fill="auto"/>
          </w:tcPr>
          <w:p w14:paraId="1B680803" w14:textId="77777777" w:rsidR="00836B4E" w:rsidRPr="00654EF1" w:rsidRDefault="00836B4E"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8 and 15</w:t>
            </w:r>
          </w:p>
          <w:p w14:paraId="1B680804" w14:textId="77777777" w:rsidR="00836B4E" w:rsidRPr="00654EF1" w:rsidRDefault="00836B4E" w:rsidP="001D5C8C">
            <w:pPr>
              <w:pStyle w:val="EndnoteText"/>
              <w:widowControl w:val="0"/>
              <w:rPr>
                <w:color w:val="000000"/>
              </w:rPr>
            </w:pPr>
            <w:r w:rsidRPr="00654EF1">
              <w:rPr>
                <w:color w:val="000000"/>
              </w:rPr>
              <w:t>DAUN (45 mg/m</w:t>
            </w:r>
            <w:r w:rsidRPr="00654EF1">
              <w:rPr>
                <w:color w:val="000000"/>
                <w:vertAlign w:val="superscript"/>
              </w:rPr>
              <w:t>2</w:t>
            </w:r>
            <w:r w:rsidRPr="00654EF1">
              <w:rPr>
                <w:color w:val="000000"/>
              </w:rPr>
              <w:t>/day bolus, IV): days 1 and 2</w:t>
            </w:r>
          </w:p>
          <w:p w14:paraId="1B680805" w14:textId="77777777" w:rsidR="00836B4E" w:rsidRPr="00654EF1" w:rsidRDefault="00836B4E" w:rsidP="001D5C8C">
            <w:pPr>
              <w:pStyle w:val="EndnoteText"/>
              <w:widowControl w:val="0"/>
              <w:rPr>
                <w:color w:val="000000"/>
              </w:rPr>
            </w:pPr>
            <w:r w:rsidRPr="00654EF1">
              <w:rPr>
                <w:color w:val="000000"/>
              </w:rPr>
              <w:t>CPM (250 mg/m</w:t>
            </w:r>
            <w:r w:rsidRPr="00654EF1">
              <w:rPr>
                <w:color w:val="000000"/>
                <w:vertAlign w:val="superscript"/>
              </w:rPr>
              <w:t>2</w:t>
            </w:r>
            <w:r w:rsidRPr="00654EF1">
              <w:rPr>
                <w:color w:val="000000"/>
              </w:rPr>
              <w:t>/dose q12h x 4 doses, iv): Days 3 and 4</w:t>
            </w:r>
          </w:p>
          <w:p w14:paraId="1B680806" w14:textId="77777777" w:rsidR="00836B4E" w:rsidRPr="00654EF1" w:rsidRDefault="00836B4E" w:rsidP="001D5C8C">
            <w:pPr>
              <w:pStyle w:val="EndnoteText"/>
              <w:widowControl w:val="0"/>
              <w:rPr>
                <w:color w:val="000000"/>
              </w:rPr>
            </w:pPr>
            <w:r w:rsidRPr="00654EF1">
              <w:rPr>
                <w:color w:val="000000"/>
              </w:rPr>
              <w:t>PEG-ASP (2500 IUnits/m</w:t>
            </w:r>
            <w:r w:rsidRPr="00654EF1">
              <w:rPr>
                <w:color w:val="000000"/>
                <w:vertAlign w:val="superscript"/>
              </w:rPr>
              <w:t>2</w:t>
            </w:r>
            <w:r w:rsidRPr="00654EF1">
              <w:rPr>
                <w:color w:val="000000"/>
              </w:rPr>
              <w:t>, IM): day 4</w:t>
            </w:r>
          </w:p>
          <w:p w14:paraId="1B680807" w14:textId="77777777" w:rsidR="00836B4E" w:rsidRPr="00654EF1" w:rsidRDefault="00836B4E" w:rsidP="001D5C8C">
            <w:pPr>
              <w:pStyle w:val="EndnoteText"/>
              <w:widowControl w:val="0"/>
              <w:rPr>
                <w:color w:val="000000"/>
              </w:rPr>
            </w:pPr>
            <w:r w:rsidRPr="00654EF1">
              <w:rPr>
                <w:color w:val="000000"/>
              </w:rPr>
              <w:t>G-CSF (5 μg/kg, SC): days 5-14 or until ANC &gt; 1500 post nadir</w:t>
            </w:r>
          </w:p>
          <w:p w14:paraId="1B680808" w14:textId="77777777" w:rsidR="00836B4E" w:rsidRPr="00654EF1" w:rsidRDefault="00836B4E" w:rsidP="001D5C8C">
            <w:pPr>
              <w:pStyle w:val="EndnoteText"/>
              <w:widowControl w:val="0"/>
              <w:rPr>
                <w:color w:val="000000"/>
              </w:rPr>
            </w:pPr>
            <w:r w:rsidRPr="00654EF1">
              <w:rPr>
                <w:color w:val="000000"/>
              </w:rPr>
              <w:t>Triple IT therapy (age-adjusted): days 1 and 15</w:t>
            </w:r>
          </w:p>
          <w:p w14:paraId="1B680809" w14:textId="77777777" w:rsidR="00836B4E" w:rsidRPr="00654EF1" w:rsidRDefault="00836B4E"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7 and 15</w:t>
            </w:r>
            <w:r w:rsidRPr="00654EF1">
              <w:rPr>
                <w:color w:val="000000"/>
              </w:rPr>
              <w:noBreakHyphen/>
              <w:t>21</w:t>
            </w:r>
          </w:p>
        </w:tc>
      </w:tr>
      <w:tr w:rsidR="00836B4E" w:rsidRPr="00654EF1" w14:paraId="1B680816" w14:textId="77777777" w:rsidTr="00582A41">
        <w:trPr>
          <w:cantSplit/>
        </w:trPr>
        <w:tc>
          <w:tcPr>
            <w:tcW w:w="2358" w:type="dxa"/>
            <w:shd w:val="clear" w:color="auto" w:fill="auto"/>
          </w:tcPr>
          <w:p w14:paraId="1B68080B" w14:textId="77777777" w:rsidR="00836B4E" w:rsidRPr="00654EF1" w:rsidRDefault="00836B4E" w:rsidP="001D5C8C">
            <w:pPr>
              <w:pStyle w:val="EndnoteText"/>
              <w:widowControl w:val="0"/>
              <w:rPr>
                <w:color w:val="000000"/>
              </w:rPr>
            </w:pPr>
            <w:r w:rsidRPr="00654EF1">
              <w:rPr>
                <w:color w:val="000000"/>
              </w:rPr>
              <w:t>Intensification block 2</w:t>
            </w:r>
          </w:p>
          <w:p w14:paraId="1B68080C" w14:textId="77777777" w:rsidR="00836B4E" w:rsidRPr="00654EF1" w:rsidRDefault="00836B4E" w:rsidP="001D5C8C">
            <w:pPr>
              <w:pStyle w:val="EndnoteText"/>
              <w:widowControl w:val="0"/>
              <w:rPr>
                <w:color w:val="000000"/>
              </w:rPr>
            </w:pPr>
            <w:r w:rsidRPr="00654EF1">
              <w:rPr>
                <w:color w:val="000000"/>
              </w:rPr>
              <w:t>(9 weeks)</w:t>
            </w:r>
          </w:p>
        </w:tc>
        <w:tc>
          <w:tcPr>
            <w:tcW w:w="6929" w:type="dxa"/>
            <w:shd w:val="clear" w:color="auto" w:fill="auto"/>
          </w:tcPr>
          <w:p w14:paraId="1B68080D" w14:textId="77777777" w:rsidR="00836B4E" w:rsidRPr="00654EF1" w:rsidRDefault="00836B4E" w:rsidP="001D5C8C">
            <w:pPr>
              <w:pStyle w:val="EndnoteText"/>
              <w:widowControl w:val="0"/>
              <w:rPr>
                <w:color w:val="000000"/>
              </w:rPr>
            </w:pPr>
            <w:r w:rsidRPr="00654EF1">
              <w:rPr>
                <w:color w:val="000000"/>
              </w:rPr>
              <w:t>Methotrexate (5 g/m</w:t>
            </w:r>
            <w:r w:rsidRPr="00654EF1">
              <w:rPr>
                <w:color w:val="000000"/>
                <w:vertAlign w:val="superscript"/>
              </w:rPr>
              <w:t>2</w:t>
            </w:r>
            <w:r w:rsidRPr="00654EF1">
              <w:rPr>
                <w:color w:val="000000"/>
              </w:rPr>
              <w:t xml:space="preserve"> over 24 hours, IV): days 1 and 15</w:t>
            </w:r>
          </w:p>
          <w:p w14:paraId="1B68080E" w14:textId="77777777" w:rsidR="00836B4E" w:rsidRPr="00654EF1" w:rsidRDefault="00836B4E"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3, 16, and 17</w:t>
            </w:r>
          </w:p>
          <w:p w14:paraId="1B68080F" w14:textId="77777777" w:rsidR="00836B4E" w:rsidRPr="00654EF1" w:rsidRDefault="00836B4E" w:rsidP="001D5C8C">
            <w:pPr>
              <w:pStyle w:val="EndnoteText"/>
              <w:widowControl w:val="0"/>
              <w:rPr>
                <w:color w:val="000000"/>
              </w:rPr>
            </w:pPr>
            <w:r w:rsidRPr="00654EF1">
              <w:rPr>
                <w:color w:val="000000"/>
              </w:rPr>
              <w:t>Triple IT therapy (age-adjusted): days 1 and 22</w:t>
            </w:r>
          </w:p>
          <w:p w14:paraId="1B680810" w14:textId="77777777" w:rsidR="00836B4E" w:rsidRPr="00654EF1" w:rsidRDefault="00836B4E"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/day, IV): days 22</w:t>
            </w:r>
            <w:r w:rsidRPr="00654EF1">
              <w:rPr>
                <w:color w:val="000000"/>
              </w:rPr>
              <w:noBreakHyphen/>
              <w:t>26</w:t>
            </w:r>
          </w:p>
          <w:p w14:paraId="1B680811" w14:textId="77777777" w:rsidR="00836B4E" w:rsidRPr="00654EF1" w:rsidRDefault="00836B4E"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/day, IV): days 22</w:t>
            </w:r>
            <w:r w:rsidRPr="00654EF1">
              <w:rPr>
                <w:color w:val="000000"/>
              </w:rPr>
              <w:noBreakHyphen/>
              <w:t>26</w:t>
            </w:r>
          </w:p>
          <w:p w14:paraId="1B680812" w14:textId="77777777" w:rsidR="00836B4E" w:rsidRPr="00654EF1" w:rsidRDefault="00836B4E" w:rsidP="001D5C8C">
            <w:pPr>
              <w:pStyle w:val="EndnoteText"/>
              <w:widowControl w:val="0"/>
              <w:rPr>
                <w:color w:val="000000"/>
              </w:rPr>
            </w:pPr>
            <w:r w:rsidRPr="00654EF1">
              <w:rPr>
                <w:color w:val="000000"/>
              </w:rPr>
              <w:t>MESNA (150 mg/m</w:t>
            </w:r>
            <w:r w:rsidRPr="00654EF1">
              <w:rPr>
                <w:color w:val="000000"/>
                <w:vertAlign w:val="superscript"/>
              </w:rPr>
              <w:t>2</w:t>
            </w:r>
            <w:r w:rsidRPr="00654EF1">
              <w:rPr>
                <w:color w:val="000000"/>
              </w:rPr>
              <w:t>/day, IV): days 22</w:t>
            </w:r>
            <w:r w:rsidRPr="00654EF1">
              <w:rPr>
                <w:color w:val="000000"/>
              </w:rPr>
              <w:noBreakHyphen/>
              <w:t>26</w:t>
            </w:r>
          </w:p>
          <w:p w14:paraId="1B680813" w14:textId="77777777" w:rsidR="00836B4E" w:rsidRPr="00654EF1" w:rsidRDefault="00836B4E" w:rsidP="001D5C8C">
            <w:pPr>
              <w:pStyle w:val="EndnoteText"/>
              <w:widowControl w:val="0"/>
              <w:rPr>
                <w:color w:val="000000"/>
              </w:rPr>
            </w:pPr>
            <w:r w:rsidRPr="00654EF1">
              <w:rPr>
                <w:color w:val="000000"/>
              </w:rPr>
              <w:t>G-CSF (5 μg/kg, SC): days 27</w:t>
            </w:r>
            <w:r w:rsidRPr="00654EF1">
              <w:rPr>
                <w:color w:val="000000"/>
              </w:rPr>
              <w:noBreakHyphen/>
              <w:t>36 or until ANC &gt; 1500 post nadir</w:t>
            </w:r>
          </w:p>
          <w:p w14:paraId="1B680814" w14:textId="77777777" w:rsidR="00836B4E" w:rsidRPr="00280050" w:rsidRDefault="00836B4E" w:rsidP="001D5C8C">
            <w:pPr>
              <w:pStyle w:val="EndnoteText"/>
              <w:widowControl w:val="0"/>
              <w:rPr>
                <w:color w:val="000000"/>
                <w:lang w:val="pt-PT"/>
              </w:rPr>
            </w:pPr>
            <w:r w:rsidRPr="00280050">
              <w:rPr>
                <w:color w:val="000000"/>
                <w:lang w:val="pt-PT"/>
              </w:rPr>
              <w:t>ARA-C (3 g/m</w:t>
            </w:r>
            <w:r w:rsidRPr="00280050">
              <w:rPr>
                <w:color w:val="000000"/>
                <w:vertAlign w:val="superscript"/>
                <w:lang w:val="pt-PT"/>
              </w:rPr>
              <w:t>2</w:t>
            </w:r>
            <w:r w:rsidRPr="00280050">
              <w:rPr>
                <w:color w:val="000000"/>
                <w:lang w:val="pt-PT"/>
              </w:rPr>
              <w:t>, q12h, IV): days 43, 44</w:t>
            </w:r>
          </w:p>
          <w:p w14:paraId="1B680815" w14:textId="77777777" w:rsidR="00836B4E" w:rsidRPr="00654EF1" w:rsidRDefault="00836B4E" w:rsidP="001D5C8C">
            <w:pPr>
              <w:pStyle w:val="EndnoteText"/>
              <w:widowControl w:val="0"/>
              <w:rPr>
                <w:color w:val="000000"/>
              </w:rPr>
            </w:pPr>
            <w:r w:rsidRPr="00654EF1">
              <w:rPr>
                <w:color w:val="000000"/>
              </w:rPr>
              <w:t>L-ASP (6000 IUnits/m</w:t>
            </w:r>
            <w:r w:rsidRPr="00654EF1">
              <w:rPr>
                <w:color w:val="000000"/>
                <w:vertAlign w:val="superscript"/>
              </w:rPr>
              <w:t>2</w:t>
            </w:r>
            <w:r w:rsidRPr="00654EF1">
              <w:rPr>
                <w:color w:val="000000"/>
              </w:rPr>
              <w:t>, IM): day 44</w:t>
            </w:r>
          </w:p>
        </w:tc>
      </w:tr>
      <w:tr w:rsidR="00836B4E" w:rsidRPr="00654EF1" w14:paraId="1B680825" w14:textId="77777777" w:rsidTr="00582A41">
        <w:trPr>
          <w:cantSplit/>
        </w:trPr>
        <w:tc>
          <w:tcPr>
            <w:tcW w:w="2358" w:type="dxa"/>
            <w:shd w:val="clear" w:color="auto" w:fill="auto"/>
          </w:tcPr>
          <w:p w14:paraId="1B680817" w14:textId="77777777" w:rsidR="00836B4E" w:rsidRPr="00654EF1" w:rsidRDefault="00836B4E" w:rsidP="001D5C8C">
            <w:pPr>
              <w:pStyle w:val="EndnoteText"/>
              <w:widowControl w:val="0"/>
              <w:rPr>
                <w:color w:val="000000"/>
              </w:rPr>
            </w:pPr>
            <w:r w:rsidRPr="00654EF1">
              <w:rPr>
                <w:color w:val="000000"/>
              </w:rPr>
              <w:lastRenderedPageBreak/>
              <w:t>Maintenance</w:t>
            </w:r>
          </w:p>
          <w:p w14:paraId="1B680818" w14:textId="77777777" w:rsidR="00836B4E" w:rsidRPr="00654EF1" w:rsidRDefault="00836B4E" w:rsidP="001D5C8C">
            <w:pPr>
              <w:pStyle w:val="EndnoteText"/>
              <w:widowControl w:val="0"/>
              <w:rPr>
                <w:color w:val="000000"/>
              </w:rPr>
            </w:pPr>
            <w:r w:rsidRPr="00654EF1">
              <w:rPr>
                <w:color w:val="000000"/>
              </w:rPr>
              <w:t>(8-week cycles)</w:t>
            </w:r>
          </w:p>
          <w:p w14:paraId="1B680819" w14:textId="77777777" w:rsidR="00836B4E" w:rsidRPr="00654EF1" w:rsidRDefault="00836B4E" w:rsidP="001D5C8C">
            <w:pPr>
              <w:pStyle w:val="EndnoteText"/>
              <w:widowControl w:val="0"/>
              <w:rPr>
                <w:color w:val="000000"/>
              </w:rPr>
            </w:pPr>
            <w:r w:rsidRPr="00654EF1">
              <w:rPr>
                <w:color w:val="000000"/>
              </w:rPr>
              <w:t>Cycles 1–4</w:t>
            </w:r>
          </w:p>
        </w:tc>
        <w:tc>
          <w:tcPr>
            <w:tcW w:w="6929" w:type="dxa"/>
            <w:shd w:val="clear" w:color="auto" w:fill="auto"/>
          </w:tcPr>
          <w:p w14:paraId="1B68081A" w14:textId="77777777" w:rsidR="00836B4E" w:rsidRPr="00654EF1" w:rsidRDefault="00836B4E" w:rsidP="001D5C8C">
            <w:pPr>
              <w:pStyle w:val="EndnoteText"/>
              <w:widowControl w:val="0"/>
              <w:rPr>
                <w:color w:val="000000"/>
              </w:rPr>
            </w:pPr>
            <w:r w:rsidRPr="00654EF1">
              <w:rPr>
                <w:color w:val="000000"/>
              </w:rPr>
              <w:t>MTX (5 g/m</w:t>
            </w:r>
            <w:r w:rsidRPr="00654EF1">
              <w:rPr>
                <w:color w:val="000000"/>
                <w:vertAlign w:val="superscript"/>
              </w:rPr>
              <w:t>2</w:t>
            </w:r>
            <w:r w:rsidRPr="00654EF1">
              <w:rPr>
                <w:color w:val="000000"/>
              </w:rPr>
              <w:t xml:space="preserve"> over 24 hours, IV): day 1</w:t>
            </w:r>
          </w:p>
          <w:p w14:paraId="1B68081B" w14:textId="77777777" w:rsidR="00836B4E" w:rsidRPr="00654EF1" w:rsidRDefault="00836B4E" w:rsidP="001D5C8C">
            <w:pPr>
              <w:pStyle w:val="EndnoteText"/>
              <w:widowControl w:val="0"/>
              <w:rPr>
                <w:color w:val="000000"/>
              </w:rPr>
            </w:pPr>
            <w:r w:rsidRPr="00654EF1">
              <w:rPr>
                <w:color w:val="000000"/>
              </w:rPr>
              <w:t>Leucovorin (75 mg/m</w:t>
            </w:r>
            <w:r w:rsidRPr="00654EF1">
              <w:rPr>
                <w:color w:val="000000"/>
                <w:vertAlign w:val="superscript"/>
              </w:rPr>
              <w:t>2</w:t>
            </w:r>
            <w:r w:rsidRPr="00654EF1">
              <w:rPr>
                <w:color w:val="000000"/>
              </w:rPr>
              <w:t xml:space="preserve"> at hour 36, IV; 15 mg/m</w:t>
            </w:r>
            <w:r w:rsidRPr="00654EF1">
              <w:rPr>
                <w:color w:val="000000"/>
                <w:vertAlign w:val="superscript"/>
              </w:rPr>
              <w:t>2</w:t>
            </w:r>
            <w:r w:rsidRPr="00654EF1">
              <w:rPr>
                <w:color w:val="000000"/>
              </w:rPr>
              <w:t xml:space="preserve"> IV or PO q6h x 6 doses)iii: days 2 and 3</w:t>
            </w:r>
          </w:p>
          <w:p w14:paraId="1B68081C" w14:textId="77777777" w:rsidR="00836B4E" w:rsidRPr="00654EF1" w:rsidRDefault="00836B4E" w:rsidP="001D5C8C">
            <w:pPr>
              <w:pStyle w:val="EndnoteText"/>
              <w:widowControl w:val="0"/>
              <w:rPr>
                <w:color w:val="000000"/>
              </w:rPr>
            </w:pPr>
            <w:r w:rsidRPr="00654EF1">
              <w:rPr>
                <w:color w:val="000000"/>
              </w:rPr>
              <w:t>Triple IT therapy (age-adjusted): days 1, 29</w:t>
            </w:r>
          </w:p>
          <w:p w14:paraId="1B68081D" w14:textId="77777777" w:rsidR="00836B4E" w:rsidRPr="00654EF1" w:rsidRDefault="00836B4E"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 IV): days 1, 29</w:t>
            </w:r>
          </w:p>
          <w:p w14:paraId="1B68081E" w14:textId="77777777" w:rsidR="00836B4E" w:rsidRPr="00654EF1" w:rsidRDefault="00836B4E"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81F" w14:textId="77777777" w:rsidR="00836B4E" w:rsidRPr="00654EF1" w:rsidRDefault="00836B4E" w:rsidP="001D5C8C">
            <w:pPr>
              <w:pStyle w:val="EndnoteText"/>
              <w:widowControl w:val="0"/>
              <w:rPr>
                <w:color w:val="000000"/>
              </w:rPr>
            </w:pPr>
            <w:r w:rsidRPr="00654EF1">
              <w:rPr>
                <w:color w:val="000000"/>
              </w:rPr>
              <w:t>6-MP (75 mg/m</w:t>
            </w:r>
            <w:r w:rsidRPr="00654EF1">
              <w:rPr>
                <w:color w:val="000000"/>
                <w:vertAlign w:val="superscript"/>
              </w:rPr>
              <w:t>2</w:t>
            </w:r>
            <w:r w:rsidRPr="00654EF1">
              <w:rPr>
                <w:color w:val="000000"/>
              </w:rPr>
              <w:t>/day, PO): days 8-28</w:t>
            </w:r>
          </w:p>
          <w:p w14:paraId="1B680820" w14:textId="77777777" w:rsidR="00836B4E" w:rsidRPr="00654EF1" w:rsidRDefault="00836B4E" w:rsidP="001D5C8C">
            <w:pPr>
              <w:pStyle w:val="EndnoteText"/>
              <w:widowControl w:val="0"/>
              <w:rPr>
                <w:color w:val="000000"/>
              </w:rPr>
            </w:pPr>
            <w:r w:rsidRPr="00654EF1">
              <w:rPr>
                <w:color w:val="000000"/>
              </w:rPr>
              <w:t>Methotrexate (20 mg/m</w:t>
            </w:r>
            <w:r w:rsidRPr="00654EF1">
              <w:rPr>
                <w:color w:val="000000"/>
                <w:vertAlign w:val="superscript"/>
              </w:rPr>
              <w:t>2</w:t>
            </w:r>
            <w:r w:rsidRPr="00654EF1">
              <w:rPr>
                <w:color w:val="000000"/>
              </w:rPr>
              <w:t>/week, PO): days 8, 15, 22</w:t>
            </w:r>
          </w:p>
          <w:p w14:paraId="1B680821" w14:textId="77777777" w:rsidR="00836B4E" w:rsidRPr="00654EF1" w:rsidRDefault="00836B4E" w:rsidP="001D5C8C">
            <w:pPr>
              <w:pStyle w:val="EndnoteText"/>
              <w:widowControl w:val="0"/>
              <w:rPr>
                <w:color w:val="000000"/>
              </w:rPr>
            </w:pPr>
            <w:r w:rsidRPr="00654EF1">
              <w:rPr>
                <w:color w:val="000000"/>
              </w:rPr>
              <w:t>VP-16 (100 mg/m</w:t>
            </w:r>
            <w:r w:rsidRPr="00654EF1">
              <w:rPr>
                <w:color w:val="000000"/>
                <w:vertAlign w:val="superscript"/>
              </w:rPr>
              <w:t>2</w:t>
            </w:r>
            <w:r w:rsidRPr="00654EF1">
              <w:rPr>
                <w:color w:val="000000"/>
              </w:rPr>
              <w:t>, IV): days 29</w:t>
            </w:r>
            <w:r w:rsidRPr="00654EF1">
              <w:rPr>
                <w:color w:val="000000"/>
              </w:rPr>
              <w:noBreakHyphen/>
              <w:t>33</w:t>
            </w:r>
          </w:p>
          <w:p w14:paraId="1B680822" w14:textId="77777777" w:rsidR="00836B4E" w:rsidRPr="00654EF1" w:rsidRDefault="00836B4E" w:rsidP="001D5C8C">
            <w:pPr>
              <w:pStyle w:val="EndnoteText"/>
              <w:widowControl w:val="0"/>
              <w:rPr>
                <w:color w:val="000000"/>
              </w:rPr>
            </w:pPr>
            <w:r w:rsidRPr="00654EF1">
              <w:rPr>
                <w:color w:val="000000"/>
              </w:rPr>
              <w:t>CPM (300 mg/m</w:t>
            </w:r>
            <w:r w:rsidRPr="00654EF1">
              <w:rPr>
                <w:color w:val="000000"/>
                <w:vertAlign w:val="superscript"/>
              </w:rPr>
              <w:t>2</w:t>
            </w:r>
            <w:r w:rsidRPr="00654EF1">
              <w:rPr>
                <w:color w:val="000000"/>
              </w:rPr>
              <w:t>, IV): days 29</w:t>
            </w:r>
            <w:r w:rsidRPr="00654EF1">
              <w:rPr>
                <w:color w:val="000000"/>
              </w:rPr>
              <w:noBreakHyphen/>
              <w:t>33</w:t>
            </w:r>
          </w:p>
          <w:p w14:paraId="1B680823" w14:textId="77777777" w:rsidR="00836B4E" w:rsidRPr="00654EF1" w:rsidRDefault="00836B4E" w:rsidP="001D5C8C">
            <w:pPr>
              <w:pStyle w:val="EndnoteText"/>
              <w:widowControl w:val="0"/>
              <w:rPr>
                <w:color w:val="000000"/>
              </w:rPr>
            </w:pPr>
            <w:r w:rsidRPr="00654EF1">
              <w:rPr>
                <w:color w:val="000000"/>
              </w:rPr>
              <w:t>MESNA IV days 29</w:t>
            </w:r>
            <w:r w:rsidRPr="00654EF1">
              <w:rPr>
                <w:color w:val="000000"/>
              </w:rPr>
              <w:noBreakHyphen/>
              <w:t>33</w:t>
            </w:r>
          </w:p>
          <w:p w14:paraId="1B680824" w14:textId="77777777" w:rsidR="00836B4E" w:rsidRPr="00654EF1" w:rsidRDefault="00836B4E" w:rsidP="001D5C8C">
            <w:pPr>
              <w:pStyle w:val="EndnoteText"/>
              <w:widowControl w:val="0"/>
              <w:rPr>
                <w:color w:val="000000"/>
              </w:rPr>
            </w:pPr>
            <w:r w:rsidRPr="00654EF1">
              <w:rPr>
                <w:color w:val="000000"/>
              </w:rPr>
              <w:t>G-CSF (5 μg/kg, SC): days 34</w:t>
            </w:r>
            <w:r w:rsidRPr="00654EF1">
              <w:rPr>
                <w:color w:val="000000"/>
              </w:rPr>
              <w:noBreakHyphen/>
              <w:t>43</w:t>
            </w:r>
          </w:p>
        </w:tc>
      </w:tr>
      <w:tr w:rsidR="00836B4E" w:rsidRPr="00654EF1" w14:paraId="1B680830" w14:textId="77777777" w:rsidTr="00582A41">
        <w:trPr>
          <w:cantSplit/>
        </w:trPr>
        <w:tc>
          <w:tcPr>
            <w:tcW w:w="2358" w:type="dxa"/>
            <w:shd w:val="clear" w:color="auto" w:fill="auto"/>
          </w:tcPr>
          <w:p w14:paraId="1B680826" w14:textId="77777777" w:rsidR="00836B4E" w:rsidRPr="00654EF1" w:rsidRDefault="00836B4E" w:rsidP="001D5C8C">
            <w:pPr>
              <w:pStyle w:val="EndnoteText"/>
              <w:widowControl w:val="0"/>
              <w:rPr>
                <w:color w:val="000000"/>
              </w:rPr>
            </w:pPr>
            <w:r w:rsidRPr="00654EF1">
              <w:rPr>
                <w:color w:val="000000"/>
              </w:rPr>
              <w:t>Maintenance</w:t>
            </w:r>
          </w:p>
          <w:p w14:paraId="1B680827" w14:textId="77777777" w:rsidR="00836B4E" w:rsidRPr="00654EF1" w:rsidRDefault="00836B4E" w:rsidP="001D5C8C">
            <w:pPr>
              <w:pStyle w:val="EndnoteText"/>
              <w:widowControl w:val="0"/>
              <w:rPr>
                <w:color w:val="000000"/>
              </w:rPr>
            </w:pPr>
            <w:r w:rsidRPr="00654EF1">
              <w:rPr>
                <w:color w:val="000000"/>
              </w:rPr>
              <w:t>(8-week cycles)</w:t>
            </w:r>
          </w:p>
          <w:p w14:paraId="1B680828" w14:textId="77777777" w:rsidR="00836B4E" w:rsidRPr="00654EF1" w:rsidRDefault="00836B4E" w:rsidP="001D5C8C">
            <w:pPr>
              <w:pStyle w:val="EndnoteText"/>
              <w:widowControl w:val="0"/>
              <w:rPr>
                <w:color w:val="000000"/>
              </w:rPr>
            </w:pPr>
            <w:r w:rsidRPr="00654EF1">
              <w:rPr>
                <w:color w:val="000000"/>
              </w:rPr>
              <w:t>Cycle 5</w:t>
            </w:r>
          </w:p>
        </w:tc>
        <w:tc>
          <w:tcPr>
            <w:tcW w:w="6929" w:type="dxa"/>
            <w:shd w:val="clear" w:color="auto" w:fill="auto"/>
          </w:tcPr>
          <w:p w14:paraId="1B680829" w14:textId="77777777" w:rsidR="00836B4E" w:rsidRPr="00654EF1" w:rsidRDefault="00836B4E" w:rsidP="001D5C8C">
            <w:pPr>
              <w:pStyle w:val="EndnoteText"/>
              <w:widowControl w:val="0"/>
              <w:rPr>
                <w:color w:val="000000"/>
              </w:rPr>
            </w:pPr>
            <w:r w:rsidRPr="00654EF1">
              <w:rPr>
                <w:color w:val="000000"/>
              </w:rPr>
              <w:t>Cranial irradiation (Block 5 only)</w:t>
            </w:r>
          </w:p>
          <w:p w14:paraId="1B68082A" w14:textId="77777777" w:rsidR="00836B4E" w:rsidRPr="00654EF1" w:rsidRDefault="00836B4E" w:rsidP="001D5C8C">
            <w:pPr>
              <w:pStyle w:val="EndnoteText"/>
              <w:widowControl w:val="0"/>
              <w:rPr>
                <w:color w:val="000000"/>
              </w:rPr>
            </w:pPr>
            <w:r w:rsidRPr="00654EF1">
              <w:rPr>
                <w:color w:val="000000"/>
              </w:rPr>
              <w:t>12 Gy in 8 fractions for all patients that are CNS1 and CNS2 at diagnosis</w:t>
            </w:r>
          </w:p>
          <w:p w14:paraId="1B68082B" w14:textId="77777777" w:rsidR="00836B4E" w:rsidRPr="00654EF1" w:rsidRDefault="00836B4E" w:rsidP="001D5C8C">
            <w:pPr>
              <w:pStyle w:val="EndnoteText"/>
              <w:widowControl w:val="0"/>
              <w:rPr>
                <w:color w:val="000000"/>
              </w:rPr>
            </w:pPr>
            <w:r w:rsidRPr="00654EF1">
              <w:rPr>
                <w:color w:val="000000"/>
              </w:rPr>
              <w:t>18 Gy in 10 fractions for patients that are CNS3 at diagnosis</w:t>
            </w:r>
          </w:p>
          <w:p w14:paraId="1B68082C" w14:textId="77777777" w:rsidR="00836B4E" w:rsidRPr="00654EF1" w:rsidRDefault="00836B4E" w:rsidP="001D5C8C">
            <w:pPr>
              <w:pStyle w:val="EndnoteText"/>
              <w:widowControl w:val="0"/>
              <w:rPr>
                <w:color w:val="000000"/>
              </w:rPr>
            </w:pPr>
            <w:r w:rsidRPr="00654EF1">
              <w:rPr>
                <w:color w:val="000000"/>
              </w:rPr>
              <w:t>VCR (1.5 mg/m</w:t>
            </w:r>
            <w:r w:rsidRPr="00654EF1">
              <w:rPr>
                <w:color w:val="000000"/>
                <w:vertAlign w:val="superscript"/>
              </w:rPr>
              <w:t>2</w:t>
            </w:r>
            <w:r w:rsidRPr="00654EF1">
              <w:rPr>
                <w:color w:val="000000"/>
              </w:rPr>
              <w:t>/day, IV): days 1, 29</w:t>
            </w:r>
          </w:p>
          <w:p w14:paraId="1B68082D" w14:textId="77777777" w:rsidR="00836B4E" w:rsidRPr="00654EF1" w:rsidRDefault="00836B4E" w:rsidP="001D5C8C">
            <w:pPr>
              <w:pStyle w:val="EndnoteT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82E" w14:textId="77777777" w:rsidR="00836B4E" w:rsidRPr="00654EF1" w:rsidRDefault="00836B4E" w:rsidP="001D5C8C">
            <w:pPr>
              <w:pStyle w:val="EndnoteText"/>
              <w:widowControl w:val="0"/>
              <w:rPr>
                <w:color w:val="000000"/>
              </w:rPr>
            </w:pPr>
            <w:r w:rsidRPr="00654EF1">
              <w:rPr>
                <w:color w:val="000000"/>
              </w:rPr>
              <w:t>6-MP (75 mg/m</w:t>
            </w:r>
            <w:r w:rsidRPr="00654EF1">
              <w:rPr>
                <w:color w:val="000000"/>
                <w:vertAlign w:val="superscript"/>
              </w:rPr>
              <w:t>2</w:t>
            </w:r>
            <w:r w:rsidRPr="00654EF1">
              <w:rPr>
                <w:color w:val="000000"/>
              </w:rPr>
              <w:t>/day, PO): days 11</w:t>
            </w:r>
            <w:r w:rsidRPr="00654EF1">
              <w:rPr>
                <w:color w:val="000000"/>
              </w:rPr>
              <w:noBreakHyphen/>
              <w:t>56 (Withhold 6-MP during the 6</w:t>
            </w:r>
            <w:r w:rsidRPr="00654EF1">
              <w:rPr>
                <w:color w:val="000000"/>
              </w:rPr>
              <w:noBreakHyphen/>
              <w:t>10 days of cranial irradiation beginning on day 1 of Cycle 5. Start 6-MP the 1st day after cranial irradiation completion.)</w:t>
            </w:r>
          </w:p>
          <w:p w14:paraId="1B68082F" w14:textId="77777777" w:rsidR="00836B4E" w:rsidRPr="00654EF1" w:rsidRDefault="00836B4E" w:rsidP="001D5C8C">
            <w:pPr>
              <w:pStyle w:val="EndnoteText"/>
              <w:widowControl w:val="0"/>
              <w:rPr>
                <w:color w:val="000000"/>
              </w:rPr>
            </w:pPr>
            <w:r w:rsidRPr="00654EF1">
              <w:rPr>
                <w:color w:val="000000"/>
              </w:rPr>
              <w:t>Methotrexate (20 mg/m</w:t>
            </w:r>
            <w:r w:rsidRPr="00654EF1">
              <w:rPr>
                <w:color w:val="000000"/>
                <w:vertAlign w:val="superscript"/>
              </w:rPr>
              <w:t>2</w:t>
            </w:r>
            <w:r w:rsidRPr="00654EF1">
              <w:rPr>
                <w:color w:val="000000"/>
              </w:rPr>
              <w:t>/week, PO): days 8, 15, 22, 29, 36, 43, 50</w:t>
            </w:r>
          </w:p>
        </w:tc>
      </w:tr>
      <w:tr w:rsidR="00836B4E" w:rsidRPr="00654EF1" w14:paraId="1B680838" w14:textId="77777777" w:rsidTr="00582A41">
        <w:trPr>
          <w:cantSplit/>
        </w:trPr>
        <w:tc>
          <w:tcPr>
            <w:tcW w:w="2358" w:type="dxa"/>
            <w:shd w:val="clear" w:color="auto" w:fill="auto"/>
          </w:tcPr>
          <w:p w14:paraId="1B680831" w14:textId="77777777" w:rsidR="00836B4E" w:rsidRPr="00654EF1" w:rsidRDefault="00836B4E" w:rsidP="001D5C8C">
            <w:pPr>
              <w:pStyle w:val="EndnoteText"/>
              <w:keepNext/>
              <w:widowControl w:val="0"/>
              <w:rPr>
                <w:color w:val="000000"/>
              </w:rPr>
            </w:pPr>
            <w:r w:rsidRPr="00654EF1">
              <w:rPr>
                <w:color w:val="000000"/>
              </w:rPr>
              <w:t>Maintenance</w:t>
            </w:r>
          </w:p>
          <w:p w14:paraId="1B680832" w14:textId="77777777" w:rsidR="00836B4E" w:rsidRPr="00654EF1" w:rsidRDefault="00836B4E" w:rsidP="001D5C8C">
            <w:pPr>
              <w:pStyle w:val="EndnoteText"/>
              <w:keepNext/>
              <w:widowControl w:val="0"/>
              <w:rPr>
                <w:color w:val="000000"/>
              </w:rPr>
            </w:pPr>
            <w:r w:rsidRPr="00654EF1">
              <w:rPr>
                <w:color w:val="000000"/>
              </w:rPr>
              <w:t>(8-week cycles)</w:t>
            </w:r>
          </w:p>
          <w:p w14:paraId="1B680833" w14:textId="77777777" w:rsidR="00836B4E" w:rsidRPr="00654EF1" w:rsidRDefault="00836B4E" w:rsidP="001D5C8C">
            <w:pPr>
              <w:pStyle w:val="EndnoteText"/>
              <w:keepNext/>
              <w:widowControl w:val="0"/>
              <w:rPr>
                <w:color w:val="000000"/>
              </w:rPr>
            </w:pPr>
            <w:r w:rsidRPr="00654EF1">
              <w:rPr>
                <w:color w:val="000000"/>
              </w:rPr>
              <w:t>Cycles 6</w:t>
            </w:r>
            <w:r w:rsidRPr="00654EF1">
              <w:rPr>
                <w:color w:val="000000"/>
              </w:rPr>
              <w:noBreakHyphen/>
              <w:t>12</w:t>
            </w:r>
          </w:p>
        </w:tc>
        <w:tc>
          <w:tcPr>
            <w:tcW w:w="6929" w:type="dxa"/>
            <w:shd w:val="clear" w:color="auto" w:fill="auto"/>
          </w:tcPr>
          <w:p w14:paraId="1B680834" w14:textId="77777777" w:rsidR="00836B4E" w:rsidRPr="00654EF1" w:rsidRDefault="00836B4E" w:rsidP="001D5C8C">
            <w:pPr>
              <w:pStyle w:val="EndnoteText"/>
              <w:keepNext/>
              <w:widowControl w:val="0"/>
              <w:rPr>
                <w:color w:val="000000"/>
              </w:rPr>
            </w:pPr>
            <w:r w:rsidRPr="00654EF1">
              <w:rPr>
                <w:color w:val="000000"/>
              </w:rPr>
              <w:t>VCR (1.5 mg/m</w:t>
            </w:r>
            <w:r w:rsidRPr="00654EF1">
              <w:rPr>
                <w:color w:val="000000"/>
                <w:vertAlign w:val="superscript"/>
              </w:rPr>
              <w:t>2</w:t>
            </w:r>
            <w:r w:rsidRPr="00654EF1">
              <w:rPr>
                <w:color w:val="000000"/>
              </w:rPr>
              <w:t>/day, IV): days 1, 29</w:t>
            </w:r>
          </w:p>
          <w:p w14:paraId="1B680835" w14:textId="77777777" w:rsidR="00836B4E" w:rsidRPr="00654EF1" w:rsidRDefault="00836B4E" w:rsidP="001D5C8C">
            <w:pPr>
              <w:pStyle w:val="EndnoteText"/>
              <w:keepNext/>
              <w:widowControl w:val="0"/>
              <w:rPr>
                <w:color w:val="000000"/>
              </w:rPr>
            </w:pPr>
            <w:r w:rsidRPr="00654EF1">
              <w:rPr>
                <w:color w:val="000000"/>
              </w:rPr>
              <w:t>DEX (6 mg/m</w:t>
            </w:r>
            <w:r w:rsidRPr="00654EF1">
              <w:rPr>
                <w:color w:val="000000"/>
                <w:vertAlign w:val="superscript"/>
              </w:rPr>
              <w:t>2</w:t>
            </w:r>
            <w:r w:rsidRPr="00654EF1">
              <w:rPr>
                <w:color w:val="000000"/>
              </w:rPr>
              <w:t>/day, PO): days 1</w:t>
            </w:r>
            <w:r w:rsidRPr="00654EF1">
              <w:rPr>
                <w:color w:val="000000"/>
              </w:rPr>
              <w:noBreakHyphen/>
              <w:t>5; 29</w:t>
            </w:r>
            <w:r w:rsidRPr="00654EF1">
              <w:rPr>
                <w:color w:val="000000"/>
              </w:rPr>
              <w:noBreakHyphen/>
              <w:t>33</w:t>
            </w:r>
          </w:p>
          <w:p w14:paraId="1B680836" w14:textId="77777777" w:rsidR="00836B4E" w:rsidRPr="00654EF1" w:rsidRDefault="00836B4E" w:rsidP="001D5C8C">
            <w:pPr>
              <w:pStyle w:val="EndnoteText"/>
              <w:keepNext/>
              <w:widowControl w:val="0"/>
              <w:rPr>
                <w:color w:val="000000"/>
              </w:rPr>
            </w:pPr>
            <w:r w:rsidRPr="00654EF1">
              <w:rPr>
                <w:color w:val="000000"/>
              </w:rPr>
              <w:t>6-MP (75 mg/m</w:t>
            </w:r>
            <w:r w:rsidRPr="00654EF1">
              <w:rPr>
                <w:color w:val="000000"/>
                <w:vertAlign w:val="superscript"/>
              </w:rPr>
              <w:t>2</w:t>
            </w:r>
            <w:r w:rsidRPr="00654EF1">
              <w:rPr>
                <w:color w:val="000000"/>
              </w:rPr>
              <w:t>/day, PO): days 1</w:t>
            </w:r>
            <w:r w:rsidRPr="00654EF1">
              <w:rPr>
                <w:color w:val="000000"/>
              </w:rPr>
              <w:noBreakHyphen/>
              <w:t>56</w:t>
            </w:r>
          </w:p>
          <w:p w14:paraId="1B680837" w14:textId="77777777" w:rsidR="00836B4E" w:rsidRPr="00654EF1" w:rsidRDefault="00836B4E" w:rsidP="001D5C8C">
            <w:pPr>
              <w:pStyle w:val="EndnoteText"/>
              <w:keepNext/>
              <w:widowControl w:val="0"/>
              <w:rPr>
                <w:color w:val="000000"/>
              </w:rPr>
            </w:pPr>
            <w:r w:rsidRPr="00654EF1">
              <w:rPr>
                <w:color w:val="000000"/>
              </w:rPr>
              <w:t>Methotrexate (20 mg/m</w:t>
            </w:r>
            <w:r w:rsidRPr="00654EF1">
              <w:rPr>
                <w:color w:val="000000"/>
                <w:vertAlign w:val="superscript"/>
              </w:rPr>
              <w:t>2</w:t>
            </w:r>
            <w:r w:rsidRPr="00654EF1">
              <w:rPr>
                <w:color w:val="000000"/>
              </w:rPr>
              <w:t>/week, PO): days 1, 8, 15, 22, 29, 36, 43, 50</w:t>
            </w:r>
          </w:p>
        </w:tc>
      </w:tr>
    </w:tbl>
    <w:p w14:paraId="1B680839" w14:textId="77777777" w:rsidR="00836B4E" w:rsidRPr="00654EF1" w:rsidRDefault="00836B4E" w:rsidP="005E7BE5">
      <w:pPr>
        <w:pStyle w:val="EndnoteText"/>
        <w:keepLines/>
        <w:widowControl w:val="0"/>
        <w:rPr>
          <w:color w:val="000000"/>
          <w:szCs w:val="22"/>
        </w:rPr>
      </w:pPr>
      <w:r w:rsidRPr="00654EF1">
        <w:rPr>
          <w:color w:val="000000"/>
          <w:szCs w:val="22"/>
        </w:rPr>
        <w:t>G-CSF = granulocyte colony stimulating factor, VP-16 = etoposide, MTX = methotrexate, IV = intravenous, SC = subcutaneous, IT = intrathecal, PO = oral, IM = intramuscular, ARA-C = cytarabine, CPM = cyclophosphamide, VCR = vincristine, DEX = dexamethasone, DAUN = daunorubicin, 6-MP = 6-mercaptopurine, E.Coli L-ASP = L-asparaginase, PEG-ASP = PEG asparaginase, MESNA= 2-mercaptoethane sulfonate sodium, iii= or until MTX level is &lt; 0.1 µM, q6h = every 6 hours, Gy= Gray</w:t>
      </w:r>
    </w:p>
    <w:p w14:paraId="1B68083A" w14:textId="77777777" w:rsidR="00836B4E" w:rsidRPr="00654EF1" w:rsidRDefault="00836B4E" w:rsidP="001D5C8C">
      <w:pPr>
        <w:pStyle w:val="EndnoteText"/>
        <w:widowControl w:val="0"/>
        <w:jc w:val="both"/>
        <w:rPr>
          <w:color w:val="000000"/>
          <w:sz w:val="20"/>
        </w:rPr>
      </w:pPr>
    </w:p>
    <w:p w14:paraId="1B68083B" w14:textId="77777777" w:rsidR="00836B4E" w:rsidRPr="00654EF1" w:rsidRDefault="00836B4E" w:rsidP="001D5C8C">
      <w:pPr>
        <w:pStyle w:val="EndnoteText"/>
        <w:widowControl w:val="0"/>
        <w:rPr>
          <w:color w:val="000000"/>
        </w:rPr>
      </w:pPr>
      <w:r w:rsidRPr="00654EF1">
        <w:rPr>
          <w:color w:val="000000"/>
          <w:szCs w:val="22"/>
        </w:rPr>
        <w:t>Study AIT07 was a multicentre, open-label, randomised, phase II/III study that included 128 patients (1 to &lt; 18 years) treated with imatinib in combination with chemotherapy. Safety data from this study seem to be in line with the safety profile of imatinib in Ph+ ALL patients.</w:t>
      </w:r>
    </w:p>
    <w:p w14:paraId="1B68083C" w14:textId="77777777" w:rsidR="007E73D8" w:rsidRPr="00654EF1" w:rsidRDefault="007E73D8" w:rsidP="001D5C8C">
      <w:pPr>
        <w:pStyle w:val="EndnoteText"/>
        <w:widowControl w:val="0"/>
        <w:rPr>
          <w:color w:val="000000"/>
          <w:szCs w:val="22"/>
        </w:rPr>
      </w:pPr>
    </w:p>
    <w:p w14:paraId="1B68083D" w14:textId="77777777" w:rsidR="007E73D8" w:rsidRPr="00654EF1" w:rsidRDefault="007E73D8" w:rsidP="001D5C8C">
      <w:pPr>
        <w:pStyle w:val="EndnoteText"/>
        <w:widowControl w:val="0"/>
        <w:rPr>
          <w:color w:val="000000"/>
          <w:szCs w:val="22"/>
        </w:rPr>
      </w:pPr>
      <w:r w:rsidRPr="00654EF1">
        <w:rPr>
          <w:i/>
          <w:color w:val="000000"/>
          <w:szCs w:val="22"/>
        </w:rPr>
        <w:t xml:space="preserve">Relapsed/refractory Ph+ </w:t>
      </w:r>
      <w:smartTag w:uri="urn:schemas-microsoft-com:office:smarttags" w:element="stockticker">
        <w:r w:rsidRPr="00654EF1">
          <w:rPr>
            <w:i/>
            <w:color w:val="000000"/>
            <w:szCs w:val="22"/>
          </w:rPr>
          <w:t>ALL</w:t>
        </w:r>
      </w:smartTag>
      <w:r w:rsidRPr="00654EF1">
        <w:rPr>
          <w:i/>
          <w:color w:val="000000"/>
          <w:szCs w:val="22"/>
        </w:rPr>
        <w:t>:</w:t>
      </w:r>
      <w:r w:rsidRPr="00654EF1">
        <w:rPr>
          <w:color w:val="000000"/>
          <w:szCs w:val="22"/>
        </w:rPr>
        <w:t xml:space="preserve"> When imatinib was used as single agent in patients with relapsed/refractory Ph+ </w:t>
      </w:r>
      <w:smartTag w:uri="urn:schemas-microsoft-com:office:smarttags" w:element="stockticker">
        <w:r w:rsidRPr="00654EF1">
          <w:rPr>
            <w:color w:val="000000"/>
            <w:szCs w:val="22"/>
          </w:rPr>
          <w:t>ALL</w:t>
        </w:r>
      </w:smartTag>
      <w:r w:rsidRPr="00654EF1">
        <w:rPr>
          <w:color w:val="000000"/>
          <w:szCs w:val="22"/>
        </w:rPr>
        <w:t xml:space="preserve">, it resulted, in the 53 out of 411 patients evaluable for response, in a haematological response rate of 30% (9% complete) and a major cytogenetic response rate of 23%. (Of note, out of the 411 patients, 353 were treated in an expanded access program without primary response data collected.) The median time to progression in the overall population of 411 patients with relapsed/refractory Ph+ </w:t>
      </w:r>
      <w:smartTag w:uri="urn:schemas-microsoft-com:office:smarttags" w:element="stockticker">
        <w:r w:rsidRPr="00654EF1">
          <w:rPr>
            <w:color w:val="000000"/>
            <w:szCs w:val="22"/>
          </w:rPr>
          <w:t>ALL</w:t>
        </w:r>
      </w:smartTag>
      <w:r w:rsidRPr="00654EF1">
        <w:rPr>
          <w:color w:val="000000"/>
          <w:szCs w:val="22"/>
        </w:rPr>
        <w:t xml:space="preserve"> ranged from </w:t>
      </w:r>
      <w:smartTag w:uri="urn:schemas-microsoft-com:office:smarttags" w:element="time">
        <w:smartTagPr>
          <w:attr w:name="Hour" w:val="2"/>
          <w:attr w:name="Minute" w:val="0"/>
        </w:smartTagPr>
        <w:r w:rsidRPr="00654EF1">
          <w:rPr>
            <w:color w:val="000000"/>
            <w:szCs w:val="22"/>
          </w:rPr>
          <w:t>2.6</w:t>
        </w:r>
      </w:smartTag>
      <w:r w:rsidRPr="00654EF1">
        <w:rPr>
          <w:color w:val="000000"/>
          <w:szCs w:val="22"/>
        </w:rPr>
        <w:t xml:space="preserve"> to 3.1 months, and median overall survival in the 401 evaluable patients ranged from </w:t>
      </w:r>
      <w:smartTag w:uri="urn:schemas-microsoft-com:office:smarttags" w:element="time">
        <w:smartTagPr>
          <w:attr w:name="Hour" w:val="4"/>
          <w:attr w:name="Minute" w:val="0"/>
        </w:smartTagPr>
        <w:r w:rsidRPr="00654EF1">
          <w:rPr>
            <w:color w:val="000000"/>
            <w:szCs w:val="22"/>
          </w:rPr>
          <w:t>4.9</w:t>
        </w:r>
      </w:smartTag>
      <w:r w:rsidRPr="00654EF1">
        <w:rPr>
          <w:color w:val="000000"/>
          <w:szCs w:val="22"/>
        </w:rPr>
        <w:t xml:space="preserve"> to 9 months. The data was similar when re-analysed to include only those patients age 55 or older.</w:t>
      </w:r>
    </w:p>
    <w:p w14:paraId="1B68083E" w14:textId="77777777" w:rsidR="005B7A57" w:rsidRPr="00654EF1" w:rsidRDefault="005B7A57" w:rsidP="001D5C8C">
      <w:pPr>
        <w:pStyle w:val="EndnoteText"/>
        <w:widowControl w:val="0"/>
        <w:rPr>
          <w:color w:val="000000"/>
          <w:szCs w:val="22"/>
          <w:lang w:val="en-US"/>
        </w:rPr>
      </w:pPr>
    </w:p>
    <w:p w14:paraId="1B68083F" w14:textId="77777777" w:rsidR="005B7A57" w:rsidRPr="00654EF1" w:rsidRDefault="005B7A57" w:rsidP="001D5C8C">
      <w:pPr>
        <w:pStyle w:val="EndnoteText"/>
        <w:keepNext/>
        <w:widowControl w:val="0"/>
        <w:rPr>
          <w:color w:val="000000"/>
          <w:u w:val="single"/>
          <w:lang w:val="en-US"/>
        </w:rPr>
      </w:pPr>
      <w:r w:rsidRPr="00654EF1">
        <w:rPr>
          <w:color w:val="000000"/>
          <w:u w:val="single"/>
          <w:lang w:val="en-US"/>
        </w:rPr>
        <w:t xml:space="preserve">Clinical studies in </w:t>
      </w:r>
      <w:smartTag w:uri="urn:schemas-microsoft-com:office:smarttags" w:element="stockticker">
        <w:r w:rsidRPr="00654EF1">
          <w:rPr>
            <w:color w:val="000000"/>
            <w:u w:val="single"/>
            <w:lang w:val="en-US"/>
          </w:rPr>
          <w:t>MDS</w:t>
        </w:r>
      </w:smartTag>
      <w:r w:rsidRPr="00654EF1">
        <w:rPr>
          <w:color w:val="000000"/>
          <w:u w:val="single"/>
          <w:lang w:val="en-US"/>
        </w:rPr>
        <w:t>/MPD</w:t>
      </w:r>
    </w:p>
    <w:p w14:paraId="1B680840" w14:textId="77777777" w:rsidR="00DC385B" w:rsidRPr="00654EF1" w:rsidRDefault="005B7A57" w:rsidP="001D5C8C">
      <w:pPr>
        <w:pStyle w:val="EndnoteText"/>
        <w:widowControl w:val="0"/>
        <w:tabs>
          <w:tab w:val="clear" w:pos="567"/>
        </w:tabs>
        <w:rPr>
          <w:color w:val="000000"/>
          <w:szCs w:val="22"/>
          <w:lang w:eastAsia="ja-JP"/>
        </w:rPr>
      </w:pPr>
      <w:r w:rsidRPr="00654EF1">
        <w:rPr>
          <w:color w:val="000000"/>
          <w:szCs w:val="22"/>
        </w:rPr>
        <w:t>Experience with Glivec in this indication is very limited and is based on haematological and cytogenetic response rates. There are no controlled trials demonstrating a clinical benefit or increased survival. One open label, multicentre, phase II clinical trial (study B2225) was conducted</w:t>
      </w:r>
      <w:r w:rsidRPr="00654EF1">
        <w:rPr>
          <w:color w:val="000000"/>
          <w:szCs w:val="22"/>
          <w:lang w:eastAsia="ja-JP"/>
        </w:rPr>
        <w:t xml:space="preserve"> testing Glivec in diverse populations of patients suffering from life-threatening diseases associated with Abl, Kit or PDGFR protein tyrosine kinases</w:t>
      </w:r>
      <w:r w:rsidRPr="00654EF1">
        <w:rPr>
          <w:color w:val="000000"/>
          <w:szCs w:val="22"/>
        </w:rPr>
        <w:t xml:space="preserve">. This study included 7 patients with </w:t>
      </w:r>
      <w:smartTag w:uri="urn:schemas-microsoft-com:office:smarttags" w:element="stockticker">
        <w:r w:rsidRPr="00654EF1">
          <w:rPr>
            <w:color w:val="000000"/>
            <w:szCs w:val="22"/>
          </w:rPr>
          <w:t>MDS</w:t>
        </w:r>
      </w:smartTag>
      <w:r w:rsidRPr="00654EF1">
        <w:rPr>
          <w:color w:val="000000"/>
          <w:szCs w:val="22"/>
        </w:rPr>
        <w:t>/MPD who were treated with Glivec 400 mg daily. Three patients presented a complete haematological response (</w:t>
      </w:r>
      <w:smartTag w:uri="urn:schemas-microsoft-com:office:smarttags" w:element="stockticker">
        <w:r w:rsidRPr="00654EF1">
          <w:rPr>
            <w:color w:val="000000"/>
            <w:szCs w:val="22"/>
          </w:rPr>
          <w:t>CHR</w:t>
        </w:r>
      </w:smartTag>
      <w:r w:rsidRPr="00654EF1">
        <w:rPr>
          <w:color w:val="000000"/>
          <w:szCs w:val="22"/>
        </w:rPr>
        <w:t>) and one patient experienced a partial haematological response (</w:t>
      </w:r>
      <w:smartTag w:uri="urn:schemas-microsoft-com:office:smarttags" w:element="stockticker">
        <w:r w:rsidRPr="00654EF1">
          <w:rPr>
            <w:color w:val="000000"/>
            <w:szCs w:val="22"/>
          </w:rPr>
          <w:t>PHR</w:t>
        </w:r>
      </w:smartTag>
      <w:r w:rsidRPr="00654EF1">
        <w:rPr>
          <w:color w:val="000000"/>
          <w:szCs w:val="22"/>
        </w:rPr>
        <w:t xml:space="preserve">). At the time of the original analysis, three of the four patients with detected PDGFR gene rearrangements developed haematological response (2 </w:t>
      </w:r>
      <w:smartTag w:uri="urn:schemas-microsoft-com:office:smarttags" w:element="stockticker">
        <w:r w:rsidRPr="00654EF1">
          <w:rPr>
            <w:color w:val="000000"/>
            <w:szCs w:val="22"/>
          </w:rPr>
          <w:t>CHR</w:t>
        </w:r>
      </w:smartTag>
      <w:r w:rsidRPr="00654EF1">
        <w:rPr>
          <w:color w:val="000000"/>
          <w:szCs w:val="22"/>
        </w:rPr>
        <w:t xml:space="preserve"> and 1 </w:t>
      </w:r>
      <w:smartTag w:uri="urn:schemas-microsoft-com:office:smarttags" w:element="stockticker">
        <w:r w:rsidRPr="00654EF1">
          <w:rPr>
            <w:color w:val="000000"/>
            <w:szCs w:val="22"/>
          </w:rPr>
          <w:t>PHR</w:t>
        </w:r>
      </w:smartTag>
      <w:r w:rsidRPr="00654EF1">
        <w:rPr>
          <w:color w:val="000000"/>
          <w:szCs w:val="22"/>
        </w:rPr>
        <w:t xml:space="preserve">). </w:t>
      </w:r>
      <w:r w:rsidRPr="00654EF1">
        <w:rPr>
          <w:color w:val="000000"/>
          <w:szCs w:val="22"/>
          <w:lang w:eastAsia="ja-JP"/>
        </w:rPr>
        <w:t>The age of these patients ranged from 20 to 72 years.</w:t>
      </w:r>
    </w:p>
    <w:p w14:paraId="1B680841" w14:textId="77777777" w:rsidR="00DC385B" w:rsidRPr="00654EF1" w:rsidRDefault="00DC385B" w:rsidP="001D5C8C">
      <w:pPr>
        <w:pStyle w:val="EndnoteText"/>
        <w:widowControl w:val="0"/>
        <w:tabs>
          <w:tab w:val="clear" w:pos="567"/>
        </w:tabs>
        <w:rPr>
          <w:color w:val="000000"/>
          <w:szCs w:val="22"/>
          <w:lang w:eastAsia="ja-JP"/>
        </w:rPr>
      </w:pPr>
    </w:p>
    <w:p w14:paraId="1B680842" w14:textId="77777777" w:rsidR="00DC385B" w:rsidRPr="00654EF1" w:rsidRDefault="00DC385B" w:rsidP="001D5C8C">
      <w:pPr>
        <w:pStyle w:val="EndnoteText"/>
        <w:widowControl w:val="0"/>
        <w:tabs>
          <w:tab w:val="clear" w:pos="567"/>
        </w:tabs>
        <w:rPr>
          <w:color w:val="000000"/>
          <w:szCs w:val="22"/>
          <w:lang w:eastAsia="ja-JP"/>
        </w:rPr>
      </w:pPr>
      <w:r w:rsidRPr="00654EF1">
        <w:rPr>
          <w:color w:val="000000"/>
          <w:szCs w:val="22"/>
        </w:rPr>
        <w:t xml:space="preserve">An observational registry (study L2401) was conducted to collect </w:t>
      </w:r>
      <w:r w:rsidRPr="00654EF1">
        <w:rPr>
          <w:rFonts w:eastAsia="TimesNewRoman"/>
          <w:szCs w:val="22"/>
          <w:lang w:val="en-US"/>
        </w:rPr>
        <w:t xml:space="preserve">long-term safety and efficacy data in </w:t>
      </w:r>
      <w:r w:rsidRPr="00654EF1">
        <w:rPr>
          <w:rFonts w:eastAsia="TimesNewRoman"/>
          <w:szCs w:val="22"/>
          <w:lang w:val="en-US"/>
        </w:rPr>
        <w:lastRenderedPageBreak/>
        <w:t xml:space="preserve">patients suffering from </w:t>
      </w:r>
      <w:r w:rsidRPr="00654EF1">
        <w:rPr>
          <w:color w:val="000000"/>
          <w:szCs w:val="22"/>
        </w:rPr>
        <w:t xml:space="preserve">myeloproliferative </w:t>
      </w:r>
      <w:r w:rsidRPr="00654EF1">
        <w:rPr>
          <w:rFonts w:eastAsia="TimesNewRoman"/>
          <w:szCs w:val="22"/>
          <w:lang w:val="en-US"/>
        </w:rPr>
        <w:t>neoplasms with PDGFR- β rearrangement and who were treated with Glivec.</w:t>
      </w:r>
      <w:r w:rsidRPr="00654EF1">
        <w:rPr>
          <w:color w:val="000000"/>
          <w:szCs w:val="22"/>
        </w:rPr>
        <w:t xml:space="preserve"> The 23 patients enrolled in this registry received Glivec at a median daily dose of 264 mg (range: 100 to 400 mg) for a median duration of 7.2 years (range 0.1 to 12.7 years). </w:t>
      </w:r>
      <w:r w:rsidRPr="00654EF1">
        <w:rPr>
          <w:rFonts w:eastAsia="TimesNewRoman"/>
          <w:szCs w:val="22"/>
          <w:lang w:val="en-US"/>
        </w:rPr>
        <w:t xml:space="preserve">Due to the observational nature of this registry, haematologic, cytogenetic and molecular assessment </w:t>
      </w:r>
      <w:r w:rsidRPr="00654EF1">
        <w:rPr>
          <w:color w:val="000000"/>
          <w:szCs w:val="22"/>
        </w:rPr>
        <w:t xml:space="preserve">data were available for 22, 9 and 17 of the 23 enrolled patients, respectively. When assuming conservatively that patients with missing data were non-responders, CHR was observed in 20/23 (87%) patients, CCyR in 9/23 (39.1%) patients, and MR in 11/23 (47.8%) patients, respectively. When the response rate is calculated from patients with at least one valid assessment, the response rate for CHR, CCyR and MR was </w:t>
      </w:r>
      <w:r w:rsidR="00F8783E" w:rsidRPr="00654EF1">
        <w:rPr>
          <w:color w:val="000000"/>
          <w:szCs w:val="22"/>
        </w:rPr>
        <w:t>20</w:t>
      </w:r>
      <w:r w:rsidRPr="00654EF1">
        <w:rPr>
          <w:color w:val="000000"/>
          <w:szCs w:val="22"/>
        </w:rPr>
        <w:t>/22 (90.9%), 9/9 (100%) and 11/17 (64.7%), respectively.</w:t>
      </w:r>
    </w:p>
    <w:p w14:paraId="1B680843" w14:textId="77777777" w:rsidR="00DC385B" w:rsidRPr="00654EF1" w:rsidRDefault="00DC385B" w:rsidP="001D5C8C">
      <w:pPr>
        <w:pStyle w:val="EndnoteText"/>
        <w:widowControl w:val="0"/>
        <w:tabs>
          <w:tab w:val="clear" w:pos="567"/>
        </w:tabs>
        <w:rPr>
          <w:color w:val="000000"/>
          <w:szCs w:val="22"/>
          <w:lang w:eastAsia="ja-JP"/>
        </w:rPr>
      </w:pPr>
    </w:p>
    <w:p w14:paraId="1B680844" w14:textId="77777777" w:rsidR="005B7A57" w:rsidRPr="00654EF1" w:rsidRDefault="005B7A57" w:rsidP="001D5C8C">
      <w:pPr>
        <w:pStyle w:val="EndnoteText"/>
        <w:widowControl w:val="0"/>
        <w:tabs>
          <w:tab w:val="clear" w:pos="567"/>
        </w:tabs>
        <w:rPr>
          <w:color w:val="000000"/>
          <w:szCs w:val="22"/>
        </w:rPr>
      </w:pPr>
      <w:r w:rsidRPr="00654EF1">
        <w:rPr>
          <w:color w:val="000000"/>
          <w:szCs w:val="22"/>
        </w:rPr>
        <w:t xml:space="preserve">In addition a further 24 patients with </w:t>
      </w:r>
      <w:smartTag w:uri="urn:schemas-microsoft-com:office:smarttags" w:element="stockticker">
        <w:r w:rsidRPr="00654EF1">
          <w:rPr>
            <w:color w:val="000000"/>
            <w:szCs w:val="22"/>
          </w:rPr>
          <w:t>MDS</w:t>
        </w:r>
      </w:smartTag>
      <w:r w:rsidRPr="00654EF1">
        <w:rPr>
          <w:color w:val="000000"/>
          <w:szCs w:val="22"/>
        </w:rPr>
        <w:t xml:space="preserve">/MPD were reported in 13 publications. 21 patients were treated with Glivec 400 mg daily, while the other 3 patients received lower doses. In eleven patients PDGFR gene rearrangements was detected, 9 of them achieved a </w:t>
      </w:r>
      <w:smartTag w:uri="urn:schemas-microsoft-com:office:smarttags" w:element="stockticker">
        <w:r w:rsidRPr="00654EF1">
          <w:rPr>
            <w:color w:val="000000"/>
            <w:szCs w:val="22"/>
          </w:rPr>
          <w:t>CHR</w:t>
        </w:r>
      </w:smartTag>
      <w:r w:rsidRPr="00654EF1">
        <w:rPr>
          <w:color w:val="000000"/>
          <w:szCs w:val="22"/>
        </w:rPr>
        <w:t xml:space="preserve"> and 1 </w:t>
      </w:r>
      <w:smartTag w:uri="urn:schemas-microsoft-com:office:smarttags" w:element="stockticker">
        <w:r w:rsidRPr="00654EF1">
          <w:rPr>
            <w:color w:val="000000"/>
            <w:szCs w:val="22"/>
          </w:rPr>
          <w:t>PHR</w:t>
        </w:r>
      </w:smartTag>
      <w:r w:rsidRPr="00654EF1">
        <w:rPr>
          <w:color w:val="000000"/>
          <w:szCs w:val="22"/>
        </w:rPr>
        <w:t xml:space="preserve">. The age of these patients ranged from </w:t>
      </w:r>
      <w:smartTag w:uri="urn:schemas-microsoft-com:office:smarttags" w:element="time">
        <w:smartTagPr>
          <w:attr w:name="Hour" w:val="2"/>
          <w:attr w:name="Minute" w:val="0"/>
        </w:smartTagPr>
        <w:r w:rsidRPr="00654EF1">
          <w:rPr>
            <w:color w:val="000000"/>
            <w:szCs w:val="22"/>
          </w:rPr>
          <w:t>2</w:t>
        </w:r>
      </w:smartTag>
      <w:r w:rsidRPr="00654EF1">
        <w:rPr>
          <w:color w:val="000000"/>
          <w:szCs w:val="22"/>
        </w:rPr>
        <w:t xml:space="preserve"> to 79 years. In a recent publication updated information from 6 of these 11 patients revealed that all these patients remained in cytogenetic remission (range 32</w:t>
      </w:r>
      <w:r w:rsidRPr="00654EF1">
        <w:rPr>
          <w:color w:val="000000"/>
          <w:szCs w:val="22"/>
        </w:rPr>
        <w:noBreakHyphen/>
        <w:t>38 months). The same publication reported long term follow-up data from 12 </w:t>
      </w:r>
      <w:smartTag w:uri="urn:schemas-microsoft-com:office:smarttags" w:element="stockticker">
        <w:r w:rsidRPr="00654EF1">
          <w:rPr>
            <w:color w:val="000000"/>
            <w:szCs w:val="22"/>
          </w:rPr>
          <w:t>MDS</w:t>
        </w:r>
      </w:smartTag>
      <w:r w:rsidRPr="00654EF1">
        <w:rPr>
          <w:color w:val="000000"/>
          <w:szCs w:val="22"/>
        </w:rPr>
        <w:t xml:space="preserve">/MPD patients with PDGFR gene rearrangements (5 patients from study B2225). These patients received Glivec for a median of 47 months (range 24 days – 60 months). In 6 of these patients follow-up now exceeds 4 years. Eleven patients achieved rapid </w:t>
      </w:r>
      <w:smartTag w:uri="urn:schemas-microsoft-com:office:smarttags" w:element="stockticker">
        <w:r w:rsidRPr="00654EF1">
          <w:rPr>
            <w:color w:val="000000"/>
            <w:szCs w:val="22"/>
          </w:rPr>
          <w:t>CHR</w:t>
        </w:r>
      </w:smartTag>
      <w:r w:rsidRPr="00654EF1">
        <w:rPr>
          <w:color w:val="000000"/>
          <w:szCs w:val="22"/>
        </w:rPr>
        <w:t>; ten had complete resolution of cytogenetic abnormalities and a decrease or disappearance of fusion transcripts as measured by RT-</w:t>
      </w:r>
      <w:smartTag w:uri="urn:schemas-microsoft-com:office:smarttags" w:element="stockticker">
        <w:r w:rsidRPr="00654EF1">
          <w:rPr>
            <w:color w:val="000000"/>
            <w:szCs w:val="22"/>
          </w:rPr>
          <w:t>PCR</w:t>
        </w:r>
      </w:smartTag>
      <w:r w:rsidRPr="00654EF1">
        <w:rPr>
          <w:color w:val="000000"/>
          <w:szCs w:val="22"/>
        </w:rPr>
        <w:t>. Haematological and cytogenetic responses have been sustained for a median of 49 months (range 19</w:t>
      </w:r>
      <w:r w:rsidRPr="00654EF1">
        <w:rPr>
          <w:color w:val="000000"/>
          <w:szCs w:val="22"/>
        </w:rPr>
        <w:noBreakHyphen/>
        <w:t>60) and 47 months (range 16</w:t>
      </w:r>
      <w:r w:rsidRPr="00654EF1">
        <w:rPr>
          <w:color w:val="000000"/>
          <w:szCs w:val="22"/>
        </w:rPr>
        <w:noBreakHyphen/>
        <w:t>59), respectively. The overall survival is 65 months since diagnosis (range 25</w:t>
      </w:r>
      <w:r w:rsidRPr="00654EF1">
        <w:rPr>
          <w:color w:val="000000"/>
          <w:szCs w:val="22"/>
        </w:rPr>
        <w:noBreakHyphen/>
        <w:t>234). Glivec administration to patients without the genetic translocation generally results in no improvement.</w:t>
      </w:r>
    </w:p>
    <w:p w14:paraId="1B680845" w14:textId="77777777" w:rsidR="00353FB7" w:rsidRPr="00654EF1" w:rsidRDefault="00353FB7" w:rsidP="001D5C8C">
      <w:pPr>
        <w:pStyle w:val="EndnoteText"/>
        <w:widowControl w:val="0"/>
        <w:tabs>
          <w:tab w:val="clear" w:pos="567"/>
        </w:tabs>
        <w:rPr>
          <w:color w:val="000000"/>
          <w:szCs w:val="22"/>
        </w:rPr>
      </w:pPr>
    </w:p>
    <w:p w14:paraId="1B680846" w14:textId="77777777" w:rsidR="001F2B41" w:rsidRPr="00654EF1" w:rsidRDefault="001F2B41" w:rsidP="001D5C8C">
      <w:pPr>
        <w:pStyle w:val="EndnoteText"/>
        <w:widowControl w:val="0"/>
        <w:tabs>
          <w:tab w:val="clear" w:pos="567"/>
        </w:tabs>
        <w:rPr>
          <w:color w:val="000000"/>
          <w:szCs w:val="22"/>
        </w:rPr>
      </w:pPr>
      <w:r w:rsidRPr="00654EF1">
        <w:rPr>
          <w:color w:val="000000"/>
          <w:szCs w:val="22"/>
        </w:rPr>
        <w:t>There are no controlled trials in paediatric patients with MDS/MPD. Five (5) patients with MDS/MPD associated with PDGFR gene re-arrangements were reported in 4 publications. The age of these patients ranged from 3 months to 4 years and imatinib was given at dose 50 mg daily or doses ranging from 92.5 to 340 mg/m</w:t>
      </w:r>
      <w:r w:rsidRPr="00654EF1">
        <w:rPr>
          <w:color w:val="000000"/>
          <w:szCs w:val="22"/>
          <w:vertAlign w:val="superscript"/>
        </w:rPr>
        <w:t>2</w:t>
      </w:r>
      <w:r w:rsidRPr="00654EF1">
        <w:rPr>
          <w:color w:val="000000"/>
          <w:szCs w:val="22"/>
        </w:rPr>
        <w:t xml:space="preserve"> daily. All patients achieved complete haematological response, cytogenetic response and/or clinical response.</w:t>
      </w:r>
    </w:p>
    <w:p w14:paraId="1B680847" w14:textId="77777777" w:rsidR="005B7A57" w:rsidRPr="00654EF1" w:rsidRDefault="005B7A57" w:rsidP="001D5C8C">
      <w:pPr>
        <w:pStyle w:val="EndnoteText"/>
        <w:widowControl w:val="0"/>
        <w:tabs>
          <w:tab w:val="clear" w:pos="567"/>
        </w:tabs>
        <w:rPr>
          <w:color w:val="000000"/>
          <w:szCs w:val="22"/>
        </w:rPr>
      </w:pPr>
    </w:p>
    <w:p w14:paraId="1B680848" w14:textId="77777777" w:rsidR="005B7A57" w:rsidRPr="00654EF1" w:rsidRDefault="005B7A57" w:rsidP="001D5C8C">
      <w:pPr>
        <w:pStyle w:val="EndnoteText"/>
        <w:keepNext/>
        <w:widowControl w:val="0"/>
        <w:tabs>
          <w:tab w:val="clear" w:pos="567"/>
        </w:tabs>
        <w:rPr>
          <w:color w:val="000000"/>
          <w:szCs w:val="22"/>
          <w:u w:val="single"/>
        </w:rPr>
      </w:pPr>
      <w:r w:rsidRPr="00654EF1">
        <w:rPr>
          <w:color w:val="000000"/>
          <w:szCs w:val="22"/>
          <w:u w:val="single"/>
        </w:rPr>
        <w:t>Clinical studies in HES/</w:t>
      </w:r>
      <w:smartTag w:uri="urn:schemas-microsoft-com:office:smarttags" w:element="stockticker">
        <w:r w:rsidRPr="00654EF1">
          <w:rPr>
            <w:color w:val="000000"/>
            <w:szCs w:val="22"/>
            <w:u w:val="single"/>
          </w:rPr>
          <w:t>CEL</w:t>
        </w:r>
      </w:smartTag>
    </w:p>
    <w:p w14:paraId="1B680849" w14:textId="77777777" w:rsidR="005B7A57" w:rsidRPr="00654EF1" w:rsidRDefault="005B7A57" w:rsidP="001D5C8C">
      <w:pPr>
        <w:pStyle w:val="Text"/>
        <w:widowControl w:val="0"/>
        <w:spacing w:before="0"/>
        <w:jc w:val="left"/>
        <w:rPr>
          <w:color w:val="000000"/>
          <w:sz w:val="22"/>
          <w:szCs w:val="22"/>
          <w:lang w:val="en-GB"/>
        </w:rPr>
      </w:pPr>
      <w:r w:rsidRPr="00654EF1">
        <w:rPr>
          <w:color w:val="000000"/>
          <w:sz w:val="22"/>
          <w:szCs w:val="22"/>
          <w:lang w:val="en-GB" w:eastAsia="ja-JP"/>
        </w:rPr>
        <w:t>One open-label, multicentre, phase II clinical trial (study B2225) was conducted testing Glivec in diverse populations of patients suffering from life-threatening diseases associated with Abl, Kit or PDGFR protein tyrosine kinases. In this study, 14 patients with HES/</w:t>
      </w:r>
      <w:smartTag w:uri="urn:schemas-microsoft-com:office:smarttags" w:element="stockticker">
        <w:r w:rsidRPr="00654EF1">
          <w:rPr>
            <w:color w:val="000000"/>
            <w:sz w:val="22"/>
            <w:szCs w:val="22"/>
            <w:lang w:val="en-GB" w:eastAsia="ja-JP"/>
          </w:rPr>
          <w:t>CEL</w:t>
        </w:r>
      </w:smartTag>
      <w:r w:rsidRPr="00654EF1">
        <w:rPr>
          <w:color w:val="000000"/>
          <w:sz w:val="22"/>
          <w:szCs w:val="22"/>
          <w:lang w:val="en-GB" w:eastAsia="ja-JP"/>
        </w:rPr>
        <w:t xml:space="preserve"> were treated with 100 mg to 1,000 mg of Glivec daily. A further 162 patients with HES/</w:t>
      </w:r>
      <w:smartTag w:uri="urn:schemas-microsoft-com:office:smarttags" w:element="stockticker">
        <w:r w:rsidRPr="00654EF1">
          <w:rPr>
            <w:color w:val="000000"/>
            <w:sz w:val="22"/>
            <w:szCs w:val="22"/>
            <w:lang w:val="en-GB" w:eastAsia="ja-JP"/>
          </w:rPr>
          <w:t>CEL</w:t>
        </w:r>
      </w:smartTag>
      <w:r w:rsidRPr="00654EF1">
        <w:rPr>
          <w:color w:val="000000"/>
          <w:sz w:val="22"/>
          <w:szCs w:val="22"/>
          <w:lang w:val="en-GB" w:eastAsia="ja-JP"/>
        </w:rPr>
        <w:t xml:space="preserve">, reported in </w:t>
      </w:r>
      <w:r w:rsidRPr="00654EF1">
        <w:rPr>
          <w:color w:val="000000"/>
          <w:sz w:val="22"/>
          <w:szCs w:val="22"/>
          <w:lang w:val="en-GB"/>
        </w:rPr>
        <w:t xml:space="preserve">35 published case reports and case series received Glivec at doses from 75 mg to 800 mg daily. Cytogenetic abnormalities were evaluated in 117 of the total population of 176 patients. In 61 of these 117 patients FIP1L1-PDGFRα fusion kinase was identified. An additional four HES patients were found to be FIP1L1-PDGFRα-positive in other 3 published reports. All 65 FIP1L1-PDGFRα fusion kinase positive patients achieved a </w:t>
      </w:r>
      <w:smartTag w:uri="urn:schemas-microsoft-com:office:smarttags" w:element="stockticker">
        <w:r w:rsidRPr="00654EF1">
          <w:rPr>
            <w:color w:val="000000"/>
            <w:sz w:val="22"/>
            <w:szCs w:val="22"/>
            <w:lang w:val="en-GB"/>
          </w:rPr>
          <w:t>CHR</w:t>
        </w:r>
      </w:smartTag>
      <w:r w:rsidRPr="00654EF1">
        <w:rPr>
          <w:color w:val="000000"/>
          <w:sz w:val="22"/>
          <w:szCs w:val="22"/>
          <w:lang w:val="en-GB"/>
        </w:rPr>
        <w:t xml:space="preserve"> sustained for months (range from 1+ to 44+ months censored at the time of the reporting). As reported in a recent publication 21 of these 65 patients also achieved complete molecular remission with a median follow-up of 28 months (range 13</w:t>
      </w:r>
      <w:r w:rsidRPr="00654EF1">
        <w:rPr>
          <w:color w:val="000000"/>
          <w:sz w:val="22"/>
          <w:szCs w:val="22"/>
          <w:lang w:val="en-GB"/>
        </w:rPr>
        <w:noBreakHyphen/>
        <w:t xml:space="preserve">67 months). </w:t>
      </w:r>
      <w:r w:rsidRPr="00654EF1">
        <w:rPr>
          <w:color w:val="000000"/>
          <w:sz w:val="22"/>
          <w:szCs w:val="22"/>
        </w:rPr>
        <w:t>The age of these patients ranged from 25 to 72 years.</w:t>
      </w:r>
      <w:r w:rsidRPr="00654EF1">
        <w:rPr>
          <w:color w:val="000000"/>
          <w:szCs w:val="22"/>
        </w:rPr>
        <w:t xml:space="preserve"> </w:t>
      </w:r>
      <w:r w:rsidRPr="00654EF1">
        <w:rPr>
          <w:color w:val="000000"/>
          <w:sz w:val="22"/>
          <w:szCs w:val="22"/>
          <w:lang w:val="en-GB"/>
        </w:rPr>
        <w:t>Additionally, improvements in symptomatology and other organ dysfunction abnormalities were reported by the investigators in the case reports. Improvements were reported in cardiac, nervous, skin/subcutaneous tissue, respiratory/thoracic/mediastinal, musculoskeletal/connective tissue/vascular, and gastrointestinal organ systems.</w:t>
      </w:r>
    </w:p>
    <w:p w14:paraId="1B68084A" w14:textId="77777777" w:rsidR="00353FB7" w:rsidRPr="00654EF1" w:rsidRDefault="00353FB7" w:rsidP="001D5C8C">
      <w:pPr>
        <w:pStyle w:val="Text"/>
        <w:widowControl w:val="0"/>
        <w:spacing w:before="0"/>
        <w:jc w:val="left"/>
        <w:rPr>
          <w:color w:val="000000"/>
          <w:sz w:val="22"/>
          <w:szCs w:val="22"/>
          <w:lang w:val="en-GB"/>
        </w:rPr>
      </w:pPr>
    </w:p>
    <w:p w14:paraId="1B68084B" w14:textId="77777777" w:rsidR="001F2B41" w:rsidRPr="00654EF1" w:rsidRDefault="001F2B41" w:rsidP="001D5C8C">
      <w:pPr>
        <w:pStyle w:val="Text"/>
        <w:widowControl w:val="0"/>
        <w:spacing w:before="0"/>
        <w:jc w:val="left"/>
        <w:rPr>
          <w:color w:val="000000"/>
          <w:sz w:val="22"/>
          <w:szCs w:val="22"/>
          <w:lang w:val="en-GB"/>
        </w:rPr>
      </w:pPr>
      <w:r w:rsidRPr="00654EF1">
        <w:rPr>
          <w:color w:val="000000"/>
          <w:sz w:val="22"/>
          <w:szCs w:val="22"/>
          <w:lang w:val="en-GB"/>
        </w:rPr>
        <w:t>There are no controlled trials in paediatric patients with HES/CEL. Three (3)</w:t>
      </w:r>
      <w:r w:rsidRPr="00654EF1">
        <w:rPr>
          <w:color w:val="000000"/>
          <w:sz w:val="22"/>
          <w:szCs w:val="22"/>
        </w:rPr>
        <w:t> </w:t>
      </w:r>
      <w:r w:rsidRPr="00654EF1">
        <w:rPr>
          <w:color w:val="000000"/>
          <w:sz w:val="22"/>
          <w:szCs w:val="22"/>
          <w:lang w:val="en-GB"/>
        </w:rPr>
        <w:t>patients with HES and CEL associated with PDGFR gene re-arrangements were reported in 3</w:t>
      </w:r>
      <w:r w:rsidRPr="00654EF1">
        <w:rPr>
          <w:color w:val="000000"/>
          <w:sz w:val="22"/>
          <w:szCs w:val="22"/>
        </w:rPr>
        <w:t> </w:t>
      </w:r>
      <w:r w:rsidRPr="00654EF1">
        <w:rPr>
          <w:color w:val="000000"/>
          <w:sz w:val="22"/>
          <w:szCs w:val="22"/>
          <w:lang w:val="en-GB"/>
        </w:rPr>
        <w:t>publications. The age of these patients ranged from 2 to 16</w:t>
      </w:r>
      <w:r w:rsidRPr="00654EF1">
        <w:rPr>
          <w:color w:val="000000"/>
          <w:sz w:val="22"/>
          <w:szCs w:val="22"/>
        </w:rPr>
        <w:t> </w:t>
      </w:r>
      <w:r w:rsidRPr="00654EF1">
        <w:rPr>
          <w:color w:val="000000"/>
          <w:sz w:val="22"/>
          <w:szCs w:val="22"/>
          <w:lang w:val="en-GB"/>
        </w:rPr>
        <w:t>years and imatinib was given at dose 300 mg/m</w:t>
      </w:r>
      <w:r w:rsidRPr="00654EF1">
        <w:rPr>
          <w:color w:val="000000"/>
          <w:sz w:val="22"/>
          <w:szCs w:val="22"/>
          <w:vertAlign w:val="superscript"/>
          <w:lang w:val="en-GB"/>
        </w:rPr>
        <w:t>2</w:t>
      </w:r>
      <w:r w:rsidRPr="00654EF1">
        <w:rPr>
          <w:color w:val="000000"/>
          <w:sz w:val="22"/>
          <w:szCs w:val="22"/>
          <w:lang w:val="en-GB"/>
        </w:rPr>
        <w:t xml:space="preserve"> daily or doses ranging from 200 to 400</w:t>
      </w:r>
      <w:r w:rsidRPr="00654EF1">
        <w:rPr>
          <w:color w:val="000000"/>
          <w:sz w:val="22"/>
          <w:szCs w:val="22"/>
        </w:rPr>
        <w:t> </w:t>
      </w:r>
      <w:r w:rsidRPr="00654EF1">
        <w:rPr>
          <w:color w:val="000000"/>
          <w:sz w:val="22"/>
          <w:szCs w:val="22"/>
          <w:lang w:val="en-GB"/>
        </w:rPr>
        <w:t>mg daily. All patients achieved complete haematological response, complete cytogenetic response and/or complete molecular response.</w:t>
      </w:r>
    </w:p>
    <w:p w14:paraId="1B68084C" w14:textId="77777777" w:rsidR="006237AB" w:rsidRPr="00654EF1" w:rsidRDefault="006237AB" w:rsidP="001D5C8C">
      <w:pPr>
        <w:pStyle w:val="EndnoteText"/>
        <w:widowControl w:val="0"/>
        <w:tabs>
          <w:tab w:val="clear" w:pos="567"/>
        </w:tabs>
        <w:rPr>
          <w:color w:val="000000"/>
          <w:szCs w:val="22"/>
        </w:rPr>
      </w:pPr>
    </w:p>
    <w:p w14:paraId="1B68084D" w14:textId="77777777" w:rsidR="00FE1066" w:rsidRPr="00654EF1" w:rsidRDefault="00FE1066" w:rsidP="001D5C8C">
      <w:pPr>
        <w:pStyle w:val="EndnoteText"/>
        <w:keepNext/>
        <w:widowControl w:val="0"/>
        <w:tabs>
          <w:tab w:val="clear" w:pos="567"/>
        </w:tabs>
        <w:rPr>
          <w:color w:val="000000"/>
          <w:szCs w:val="22"/>
          <w:u w:val="single"/>
        </w:rPr>
      </w:pPr>
      <w:r w:rsidRPr="00654EF1">
        <w:rPr>
          <w:color w:val="000000"/>
          <w:szCs w:val="22"/>
          <w:u w:val="single"/>
        </w:rPr>
        <w:t>Clinical studies in unresectable and/or metastatic GIST</w:t>
      </w:r>
    </w:p>
    <w:p w14:paraId="1B68084E"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One phase </w:t>
      </w:r>
      <w:r w:rsidR="00AA48AB" w:rsidRPr="00654EF1">
        <w:rPr>
          <w:color w:val="000000"/>
          <w:szCs w:val="22"/>
        </w:rPr>
        <w:t>II</w:t>
      </w:r>
      <w:r w:rsidRPr="00654EF1">
        <w:rPr>
          <w:color w:val="000000"/>
          <w:szCs w:val="22"/>
        </w:rPr>
        <w:t xml:space="preserve">, open-label, randomised, uncontrolled multinational study was conducted in patients with unresectable or metastatic malignant gastrointestinal stromal tumours (GIST). In this study 147 patients were enrolled and randomised to receive either 400 mg or 600 mg orally </w:t>
      </w:r>
      <w:r w:rsidR="00D318EB" w:rsidRPr="00654EF1">
        <w:rPr>
          <w:color w:val="000000"/>
          <w:szCs w:val="22"/>
        </w:rPr>
        <w:t>once daily</w:t>
      </w:r>
      <w:r w:rsidRPr="00654EF1">
        <w:rPr>
          <w:color w:val="000000"/>
          <w:szCs w:val="22"/>
        </w:rPr>
        <w:t xml:space="preserve"> for up </w:t>
      </w:r>
      <w:r w:rsidRPr="00654EF1">
        <w:rPr>
          <w:color w:val="000000"/>
          <w:szCs w:val="22"/>
        </w:rPr>
        <w:lastRenderedPageBreak/>
        <w:t xml:space="preserve">to </w:t>
      </w:r>
      <w:r w:rsidR="00BE2245" w:rsidRPr="00654EF1">
        <w:rPr>
          <w:color w:val="000000"/>
          <w:szCs w:val="22"/>
        </w:rPr>
        <w:t>36</w:t>
      </w:r>
      <w:r w:rsidRPr="00654EF1">
        <w:rPr>
          <w:color w:val="000000"/>
          <w:szCs w:val="22"/>
        </w:rPr>
        <w:t> months. These patients ranged in age from 18 to 83</w:t>
      </w:r>
      <w:r w:rsidR="00A36A10" w:rsidRPr="00654EF1">
        <w:rPr>
          <w:color w:val="000000"/>
          <w:szCs w:val="22"/>
        </w:rPr>
        <w:t> </w:t>
      </w:r>
      <w:r w:rsidRPr="00654EF1">
        <w:rPr>
          <w:color w:val="000000"/>
          <w:szCs w:val="22"/>
        </w:rPr>
        <w:t xml:space="preserve">years old and had a pathologic diagnosis of Kit-positive malignant GIST that was unresectable and/or metastatic. Immunohistochemistry was routinely performed with Kit antibody (A-4502, rabbit polyclonal antiserum, 1:100; DAKO Corporation, </w:t>
      </w:r>
      <w:smartTag w:uri="urn:schemas-microsoft-com:office:smarttags" w:element="place">
        <w:smartTag w:uri="urn:schemas-microsoft-com:office:smarttags" w:element="City">
          <w:r w:rsidRPr="00654EF1">
            <w:rPr>
              <w:color w:val="000000"/>
              <w:szCs w:val="22"/>
            </w:rPr>
            <w:t>Carpinteria</w:t>
          </w:r>
        </w:smartTag>
        <w:r w:rsidRPr="00654EF1">
          <w:rPr>
            <w:color w:val="000000"/>
            <w:szCs w:val="22"/>
          </w:rPr>
          <w:t xml:space="preserve">, </w:t>
        </w:r>
        <w:smartTag w:uri="urn:schemas-microsoft-com:office:smarttags" w:element="State">
          <w:r w:rsidRPr="00654EF1">
            <w:rPr>
              <w:color w:val="000000"/>
              <w:szCs w:val="22"/>
            </w:rPr>
            <w:t>CA</w:t>
          </w:r>
        </w:smartTag>
      </w:smartTag>
      <w:r w:rsidRPr="00654EF1">
        <w:rPr>
          <w:color w:val="000000"/>
          <w:szCs w:val="22"/>
        </w:rPr>
        <w:t>) according to analysis by an avidin-biotin-peroxidase complex method after antigen retrieval.</w:t>
      </w:r>
    </w:p>
    <w:p w14:paraId="1B68084F" w14:textId="77777777" w:rsidR="006237AB" w:rsidRPr="00654EF1" w:rsidRDefault="006237AB" w:rsidP="001D5C8C">
      <w:pPr>
        <w:pStyle w:val="EndnoteText"/>
        <w:widowControl w:val="0"/>
        <w:tabs>
          <w:tab w:val="clear" w:pos="567"/>
        </w:tabs>
        <w:rPr>
          <w:color w:val="000000"/>
          <w:szCs w:val="22"/>
        </w:rPr>
      </w:pPr>
    </w:p>
    <w:p w14:paraId="1B680850"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The primary evidence of efficacy was based on objective response rates. Tumours were required to be measurable in at least one site of disease, and response characterisation based on Southwestern Oncology Group (SWOG) criteria. Results are provided in Table</w:t>
      </w:r>
      <w:r w:rsidR="00AA48AB" w:rsidRPr="00654EF1">
        <w:rPr>
          <w:color w:val="000000"/>
          <w:szCs w:val="22"/>
        </w:rPr>
        <w:t> </w:t>
      </w:r>
      <w:r w:rsidR="008F2DE5" w:rsidRPr="00654EF1">
        <w:rPr>
          <w:color w:val="000000"/>
          <w:szCs w:val="22"/>
        </w:rPr>
        <w:t>6</w:t>
      </w:r>
      <w:r w:rsidRPr="00654EF1">
        <w:rPr>
          <w:color w:val="000000"/>
          <w:szCs w:val="22"/>
        </w:rPr>
        <w:t>.</w:t>
      </w:r>
    </w:p>
    <w:p w14:paraId="1B680851" w14:textId="77777777" w:rsidR="006237AB" w:rsidRPr="00654EF1" w:rsidRDefault="006237AB" w:rsidP="001D5C8C">
      <w:pPr>
        <w:pStyle w:val="EndnoteText"/>
        <w:widowControl w:val="0"/>
        <w:tabs>
          <w:tab w:val="clear" w:pos="567"/>
        </w:tabs>
        <w:rPr>
          <w:color w:val="000000"/>
          <w:szCs w:val="22"/>
        </w:rPr>
      </w:pPr>
    </w:p>
    <w:p w14:paraId="1B680852" w14:textId="77777777" w:rsidR="006237AB" w:rsidRPr="00654EF1" w:rsidRDefault="006237AB" w:rsidP="001D5C8C">
      <w:pPr>
        <w:pStyle w:val="EndnoteText"/>
        <w:keepNext/>
        <w:widowControl w:val="0"/>
        <w:tabs>
          <w:tab w:val="clear" w:pos="567"/>
        </w:tabs>
        <w:rPr>
          <w:b/>
          <w:color w:val="000000"/>
          <w:szCs w:val="22"/>
        </w:rPr>
      </w:pPr>
      <w:r w:rsidRPr="00654EF1">
        <w:rPr>
          <w:b/>
          <w:color w:val="000000"/>
          <w:szCs w:val="22"/>
        </w:rPr>
        <w:t>Table</w:t>
      </w:r>
      <w:r w:rsidR="00AA48AB" w:rsidRPr="00654EF1">
        <w:rPr>
          <w:b/>
          <w:color w:val="000000"/>
          <w:szCs w:val="22"/>
        </w:rPr>
        <w:t> </w:t>
      </w:r>
      <w:r w:rsidR="008F2DE5" w:rsidRPr="00654EF1">
        <w:rPr>
          <w:b/>
          <w:color w:val="000000"/>
          <w:szCs w:val="22"/>
        </w:rPr>
        <w:t>6</w:t>
      </w:r>
      <w:r w:rsidRPr="00654EF1">
        <w:rPr>
          <w:b/>
          <w:color w:val="000000"/>
          <w:szCs w:val="22"/>
        </w:rPr>
        <w:tab/>
        <w:t>Best tumour response in trial STIB2222 (GIST)</w:t>
      </w:r>
    </w:p>
    <w:p w14:paraId="1B680853" w14:textId="77777777" w:rsidR="006237AB" w:rsidRPr="00654EF1" w:rsidRDefault="006237AB" w:rsidP="001D5C8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6237AB" w:rsidRPr="00654EF1" w14:paraId="1B68085C" w14:textId="77777777" w:rsidTr="005E7BE5">
        <w:trPr>
          <w:cantSplit/>
        </w:trPr>
        <w:tc>
          <w:tcPr>
            <w:tcW w:w="4643" w:type="dxa"/>
            <w:tcBorders>
              <w:left w:val="nil"/>
              <w:bottom w:val="single" w:sz="4" w:space="0" w:color="auto"/>
              <w:right w:val="nil"/>
            </w:tcBorders>
          </w:tcPr>
          <w:p w14:paraId="1B680854" w14:textId="77777777" w:rsidR="006237AB" w:rsidRPr="00654EF1" w:rsidRDefault="006237AB" w:rsidP="001D5C8C">
            <w:pPr>
              <w:pStyle w:val="EndnoteText"/>
              <w:keepNext/>
              <w:widowControl w:val="0"/>
              <w:tabs>
                <w:tab w:val="clear" w:pos="567"/>
              </w:tabs>
              <w:rPr>
                <w:color w:val="000000"/>
                <w:szCs w:val="22"/>
              </w:rPr>
            </w:pPr>
          </w:p>
          <w:p w14:paraId="1B680855" w14:textId="77777777" w:rsidR="006237AB" w:rsidRPr="00654EF1" w:rsidRDefault="006237AB" w:rsidP="001D5C8C">
            <w:pPr>
              <w:pStyle w:val="EndnoteText"/>
              <w:keepNext/>
              <w:widowControl w:val="0"/>
              <w:tabs>
                <w:tab w:val="clear" w:pos="567"/>
              </w:tabs>
              <w:rPr>
                <w:color w:val="000000"/>
                <w:szCs w:val="22"/>
              </w:rPr>
            </w:pPr>
          </w:p>
          <w:p w14:paraId="1B680856" w14:textId="77777777" w:rsidR="006237AB" w:rsidRPr="00654EF1" w:rsidRDefault="006237AB" w:rsidP="001D5C8C">
            <w:pPr>
              <w:pStyle w:val="EndnoteText"/>
              <w:keepNext/>
              <w:widowControl w:val="0"/>
              <w:tabs>
                <w:tab w:val="clear" w:pos="567"/>
              </w:tabs>
              <w:rPr>
                <w:color w:val="000000"/>
                <w:szCs w:val="22"/>
              </w:rPr>
            </w:pPr>
          </w:p>
          <w:p w14:paraId="1B680857"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Best response</w:t>
            </w:r>
          </w:p>
        </w:tc>
        <w:tc>
          <w:tcPr>
            <w:tcW w:w="4643" w:type="dxa"/>
            <w:tcBorders>
              <w:left w:val="nil"/>
              <w:bottom w:val="single" w:sz="4" w:space="0" w:color="auto"/>
              <w:right w:val="nil"/>
            </w:tcBorders>
          </w:tcPr>
          <w:p w14:paraId="1B680858" w14:textId="77777777" w:rsidR="006237AB" w:rsidRPr="008637D0" w:rsidRDefault="006237AB" w:rsidP="001D5C8C">
            <w:pPr>
              <w:pStyle w:val="EndnoteText"/>
              <w:keepNext/>
              <w:widowControl w:val="0"/>
              <w:tabs>
                <w:tab w:val="clear" w:pos="567"/>
              </w:tabs>
              <w:jc w:val="center"/>
              <w:rPr>
                <w:color w:val="000000"/>
                <w:szCs w:val="22"/>
                <w:lang w:val="pt-PT"/>
              </w:rPr>
            </w:pPr>
            <w:r w:rsidRPr="008637D0">
              <w:rPr>
                <w:color w:val="000000"/>
                <w:szCs w:val="22"/>
                <w:lang w:val="pt-PT"/>
              </w:rPr>
              <w:t>All doses (n=147)</w:t>
            </w:r>
          </w:p>
          <w:p w14:paraId="1B680859" w14:textId="77777777" w:rsidR="006237AB" w:rsidRPr="008637D0" w:rsidRDefault="006237AB" w:rsidP="001D5C8C">
            <w:pPr>
              <w:pStyle w:val="EndnoteText"/>
              <w:keepNext/>
              <w:widowControl w:val="0"/>
              <w:tabs>
                <w:tab w:val="clear" w:pos="567"/>
              </w:tabs>
              <w:jc w:val="center"/>
              <w:rPr>
                <w:color w:val="000000"/>
                <w:szCs w:val="22"/>
                <w:lang w:val="pt-PT"/>
              </w:rPr>
            </w:pPr>
            <w:r w:rsidRPr="008637D0">
              <w:rPr>
                <w:color w:val="000000"/>
                <w:szCs w:val="22"/>
                <w:lang w:val="pt-PT"/>
              </w:rPr>
              <w:t>400</w:t>
            </w:r>
            <w:r w:rsidR="002D524A" w:rsidRPr="008637D0">
              <w:rPr>
                <w:color w:val="000000"/>
                <w:szCs w:val="22"/>
                <w:lang w:val="pt-PT"/>
              </w:rPr>
              <w:t> mg</w:t>
            </w:r>
            <w:r w:rsidRPr="008637D0">
              <w:rPr>
                <w:color w:val="000000"/>
                <w:szCs w:val="22"/>
                <w:lang w:val="pt-PT"/>
              </w:rPr>
              <w:t xml:space="preserve"> (n=73)</w:t>
            </w:r>
          </w:p>
          <w:p w14:paraId="1B68085A" w14:textId="77777777" w:rsidR="006237AB" w:rsidRPr="00654EF1" w:rsidRDefault="006237AB" w:rsidP="001D5C8C">
            <w:pPr>
              <w:pStyle w:val="EndnoteText"/>
              <w:keepNext/>
              <w:widowControl w:val="0"/>
              <w:tabs>
                <w:tab w:val="clear" w:pos="567"/>
              </w:tabs>
              <w:jc w:val="center"/>
              <w:rPr>
                <w:color w:val="000000"/>
                <w:szCs w:val="22"/>
                <w:lang w:val="de-CH"/>
              </w:rPr>
            </w:pPr>
            <w:r w:rsidRPr="00654EF1">
              <w:rPr>
                <w:color w:val="000000"/>
                <w:szCs w:val="22"/>
                <w:lang w:val="de-CH"/>
              </w:rPr>
              <w:t>600</w:t>
            </w:r>
            <w:r w:rsidR="002D524A" w:rsidRPr="00654EF1">
              <w:rPr>
                <w:color w:val="000000"/>
                <w:szCs w:val="22"/>
                <w:lang w:val="de-CH"/>
              </w:rPr>
              <w:t> mg</w:t>
            </w:r>
            <w:r w:rsidRPr="00654EF1">
              <w:rPr>
                <w:color w:val="000000"/>
                <w:szCs w:val="22"/>
                <w:lang w:val="de-CH"/>
              </w:rPr>
              <w:t xml:space="preserve"> (n=74)</w:t>
            </w:r>
          </w:p>
          <w:p w14:paraId="1B68085B" w14:textId="77777777" w:rsidR="006237AB" w:rsidRPr="00654EF1" w:rsidRDefault="006237AB" w:rsidP="001D5C8C">
            <w:pPr>
              <w:pStyle w:val="EndnoteText"/>
              <w:keepNext/>
              <w:widowControl w:val="0"/>
              <w:tabs>
                <w:tab w:val="clear" w:pos="567"/>
              </w:tabs>
              <w:jc w:val="center"/>
              <w:rPr>
                <w:color w:val="000000"/>
                <w:szCs w:val="22"/>
              </w:rPr>
            </w:pPr>
            <w:r w:rsidRPr="00654EF1">
              <w:rPr>
                <w:color w:val="000000"/>
                <w:szCs w:val="22"/>
              </w:rPr>
              <w:t>n (%)</w:t>
            </w:r>
          </w:p>
        </w:tc>
      </w:tr>
      <w:tr w:rsidR="00BE2245" w:rsidRPr="00654EF1" w14:paraId="1B68085F" w14:textId="77777777" w:rsidTr="005E7BE5">
        <w:trPr>
          <w:cantSplit/>
        </w:trPr>
        <w:tc>
          <w:tcPr>
            <w:tcW w:w="4643" w:type="dxa"/>
            <w:tcBorders>
              <w:top w:val="nil"/>
              <w:left w:val="nil"/>
              <w:bottom w:val="nil"/>
              <w:right w:val="nil"/>
            </w:tcBorders>
          </w:tcPr>
          <w:p w14:paraId="1B68085D"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Complete response</w:t>
            </w:r>
          </w:p>
        </w:tc>
        <w:tc>
          <w:tcPr>
            <w:tcW w:w="4643" w:type="dxa"/>
            <w:tcBorders>
              <w:top w:val="nil"/>
              <w:left w:val="nil"/>
              <w:bottom w:val="nil"/>
              <w:right w:val="nil"/>
            </w:tcBorders>
          </w:tcPr>
          <w:p w14:paraId="1B68085E" w14:textId="77777777" w:rsidR="00BE2245" w:rsidRPr="00654EF1" w:rsidRDefault="00BE2245" w:rsidP="001D5C8C">
            <w:pPr>
              <w:pStyle w:val="EndnoteText"/>
              <w:keepNext/>
              <w:widowControl w:val="0"/>
              <w:tabs>
                <w:tab w:val="clear" w:pos="567"/>
              </w:tabs>
              <w:jc w:val="center"/>
              <w:rPr>
                <w:color w:val="000000"/>
                <w:szCs w:val="22"/>
              </w:rPr>
            </w:pPr>
            <w:r w:rsidRPr="00654EF1">
              <w:rPr>
                <w:rFonts w:eastAsia="MS Mincho"/>
                <w:color w:val="000000"/>
                <w:szCs w:val="22"/>
              </w:rPr>
              <w:t>1(0.7)</w:t>
            </w:r>
          </w:p>
        </w:tc>
      </w:tr>
      <w:tr w:rsidR="00BE2245" w:rsidRPr="00654EF1" w14:paraId="1B680862" w14:textId="77777777" w:rsidTr="005E7BE5">
        <w:trPr>
          <w:cantSplit/>
        </w:trPr>
        <w:tc>
          <w:tcPr>
            <w:tcW w:w="4643" w:type="dxa"/>
            <w:tcBorders>
              <w:top w:val="nil"/>
              <w:left w:val="nil"/>
              <w:bottom w:val="nil"/>
              <w:right w:val="nil"/>
            </w:tcBorders>
          </w:tcPr>
          <w:p w14:paraId="1B680860"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Partial response</w:t>
            </w:r>
          </w:p>
        </w:tc>
        <w:tc>
          <w:tcPr>
            <w:tcW w:w="4643" w:type="dxa"/>
            <w:tcBorders>
              <w:top w:val="nil"/>
              <w:left w:val="nil"/>
              <w:bottom w:val="nil"/>
              <w:right w:val="nil"/>
            </w:tcBorders>
          </w:tcPr>
          <w:p w14:paraId="1B680861" w14:textId="77777777" w:rsidR="00BE2245" w:rsidRPr="00654EF1" w:rsidRDefault="00BE2245" w:rsidP="001D5C8C">
            <w:pPr>
              <w:pStyle w:val="EndnoteText"/>
              <w:keepNext/>
              <w:widowControl w:val="0"/>
              <w:tabs>
                <w:tab w:val="clear" w:pos="567"/>
              </w:tabs>
              <w:jc w:val="center"/>
              <w:rPr>
                <w:color w:val="000000"/>
                <w:szCs w:val="22"/>
              </w:rPr>
            </w:pPr>
            <w:r w:rsidRPr="00654EF1">
              <w:rPr>
                <w:rFonts w:eastAsia="MS Mincho"/>
                <w:color w:val="000000"/>
                <w:szCs w:val="22"/>
              </w:rPr>
              <w:t>98 (66.7)</w:t>
            </w:r>
          </w:p>
        </w:tc>
      </w:tr>
      <w:tr w:rsidR="00BE2245" w:rsidRPr="00654EF1" w14:paraId="1B680865" w14:textId="77777777" w:rsidTr="005E7BE5">
        <w:trPr>
          <w:cantSplit/>
        </w:trPr>
        <w:tc>
          <w:tcPr>
            <w:tcW w:w="4643" w:type="dxa"/>
            <w:tcBorders>
              <w:top w:val="nil"/>
              <w:left w:val="nil"/>
              <w:bottom w:val="nil"/>
              <w:right w:val="nil"/>
            </w:tcBorders>
          </w:tcPr>
          <w:p w14:paraId="1B680863"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Stable disease</w:t>
            </w:r>
          </w:p>
        </w:tc>
        <w:tc>
          <w:tcPr>
            <w:tcW w:w="4643" w:type="dxa"/>
            <w:tcBorders>
              <w:top w:val="nil"/>
              <w:left w:val="nil"/>
              <w:bottom w:val="nil"/>
              <w:right w:val="nil"/>
            </w:tcBorders>
          </w:tcPr>
          <w:p w14:paraId="1B680864" w14:textId="77777777" w:rsidR="00BE2245" w:rsidRPr="00654EF1" w:rsidRDefault="00BE2245" w:rsidP="001D5C8C">
            <w:pPr>
              <w:pStyle w:val="EndnoteText"/>
              <w:keepNext/>
              <w:widowControl w:val="0"/>
              <w:tabs>
                <w:tab w:val="clear" w:pos="567"/>
              </w:tabs>
              <w:jc w:val="center"/>
              <w:rPr>
                <w:color w:val="000000"/>
                <w:szCs w:val="22"/>
              </w:rPr>
            </w:pPr>
            <w:r w:rsidRPr="00654EF1">
              <w:rPr>
                <w:rFonts w:eastAsia="MS Mincho"/>
                <w:color w:val="000000"/>
                <w:szCs w:val="22"/>
              </w:rPr>
              <w:t>23 (15.6)</w:t>
            </w:r>
          </w:p>
        </w:tc>
      </w:tr>
      <w:tr w:rsidR="00BE2245" w:rsidRPr="00654EF1" w14:paraId="1B680868" w14:textId="77777777" w:rsidTr="005E7BE5">
        <w:trPr>
          <w:cantSplit/>
        </w:trPr>
        <w:tc>
          <w:tcPr>
            <w:tcW w:w="4643" w:type="dxa"/>
            <w:tcBorders>
              <w:top w:val="nil"/>
              <w:left w:val="nil"/>
              <w:bottom w:val="nil"/>
              <w:right w:val="nil"/>
            </w:tcBorders>
          </w:tcPr>
          <w:p w14:paraId="1B680866"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Progressive disease</w:t>
            </w:r>
          </w:p>
        </w:tc>
        <w:tc>
          <w:tcPr>
            <w:tcW w:w="4643" w:type="dxa"/>
            <w:tcBorders>
              <w:top w:val="nil"/>
              <w:left w:val="nil"/>
              <w:bottom w:val="nil"/>
              <w:right w:val="nil"/>
            </w:tcBorders>
          </w:tcPr>
          <w:p w14:paraId="1B680867" w14:textId="77777777" w:rsidR="00BE2245" w:rsidRPr="00654EF1" w:rsidRDefault="00BE2245" w:rsidP="001D5C8C">
            <w:pPr>
              <w:pStyle w:val="EndnoteText"/>
              <w:keepNext/>
              <w:widowControl w:val="0"/>
              <w:tabs>
                <w:tab w:val="clear" w:pos="567"/>
              </w:tabs>
              <w:jc w:val="center"/>
              <w:rPr>
                <w:color w:val="000000"/>
                <w:szCs w:val="22"/>
              </w:rPr>
            </w:pPr>
            <w:r w:rsidRPr="00654EF1">
              <w:rPr>
                <w:rFonts w:eastAsia="MS Mincho"/>
                <w:color w:val="000000"/>
                <w:szCs w:val="22"/>
              </w:rPr>
              <w:t>18 (12.2)</w:t>
            </w:r>
          </w:p>
        </w:tc>
      </w:tr>
      <w:tr w:rsidR="00BE2245" w:rsidRPr="00654EF1" w14:paraId="1B68086B" w14:textId="77777777" w:rsidTr="005E7BE5">
        <w:trPr>
          <w:cantSplit/>
        </w:trPr>
        <w:tc>
          <w:tcPr>
            <w:tcW w:w="4643" w:type="dxa"/>
            <w:tcBorders>
              <w:top w:val="nil"/>
              <w:left w:val="nil"/>
              <w:bottom w:val="nil"/>
              <w:right w:val="nil"/>
            </w:tcBorders>
          </w:tcPr>
          <w:p w14:paraId="1B680869" w14:textId="77777777" w:rsidR="00BE2245" w:rsidRPr="00654EF1" w:rsidRDefault="00BE2245" w:rsidP="001D5C8C">
            <w:pPr>
              <w:pStyle w:val="EndnoteText"/>
              <w:keepNext/>
              <w:widowControl w:val="0"/>
              <w:tabs>
                <w:tab w:val="clear" w:pos="567"/>
              </w:tabs>
              <w:rPr>
                <w:color w:val="000000"/>
                <w:szCs w:val="22"/>
              </w:rPr>
            </w:pPr>
            <w:r w:rsidRPr="00654EF1">
              <w:rPr>
                <w:color w:val="000000"/>
                <w:szCs w:val="22"/>
              </w:rPr>
              <w:t>Not evaluable</w:t>
            </w:r>
          </w:p>
        </w:tc>
        <w:tc>
          <w:tcPr>
            <w:tcW w:w="4643" w:type="dxa"/>
            <w:tcBorders>
              <w:top w:val="nil"/>
              <w:left w:val="nil"/>
              <w:bottom w:val="nil"/>
              <w:right w:val="nil"/>
            </w:tcBorders>
          </w:tcPr>
          <w:p w14:paraId="1B68086A" w14:textId="77777777" w:rsidR="00BE2245" w:rsidRPr="00654EF1" w:rsidRDefault="00BE2245" w:rsidP="001D5C8C">
            <w:pPr>
              <w:pStyle w:val="EndnoteText"/>
              <w:keepNext/>
              <w:widowControl w:val="0"/>
              <w:tabs>
                <w:tab w:val="clear" w:pos="567"/>
              </w:tabs>
              <w:jc w:val="center"/>
              <w:rPr>
                <w:color w:val="000000"/>
                <w:szCs w:val="22"/>
              </w:rPr>
            </w:pPr>
            <w:r w:rsidRPr="00654EF1">
              <w:rPr>
                <w:rFonts w:eastAsia="MS Mincho"/>
                <w:color w:val="000000"/>
                <w:szCs w:val="22"/>
              </w:rPr>
              <w:t>5 (3.4)</w:t>
            </w:r>
          </w:p>
        </w:tc>
      </w:tr>
      <w:tr w:rsidR="006237AB" w:rsidRPr="00654EF1" w14:paraId="1B68086E" w14:textId="77777777" w:rsidTr="005E7BE5">
        <w:trPr>
          <w:cantSplit/>
        </w:trPr>
        <w:tc>
          <w:tcPr>
            <w:tcW w:w="4643" w:type="dxa"/>
            <w:tcBorders>
              <w:top w:val="nil"/>
              <w:left w:val="nil"/>
              <w:right w:val="nil"/>
            </w:tcBorders>
          </w:tcPr>
          <w:p w14:paraId="1B68086C"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Unknown</w:t>
            </w:r>
          </w:p>
        </w:tc>
        <w:tc>
          <w:tcPr>
            <w:tcW w:w="4643" w:type="dxa"/>
            <w:tcBorders>
              <w:top w:val="nil"/>
              <w:left w:val="nil"/>
              <w:right w:val="nil"/>
            </w:tcBorders>
          </w:tcPr>
          <w:p w14:paraId="1B68086D" w14:textId="77777777" w:rsidR="006237AB" w:rsidRPr="00654EF1" w:rsidRDefault="006237AB" w:rsidP="001D5C8C">
            <w:pPr>
              <w:pStyle w:val="EndnoteText"/>
              <w:widowControl w:val="0"/>
              <w:tabs>
                <w:tab w:val="clear" w:pos="567"/>
              </w:tabs>
              <w:jc w:val="center"/>
              <w:rPr>
                <w:color w:val="000000"/>
                <w:szCs w:val="22"/>
              </w:rPr>
            </w:pPr>
            <w:r w:rsidRPr="00654EF1">
              <w:rPr>
                <w:color w:val="000000"/>
                <w:szCs w:val="22"/>
              </w:rPr>
              <w:t>2 (1.4)</w:t>
            </w:r>
          </w:p>
        </w:tc>
      </w:tr>
    </w:tbl>
    <w:p w14:paraId="1B68086F" w14:textId="77777777" w:rsidR="006237AB" w:rsidRPr="00654EF1" w:rsidRDefault="006237AB" w:rsidP="001D5C8C">
      <w:pPr>
        <w:pStyle w:val="EndnoteText"/>
        <w:widowControl w:val="0"/>
        <w:tabs>
          <w:tab w:val="clear" w:pos="567"/>
        </w:tabs>
        <w:rPr>
          <w:color w:val="000000"/>
          <w:szCs w:val="22"/>
        </w:rPr>
      </w:pPr>
    </w:p>
    <w:p w14:paraId="1B680870" w14:textId="77777777" w:rsidR="00BE2245" w:rsidRPr="00654EF1" w:rsidRDefault="006237AB" w:rsidP="001D5C8C">
      <w:pPr>
        <w:pStyle w:val="Text"/>
        <w:widowControl w:val="0"/>
        <w:spacing w:before="0"/>
        <w:jc w:val="left"/>
        <w:rPr>
          <w:color w:val="000000"/>
          <w:sz w:val="22"/>
          <w:szCs w:val="22"/>
        </w:rPr>
      </w:pPr>
      <w:r w:rsidRPr="00654EF1">
        <w:rPr>
          <w:color w:val="000000"/>
          <w:sz w:val="22"/>
          <w:szCs w:val="22"/>
        </w:rPr>
        <w:t xml:space="preserve">There were no differences in response rates between the two dose groups. </w:t>
      </w:r>
      <w:r w:rsidR="00BE2245" w:rsidRPr="00654EF1">
        <w:rPr>
          <w:color w:val="000000"/>
          <w:sz w:val="22"/>
          <w:szCs w:val="22"/>
        </w:rPr>
        <w:t>A significant number of patients who had stable disease at the time of the interim analysis achieved a partial response with longer treatment (median follow-up 31 months). Median time to response was 13 weeks (95% C.I. 12–23). Median time to treatment failure in responders was 122 weeks (95% C.I 106–147), while in the overall study population it was 84 weeks (95% C.I 71–109). The median overall survival has not been reached. The Kaplan-Meier estimate for survival after 36-month follow-up is 68%.</w:t>
      </w:r>
    </w:p>
    <w:p w14:paraId="1B680871" w14:textId="77777777" w:rsidR="00BE2245" w:rsidRPr="00654EF1" w:rsidRDefault="00BE2245" w:rsidP="001D5C8C">
      <w:pPr>
        <w:pStyle w:val="EndnoteText"/>
        <w:widowControl w:val="0"/>
        <w:tabs>
          <w:tab w:val="clear" w:pos="567"/>
        </w:tabs>
        <w:rPr>
          <w:color w:val="000000"/>
          <w:szCs w:val="22"/>
        </w:rPr>
      </w:pPr>
    </w:p>
    <w:p w14:paraId="1B680872" w14:textId="77777777" w:rsidR="00BE2245" w:rsidRPr="00654EF1" w:rsidRDefault="00BE2245"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In two clinical studies (study B2222 and an intergroup study S0033) the daily dose of Glivec was escalated to 800 mg in patients progressing at the lower daily doses of 400 mg or 600 mg. The daily dose was escalated to 800 mg in a total of 103 patients; 6 patients achieved a partial response and 21 stabilisation of their disease after dose escalation for an overall clinical benefit of 26%. From the safety data available, escalating the dose to 800 mg daily in patients progressing at lower doses of 400 mg or 600 mg daily does not seem to affect the safety profile of Glivec.</w:t>
      </w:r>
    </w:p>
    <w:p w14:paraId="1B680873" w14:textId="77777777" w:rsidR="007E73D8" w:rsidRPr="00654EF1" w:rsidRDefault="007E73D8" w:rsidP="001D5C8C">
      <w:pPr>
        <w:pStyle w:val="Text"/>
        <w:widowControl w:val="0"/>
        <w:spacing w:before="0"/>
        <w:jc w:val="left"/>
        <w:rPr>
          <w:rFonts w:eastAsia="MS Mincho"/>
          <w:color w:val="000000"/>
          <w:sz w:val="22"/>
          <w:szCs w:val="22"/>
          <w:lang w:eastAsia="ja-JP"/>
        </w:rPr>
      </w:pPr>
    </w:p>
    <w:p w14:paraId="1B680874" w14:textId="77777777" w:rsidR="00FE1066" w:rsidRPr="00654EF1" w:rsidRDefault="00FE1066" w:rsidP="001D5C8C">
      <w:pPr>
        <w:pStyle w:val="Nottoc-headings"/>
        <w:widowControl w:val="0"/>
        <w:spacing w:before="0" w:after="0"/>
        <w:rPr>
          <w:rFonts w:ascii="Times New Roman" w:eastAsia="MS Mincho" w:hAnsi="Times New Roman"/>
          <w:b w:val="0"/>
          <w:color w:val="000000"/>
          <w:sz w:val="22"/>
          <w:szCs w:val="22"/>
          <w:u w:val="single"/>
          <w:lang w:eastAsia="ja-JP"/>
        </w:rPr>
      </w:pPr>
      <w:r w:rsidRPr="00654EF1">
        <w:rPr>
          <w:rFonts w:ascii="Times New Roman" w:eastAsia="MS Mincho" w:hAnsi="Times New Roman"/>
          <w:b w:val="0"/>
          <w:color w:val="000000"/>
          <w:sz w:val="22"/>
          <w:szCs w:val="22"/>
          <w:u w:val="single"/>
          <w:lang w:eastAsia="ja-JP"/>
        </w:rPr>
        <w:t xml:space="preserve">Clinical </w:t>
      </w:r>
      <w:r w:rsidR="007F35BE" w:rsidRPr="00654EF1">
        <w:rPr>
          <w:rFonts w:ascii="Times New Roman" w:eastAsia="MS Mincho" w:hAnsi="Times New Roman"/>
          <w:b w:val="0"/>
          <w:color w:val="000000"/>
          <w:sz w:val="22"/>
          <w:szCs w:val="22"/>
          <w:u w:val="single"/>
          <w:lang w:eastAsia="ja-JP"/>
        </w:rPr>
        <w:t xml:space="preserve">studies </w:t>
      </w:r>
      <w:r w:rsidRPr="00654EF1">
        <w:rPr>
          <w:rFonts w:ascii="Times New Roman" w:eastAsia="MS Mincho" w:hAnsi="Times New Roman"/>
          <w:b w:val="0"/>
          <w:color w:val="000000"/>
          <w:sz w:val="22"/>
          <w:szCs w:val="22"/>
          <w:u w:val="single"/>
          <w:lang w:eastAsia="ja-JP"/>
        </w:rPr>
        <w:t>in adjuvant GIST</w:t>
      </w:r>
    </w:p>
    <w:p w14:paraId="1B680875" w14:textId="77777777" w:rsidR="00FE1066" w:rsidRPr="00654EF1" w:rsidRDefault="00FE1066"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In the adjuvant setting, Glivec was investigated in a multicentre, double-blind, long-term, placebo-controlled phase </w:t>
      </w:r>
      <w:smartTag w:uri="urn:schemas-microsoft-com:office:smarttags" w:element="stockticker">
        <w:r w:rsidRPr="00654EF1">
          <w:rPr>
            <w:rFonts w:eastAsia="MS Mincho"/>
            <w:color w:val="000000"/>
            <w:sz w:val="22"/>
            <w:szCs w:val="22"/>
            <w:lang w:eastAsia="ja-JP"/>
          </w:rPr>
          <w:t>III</w:t>
        </w:r>
      </w:smartTag>
      <w:r w:rsidRPr="00654EF1">
        <w:rPr>
          <w:rFonts w:eastAsia="MS Mincho"/>
          <w:color w:val="000000"/>
          <w:sz w:val="22"/>
          <w:szCs w:val="22"/>
          <w:lang w:eastAsia="ja-JP"/>
        </w:rPr>
        <w:t xml:space="preserve"> study (Z9001) involving 773 patients. The ages of these patients ranged from 18 to 91 years. Patients were included who had a histological diagnosis of primary GIST expressing Kit protein by immunochemistry and a tumour size ≥ 3 cm in maximum dimension, with complete gross resection of primary GIST within 14</w:t>
      </w:r>
      <w:r w:rsidRPr="00654EF1">
        <w:rPr>
          <w:rFonts w:eastAsia="MS Mincho"/>
          <w:color w:val="000000"/>
          <w:sz w:val="22"/>
          <w:szCs w:val="22"/>
          <w:lang w:eastAsia="ja-JP"/>
        </w:rPr>
        <w:noBreakHyphen/>
        <w:t>70 days prior to registration. After resection of primary GIST, patients were randomised to one of the two arms: Glivec at 400 mg/day or matching placebo for one year.</w:t>
      </w:r>
    </w:p>
    <w:p w14:paraId="1B680876" w14:textId="77777777" w:rsidR="00FE1066" w:rsidRPr="00654EF1" w:rsidRDefault="00FE1066" w:rsidP="001D5C8C">
      <w:pPr>
        <w:pStyle w:val="Text"/>
        <w:widowControl w:val="0"/>
        <w:spacing w:before="0"/>
        <w:jc w:val="left"/>
        <w:rPr>
          <w:rFonts w:eastAsia="MS Mincho"/>
          <w:color w:val="000000"/>
          <w:sz w:val="22"/>
          <w:szCs w:val="22"/>
          <w:lang w:eastAsia="ja-JP"/>
        </w:rPr>
      </w:pPr>
    </w:p>
    <w:p w14:paraId="1B680877" w14:textId="77777777" w:rsidR="00FE1066" w:rsidRPr="00654EF1" w:rsidRDefault="00FE1066"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The primary endpoint of the study was recurrence-free survival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defined as the time from date of randomisation to the date of recurrence or death from any cause.</w:t>
      </w:r>
    </w:p>
    <w:p w14:paraId="1B680878" w14:textId="77777777" w:rsidR="00FE1066" w:rsidRPr="00654EF1" w:rsidRDefault="00FE1066" w:rsidP="001D5C8C">
      <w:pPr>
        <w:pStyle w:val="Text"/>
        <w:widowControl w:val="0"/>
        <w:spacing w:before="0"/>
        <w:jc w:val="left"/>
        <w:rPr>
          <w:rFonts w:eastAsia="MS Mincho"/>
          <w:color w:val="000000"/>
          <w:sz w:val="22"/>
          <w:szCs w:val="22"/>
          <w:lang w:eastAsia="ja-JP"/>
        </w:rPr>
      </w:pPr>
    </w:p>
    <w:p w14:paraId="1B680879" w14:textId="77777777" w:rsidR="00FE1066" w:rsidRPr="00654EF1" w:rsidRDefault="00FE1066"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Glivec significantly prolonged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with 75% of patients being recurrence-free at 38 months in the Glivec group vs. 20 months in the placebo group (95% CIs, [30 - non-estimable]; [14 - non-estimable], respectively); (hazard ratio = 0.398 [0.259</w:t>
      </w:r>
      <w:r w:rsidRPr="00654EF1">
        <w:rPr>
          <w:rFonts w:eastAsia="MS Mincho"/>
          <w:color w:val="000000"/>
          <w:sz w:val="22"/>
          <w:szCs w:val="22"/>
          <w:lang w:eastAsia="ja-JP"/>
        </w:rPr>
        <w:noBreakHyphen/>
        <w:t xml:space="preserve">0.610], p&lt;0.0001). At one year the overall </w:t>
      </w:r>
      <w:smartTag w:uri="urn:schemas-microsoft-com:office:smarttags" w:element="stockticker">
        <w:r w:rsidRPr="00654EF1">
          <w:rPr>
            <w:rFonts w:eastAsia="MS Mincho"/>
            <w:color w:val="000000"/>
            <w:sz w:val="22"/>
            <w:szCs w:val="22"/>
            <w:lang w:eastAsia="ja-JP"/>
          </w:rPr>
          <w:t>RFS</w:t>
        </w:r>
      </w:smartTag>
      <w:r w:rsidRPr="00654EF1">
        <w:rPr>
          <w:rFonts w:eastAsia="MS Mincho"/>
          <w:color w:val="000000"/>
          <w:sz w:val="22"/>
          <w:szCs w:val="22"/>
          <w:lang w:eastAsia="ja-JP"/>
        </w:rPr>
        <w:t xml:space="preserve"> was significantly better for Glivec (97.7%) vs. placebo (82.3%), (p&lt;0.0001). The risk of recurrence was thus reduced by approximately 89% as compared with placebo (hazard ratio = 0.113 [0.049</w:t>
      </w:r>
      <w:r w:rsidRPr="00654EF1">
        <w:rPr>
          <w:rFonts w:eastAsia="MS Mincho"/>
          <w:color w:val="000000"/>
          <w:sz w:val="22"/>
          <w:szCs w:val="22"/>
          <w:lang w:eastAsia="ja-JP"/>
        </w:rPr>
        <w:noBreakHyphen/>
        <w:t>0.264]).</w:t>
      </w:r>
    </w:p>
    <w:p w14:paraId="1B68087A" w14:textId="77777777" w:rsidR="00FE1066" w:rsidRPr="00654EF1" w:rsidRDefault="00FE1066" w:rsidP="001D5C8C">
      <w:pPr>
        <w:pStyle w:val="Text"/>
        <w:widowControl w:val="0"/>
        <w:spacing w:before="0"/>
        <w:jc w:val="left"/>
        <w:rPr>
          <w:rFonts w:eastAsia="MS Mincho"/>
          <w:color w:val="000000"/>
          <w:sz w:val="22"/>
          <w:szCs w:val="22"/>
          <w:lang w:eastAsia="ja-JP"/>
        </w:rPr>
      </w:pPr>
    </w:p>
    <w:p w14:paraId="1B68087B" w14:textId="77777777" w:rsidR="00936EF9" w:rsidRPr="00654EF1" w:rsidRDefault="00936EF9" w:rsidP="001D5C8C">
      <w:pPr>
        <w:pStyle w:val="Text"/>
        <w:widowControl w:val="0"/>
        <w:spacing w:before="0"/>
        <w:jc w:val="left"/>
        <w:rPr>
          <w:rFonts w:eastAsia="MS Mincho"/>
          <w:color w:val="000000"/>
          <w:sz w:val="22"/>
          <w:szCs w:val="22"/>
          <w:lang w:eastAsia="ja-JP"/>
        </w:rPr>
      </w:pPr>
      <w:r w:rsidRPr="00654EF1">
        <w:rPr>
          <w:rFonts w:eastAsia="MS Mincho"/>
          <w:color w:val="000000"/>
          <w:sz w:val="22"/>
          <w:szCs w:val="22"/>
          <w:lang w:eastAsia="ja-JP"/>
        </w:rPr>
        <w:t xml:space="preserve">The risk of recurrence in patients after surgery of their primary GIST was retrospectively assessed based on the following prognostic factors: tumour size, mitotic index, tumour location. Mitotic index </w:t>
      </w:r>
      <w:r w:rsidRPr="00654EF1">
        <w:rPr>
          <w:rFonts w:eastAsia="MS Mincho"/>
          <w:color w:val="000000"/>
          <w:sz w:val="22"/>
          <w:szCs w:val="22"/>
          <w:lang w:eastAsia="ja-JP"/>
        </w:rPr>
        <w:lastRenderedPageBreak/>
        <w:t>data were available for 556 of the 7</w:t>
      </w:r>
      <w:r w:rsidR="002F65E8" w:rsidRPr="00654EF1">
        <w:rPr>
          <w:rFonts w:eastAsia="MS Mincho"/>
          <w:color w:val="000000"/>
          <w:sz w:val="22"/>
          <w:szCs w:val="22"/>
          <w:lang w:eastAsia="ja-JP"/>
        </w:rPr>
        <w:t>1</w:t>
      </w:r>
      <w:r w:rsidRPr="00654EF1">
        <w:rPr>
          <w:rFonts w:eastAsia="MS Mincho"/>
          <w:color w:val="000000"/>
          <w:sz w:val="22"/>
          <w:szCs w:val="22"/>
          <w:lang w:eastAsia="ja-JP"/>
        </w:rPr>
        <w:t>3 intention-to-treat (</w:t>
      </w:r>
      <w:smartTag w:uri="urn:schemas-microsoft-com:office:smarttags" w:element="stockticker">
        <w:r w:rsidRPr="00654EF1">
          <w:rPr>
            <w:rFonts w:eastAsia="MS Mincho"/>
            <w:color w:val="000000"/>
            <w:sz w:val="22"/>
            <w:szCs w:val="22"/>
            <w:lang w:eastAsia="ja-JP"/>
          </w:rPr>
          <w:t>ITT</w:t>
        </w:r>
      </w:smartTag>
      <w:r w:rsidRPr="00654EF1">
        <w:rPr>
          <w:rFonts w:eastAsia="MS Mincho"/>
          <w:color w:val="000000"/>
          <w:sz w:val="22"/>
          <w:szCs w:val="22"/>
          <w:lang w:eastAsia="ja-JP"/>
        </w:rPr>
        <w:t>) population. The results of subgroup analyses according to the United States National Institutes of Health (NIH) and the Armed Forces Institute of Pathology (AFIP) risk classifications are shown in Table </w:t>
      </w:r>
      <w:r w:rsidR="008F2DE5" w:rsidRPr="00654EF1">
        <w:rPr>
          <w:rFonts w:eastAsia="MS Mincho"/>
          <w:color w:val="000000"/>
          <w:sz w:val="22"/>
          <w:szCs w:val="22"/>
          <w:lang w:eastAsia="ja-JP"/>
        </w:rPr>
        <w:t>7</w:t>
      </w:r>
      <w:r w:rsidRPr="00654EF1">
        <w:rPr>
          <w:rFonts w:eastAsia="MS Mincho"/>
          <w:color w:val="000000"/>
          <w:sz w:val="22"/>
          <w:szCs w:val="22"/>
          <w:lang w:eastAsia="ja-JP"/>
        </w:rPr>
        <w:t>. No benefit was observed in the low and very low risk groups. No overall survival benefit has been observed.</w:t>
      </w:r>
    </w:p>
    <w:p w14:paraId="1B68087C" w14:textId="77777777" w:rsidR="00936EF9" w:rsidRPr="00654EF1" w:rsidRDefault="00936EF9" w:rsidP="001D5C8C">
      <w:pPr>
        <w:pStyle w:val="Text"/>
        <w:widowControl w:val="0"/>
        <w:spacing w:before="0"/>
        <w:jc w:val="left"/>
        <w:rPr>
          <w:color w:val="000000"/>
        </w:rPr>
      </w:pPr>
    </w:p>
    <w:p w14:paraId="1B68087D" w14:textId="77777777" w:rsidR="00936EF9" w:rsidRPr="00654EF1" w:rsidRDefault="00936EF9" w:rsidP="001D5C8C">
      <w:pPr>
        <w:pStyle w:val="Heading6"/>
        <w:widowControl w:val="0"/>
        <w:tabs>
          <w:tab w:val="clear" w:pos="567"/>
          <w:tab w:val="clear" w:pos="4536"/>
          <w:tab w:val="left" w:pos="1134"/>
        </w:tabs>
        <w:spacing w:line="240" w:lineRule="auto"/>
        <w:rPr>
          <w:rFonts w:eastAsia="MS Mincho"/>
          <w:b/>
          <w:i w:val="0"/>
          <w:color w:val="000000"/>
          <w:szCs w:val="22"/>
          <w:lang w:val="en-US" w:eastAsia="ja-JP"/>
        </w:rPr>
      </w:pPr>
      <w:r w:rsidRPr="00654EF1">
        <w:rPr>
          <w:rFonts w:eastAsia="MS Mincho"/>
          <w:b/>
          <w:i w:val="0"/>
          <w:color w:val="000000"/>
          <w:szCs w:val="22"/>
          <w:lang w:val="en-US" w:eastAsia="ja-JP"/>
        </w:rPr>
        <w:t>Table </w:t>
      </w:r>
      <w:r w:rsidR="008F2DE5" w:rsidRPr="00654EF1">
        <w:rPr>
          <w:rFonts w:eastAsia="MS Mincho"/>
          <w:b/>
          <w:i w:val="0"/>
          <w:color w:val="000000"/>
          <w:szCs w:val="22"/>
          <w:lang w:val="en-US" w:eastAsia="ja-JP"/>
        </w:rPr>
        <w:t>7</w:t>
      </w:r>
      <w:r w:rsidRPr="00654EF1">
        <w:rPr>
          <w:rFonts w:eastAsia="MS Mincho"/>
          <w:b/>
          <w:i w:val="0"/>
          <w:color w:val="000000"/>
          <w:szCs w:val="22"/>
          <w:lang w:val="en-US" w:eastAsia="ja-JP"/>
        </w:rPr>
        <w:tab/>
        <w:t xml:space="preserve">Summary of Z9001 trial </w:t>
      </w:r>
      <w:smartTag w:uri="urn:schemas-microsoft-com:office:smarttags" w:element="stockticker">
        <w:r w:rsidRPr="00654EF1">
          <w:rPr>
            <w:rFonts w:eastAsia="MS Mincho"/>
            <w:b/>
            <w:i w:val="0"/>
            <w:color w:val="000000"/>
            <w:szCs w:val="22"/>
            <w:lang w:val="en-US" w:eastAsia="ja-JP"/>
          </w:rPr>
          <w:t>RFS</w:t>
        </w:r>
      </w:smartTag>
      <w:r w:rsidRPr="00654EF1">
        <w:rPr>
          <w:rFonts w:eastAsia="MS Mincho"/>
          <w:b/>
          <w:i w:val="0"/>
          <w:color w:val="000000"/>
          <w:szCs w:val="22"/>
          <w:lang w:val="en-US" w:eastAsia="ja-JP"/>
        </w:rPr>
        <w:t xml:space="preserve"> analyses by NIH and AFIP risk classifications</w:t>
      </w:r>
    </w:p>
    <w:p w14:paraId="1B68087E" w14:textId="77777777" w:rsidR="00936EF9" w:rsidRPr="00654EF1" w:rsidRDefault="00936EF9" w:rsidP="001D5C8C">
      <w:pPr>
        <w:keepNext/>
        <w:widowControl w:val="0"/>
        <w:spacing w:line="240" w:lineRule="auto"/>
        <w:rPr>
          <w:rFonts w:eastAsia="MS Mincho"/>
          <w:color w:val="000000"/>
          <w:lang w:val="en-US"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936EF9" w:rsidRPr="00654EF1" w14:paraId="1B680886" w14:textId="77777777" w:rsidTr="005E7BE5">
        <w:trPr>
          <w:cantSplit/>
        </w:trPr>
        <w:tc>
          <w:tcPr>
            <w:tcW w:w="934" w:type="dxa"/>
            <w:vMerge w:val="restart"/>
          </w:tcPr>
          <w:p w14:paraId="1B68087F"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Risk criteria</w:t>
            </w:r>
          </w:p>
        </w:tc>
        <w:tc>
          <w:tcPr>
            <w:tcW w:w="1417" w:type="dxa"/>
            <w:vMerge w:val="restart"/>
            <w:tcBorders>
              <w:right w:val="single" w:sz="4" w:space="0" w:color="auto"/>
            </w:tcBorders>
          </w:tcPr>
          <w:p w14:paraId="1B680880" w14:textId="77777777" w:rsidR="00936EF9" w:rsidRPr="00654EF1" w:rsidRDefault="00936EF9" w:rsidP="001D5C8C">
            <w:pPr>
              <w:pStyle w:val="Table"/>
              <w:widowControl w:val="0"/>
              <w:spacing w:before="0" w:after="0"/>
              <w:rPr>
                <w:rFonts w:ascii="Times New Roman" w:hAnsi="Times New Roman"/>
                <w:b/>
                <w:color w:val="000000"/>
                <w:sz w:val="22"/>
                <w:szCs w:val="22"/>
              </w:rPr>
            </w:pPr>
            <w:r w:rsidRPr="00654EF1">
              <w:rPr>
                <w:rFonts w:ascii="Times New Roman" w:hAnsi="Times New Roman"/>
                <w:b/>
                <w:color w:val="000000"/>
                <w:sz w:val="22"/>
                <w:szCs w:val="22"/>
              </w:rPr>
              <w:t>Risk Level</w:t>
            </w:r>
          </w:p>
          <w:p w14:paraId="1B680881"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val="restart"/>
            <w:tcBorders>
              <w:left w:val="single" w:sz="4" w:space="0" w:color="auto"/>
              <w:right w:val="single" w:sz="4" w:space="0" w:color="auto"/>
            </w:tcBorders>
          </w:tcPr>
          <w:p w14:paraId="1B680882"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 of patients</w:t>
            </w:r>
          </w:p>
        </w:tc>
        <w:tc>
          <w:tcPr>
            <w:tcW w:w="2083" w:type="dxa"/>
            <w:vMerge w:val="restart"/>
            <w:tcBorders>
              <w:left w:val="single" w:sz="4" w:space="0" w:color="auto"/>
              <w:right w:val="single" w:sz="4" w:space="0" w:color="auto"/>
            </w:tcBorders>
          </w:tcPr>
          <w:p w14:paraId="1B680883"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No. of events /</w:t>
            </w:r>
            <w:r w:rsidRPr="00654EF1">
              <w:rPr>
                <w:rFonts w:ascii="Times New Roman" w:hAnsi="Times New Roman"/>
                <w:b/>
                <w:color w:val="000000"/>
                <w:sz w:val="22"/>
                <w:szCs w:val="22"/>
              </w:rPr>
              <w:br/>
              <w:t>No. of patients</w:t>
            </w:r>
          </w:p>
        </w:tc>
        <w:tc>
          <w:tcPr>
            <w:tcW w:w="1800" w:type="dxa"/>
            <w:vMerge w:val="restart"/>
            <w:tcBorders>
              <w:left w:val="single" w:sz="4" w:space="0" w:color="auto"/>
              <w:right w:val="single" w:sz="4" w:space="0" w:color="auto"/>
            </w:tcBorders>
          </w:tcPr>
          <w:p w14:paraId="1B680884"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Overall hazard ratio (95%CI)*</w:t>
            </w:r>
          </w:p>
        </w:tc>
        <w:tc>
          <w:tcPr>
            <w:tcW w:w="2800" w:type="dxa"/>
            <w:gridSpan w:val="2"/>
            <w:tcBorders>
              <w:left w:val="single" w:sz="4" w:space="0" w:color="auto"/>
            </w:tcBorders>
          </w:tcPr>
          <w:p w14:paraId="1B680885"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smartTag w:uri="urn:schemas-microsoft-com:office:smarttags" w:element="stockticker">
              <w:r w:rsidRPr="00654EF1">
                <w:rPr>
                  <w:rFonts w:ascii="Times New Roman" w:hAnsi="Times New Roman"/>
                  <w:b/>
                  <w:color w:val="000000"/>
                  <w:sz w:val="22"/>
                  <w:szCs w:val="22"/>
                </w:rPr>
                <w:t>RFS</w:t>
              </w:r>
            </w:smartTag>
            <w:r w:rsidRPr="00654EF1">
              <w:rPr>
                <w:rFonts w:ascii="Times New Roman" w:hAnsi="Times New Roman"/>
                <w:b/>
                <w:color w:val="000000"/>
                <w:sz w:val="22"/>
                <w:szCs w:val="22"/>
              </w:rPr>
              <w:t xml:space="preserve"> rates (%)</w:t>
            </w:r>
          </w:p>
        </w:tc>
      </w:tr>
      <w:tr w:rsidR="00936EF9" w:rsidRPr="00654EF1" w14:paraId="1B68088E" w14:textId="77777777" w:rsidTr="005E7BE5">
        <w:trPr>
          <w:cantSplit/>
        </w:trPr>
        <w:tc>
          <w:tcPr>
            <w:tcW w:w="934" w:type="dxa"/>
            <w:vMerge/>
          </w:tcPr>
          <w:p w14:paraId="1B680887"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vMerge/>
            <w:tcBorders>
              <w:right w:val="single" w:sz="4" w:space="0" w:color="auto"/>
            </w:tcBorders>
          </w:tcPr>
          <w:p w14:paraId="1B680888"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1B680889"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2083" w:type="dxa"/>
            <w:vMerge/>
            <w:tcBorders>
              <w:left w:val="single" w:sz="4" w:space="0" w:color="auto"/>
              <w:right w:val="single" w:sz="4" w:space="0" w:color="auto"/>
            </w:tcBorders>
          </w:tcPr>
          <w:p w14:paraId="1B68088A"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1800" w:type="dxa"/>
            <w:vMerge/>
            <w:tcBorders>
              <w:left w:val="single" w:sz="4" w:space="0" w:color="auto"/>
              <w:right w:val="single" w:sz="4" w:space="0" w:color="auto"/>
            </w:tcBorders>
          </w:tcPr>
          <w:p w14:paraId="1B68088B"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1B68088C"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12 month</w:t>
            </w:r>
          </w:p>
        </w:tc>
        <w:tc>
          <w:tcPr>
            <w:tcW w:w="1360" w:type="dxa"/>
            <w:tcBorders>
              <w:left w:val="single" w:sz="4" w:space="0" w:color="auto"/>
            </w:tcBorders>
          </w:tcPr>
          <w:p w14:paraId="1B68088D"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24 month</w:t>
            </w:r>
          </w:p>
        </w:tc>
      </w:tr>
      <w:tr w:rsidR="00936EF9" w:rsidRPr="00654EF1" w14:paraId="1B680896" w14:textId="77777777" w:rsidTr="005E7BE5">
        <w:trPr>
          <w:cantSplit/>
        </w:trPr>
        <w:tc>
          <w:tcPr>
            <w:tcW w:w="934" w:type="dxa"/>
            <w:vMerge/>
          </w:tcPr>
          <w:p w14:paraId="1B68088F"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vMerge/>
            <w:tcBorders>
              <w:right w:val="single" w:sz="4" w:space="0" w:color="auto"/>
            </w:tcBorders>
          </w:tcPr>
          <w:p w14:paraId="1B680890"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1B680891"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2083" w:type="dxa"/>
            <w:tcBorders>
              <w:left w:val="single" w:sz="4" w:space="0" w:color="auto"/>
              <w:bottom w:val="single" w:sz="4" w:space="0" w:color="auto"/>
              <w:right w:val="single" w:sz="4" w:space="0" w:color="auto"/>
            </w:tcBorders>
          </w:tcPr>
          <w:p w14:paraId="1B680892"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c>
          <w:tcPr>
            <w:tcW w:w="1800" w:type="dxa"/>
            <w:vMerge/>
            <w:tcBorders>
              <w:left w:val="single" w:sz="4" w:space="0" w:color="auto"/>
              <w:bottom w:val="single" w:sz="4" w:space="0" w:color="auto"/>
              <w:right w:val="single" w:sz="4" w:space="0" w:color="auto"/>
            </w:tcBorders>
          </w:tcPr>
          <w:p w14:paraId="1B680893"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1B680894"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c>
          <w:tcPr>
            <w:tcW w:w="1360" w:type="dxa"/>
            <w:tcBorders>
              <w:left w:val="single" w:sz="4" w:space="0" w:color="auto"/>
            </w:tcBorders>
          </w:tcPr>
          <w:p w14:paraId="1B680895" w14:textId="77777777" w:rsidR="00936EF9" w:rsidRPr="00654EF1" w:rsidRDefault="00936EF9" w:rsidP="001D5C8C">
            <w:pPr>
              <w:pStyle w:val="Table"/>
              <w:widowControl w:val="0"/>
              <w:spacing w:before="0" w:after="0"/>
              <w:jc w:val="center"/>
              <w:rPr>
                <w:rFonts w:ascii="Times New Roman" w:hAnsi="Times New Roman"/>
                <w:b/>
                <w:color w:val="000000"/>
                <w:sz w:val="22"/>
                <w:szCs w:val="22"/>
              </w:rPr>
            </w:pPr>
            <w:r w:rsidRPr="00654EF1">
              <w:rPr>
                <w:rFonts w:ascii="Times New Roman" w:hAnsi="Times New Roman"/>
                <w:b/>
                <w:color w:val="000000"/>
                <w:sz w:val="22"/>
                <w:szCs w:val="22"/>
              </w:rPr>
              <w:t>Glivec vs placebo</w:t>
            </w:r>
          </w:p>
        </w:tc>
      </w:tr>
      <w:tr w:rsidR="00936EF9" w:rsidRPr="005E7BE5" w14:paraId="1B68089E" w14:textId="77777777" w:rsidTr="005E7BE5">
        <w:trPr>
          <w:cantSplit/>
        </w:trPr>
        <w:tc>
          <w:tcPr>
            <w:tcW w:w="934" w:type="dxa"/>
            <w:vMerge w:val="restart"/>
            <w:shd w:val="clear" w:color="auto" w:fill="auto"/>
          </w:tcPr>
          <w:p w14:paraId="1B680897" w14:textId="77777777" w:rsidR="00936EF9" w:rsidRPr="005E7BE5" w:rsidRDefault="00936EF9" w:rsidP="005E7BE5">
            <w:pPr>
              <w:pStyle w:val="Nottoc-headings"/>
              <w:widowControl w:val="0"/>
              <w:spacing w:before="0" w:after="0"/>
              <w:ind w:left="0" w:firstLine="0"/>
              <w:rPr>
                <w:b w:val="0"/>
                <w:color w:val="000000"/>
                <w:sz w:val="22"/>
                <w:szCs w:val="22"/>
              </w:rPr>
            </w:pPr>
            <w:r w:rsidRPr="005E7BE5">
              <w:rPr>
                <w:rFonts w:ascii="Times New Roman" w:hAnsi="Times New Roman"/>
                <w:b w:val="0"/>
                <w:color w:val="000000"/>
                <w:sz w:val="22"/>
                <w:szCs w:val="22"/>
              </w:rPr>
              <w:t>NIH</w:t>
            </w:r>
          </w:p>
        </w:tc>
        <w:tc>
          <w:tcPr>
            <w:tcW w:w="1417" w:type="dxa"/>
            <w:tcBorders>
              <w:bottom w:val="nil"/>
              <w:right w:val="single" w:sz="4" w:space="0" w:color="auto"/>
            </w:tcBorders>
            <w:vAlign w:val="bottom"/>
          </w:tcPr>
          <w:p w14:paraId="1B680898" w14:textId="77777777" w:rsidR="00936EF9" w:rsidRPr="005E7BE5" w:rsidRDefault="00936EF9" w:rsidP="001D5C8C">
            <w:pPr>
              <w:pStyle w:val="Nottoc-headings"/>
              <w:widowControl w:val="0"/>
              <w:spacing w:before="0" w:after="0"/>
              <w:ind w:left="57" w:hanging="57"/>
              <w:rPr>
                <w:rFonts w:ascii="Times New Roman" w:hAnsi="Times New Roman"/>
                <w:b w:val="0"/>
                <w:color w:val="000000"/>
                <w:sz w:val="22"/>
                <w:szCs w:val="22"/>
              </w:rPr>
            </w:pPr>
            <w:r w:rsidRPr="005E7BE5">
              <w:rPr>
                <w:rFonts w:ascii="Times New Roman" w:hAnsi="Times New Roman"/>
                <w:b w:val="0"/>
                <w:color w:val="000000"/>
                <w:sz w:val="22"/>
                <w:szCs w:val="22"/>
              </w:rPr>
              <w:t>Low</w:t>
            </w:r>
          </w:p>
        </w:tc>
        <w:tc>
          <w:tcPr>
            <w:tcW w:w="986" w:type="dxa"/>
            <w:tcBorders>
              <w:left w:val="single" w:sz="4" w:space="0" w:color="auto"/>
              <w:bottom w:val="nil"/>
              <w:right w:val="single" w:sz="4" w:space="0" w:color="auto"/>
            </w:tcBorders>
            <w:vAlign w:val="bottom"/>
          </w:tcPr>
          <w:p w14:paraId="1B680899" w14:textId="77777777" w:rsidR="00936EF9" w:rsidRPr="005E7BE5" w:rsidRDefault="00936EF9" w:rsidP="001D5C8C">
            <w:pPr>
              <w:pStyle w:val="Nottoc-headings"/>
              <w:widowControl w:val="0"/>
              <w:spacing w:before="0" w:after="0"/>
              <w:ind w:left="57" w:hanging="57"/>
              <w:jc w:val="center"/>
              <w:rPr>
                <w:rFonts w:ascii="Times New Roman" w:hAnsi="Times New Roman"/>
                <w:b w:val="0"/>
                <w:color w:val="000000"/>
                <w:sz w:val="22"/>
                <w:szCs w:val="22"/>
              </w:rPr>
            </w:pPr>
            <w:r w:rsidRPr="005E7BE5">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1B68089A" w14:textId="77777777" w:rsidR="00936EF9" w:rsidRPr="005E7BE5" w:rsidRDefault="00936EF9" w:rsidP="001D5C8C">
            <w:pPr>
              <w:pStyle w:val="Nottoc-headings"/>
              <w:widowControl w:val="0"/>
              <w:spacing w:before="0" w:after="0"/>
              <w:ind w:left="57" w:hanging="57"/>
              <w:rPr>
                <w:rFonts w:ascii="Times New Roman" w:hAnsi="Times New Roman"/>
                <w:b w:val="0"/>
                <w:color w:val="000000"/>
                <w:sz w:val="22"/>
                <w:szCs w:val="22"/>
              </w:rPr>
            </w:pPr>
            <w:r w:rsidRPr="005E7BE5">
              <w:rPr>
                <w:rFonts w:ascii="Times New Roman" w:hAnsi="Times New Roman"/>
                <w:b w:val="0"/>
                <w:color w:val="000000"/>
                <w:sz w:val="22"/>
                <w:szCs w:val="22"/>
              </w:rPr>
              <w:t>0/86 vs. 2/90</w:t>
            </w:r>
          </w:p>
        </w:tc>
        <w:tc>
          <w:tcPr>
            <w:tcW w:w="1800" w:type="dxa"/>
            <w:tcBorders>
              <w:left w:val="single" w:sz="4" w:space="0" w:color="auto"/>
              <w:bottom w:val="nil"/>
              <w:right w:val="single" w:sz="4" w:space="0" w:color="auto"/>
            </w:tcBorders>
            <w:vAlign w:val="bottom"/>
          </w:tcPr>
          <w:p w14:paraId="1B68089B" w14:textId="77777777" w:rsidR="00936EF9" w:rsidRPr="005E7BE5" w:rsidRDefault="00936EF9" w:rsidP="001D5C8C">
            <w:pPr>
              <w:pStyle w:val="Nottoc-headings"/>
              <w:widowControl w:val="0"/>
              <w:spacing w:before="0" w:after="0"/>
              <w:ind w:left="57" w:hanging="57"/>
              <w:rPr>
                <w:rFonts w:ascii="Times New Roman" w:hAnsi="Times New Roman"/>
                <w:b w:val="0"/>
                <w:color w:val="000000"/>
                <w:sz w:val="22"/>
                <w:szCs w:val="22"/>
              </w:rPr>
            </w:pPr>
            <w:r w:rsidRPr="005E7BE5">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1B68089C" w14:textId="77777777" w:rsidR="00936EF9" w:rsidRPr="005E7BE5" w:rsidRDefault="00936EF9" w:rsidP="001D5C8C">
            <w:pPr>
              <w:pStyle w:val="Nottoc-headings"/>
              <w:widowControl w:val="0"/>
              <w:spacing w:before="0" w:after="0"/>
              <w:ind w:left="57" w:hanging="57"/>
              <w:rPr>
                <w:rFonts w:ascii="Times New Roman" w:hAnsi="Times New Roman"/>
                <w:b w:val="0"/>
                <w:color w:val="000000"/>
                <w:sz w:val="22"/>
                <w:szCs w:val="22"/>
              </w:rPr>
            </w:pPr>
            <w:r w:rsidRPr="005E7BE5">
              <w:rPr>
                <w:rFonts w:ascii="Times New Roman" w:hAnsi="Times New Roman"/>
                <w:b w:val="0"/>
                <w:color w:val="000000"/>
                <w:sz w:val="22"/>
                <w:szCs w:val="22"/>
              </w:rPr>
              <w:t>100 vs</w:t>
            </w:r>
            <w:r w:rsidR="005545AE" w:rsidRPr="005E7BE5">
              <w:rPr>
                <w:rFonts w:ascii="Times New Roman" w:hAnsi="Times New Roman"/>
                <w:b w:val="0"/>
                <w:color w:val="000000"/>
                <w:sz w:val="22"/>
                <w:szCs w:val="22"/>
              </w:rPr>
              <w:t>.</w:t>
            </w:r>
            <w:r w:rsidRPr="005E7BE5">
              <w:rPr>
                <w:rFonts w:ascii="Times New Roman" w:hAnsi="Times New Roman"/>
                <w:b w:val="0"/>
                <w:color w:val="000000"/>
                <w:sz w:val="22"/>
                <w:szCs w:val="22"/>
              </w:rPr>
              <w:t xml:space="preserve"> 98.7</w:t>
            </w:r>
          </w:p>
        </w:tc>
        <w:tc>
          <w:tcPr>
            <w:tcW w:w="1360" w:type="dxa"/>
            <w:tcBorders>
              <w:left w:val="single" w:sz="4" w:space="0" w:color="auto"/>
              <w:bottom w:val="nil"/>
            </w:tcBorders>
            <w:vAlign w:val="bottom"/>
          </w:tcPr>
          <w:p w14:paraId="1B68089D" w14:textId="77777777" w:rsidR="00936EF9" w:rsidRPr="005E7BE5" w:rsidRDefault="00936EF9" w:rsidP="001D5C8C">
            <w:pPr>
              <w:pStyle w:val="Nottoc-headings"/>
              <w:widowControl w:val="0"/>
              <w:spacing w:before="0" w:after="0"/>
              <w:ind w:left="57" w:hanging="57"/>
              <w:rPr>
                <w:rFonts w:ascii="Times New Roman" w:hAnsi="Times New Roman"/>
                <w:b w:val="0"/>
                <w:color w:val="000000"/>
                <w:sz w:val="22"/>
                <w:szCs w:val="22"/>
              </w:rPr>
            </w:pPr>
            <w:r w:rsidRPr="005E7BE5">
              <w:rPr>
                <w:rFonts w:ascii="Times New Roman" w:hAnsi="Times New Roman"/>
                <w:b w:val="0"/>
                <w:color w:val="000000"/>
                <w:sz w:val="22"/>
                <w:szCs w:val="22"/>
              </w:rPr>
              <w:t>100 vs.</w:t>
            </w:r>
            <w:r w:rsidR="002C1058" w:rsidRPr="005E7BE5">
              <w:rPr>
                <w:rFonts w:ascii="Times New Roman" w:hAnsi="Times New Roman"/>
                <w:b w:val="0"/>
                <w:color w:val="000000"/>
                <w:sz w:val="22"/>
                <w:szCs w:val="22"/>
              </w:rPr>
              <w:t xml:space="preserve"> </w:t>
            </w:r>
            <w:r w:rsidRPr="005E7BE5">
              <w:rPr>
                <w:rFonts w:ascii="Times New Roman" w:hAnsi="Times New Roman"/>
                <w:b w:val="0"/>
                <w:color w:val="000000"/>
                <w:sz w:val="22"/>
                <w:szCs w:val="22"/>
              </w:rPr>
              <w:t>95.5</w:t>
            </w:r>
          </w:p>
        </w:tc>
      </w:tr>
      <w:tr w:rsidR="00936EF9" w:rsidRPr="00654EF1" w14:paraId="1B6808A6" w14:textId="77777777" w:rsidTr="005E7BE5">
        <w:trPr>
          <w:cantSplit/>
        </w:trPr>
        <w:tc>
          <w:tcPr>
            <w:tcW w:w="934" w:type="dxa"/>
            <w:vMerge/>
            <w:shd w:val="clear" w:color="auto" w:fill="auto"/>
          </w:tcPr>
          <w:p w14:paraId="1B68089F" w14:textId="77777777" w:rsidR="00936EF9" w:rsidRPr="00654EF1" w:rsidRDefault="00936EF9" w:rsidP="001D5C8C">
            <w:pPr>
              <w:pStyle w:val="Nottoc-headings"/>
              <w:widowControl w:val="0"/>
              <w:spacing w:before="0" w:after="0"/>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1B6808A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Intermediate</w:t>
            </w:r>
          </w:p>
        </w:tc>
        <w:tc>
          <w:tcPr>
            <w:tcW w:w="986" w:type="dxa"/>
            <w:tcBorders>
              <w:top w:val="nil"/>
              <w:left w:val="single" w:sz="4" w:space="0" w:color="auto"/>
              <w:bottom w:val="nil"/>
              <w:right w:val="single" w:sz="4" w:space="0" w:color="auto"/>
            </w:tcBorders>
            <w:vAlign w:val="bottom"/>
          </w:tcPr>
          <w:p w14:paraId="1B6808A1"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25.7</w:t>
            </w:r>
          </w:p>
        </w:tc>
        <w:tc>
          <w:tcPr>
            <w:tcW w:w="2083" w:type="dxa"/>
            <w:tcBorders>
              <w:top w:val="nil"/>
              <w:left w:val="single" w:sz="4" w:space="0" w:color="auto"/>
              <w:bottom w:val="nil"/>
              <w:right w:val="single" w:sz="4" w:space="0" w:color="auto"/>
            </w:tcBorders>
            <w:vAlign w:val="bottom"/>
          </w:tcPr>
          <w:p w14:paraId="1B6808A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1B6808A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1B6808A4"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1B6808A5"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97.8 vs. 89.5</w:t>
            </w:r>
          </w:p>
        </w:tc>
      </w:tr>
      <w:tr w:rsidR="00936EF9" w:rsidRPr="00654EF1" w14:paraId="1B6808AE" w14:textId="77777777" w:rsidTr="005E7BE5">
        <w:trPr>
          <w:cantSplit/>
        </w:trPr>
        <w:tc>
          <w:tcPr>
            <w:tcW w:w="934" w:type="dxa"/>
            <w:vMerge/>
            <w:shd w:val="clear" w:color="auto" w:fill="auto"/>
          </w:tcPr>
          <w:p w14:paraId="1B6808A7"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right w:val="single" w:sz="4" w:space="0" w:color="auto"/>
            </w:tcBorders>
            <w:vAlign w:val="bottom"/>
          </w:tcPr>
          <w:p w14:paraId="1B6808A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High</w:t>
            </w:r>
          </w:p>
        </w:tc>
        <w:tc>
          <w:tcPr>
            <w:tcW w:w="986" w:type="dxa"/>
            <w:tcBorders>
              <w:top w:val="nil"/>
              <w:left w:val="single" w:sz="4" w:space="0" w:color="auto"/>
              <w:right w:val="single" w:sz="4" w:space="0" w:color="auto"/>
            </w:tcBorders>
            <w:vAlign w:val="bottom"/>
          </w:tcPr>
          <w:p w14:paraId="1B6808A9"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44.8</w:t>
            </w:r>
          </w:p>
        </w:tc>
        <w:tc>
          <w:tcPr>
            <w:tcW w:w="2083" w:type="dxa"/>
            <w:tcBorders>
              <w:top w:val="nil"/>
              <w:left w:val="single" w:sz="4" w:space="0" w:color="auto"/>
              <w:right w:val="single" w:sz="4" w:space="0" w:color="auto"/>
            </w:tcBorders>
            <w:vAlign w:val="bottom"/>
          </w:tcPr>
          <w:p w14:paraId="1B6808A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1B6808A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1B6808AC"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94.8 vs. 64.0</w:t>
            </w:r>
          </w:p>
        </w:tc>
        <w:tc>
          <w:tcPr>
            <w:tcW w:w="1360" w:type="dxa"/>
            <w:tcBorders>
              <w:top w:val="nil"/>
              <w:left w:val="single" w:sz="4" w:space="0" w:color="auto"/>
            </w:tcBorders>
            <w:vAlign w:val="bottom"/>
          </w:tcPr>
          <w:p w14:paraId="1B6808AD"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80.7 vs. 46.6</w:t>
            </w:r>
          </w:p>
        </w:tc>
      </w:tr>
      <w:tr w:rsidR="00936EF9" w:rsidRPr="00654EF1" w14:paraId="1B6808B6" w14:textId="77777777" w:rsidTr="005E7BE5">
        <w:trPr>
          <w:cantSplit/>
        </w:trPr>
        <w:tc>
          <w:tcPr>
            <w:tcW w:w="934" w:type="dxa"/>
            <w:vMerge w:val="restart"/>
            <w:shd w:val="clear" w:color="auto" w:fill="auto"/>
          </w:tcPr>
          <w:p w14:paraId="1B6808AF" w14:textId="77777777" w:rsidR="00936EF9" w:rsidRPr="00654EF1" w:rsidRDefault="00936EF9" w:rsidP="005E7BE5">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AFIP</w:t>
            </w:r>
          </w:p>
        </w:tc>
        <w:tc>
          <w:tcPr>
            <w:tcW w:w="1417" w:type="dxa"/>
            <w:tcBorders>
              <w:bottom w:val="nil"/>
              <w:right w:val="single" w:sz="4" w:space="0" w:color="auto"/>
            </w:tcBorders>
            <w:vAlign w:val="bottom"/>
          </w:tcPr>
          <w:p w14:paraId="1B6808B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Very Low</w:t>
            </w:r>
          </w:p>
        </w:tc>
        <w:tc>
          <w:tcPr>
            <w:tcW w:w="986" w:type="dxa"/>
            <w:tcBorders>
              <w:left w:val="single" w:sz="4" w:space="0" w:color="auto"/>
              <w:bottom w:val="nil"/>
              <w:right w:val="single" w:sz="4" w:space="0" w:color="auto"/>
            </w:tcBorders>
            <w:vAlign w:val="bottom"/>
          </w:tcPr>
          <w:p w14:paraId="1B6808B1"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20.7</w:t>
            </w:r>
          </w:p>
        </w:tc>
        <w:tc>
          <w:tcPr>
            <w:tcW w:w="2083" w:type="dxa"/>
            <w:tcBorders>
              <w:left w:val="single" w:sz="4" w:space="0" w:color="auto"/>
              <w:bottom w:val="nil"/>
              <w:right w:val="single" w:sz="4" w:space="0" w:color="auto"/>
            </w:tcBorders>
            <w:vAlign w:val="bottom"/>
          </w:tcPr>
          <w:p w14:paraId="1B6808B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1B6808B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1B6808B4"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98.1</w:t>
            </w:r>
          </w:p>
        </w:tc>
        <w:tc>
          <w:tcPr>
            <w:tcW w:w="1360" w:type="dxa"/>
            <w:tcBorders>
              <w:left w:val="single" w:sz="4" w:space="0" w:color="auto"/>
              <w:bottom w:val="nil"/>
            </w:tcBorders>
            <w:vAlign w:val="bottom"/>
          </w:tcPr>
          <w:p w14:paraId="1B6808B5"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93.0</w:t>
            </w:r>
          </w:p>
        </w:tc>
      </w:tr>
      <w:tr w:rsidR="00936EF9" w:rsidRPr="00654EF1" w14:paraId="1B6808BE" w14:textId="77777777" w:rsidTr="005E7BE5">
        <w:trPr>
          <w:cantSplit/>
        </w:trPr>
        <w:tc>
          <w:tcPr>
            <w:tcW w:w="934" w:type="dxa"/>
            <w:vMerge/>
            <w:shd w:val="clear" w:color="auto" w:fill="auto"/>
          </w:tcPr>
          <w:p w14:paraId="1B6808B7"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bottom w:val="nil"/>
              <w:right w:val="single" w:sz="4" w:space="0" w:color="auto"/>
            </w:tcBorders>
            <w:vAlign w:val="bottom"/>
          </w:tcPr>
          <w:p w14:paraId="1B6808B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Low</w:t>
            </w:r>
          </w:p>
        </w:tc>
        <w:tc>
          <w:tcPr>
            <w:tcW w:w="986" w:type="dxa"/>
            <w:tcBorders>
              <w:top w:val="nil"/>
              <w:left w:val="single" w:sz="4" w:space="0" w:color="auto"/>
              <w:bottom w:val="nil"/>
              <w:right w:val="single" w:sz="4" w:space="0" w:color="auto"/>
            </w:tcBorders>
            <w:vAlign w:val="bottom"/>
          </w:tcPr>
          <w:p w14:paraId="1B6808B9"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25.0</w:t>
            </w:r>
          </w:p>
        </w:tc>
        <w:tc>
          <w:tcPr>
            <w:tcW w:w="2083" w:type="dxa"/>
            <w:tcBorders>
              <w:top w:val="nil"/>
              <w:left w:val="single" w:sz="4" w:space="0" w:color="auto"/>
              <w:bottom w:val="nil"/>
              <w:right w:val="single" w:sz="4" w:space="0" w:color="auto"/>
            </w:tcBorders>
            <w:vAlign w:val="bottom"/>
          </w:tcPr>
          <w:p w14:paraId="1B6808B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1B6808B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1B6808BC"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1B6808BD"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97.8 vs. 100</w:t>
            </w:r>
          </w:p>
        </w:tc>
      </w:tr>
      <w:tr w:rsidR="00936EF9" w:rsidRPr="00654EF1" w14:paraId="1B6808C6" w14:textId="77777777" w:rsidTr="005E7BE5">
        <w:trPr>
          <w:cantSplit/>
        </w:trPr>
        <w:tc>
          <w:tcPr>
            <w:tcW w:w="934" w:type="dxa"/>
            <w:vMerge/>
            <w:shd w:val="clear" w:color="auto" w:fill="auto"/>
          </w:tcPr>
          <w:p w14:paraId="1B6808BF" w14:textId="77777777" w:rsidR="00936EF9" w:rsidRPr="00654EF1" w:rsidRDefault="00936EF9" w:rsidP="001D5C8C">
            <w:pPr>
              <w:pStyle w:val="Table"/>
              <w:widowControl w:val="0"/>
              <w:spacing w:before="0" w:after="0"/>
              <w:rPr>
                <w:rFonts w:ascii="Times New Roman" w:hAnsi="Times New Roman"/>
                <w:b/>
                <w:color w:val="000000"/>
                <w:sz w:val="22"/>
                <w:szCs w:val="22"/>
              </w:rPr>
            </w:pPr>
          </w:p>
        </w:tc>
        <w:tc>
          <w:tcPr>
            <w:tcW w:w="1417" w:type="dxa"/>
            <w:tcBorders>
              <w:top w:val="nil"/>
              <w:bottom w:val="nil"/>
              <w:right w:val="single" w:sz="4" w:space="0" w:color="auto"/>
            </w:tcBorders>
            <w:vAlign w:val="bottom"/>
          </w:tcPr>
          <w:p w14:paraId="1B6808C0"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Moderate</w:t>
            </w:r>
          </w:p>
        </w:tc>
        <w:tc>
          <w:tcPr>
            <w:tcW w:w="986" w:type="dxa"/>
            <w:tcBorders>
              <w:top w:val="nil"/>
              <w:left w:val="single" w:sz="4" w:space="0" w:color="auto"/>
              <w:bottom w:val="nil"/>
              <w:right w:val="single" w:sz="4" w:space="0" w:color="auto"/>
            </w:tcBorders>
            <w:vAlign w:val="bottom"/>
          </w:tcPr>
          <w:p w14:paraId="1B6808C1" w14:textId="77777777" w:rsidR="00936EF9" w:rsidRPr="00654EF1" w:rsidRDefault="00936EF9" w:rsidP="001D5C8C">
            <w:pPr>
              <w:pStyle w:val="Table"/>
              <w:widowControl w:val="0"/>
              <w:spacing w:before="0" w:after="0"/>
              <w:jc w:val="center"/>
              <w:rPr>
                <w:rFonts w:ascii="Times New Roman" w:hAnsi="Times New Roman"/>
                <w:color w:val="000000"/>
                <w:sz w:val="22"/>
                <w:szCs w:val="22"/>
              </w:rPr>
            </w:pPr>
            <w:r w:rsidRPr="00654EF1">
              <w:rPr>
                <w:rFonts w:ascii="Times New Roman" w:hAnsi="Times New Roman"/>
                <w:color w:val="000000"/>
                <w:sz w:val="22"/>
                <w:szCs w:val="22"/>
              </w:rPr>
              <w:t>24.6</w:t>
            </w:r>
          </w:p>
        </w:tc>
        <w:tc>
          <w:tcPr>
            <w:tcW w:w="2083" w:type="dxa"/>
            <w:tcBorders>
              <w:top w:val="nil"/>
              <w:left w:val="single" w:sz="4" w:space="0" w:color="auto"/>
              <w:bottom w:val="nil"/>
              <w:right w:val="single" w:sz="4" w:space="0" w:color="auto"/>
            </w:tcBorders>
            <w:vAlign w:val="bottom"/>
          </w:tcPr>
          <w:p w14:paraId="1B6808C2"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1B6808C3"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1B6808C4"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1B6808C5"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97.9 vs. 73.3</w:t>
            </w:r>
          </w:p>
        </w:tc>
      </w:tr>
      <w:tr w:rsidR="00936EF9" w:rsidRPr="00654EF1" w14:paraId="1B6808CE" w14:textId="77777777" w:rsidTr="005E7BE5">
        <w:trPr>
          <w:cantSplit/>
        </w:trPr>
        <w:tc>
          <w:tcPr>
            <w:tcW w:w="934" w:type="dxa"/>
            <w:vMerge/>
            <w:tcBorders>
              <w:bottom w:val="single" w:sz="4" w:space="0" w:color="auto"/>
            </w:tcBorders>
            <w:shd w:val="clear" w:color="auto" w:fill="auto"/>
          </w:tcPr>
          <w:p w14:paraId="1B6808C7" w14:textId="77777777" w:rsidR="00936EF9" w:rsidRPr="00654EF1" w:rsidRDefault="00936EF9" w:rsidP="001D5C8C">
            <w:pPr>
              <w:pStyle w:val="Table"/>
              <w:widowControl w:val="0"/>
              <w:spacing w:before="0" w:after="0"/>
              <w:rPr>
                <w:rFonts w:ascii="Times New Roman" w:hAnsi="Times New Roman"/>
                <w:color w:val="000000"/>
                <w:sz w:val="22"/>
                <w:szCs w:val="22"/>
              </w:rPr>
            </w:pPr>
          </w:p>
        </w:tc>
        <w:tc>
          <w:tcPr>
            <w:tcW w:w="1417" w:type="dxa"/>
            <w:tcBorders>
              <w:top w:val="nil"/>
              <w:bottom w:val="single" w:sz="4" w:space="0" w:color="auto"/>
              <w:right w:val="single" w:sz="4" w:space="0" w:color="auto"/>
            </w:tcBorders>
            <w:vAlign w:val="bottom"/>
          </w:tcPr>
          <w:p w14:paraId="1B6808C8"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High</w:t>
            </w:r>
          </w:p>
        </w:tc>
        <w:tc>
          <w:tcPr>
            <w:tcW w:w="986" w:type="dxa"/>
            <w:tcBorders>
              <w:top w:val="nil"/>
              <w:left w:val="single" w:sz="4" w:space="0" w:color="auto"/>
              <w:bottom w:val="single" w:sz="4" w:space="0" w:color="auto"/>
              <w:right w:val="single" w:sz="4" w:space="0" w:color="auto"/>
            </w:tcBorders>
            <w:vAlign w:val="bottom"/>
          </w:tcPr>
          <w:p w14:paraId="1B6808C9" w14:textId="77777777" w:rsidR="00936EF9" w:rsidRPr="00654EF1" w:rsidRDefault="00936EF9" w:rsidP="001D5C8C">
            <w:pPr>
              <w:pStyle w:val="Table"/>
              <w:widowControl w:val="0"/>
              <w:spacing w:before="0" w:after="0"/>
              <w:ind w:right="-3"/>
              <w:jc w:val="center"/>
              <w:rPr>
                <w:rFonts w:ascii="Times New Roman" w:hAnsi="Times New Roman"/>
                <w:color w:val="000000"/>
                <w:sz w:val="22"/>
                <w:szCs w:val="22"/>
              </w:rPr>
            </w:pPr>
            <w:r w:rsidRPr="00654EF1">
              <w:rPr>
                <w:rFonts w:ascii="Times New Roman" w:hAnsi="Times New Roman"/>
                <w:color w:val="000000"/>
                <w:sz w:val="22"/>
                <w:szCs w:val="22"/>
              </w:rPr>
              <w:t>29.7</w:t>
            </w:r>
          </w:p>
        </w:tc>
        <w:tc>
          <w:tcPr>
            <w:tcW w:w="2083" w:type="dxa"/>
            <w:tcBorders>
              <w:top w:val="nil"/>
              <w:left w:val="single" w:sz="4" w:space="0" w:color="auto"/>
              <w:bottom w:val="single" w:sz="4" w:space="0" w:color="auto"/>
              <w:right w:val="single" w:sz="4" w:space="0" w:color="auto"/>
            </w:tcBorders>
            <w:vAlign w:val="bottom"/>
          </w:tcPr>
          <w:p w14:paraId="1B6808CA"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1B6808CB"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1B6808CC"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1B6808CD" w14:textId="77777777" w:rsidR="00936EF9" w:rsidRPr="00654EF1" w:rsidRDefault="00936EF9" w:rsidP="001D5C8C">
            <w:pPr>
              <w:pStyle w:val="Table"/>
              <w:widowControl w:val="0"/>
              <w:spacing w:before="0" w:after="0"/>
              <w:rPr>
                <w:rFonts w:ascii="Times New Roman" w:hAnsi="Times New Roman"/>
                <w:color w:val="000000"/>
                <w:sz w:val="22"/>
                <w:szCs w:val="22"/>
              </w:rPr>
            </w:pPr>
            <w:r w:rsidRPr="00654EF1">
              <w:rPr>
                <w:rFonts w:ascii="Times New Roman" w:hAnsi="Times New Roman"/>
                <w:color w:val="000000"/>
                <w:sz w:val="22"/>
                <w:szCs w:val="22"/>
              </w:rPr>
              <w:t>79.9 vs. 41.5</w:t>
            </w:r>
          </w:p>
        </w:tc>
      </w:tr>
    </w:tbl>
    <w:p w14:paraId="1B6808CF" w14:textId="77777777" w:rsidR="00936EF9" w:rsidRPr="00654EF1" w:rsidRDefault="00936EF9" w:rsidP="005E7BE5">
      <w:pPr>
        <w:pStyle w:val="Text"/>
        <w:widowControl w:val="0"/>
        <w:spacing w:before="0"/>
        <w:rPr>
          <w:color w:val="000000"/>
          <w:sz w:val="22"/>
          <w:szCs w:val="22"/>
        </w:rPr>
      </w:pPr>
      <w:r w:rsidRPr="00654EF1">
        <w:rPr>
          <w:color w:val="000000"/>
          <w:sz w:val="22"/>
          <w:szCs w:val="22"/>
        </w:rPr>
        <w:t>* Full follow-up period; NE – Not estimable</w:t>
      </w:r>
    </w:p>
    <w:p w14:paraId="1B6808D0" w14:textId="77777777" w:rsidR="00EB21C1" w:rsidRPr="00654EF1" w:rsidRDefault="00EB21C1" w:rsidP="001D5C8C">
      <w:pPr>
        <w:pStyle w:val="Text"/>
        <w:widowControl w:val="0"/>
        <w:spacing w:before="0"/>
        <w:jc w:val="left"/>
        <w:rPr>
          <w:rFonts w:eastAsia="MS Mincho"/>
          <w:color w:val="000000"/>
          <w:sz w:val="22"/>
          <w:szCs w:val="22"/>
          <w:lang w:eastAsia="ja-JP"/>
        </w:rPr>
      </w:pPr>
    </w:p>
    <w:p w14:paraId="1B6808D1" w14:textId="77777777" w:rsidR="00EB21C1" w:rsidRPr="00654EF1" w:rsidRDefault="00EB21C1" w:rsidP="001D5C8C">
      <w:pPr>
        <w:widowControl w:val="0"/>
        <w:tabs>
          <w:tab w:val="clear" w:pos="567"/>
        </w:tabs>
        <w:spacing w:line="240" w:lineRule="auto"/>
        <w:rPr>
          <w:rFonts w:eastAsia="MS Mincho"/>
          <w:iCs/>
          <w:szCs w:val="22"/>
          <w:lang w:val="en-US" w:eastAsia="ja-JP"/>
        </w:rPr>
      </w:pPr>
      <w:r w:rsidRPr="00654EF1">
        <w:rPr>
          <w:rFonts w:eastAsia="MS Mincho"/>
          <w:szCs w:val="22"/>
          <w:lang w:val="en-US" w:eastAsia="ja-JP"/>
        </w:rPr>
        <w:t xml:space="preserve">A second multicentre, open label phase III study (SSG XVIII/AIO) compared 400 mg/day Glivec 12 months treatment vs. 36 months treatment in patients after surgical resection of GIST and one of the following: </w:t>
      </w:r>
      <w:r w:rsidRPr="00654EF1">
        <w:rPr>
          <w:rFonts w:eastAsia="MS Mincho"/>
          <w:iCs/>
          <w:szCs w:val="22"/>
          <w:lang w:val="en-US" w:eastAsia="ja-JP"/>
        </w:rPr>
        <w:t>tumour diameter &gt; 5</w:t>
      </w:r>
      <w:r w:rsidRPr="00654EF1">
        <w:rPr>
          <w:rFonts w:eastAsia="MS Mincho"/>
          <w:szCs w:val="22"/>
          <w:lang w:val="en-US" w:eastAsia="ja-JP"/>
        </w:rPr>
        <w:t> </w:t>
      </w:r>
      <w:r w:rsidRPr="00654EF1">
        <w:rPr>
          <w:rFonts w:eastAsia="MS Mincho"/>
          <w:iCs/>
          <w:szCs w:val="22"/>
          <w:lang w:val="en-US" w:eastAsia="ja-JP"/>
        </w:rPr>
        <w:t>cm and mitotic count &gt; 5/50 high power fields (HPF); or tumour diameter &gt; 10</w:t>
      </w:r>
      <w:r w:rsidRPr="00654EF1">
        <w:rPr>
          <w:rFonts w:eastAsia="MS Mincho"/>
          <w:szCs w:val="22"/>
          <w:lang w:val="en-US" w:eastAsia="ja-JP"/>
        </w:rPr>
        <w:t> </w:t>
      </w:r>
      <w:r w:rsidRPr="00654EF1">
        <w:rPr>
          <w:rFonts w:eastAsia="MS Mincho"/>
          <w:iCs/>
          <w:szCs w:val="22"/>
          <w:lang w:val="en-US" w:eastAsia="ja-JP"/>
        </w:rPr>
        <w:t>cm and any mitotic count or tumour of any size with mitotic count &gt; 10/50 HPF or tumours ruptured into the peritoneal cavity. There were a total of 397</w:t>
      </w:r>
      <w:r w:rsidRPr="00654EF1">
        <w:rPr>
          <w:rFonts w:eastAsia="MS Mincho"/>
          <w:szCs w:val="22"/>
          <w:lang w:val="en-US" w:eastAsia="ja-JP"/>
        </w:rPr>
        <w:t> </w:t>
      </w:r>
      <w:r w:rsidRPr="00654EF1">
        <w:rPr>
          <w:rFonts w:eastAsia="MS Mincho"/>
          <w:iCs/>
          <w:szCs w:val="22"/>
          <w:lang w:val="en-US" w:eastAsia="ja-JP"/>
        </w:rPr>
        <w:t>patients consented and randomised to the study (199</w:t>
      </w:r>
      <w:r w:rsidRPr="00654EF1">
        <w:rPr>
          <w:rFonts w:eastAsia="MS Mincho"/>
          <w:szCs w:val="22"/>
          <w:lang w:val="en-US" w:eastAsia="ja-JP"/>
        </w:rPr>
        <w:t> </w:t>
      </w:r>
      <w:r w:rsidRPr="00654EF1">
        <w:rPr>
          <w:rFonts w:eastAsia="MS Mincho"/>
          <w:iCs/>
          <w:szCs w:val="22"/>
          <w:lang w:val="en-US" w:eastAsia="ja-JP"/>
        </w:rPr>
        <w:t>patients on 12</w:t>
      </w:r>
      <w:r w:rsidRPr="00654EF1">
        <w:rPr>
          <w:rFonts w:eastAsia="MS Mincho"/>
          <w:szCs w:val="22"/>
          <w:lang w:val="en-US" w:eastAsia="ja-JP"/>
        </w:rPr>
        <w:t>-</w:t>
      </w:r>
      <w:r w:rsidRPr="00654EF1">
        <w:rPr>
          <w:rFonts w:eastAsia="MS Mincho"/>
          <w:iCs/>
          <w:szCs w:val="22"/>
          <w:lang w:val="en-US" w:eastAsia="ja-JP"/>
        </w:rPr>
        <w:t>month arm and 198</w:t>
      </w:r>
      <w:r w:rsidRPr="00654EF1">
        <w:rPr>
          <w:rFonts w:eastAsia="MS Mincho"/>
          <w:szCs w:val="22"/>
          <w:lang w:val="en-US" w:eastAsia="ja-JP"/>
        </w:rPr>
        <w:t> </w:t>
      </w:r>
      <w:r w:rsidRPr="00654EF1">
        <w:rPr>
          <w:rFonts w:eastAsia="MS Mincho"/>
          <w:iCs/>
          <w:szCs w:val="22"/>
          <w:lang w:val="en-US" w:eastAsia="ja-JP"/>
        </w:rPr>
        <w:t>patients on 36</w:t>
      </w:r>
      <w:r w:rsidRPr="00654EF1">
        <w:rPr>
          <w:rFonts w:eastAsia="MS Mincho"/>
          <w:szCs w:val="22"/>
          <w:lang w:val="en-US" w:eastAsia="ja-JP"/>
        </w:rPr>
        <w:t>-</w:t>
      </w:r>
      <w:r w:rsidRPr="00654EF1">
        <w:rPr>
          <w:rFonts w:eastAsia="MS Mincho"/>
          <w:iCs/>
          <w:szCs w:val="22"/>
          <w:lang w:val="en-US" w:eastAsia="ja-JP"/>
        </w:rPr>
        <w:t xml:space="preserve">month arm), median age was </w:t>
      </w:r>
      <w:r w:rsidRPr="00654EF1">
        <w:rPr>
          <w:rFonts w:eastAsia="MS Mincho"/>
          <w:bCs/>
          <w:iCs/>
          <w:szCs w:val="22"/>
          <w:lang w:val="en-US" w:eastAsia="ja-JP"/>
        </w:rPr>
        <w:t>61</w:t>
      </w:r>
      <w:r w:rsidRPr="00654EF1">
        <w:rPr>
          <w:rFonts w:eastAsia="MS Mincho"/>
          <w:szCs w:val="22"/>
          <w:lang w:val="en-US" w:eastAsia="ja-JP"/>
        </w:rPr>
        <w:t> </w:t>
      </w:r>
      <w:r w:rsidRPr="00654EF1">
        <w:rPr>
          <w:rFonts w:eastAsia="MS Mincho"/>
          <w:bCs/>
          <w:iCs/>
          <w:szCs w:val="22"/>
          <w:lang w:val="en-US" w:eastAsia="ja-JP"/>
        </w:rPr>
        <w:t>years</w:t>
      </w:r>
      <w:r w:rsidRPr="00654EF1">
        <w:rPr>
          <w:rFonts w:eastAsia="MS Mincho"/>
          <w:iCs/>
          <w:szCs w:val="22"/>
          <w:lang w:val="en-US" w:eastAsia="ja-JP"/>
        </w:rPr>
        <w:t xml:space="preserve"> (range 22 to 84</w:t>
      </w:r>
      <w:r w:rsidRPr="00654EF1">
        <w:rPr>
          <w:rFonts w:eastAsia="MS Mincho"/>
          <w:szCs w:val="22"/>
          <w:lang w:val="en-US" w:eastAsia="ja-JP"/>
        </w:rPr>
        <w:t> </w:t>
      </w:r>
      <w:r w:rsidRPr="00654EF1">
        <w:rPr>
          <w:rFonts w:eastAsia="MS Mincho"/>
          <w:iCs/>
          <w:szCs w:val="22"/>
          <w:lang w:val="en-US" w:eastAsia="ja-JP"/>
        </w:rPr>
        <w:t>years). The median time of follow-up was 54</w:t>
      </w:r>
      <w:r w:rsidRPr="00654EF1">
        <w:rPr>
          <w:rFonts w:eastAsia="MS Mincho"/>
          <w:szCs w:val="22"/>
          <w:lang w:val="en-US" w:eastAsia="ja-JP"/>
        </w:rPr>
        <w:t> </w:t>
      </w:r>
      <w:r w:rsidRPr="00654EF1">
        <w:rPr>
          <w:rFonts w:eastAsia="MS Mincho"/>
          <w:iCs/>
          <w:szCs w:val="22"/>
          <w:lang w:val="en-US" w:eastAsia="ja-JP"/>
        </w:rPr>
        <w:t>months (from date of randomisation to data cut-off), with a total of 83</w:t>
      </w:r>
      <w:r w:rsidRPr="00654EF1">
        <w:rPr>
          <w:rFonts w:eastAsia="MS Mincho"/>
          <w:szCs w:val="22"/>
          <w:lang w:val="en-US" w:eastAsia="ja-JP"/>
        </w:rPr>
        <w:t> </w:t>
      </w:r>
      <w:r w:rsidRPr="00654EF1">
        <w:rPr>
          <w:rFonts w:eastAsia="MS Mincho"/>
          <w:iCs/>
          <w:szCs w:val="22"/>
          <w:lang w:val="en-US" w:eastAsia="ja-JP"/>
        </w:rPr>
        <w:t>months between the first patient randomised and the cut-off date.</w:t>
      </w:r>
    </w:p>
    <w:p w14:paraId="1B6808D2" w14:textId="77777777" w:rsidR="00EB21C1" w:rsidRPr="00654EF1" w:rsidRDefault="00EB21C1" w:rsidP="001D5C8C">
      <w:pPr>
        <w:widowControl w:val="0"/>
        <w:tabs>
          <w:tab w:val="clear" w:pos="567"/>
        </w:tabs>
        <w:spacing w:line="240" w:lineRule="auto"/>
        <w:rPr>
          <w:rFonts w:eastAsia="MS Mincho"/>
          <w:iCs/>
          <w:szCs w:val="22"/>
          <w:lang w:val="en-US" w:eastAsia="ja-JP"/>
        </w:rPr>
      </w:pPr>
    </w:p>
    <w:p w14:paraId="1B6808D3" w14:textId="77777777" w:rsidR="00EB21C1" w:rsidRPr="00654EF1" w:rsidRDefault="00EB21C1" w:rsidP="001D5C8C">
      <w:pPr>
        <w:widowControl w:val="0"/>
        <w:tabs>
          <w:tab w:val="clear" w:pos="567"/>
        </w:tabs>
        <w:spacing w:line="240" w:lineRule="auto"/>
        <w:rPr>
          <w:rFonts w:eastAsia="MS Mincho"/>
          <w:szCs w:val="22"/>
          <w:lang w:eastAsia="ja-JP"/>
        </w:rPr>
      </w:pPr>
      <w:r w:rsidRPr="00654EF1">
        <w:rPr>
          <w:rFonts w:eastAsia="MS Mincho"/>
          <w:szCs w:val="22"/>
          <w:lang w:eastAsia="ja-JP"/>
        </w:rPr>
        <w:t>The primary endpoint of the study was recurrence-free survival (</w:t>
      </w:r>
      <w:smartTag w:uri="urn:schemas-microsoft-com:office:smarttags" w:element="stockticker">
        <w:r w:rsidRPr="00654EF1">
          <w:rPr>
            <w:rFonts w:eastAsia="MS Mincho"/>
            <w:szCs w:val="22"/>
            <w:lang w:eastAsia="ja-JP"/>
          </w:rPr>
          <w:t>RFS</w:t>
        </w:r>
      </w:smartTag>
      <w:r w:rsidRPr="00654EF1">
        <w:rPr>
          <w:rFonts w:eastAsia="MS Mincho"/>
          <w:szCs w:val="22"/>
          <w:lang w:eastAsia="ja-JP"/>
        </w:rPr>
        <w:t>), defined as the time from date of randomisation to the date of recurrence or death from any cause.</w:t>
      </w:r>
    </w:p>
    <w:p w14:paraId="1B6808D4" w14:textId="77777777" w:rsidR="00EB21C1" w:rsidRPr="00654EF1" w:rsidRDefault="00EB21C1" w:rsidP="001D5C8C">
      <w:pPr>
        <w:widowControl w:val="0"/>
        <w:tabs>
          <w:tab w:val="clear" w:pos="567"/>
        </w:tabs>
        <w:spacing w:line="240" w:lineRule="auto"/>
        <w:rPr>
          <w:rFonts w:eastAsia="MS Mincho"/>
          <w:szCs w:val="22"/>
          <w:lang w:eastAsia="ja-JP"/>
        </w:rPr>
      </w:pPr>
    </w:p>
    <w:p w14:paraId="1B6808D5" w14:textId="77777777" w:rsidR="00EB21C1" w:rsidRPr="00654EF1" w:rsidRDefault="00EB21C1" w:rsidP="001D5C8C">
      <w:pPr>
        <w:widowControl w:val="0"/>
        <w:tabs>
          <w:tab w:val="clear" w:pos="567"/>
        </w:tabs>
        <w:spacing w:line="240" w:lineRule="auto"/>
        <w:rPr>
          <w:rFonts w:eastAsia="MS Mincho"/>
          <w:iCs/>
          <w:color w:val="000000"/>
          <w:szCs w:val="22"/>
          <w:lang w:val="en-US" w:eastAsia="ja-JP"/>
        </w:rPr>
      </w:pPr>
      <w:r w:rsidRPr="00654EF1">
        <w:rPr>
          <w:rFonts w:eastAsia="MS Mincho"/>
          <w:iCs/>
          <w:szCs w:val="22"/>
          <w:lang w:val="en-US" w:eastAsia="ja-JP"/>
        </w:rPr>
        <w:t>Thirty-six (36) months of Glivec treatment significantly prolonged RFS compared to 12</w:t>
      </w:r>
      <w:r w:rsidRPr="00654EF1">
        <w:rPr>
          <w:rFonts w:eastAsia="MS Mincho"/>
          <w:szCs w:val="22"/>
          <w:lang w:val="en-US" w:eastAsia="ja-JP"/>
        </w:rPr>
        <w:t> </w:t>
      </w:r>
      <w:r w:rsidRPr="00654EF1">
        <w:rPr>
          <w:rFonts w:eastAsia="MS Mincho"/>
          <w:iCs/>
          <w:szCs w:val="22"/>
          <w:lang w:val="en-US" w:eastAsia="ja-JP"/>
        </w:rPr>
        <w:t xml:space="preserve">months of Glivec </w:t>
      </w:r>
      <w:r w:rsidRPr="00654EF1">
        <w:rPr>
          <w:rFonts w:eastAsia="MS Mincho"/>
          <w:iCs/>
          <w:color w:val="000000"/>
          <w:szCs w:val="22"/>
          <w:lang w:val="en-US" w:eastAsia="ja-JP"/>
        </w:rPr>
        <w:t>treatment (with overall Hazard Ratio (HR) = 0.46 [0.32, 0.65], p&lt;0.0001</w:t>
      </w:r>
      <w:r w:rsidR="00701E9B" w:rsidRPr="00654EF1">
        <w:rPr>
          <w:rFonts w:eastAsia="MS Mincho"/>
          <w:iCs/>
          <w:color w:val="000000"/>
          <w:szCs w:val="22"/>
          <w:lang w:val="en-US" w:eastAsia="ja-JP"/>
        </w:rPr>
        <w:t>)</w:t>
      </w:r>
      <w:r w:rsidRPr="00654EF1">
        <w:rPr>
          <w:rFonts w:eastAsia="MS Mincho"/>
          <w:iCs/>
          <w:color w:val="000000"/>
          <w:szCs w:val="22"/>
          <w:lang w:val="en-US" w:eastAsia="ja-JP"/>
        </w:rPr>
        <w:t xml:space="preserve"> (Table</w:t>
      </w:r>
      <w:r w:rsidRPr="00654EF1">
        <w:rPr>
          <w:rFonts w:eastAsia="MS Mincho"/>
          <w:color w:val="000000"/>
          <w:szCs w:val="22"/>
          <w:lang w:val="en-US" w:eastAsia="ja-JP"/>
        </w:rPr>
        <w:t> </w:t>
      </w:r>
      <w:r w:rsidR="008F2DE5" w:rsidRPr="00654EF1">
        <w:rPr>
          <w:rFonts w:eastAsia="MS Mincho"/>
          <w:iCs/>
          <w:color w:val="000000"/>
          <w:szCs w:val="22"/>
          <w:lang w:val="en-US" w:eastAsia="ja-JP"/>
        </w:rPr>
        <w:t>8</w:t>
      </w:r>
      <w:r w:rsidRPr="00654EF1">
        <w:rPr>
          <w:rFonts w:eastAsia="MS Mincho"/>
          <w:iCs/>
          <w:color w:val="000000"/>
          <w:szCs w:val="22"/>
          <w:lang w:val="en-US" w:eastAsia="ja-JP"/>
        </w:rPr>
        <w:t xml:space="preserve">, </w:t>
      </w:r>
      <w:r w:rsidRPr="00654EF1">
        <w:rPr>
          <w:rFonts w:eastAsia="MS Mincho"/>
        </w:rPr>
        <w:t>Figure 1</w:t>
      </w:r>
      <w:r w:rsidRPr="00654EF1">
        <w:rPr>
          <w:rFonts w:eastAsia="MS Mincho"/>
          <w:iCs/>
          <w:color w:val="000000"/>
          <w:szCs w:val="22"/>
          <w:lang w:val="en-US" w:eastAsia="ja-JP"/>
        </w:rPr>
        <w:t>).</w:t>
      </w:r>
    </w:p>
    <w:p w14:paraId="1B6808D6" w14:textId="77777777" w:rsidR="00EB21C1" w:rsidRPr="00654EF1" w:rsidRDefault="00EB21C1" w:rsidP="001D5C8C">
      <w:pPr>
        <w:widowControl w:val="0"/>
        <w:tabs>
          <w:tab w:val="clear" w:pos="567"/>
        </w:tabs>
        <w:spacing w:line="240" w:lineRule="auto"/>
        <w:rPr>
          <w:rFonts w:eastAsia="MS Mincho"/>
          <w:iCs/>
          <w:color w:val="000000"/>
          <w:szCs w:val="22"/>
          <w:lang w:val="en-US" w:eastAsia="ja-JP"/>
        </w:rPr>
      </w:pPr>
    </w:p>
    <w:p w14:paraId="1B6808D7" w14:textId="77777777" w:rsidR="00383791" w:rsidRPr="00654EF1" w:rsidRDefault="00EB21C1" w:rsidP="001D5C8C">
      <w:pPr>
        <w:widowControl w:val="0"/>
        <w:tabs>
          <w:tab w:val="clear" w:pos="567"/>
        </w:tabs>
        <w:spacing w:line="240" w:lineRule="auto"/>
        <w:rPr>
          <w:rFonts w:eastAsia="MS Mincho"/>
          <w:iCs/>
          <w:color w:val="000000"/>
          <w:szCs w:val="22"/>
          <w:lang w:val="en-US" w:eastAsia="ja-JP"/>
        </w:rPr>
      </w:pPr>
      <w:r w:rsidRPr="00654EF1">
        <w:rPr>
          <w:rFonts w:eastAsia="MS Mincho"/>
          <w:iCs/>
          <w:color w:val="000000"/>
          <w:szCs w:val="22"/>
          <w:lang w:val="en-US" w:eastAsia="ja-JP"/>
        </w:rPr>
        <w:t>In addition, thirty-six (36) months of Glivec treatment significantly prolonged overall survival (OS) compared to 12</w:t>
      </w:r>
      <w:r w:rsidRPr="00654EF1">
        <w:rPr>
          <w:rFonts w:eastAsia="MS Mincho"/>
          <w:color w:val="000000"/>
          <w:szCs w:val="22"/>
          <w:lang w:val="en-US" w:eastAsia="ja-JP"/>
        </w:rPr>
        <w:t> </w:t>
      </w:r>
      <w:r w:rsidRPr="00654EF1">
        <w:rPr>
          <w:rFonts w:eastAsia="MS Mincho"/>
          <w:iCs/>
          <w:color w:val="000000"/>
          <w:szCs w:val="22"/>
          <w:lang w:val="en-US" w:eastAsia="ja-JP"/>
        </w:rPr>
        <w:t>months of Glivec treatment (HR = 0.45 [0.22, 0.89], p=0.0187) (Table</w:t>
      </w:r>
      <w:r w:rsidRPr="00654EF1">
        <w:rPr>
          <w:rFonts w:eastAsia="MS Mincho"/>
          <w:color w:val="000000"/>
          <w:szCs w:val="22"/>
          <w:lang w:val="en-US" w:eastAsia="ja-JP"/>
        </w:rPr>
        <w:t> </w:t>
      </w:r>
      <w:r w:rsidR="008F2DE5" w:rsidRPr="00654EF1">
        <w:rPr>
          <w:rFonts w:eastAsia="MS Mincho"/>
          <w:iCs/>
          <w:color w:val="000000"/>
          <w:szCs w:val="22"/>
          <w:lang w:val="en-US" w:eastAsia="ja-JP"/>
        </w:rPr>
        <w:t>8</w:t>
      </w:r>
      <w:r w:rsidRPr="00654EF1">
        <w:rPr>
          <w:rFonts w:eastAsia="MS Mincho"/>
          <w:iCs/>
          <w:color w:val="000000"/>
          <w:szCs w:val="22"/>
          <w:lang w:val="en-US" w:eastAsia="ja-JP"/>
        </w:rPr>
        <w:t>, Figure </w:t>
      </w:r>
      <w:r w:rsidR="00383791" w:rsidRPr="00654EF1">
        <w:rPr>
          <w:rFonts w:eastAsia="MS Mincho"/>
          <w:iCs/>
          <w:color w:val="000000"/>
          <w:szCs w:val="22"/>
          <w:lang w:val="en-US" w:eastAsia="ja-JP"/>
        </w:rPr>
        <w:t>2).</w:t>
      </w:r>
    </w:p>
    <w:p w14:paraId="1B6808D8" w14:textId="77777777" w:rsidR="00383791" w:rsidRPr="00654EF1" w:rsidRDefault="00383791" w:rsidP="001D5C8C">
      <w:pPr>
        <w:widowControl w:val="0"/>
        <w:spacing w:line="240" w:lineRule="auto"/>
        <w:rPr>
          <w:rFonts w:eastAsia="MS Mincho"/>
          <w:szCs w:val="22"/>
          <w:lang w:eastAsia="ja-JP"/>
        </w:rPr>
      </w:pPr>
    </w:p>
    <w:p w14:paraId="1B6808D9" w14:textId="77777777" w:rsidR="00383791" w:rsidRPr="00654EF1" w:rsidRDefault="00383791" w:rsidP="001D5C8C">
      <w:pPr>
        <w:widowControl w:val="0"/>
        <w:spacing w:line="240" w:lineRule="auto"/>
        <w:rPr>
          <w:rFonts w:eastAsia="MS Mincho"/>
          <w:szCs w:val="22"/>
          <w:lang w:eastAsia="ja-JP"/>
        </w:rPr>
      </w:pPr>
      <w:r w:rsidRPr="00654EF1">
        <w:rPr>
          <w:rFonts w:eastAsia="MS Mincho"/>
          <w:szCs w:val="22"/>
          <w:lang w:eastAsia="ja-JP"/>
        </w:rPr>
        <w:t>Longer duration of the treatment (&gt; 36 months) may delay the onset of further recurrences; however the impact of this finding on the overall survival remains unknown.</w:t>
      </w:r>
    </w:p>
    <w:p w14:paraId="1B6808DA" w14:textId="77777777" w:rsidR="00383791" w:rsidRPr="00654EF1" w:rsidRDefault="00383791" w:rsidP="001D5C8C">
      <w:pPr>
        <w:widowControl w:val="0"/>
        <w:tabs>
          <w:tab w:val="clear" w:pos="567"/>
        </w:tabs>
        <w:spacing w:line="240" w:lineRule="auto"/>
        <w:rPr>
          <w:rFonts w:eastAsia="MS Mincho"/>
          <w:iCs/>
          <w:color w:val="000000"/>
          <w:szCs w:val="22"/>
          <w:lang w:eastAsia="ja-JP"/>
        </w:rPr>
      </w:pPr>
    </w:p>
    <w:p w14:paraId="1B6808DB" w14:textId="77777777" w:rsidR="00EB21C1" w:rsidRPr="00654EF1" w:rsidRDefault="00EB21C1" w:rsidP="001D5C8C">
      <w:pPr>
        <w:widowControl w:val="0"/>
        <w:tabs>
          <w:tab w:val="clear" w:pos="567"/>
        </w:tabs>
        <w:spacing w:line="240" w:lineRule="auto"/>
        <w:rPr>
          <w:rFonts w:eastAsia="MS Mincho"/>
          <w:iCs/>
          <w:color w:val="000000"/>
          <w:szCs w:val="22"/>
          <w:lang w:val="en-US" w:eastAsia="ja-JP"/>
        </w:rPr>
      </w:pPr>
      <w:r w:rsidRPr="00654EF1">
        <w:rPr>
          <w:rFonts w:eastAsia="MS Mincho"/>
          <w:iCs/>
          <w:color w:val="000000"/>
          <w:szCs w:val="22"/>
          <w:lang w:val="en-US" w:eastAsia="ja-JP"/>
        </w:rPr>
        <w:t>The total number of deaths were 25 for the 12-month treatment arm and 12 for the 36-month treatment arm.</w:t>
      </w:r>
    </w:p>
    <w:p w14:paraId="1B6808DC" w14:textId="77777777" w:rsidR="00EB21C1" w:rsidRPr="00654EF1" w:rsidRDefault="00EB21C1" w:rsidP="001D5C8C">
      <w:pPr>
        <w:widowControl w:val="0"/>
        <w:tabs>
          <w:tab w:val="clear" w:pos="567"/>
        </w:tabs>
        <w:spacing w:line="240" w:lineRule="auto"/>
        <w:rPr>
          <w:rFonts w:eastAsia="MS Mincho"/>
          <w:iCs/>
          <w:szCs w:val="22"/>
          <w:lang w:val="en-US" w:eastAsia="ja-JP"/>
        </w:rPr>
      </w:pPr>
    </w:p>
    <w:p w14:paraId="1B6808DD" w14:textId="77777777" w:rsidR="00110523" w:rsidRPr="00654EF1" w:rsidRDefault="00110523" w:rsidP="001D5C8C">
      <w:pPr>
        <w:widowControl w:val="0"/>
        <w:tabs>
          <w:tab w:val="clear" w:pos="567"/>
        </w:tabs>
        <w:spacing w:line="240" w:lineRule="auto"/>
        <w:rPr>
          <w:rFonts w:eastAsia="MS Mincho"/>
          <w:iCs/>
          <w:szCs w:val="22"/>
          <w:lang w:val="en-US" w:eastAsia="ja-JP"/>
        </w:rPr>
      </w:pPr>
      <w:r w:rsidRPr="00654EF1">
        <w:rPr>
          <w:rFonts w:eastAsia="MS Mincho"/>
          <w:iCs/>
          <w:szCs w:val="22"/>
          <w:lang w:val="en-US" w:eastAsia="ja-JP"/>
        </w:rPr>
        <w:t>Treatment with imatinib for 36 months was superior to treatment for 12 months in the ITT analysis, i.e. including the entire study population. In a planned subgroup analysis by mutation type, the HR for RFS for 36 months of treatment for patients with mutations of exon 11 was 0.35 [95% CI: 0.22, 0.56]. No conclusions can be drawn for other less common mutation subgroups due to the low number of observed events.</w:t>
      </w:r>
    </w:p>
    <w:p w14:paraId="1B6808DE" w14:textId="77777777" w:rsidR="00EB21C1" w:rsidRPr="00654EF1" w:rsidRDefault="00EB21C1" w:rsidP="001D5C8C">
      <w:pPr>
        <w:widowControl w:val="0"/>
        <w:tabs>
          <w:tab w:val="clear" w:pos="567"/>
        </w:tabs>
        <w:spacing w:line="240" w:lineRule="auto"/>
        <w:rPr>
          <w:rFonts w:eastAsia="MS Mincho"/>
          <w:iCs/>
          <w:szCs w:val="22"/>
          <w:lang w:val="en-US" w:eastAsia="ja-JP"/>
        </w:rPr>
      </w:pPr>
    </w:p>
    <w:p w14:paraId="1B6808DF" w14:textId="77777777" w:rsidR="00EB21C1" w:rsidRPr="00654EF1" w:rsidRDefault="00EB21C1" w:rsidP="001D5C8C">
      <w:pPr>
        <w:keepNext/>
        <w:widowControl w:val="0"/>
        <w:tabs>
          <w:tab w:val="clear" w:pos="567"/>
        </w:tabs>
        <w:spacing w:line="240" w:lineRule="auto"/>
        <w:ind w:left="1134" w:hanging="1134"/>
        <w:rPr>
          <w:rFonts w:eastAsia="MS Mincho"/>
          <w:b/>
          <w:szCs w:val="22"/>
          <w:lang w:eastAsia="ja-JP"/>
        </w:rPr>
      </w:pPr>
      <w:r w:rsidRPr="00654EF1">
        <w:rPr>
          <w:rFonts w:eastAsia="MS Mincho"/>
          <w:b/>
          <w:szCs w:val="22"/>
          <w:lang w:val="en-US"/>
        </w:rPr>
        <w:lastRenderedPageBreak/>
        <w:t>Table </w:t>
      </w:r>
      <w:r w:rsidR="008F2DE5" w:rsidRPr="00654EF1">
        <w:rPr>
          <w:rFonts w:eastAsia="MS Mincho"/>
          <w:b/>
          <w:szCs w:val="22"/>
          <w:lang w:val="en-US"/>
        </w:rPr>
        <w:t>8</w:t>
      </w:r>
      <w:r w:rsidRPr="00654EF1">
        <w:rPr>
          <w:rFonts w:eastAsia="MS Mincho"/>
          <w:szCs w:val="22"/>
          <w:lang w:val="en-US"/>
        </w:rPr>
        <w:tab/>
      </w:r>
      <w:r w:rsidRPr="00654EF1">
        <w:rPr>
          <w:rFonts w:eastAsia="MS Mincho"/>
          <w:b/>
          <w:szCs w:val="22"/>
          <w:lang w:eastAsia="ja-JP"/>
        </w:rPr>
        <w:t>12-month and 36-month Glivec treatment (SSGXVIII/AIO Trial)</w:t>
      </w:r>
    </w:p>
    <w:p w14:paraId="1B6808E0" w14:textId="77777777" w:rsidR="00EB21C1" w:rsidRPr="00654EF1" w:rsidRDefault="00EB21C1" w:rsidP="001D5C8C">
      <w:pPr>
        <w:keepNext/>
        <w:widowControl w:val="0"/>
        <w:tabs>
          <w:tab w:val="clear" w:pos="567"/>
        </w:tabs>
        <w:spacing w:line="240" w:lineRule="auto"/>
        <w:rPr>
          <w:rFonts w:eastAsia="MS Mincho"/>
          <w:szCs w:val="22"/>
          <w:lang w:val="en-US"/>
        </w:rPr>
      </w:pPr>
    </w:p>
    <w:tbl>
      <w:tblPr>
        <w:tblW w:w="9299" w:type="dxa"/>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EB21C1" w:rsidRPr="00654EF1" w14:paraId="1B6808E4" w14:textId="77777777" w:rsidTr="005E7BE5">
        <w:trPr>
          <w:cantSplit/>
        </w:trPr>
        <w:tc>
          <w:tcPr>
            <w:tcW w:w="3099" w:type="dxa"/>
            <w:tcBorders>
              <w:top w:val="single" w:sz="4" w:space="0" w:color="auto"/>
              <w:bottom w:val="nil"/>
            </w:tcBorders>
            <w:shd w:val="clear" w:color="auto" w:fill="auto"/>
          </w:tcPr>
          <w:p w14:paraId="1B6808E1"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p>
        </w:tc>
        <w:tc>
          <w:tcPr>
            <w:tcW w:w="3100" w:type="dxa"/>
            <w:tcBorders>
              <w:top w:val="single" w:sz="4" w:space="0" w:color="auto"/>
              <w:bottom w:val="nil"/>
            </w:tcBorders>
            <w:shd w:val="clear" w:color="auto" w:fill="auto"/>
          </w:tcPr>
          <w:p w14:paraId="1B6808E2"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12-month treatment arm</w:t>
            </w:r>
          </w:p>
        </w:tc>
        <w:tc>
          <w:tcPr>
            <w:tcW w:w="3100" w:type="dxa"/>
            <w:tcBorders>
              <w:top w:val="single" w:sz="4" w:space="0" w:color="auto"/>
              <w:bottom w:val="nil"/>
            </w:tcBorders>
            <w:shd w:val="clear" w:color="auto" w:fill="auto"/>
          </w:tcPr>
          <w:p w14:paraId="1B6808E3"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36-month treatment arm</w:t>
            </w:r>
          </w:p>
        </w:tc>
      </w:tr>
      <w:tr w:rsidR="00EB21C1" w:rsidRPr="00654EF1" w14:paraId="1B6808E8" w14:textId="77777777" w:rsidTr="005E7BE5">
        <w:trPr>
          <w:cantSplit/>
        </w:trPr>
        <w:tc>
          <w:tcPr>
            <w:tcW w:w="3099" w:type="dxa"/>
            <w:tcBorders>
              <w:top w:val="nil"/>
            </w:tcBorders>
            <w:shd w:val="clear" w:color="auto" w:fill="auto"/>
          </w:tcPr>
          <w:p w14:paraId="1B6808E5"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RFS</w:t>
            </w:r>
          </w:p>
        </w:tc>
        <w:tc>
          <w:tcPr>
            <w:tcW w:w="3100" w:type="dxa"/>
            <w:tcBorders>
              <w:top w:val="nil"/>
            </w:tcBorders>
            <w:shd w:val="clear" w:color="auto" w:fill="auto"/>
          </w:tcPr>
          <w:p w14:paraId="1B6808E6"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%(CI)</w:t>
            </w:r>
          </w:p>
        </w:tc>
        <w:tc>
          <w:tcPr>
            <w:tcW w:w="3100" w:type="dxa"/>
            <w:tcBorders>
              <w:top w:val="nil"/>
            </w:tcBorders>
            <w:shd w:val="clear" w:color="auto" w:fill="auto"/>
          </w:tcPr>
          <w:p w14:paraId="1B6808E7"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%(CI)</w:t>
            </w:r>
          </w:p>
        </w:tc>
      </w:tr>
      <w:tr w:rsidR="00EB21C1" w:rsidRPr="00654EF1" w14:paraId="1B6808EC" w14:textId="77777777" w:rsidTr="005E7BE5">
        <w:trPr>
          <w:cantSplit/>
        </w:trPr>
        <w:tc>
          <w:tcPr>
            <w:tcW w:w="3099" w:type="dxa"/>
            <w:shd w:val="clear" w:color="auto" w:fill="auto"/>
          </w:tcPr>
          <w:p w14:paraId="1B6808E9"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12</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8EA"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93.7 (89.2</w:t>
            </w:r>
            <w:r w:rsidRPr="00654EF1">
              <w:rPr>
                <w:rFonts w:eastAsia="MS Mincho"/>
                <w:szCs w:val="22"/>
                <w:lang w:val="en-US"/>
              </w:rPr>
              <w:noBreakHyphen/>
              <w:t>96.4)</w:t>
            </w:r>
          </w:p>
        </w:tc>
        <w:tc>
          <w:tcPr>
            <w:tcW w:w="3100" w:type="dxa"/>
            <w:shd w:val="clear" w:color="auto" w:fill="auto"/>
          </w:tcPr>
          <w:p w14:paraId="1B6808EB"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95.9 (91.9</w:t>
            </w:r>
            <w:r w:rsidRPr="00654EF1">
              <w:rPr>
                <w:rFonts w:eastAsia="MS Mincho"/>
                <w:szCs w:val="22"/>
                <w:lang w:val="en-US"/>
              </w:rPr>
              <w:noBreakHyphen/>
              <w:t>97.9)</w:t>
            </w:r>
          </w:p>
        </w:tc>
      </w:tr>
      <w:tr w:rsidR="00EB21C1" w:rsidRPr="00654EF1" w14:paraId="1B6808F0" w14:textId="77777777" w:rsidTr="005E7BE5">
        <w:trPr>
          <w:cantSplit/>
        </w:trPr>
        <w:tc>
          <w:tcPr>
            <w:tcW w:w="3099" w:type="dxa"/>
            <w:shd w:val="clear" w:color="auto" w:fill="auto"/>
          </w:tcPr>
          <w:p w14:paraId="1B6808ED"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24</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8EE"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75.4 (68.6</w:t>
            </w:r>
            <w:r w:rsidRPr="00654EF1">
              <w:rPr>
                <w:rFonts w:eastAsia="MS Mincho"/>
                <w:szCs w:val="22"/>
                <w:lang w:val="en-US"/>
              </w:rPr>
              <w:noBreakHyphen/>
              <w:t>81.0)</w:t>
            </w:r>
          </w:p>
        </w:tc>
        <w:tc>
          <w:tcPr>
            <w:tcW w:w="3100" w:type="dxa"/>
            <w:shd w:val="clear" w:color="auto" w:fill="auto"/>
          </w:tcPr>
          <w:p w14:paraId="1B6808EF"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90.7 (85.6</w:t>
            </w:r>
            <w:r w:rsidRPr="00654EF1">
              <w:rPr>
                <w:rFonts w:eastAsia="MS Mincho"/>
                <w:szCs w:val="22"/>
                <w:lang w:val="en-US"/>
              </w:rPr>
              <w:noBreakHyphen/>
              <w:t>94.0)</w:t>
            </w:r>
          </w:p>
        </w:tc>
      </w:tr>
      <w:tr w:rsidR="00EB21C1" w:rsidRPr="00654EF1" w14:paraId="1B6808F4" w14:textId="77777777" w:rsidTr="005E7BE5">
        <w:trPr>
          <w:cantSplit/>
        </w:trPr>
        <w:tc>
          <w:tcPr>
            <w:tcW w:w="3099" w:type="dxa"/>
            <w:shd w:val="clear" w:color="auto" w:fill="auto"/>
          </w:tcPr>
          <w:p w14:paraId="1B6808F1"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36</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8F2"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60.1 (52.5</w:t>
            </w:r>
            <w:r w:rsidRPr="00654EF1">
              <w:rPr>
                <w:rFonts w:eastAsia="MS Mincho"/>
                <w:szCs w:val="22"/>
                <w:lang w:val="en-US"/>
              </w:rPr>
              <w:noBreakHyphen/>
              <w:t>66.9)</w:t>
            </w:r>
          </w:p>
        </w:tc>
        <w:tc>
          <w:tcPr>
            <w:tcW w:w="3100" w:type="dxa"/>
            <w:shd w:val="clear" w:color="auto" w:fill="auto"/>
          </w:tcPr>
          <w:p w14:paraId="1B6808F3"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86.6 (80.8</w:t>
            </w:r>
            <w:r w:rsidRPr="00654EF1">
              <w:rPr>
                <w:rFonts w:eastAsia="MS Mincho"/>
                <w:szCs w:val="22"/>
                <w:lang w:val="en-US"/>
              </w:rPr>
              <w:noBreakHyphen/>
              <w:t>90.8)</w:t>
            </w:r>
          </w:p>
        </w:tc>
      </w:tr>
      <w:tr w:rsidR="00EB21C1" w:rsidRPr="00654EF1" w14:paraId="1B6808F8" w14:textId="77777777" w:rsidTr="005E7BE5">
        <w:trPr>
          <w:cantSplit/>
        </w:trPr>
        <w:tc>
          <w:tcPr>
            <w:tcW w:w="3099" w:type="dxa"/>
            <w:shd w:val="clear" w:color="auto" w:fill="auto"/>
          </w:tcPr>
          <w:p w14:paraId="1B6808F5"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48</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8F6"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52.3 (44.0</w:t>
            </w:r>
            <w:r w:rsidRPr="00654EF1">
              <w:rPr>
                <w:rFonts w:eastAsia="MS Mincho"/>
                <w:szCs w:val="22"/>
                <w:lang w:val="en-US"/>
              </w:rPr>
              <w:noBreakHyphen/>
              <w:t>59.8)</w:t>
            </w:r>
          </w:p>
        </w:tc>
        <w:tc>
          <w:tcPr>
            <w:tcW w:w="3100" w:type="dxa"/>
            <w:shd w:val="clear" w:color="auto" w:fill="auto"/>
          </w:tcPr>
          <w:p w14:paraId="1B6808F7"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78.3 (70.8</w:t>
            </w:r>
            <w:r w:rsidRPr="00654EF1">
              <w:rPr>
                <w:rFonts w:eastAsia="MS Mincho"/>
                <w:szCs w:val="22"/>
                <w:lang w:val="en-US"/>
              </w:rPr>
              <w:noBreakHyphen/>
              <w:t>84.1)</w:t>
            </w:r>
          </w:p>
        </w:tc>
      </w:tr>
      <w:tr w:rsidR="00EB21C1" w:rsidRPr="00654EF1" w14:paraId="1B6808FC" w14:textId="77777777" w:rsidTr="005E7BE5">
        <w:trPr>
          <w:cantSplit/>
        </w:trPr>
        <w:tc>
          <w:tcPr>
            <w:tcW w:w="3099" w:type="dxa"/>
            <w:shd w:val="clear" w:color="auto" w:fill="auto"/>
          </w:tcPr>
          <w:p w14:paraId="1B6808F9"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60</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8FA"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47.9 (39.0</w:t>
            </w:r>
            <w:r w:rsidRPr="00654EF1">
              <w:rPr>
                <w:rFonts w:eastAsia="MS Mincho"/>
                <w:szCs w:val="22"/>
                <w:lang w:val="en-US"/>
              </w:rPr>
              <w:noBreakHyphen/>
              <w:t>56.3)</w:t>
            </w:r>
          </w:p>
        </w:tc>
        <w:tc>
          <w:tcPr>
            <w:tcW w:w="3100" w:type="dxa"/>
            <w:shd w:val="clear" w:color="auto" w:fill="auto"/>
          </w:tcPr>
          <w:p w14:paraId="1B6808FB"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65.6 (56.1</w:t>
            </w:r>
            <w:r w:rsidRPr="00654EF1">
              <w:rPr>
                <w:rFonts w:eastAsia="MS Mincho"/>
                <w:szCs w:val="22"/>
                <w:lang w:val="en-US"/>
              </w:rPr>
              <w:noBreakHyphen/>
              <w:t>73.4)</w:t>
            </w:r>
          </w:p>
        </w:tc>
      </w:tr>
      <w:tr w:rsidR="00EB21C1" w:rsidRPr="00654EF1" w14:paraId="1B680900" w14:textId="77777777" w:rsidTr="005E7BE5">
        <w:trPr>
          <w:cantSplit/>
        </w:trPr>
        <w:tc>
          <w:tcPr>
            <w:tcW w:w="3099" w:type="dxa"/>
            <w:shd w:val="clear" w:color="auto" w:fill="auto"/>
          </w:tcPr>
          <w:p w14:paraId="1B6808FD" w14:textId="77777777" w:rsidR="00EB21C1" w:rsidRPr="00654EF1" w:rsidRDefault="00EB21C1" w:rsidP="001D5C8C">
            <w:pPr>
              <w:keepNext/>
              <w:keepLines/>
              <w:widowControl w:val="0"/>
              <w:tabs>
                <w:tab w:val="clear" w:pos="567"/>
                <w:tab w:val="left" w:pos="284"/>
              </w:tabs>
              <w:spacing w:line="240" w:lineRule="auto"/>
              <w:rPr>
                <w:rFonts w:eastAsia="MS Mincho"/>
                <w:b/>
                <w:szCs w:val="22"/>
                <w:lang w:val="en-US"/>
              </w:rPr>
            </w:pPr>
            <w:r w:rsidRPr="00654EF1">
              <w:rPr>
                <w:rFonts w:eastAsia="MS Mincho"/>
                <w:b/>
                <w:szCs w:val="22"/>
                <w:lang w:val="en-US"/>
              </w:rPr>
              <w:t>Survival</w:t>
            </w:r>
          </w:p>
        </w:tc>
        <w:tc>
          <w:tcPr>
            <w:tcW w:w="3100" w:type="dxa"/>
            <w:shd w:val="clear" w:color="auto" w:fill="auto"/>
          </w:tcPr>
          <w:p w14:paraId="1B6808FE"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1B6808FF"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p>
        </w:tc>
      </w:tr>
      <w:tr w:rsidR="00EB21C1" w:rsidRPr="00654EF1" w14:paraId="1B680904" w14:textId="77777777" w:rsidTr="005E7BE5">
        <w:trPr>
          <w:cantSplit/>
        </w:trPr>
        <w:tc>
          <w:tcPr>
            <w:tcW w:w="3099" w:type="dxa"/>
            <w:shd w:val="clear" w:color="auto" w:fill="auto"/>
          </w:tcPr>
          <w:p w14:paraId="1B680901"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36</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902"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94.0 (89.5</w:t>
            </w:r>
            <w:r w:rsidRPr="00654EF1">
              <w:rPr>
                <w:rFonts w:eastAsia="MS Mincho"/>
                <w:szCs w:val="22"/>
                <w:lang w:val="en-US"/>
              </w:rPr>
              <w:noBreakHyphen/>
              <w:t>96.7)</w:t>
            </w:r>
          </w:p>
        </w:tc>
        <w:tc>
          <w:tcPr>
            <w:tcW w:w="3100" w:type="dxa"/>
            <w:shd w:val="clear" w:color="auto" w:fill="auto"/>
          </w:tcPr>
          <w:p w14:paraId="1B680903"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96.3 (92.4</w:t>
            </w:r>
            <w:r w:rsidRPr="00654EF1">
              <w:rPr>
                <w:rFonts w:eastAsia="MS Mincho"/>
                <w:szCs w:val="22"/>
                <w:lang w:val="en-US"/>
              </w:rPr>
              <w:noBreakHyphen/>
              <w:t>98.2)</w:t>
            </w:r>
          </w:p>
        </w:tc>
      </w:tr>
      <w:tr w:rsidR="00EB21C1" w:rsidRPr="00654EF1" w14:paraId="1B680908" w14:textId="77777777" w:rsidTr="005E7BE5">
        <w:trPr>
          <w:cantSplit/>
        </w:trPr>
        <w:tc>
          <w:tcPr>
            <w:tcW w:w="3099" w:type="dxa"/>
            <w:shd w:val="clear" w:color="auto" w:fill="auto"/>
          </w:tcPr>
          <w:p w14:paraId="1B680905" w14:textId="77777777" w:rsidR="00EB21C1" w:rsidRPr="00654EF1" w:rsidRDefault="00EB21C1" w:rsidP="001D5C8C">
            <w:pPr>
              <w:keepNext/>
              <w:keepLines/>
              <w:widowControl w:val="0"/>
              <w:tabs>
                <w:tab w:val="clear" w:pos="567"/>
              </w:tabs>
              <w:spacing w:line="240" w:lineRule="auto"/>
              <w:ind w:left="284"/>
              <w:rPr>
                <w:rFonts w:eastAsia="MS Mincho"/>
                <w:szCs w:val="22"/>
                <w:lang w:val="en-US"/>
              </w:rPr>
            </w:pPr>
            <w:r w:rsidRPr="00654EF1">
              <w:rPr>
                <w:rFonts w:eastAsia="MS Mincho"/>
                <w:szCs w:val="22"/>
                <w:lang w:val="en-US"/>
              </w:rPr>
              <w:t>48</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906"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87.9 (81.1</w:t>
            </w:r>
            <w:r w:rsidRPr="00654EF1">
              <w:rPr>
                <w:rFonts w:eastAsia="MS Mincho"/>
                <w:szCs w:val="22"/>
                <w:lang w:val="en-US"/>
              </w:rPr>
              <w:noBreakHyphen/>
              <w:t>92.3)</w:t>
            </w:r>
          </w:p>
        </w:tc>
        <w:tc>
          <w:tcPr>
            <w:tcW w:w="3100" w:type="dxa"/>
            <w:shd w:val="clear" w:color="auto" w:fill="auto"/>
          </w:tcPr>
          <w:p w14:paraId="1B680907" w14:textId="77777777" w:rsidR="00EB21C1" w:rsidRPr="00654EF1" w:rsidRDefault="00EB21C1" w:rsidP="001D5C8C">
            <w:pPr>
              <w:keepNext/>
              <w:keepLines/>
              <w:widowControl w:val="0"/>
              <w:tabs>
                <w:tab w:val="clear" w:pos="567"/>
                <w:tab w:val="left" w:pos="284"/>
              </w:tabs>
              <w:spacing w:line="240" w:lineRule="auto"/>
              <w:rPr>
                <w:rFonts w:eastAsia="MS Mincho"/>
                <w:szCs w:val="22"/>
                <w:lang w:val="en-US"/>
              </w:rPr>
            </w:pPr>
            <w:r w:rsidRPr="00654EF1">
              <w:rPr>
                <w:rFonts w:eastAsia="MS Mincho"/>
                <w:szCs w:val="22"/>
                <w:lang w:val="en-US"/>
              </w:rPr>
              <w:t>95.6 (91.2</w:t>
            </w:r>
            <w:r w:rsidRPr="00654EF1">
              <w:rPr>
                <w:rFonts w:eastAsia="MS Mincho"/>
                <w:szCs w:val="22"/>
                <w:lang w:val="en-US"/>
              </w:rPr>
              <w:noBreakHyphen/>
              <w:t>97.8)</w:t>
            </w:r>
          </w:p>
        </w:tc>
      </w:tr>
      <w:tr w:rsidR="00EB21C1" w:rsidRPr="00654EF1" w14:paraId="1B68090C" w14:textId="77777777" w:rsidTr="005E7BE5">
        <w:trPr>
          <w:cantSplit/>
        </w:trPr>
        <w:tc>
          <w:tcPr>
            <w:tcW w:w="3099" w:type="dxa"/>
            <w:shd w:val="clear" w:color="auto" w:fill="auto"/>
          </w:tcPr>
          <w:p w14:paraId="1B680909" w14:textId="77777777" w:rsidR="00EB21C1" w:rsidRPr="00654EF1" w:rsidRDefault="00EB21C1" w:rsidP="005E7BE5">
            <w:pPr>
              <w:widowControl w:val="0"/>
              <w:tabs>
                <w:tab w:val="clear" w:pos="567"/>
              </w:tabs>
              <w:spacing w:line="240" w:lineRule="auto"/>
              <w:ind w:left="284"/>
              <w:rPr>
                <w:rFonts w:eastAsia="MS Mincho"/>
                <w:szCs w:val="22"/>
                <w:lang w:val="en-US"/>
              </w:rPr>
            </w:pPr>
            <w:r w:rsidRPr="00654EF1">
              <w:rPr>
                <w:rFonts w:eastAsia="MS Mincho"/>
                <w:szCs w:val="22"/>
                <w:lang w:val="en-US"/>
              </w:rPr>
              <w:t>60</w:t>
            </w:r>
            <w:r w:rsidRPr="00654EF1">
              <w:rPr>
                <w:rFonts w:eastAsia="MS Mincho"/>
                <w:szCs w:val="22"/>
                <w:lang w:val="en-US" w:eastAsia="ja-JP"/>
              </w:rPr>
              <w:t> </w:t>
            </w:r>
            <w:r w:rsidRPr="00654EF1">
              <w:rPr>
                <w:rFonts w:eastAsia="MS Mincho"/>
                <w:szCs w:val="22"/>
                <w:lang w:val="en-US"/>
              </w:rPr>
              <w:t>months</w:t>
            </w:r>
          </w:p>
        </w:tc>
        <w:tc>
          <w:tcPr>
            <w:tcW w:w="3100" w:type="dxa"/>
            <w:shd w:val="clear" w:color="auto" w:fill="auto"/>
          </w:tcPr>
          <w:p w14:paraId="1B68090A" w14:textId="77777777" w:rsidR="00EB21C1" w:rsidRPr="00654EF1" w:rsidRDefault="00EB21C1" w:rsidP="005E7BE5">
            <w:pPr>
              <w:widowControl w:val="0"/>
              <w:tabs>
                <w:tab w:val="clear" w:pos="567"/>
                <w:tab w:val="left" w:pos="284"/>
              </w:tabs>
              <w:spacing w:line="240" w:lineRule="auto"/>
              <w:rPr>
                <w:rFonts w:eastAsia="MS Mincho"/>
                <w:szCs w:val="22"/>
                <w:lang w:val="en-US"/>
              </w:rPr>
            </w:pPr>
            <w:r w:rsidRPr="00654EF1">
              <w:rPr>
                <w:rFonts w:eastAsia="MS Mincho"/>
                <w:szCs w:val="22"/>
                <w:lang w:val="en-US"/>
              </w:rPr>
              <w:t>81.7 (73.0</w:t>
            </w:r>
            <w:r w:rsidRPr="00654EF1">
              <w:rPr>
                <w:rFonts w:eastAsia="MS Mincho"/>
                <w:szCs w:val="22"/>
                <w:lang w:val="en-US"/>
              </w:rPr>
              <w:noBreakHyphen/>
              <w:t>87.8)</w:t>
            </w:r>
          </w:p>
        </w:tc>
        <w:tc>
          <w:tcPr>
            <w:tcW w:w="3100" w:type="dxa"/>
            <w:shd w:val="clear" w:color="auto" w:fill="auto"/>
          </w:tcPr>
          <w:p w14:paraId="1B68090B" w14:textId="77777777" w:rsidR="00EB21C1" w:rsidRPr="00654EF1" w:rsidRDefault="00EB21C1" w:rsidP="005E7BE5">
            <w:pPr>
              <w:widowControl w:val="0"/>
              <w:tabs>
                <w:tab w:val="clear" w:pos="567"/>
                <w:tab w:val="left" w:pos="284"/>
              </w:tabs>
              <w:spacing w:line="240" w:lineRule="auto"/>
              <w:rPr>
                <w:rFonts w:eastAsia="MS Mincho"/>
                <w:szCs w:val="22"/>
                <w:lang w:val="en-US"/>
              </w:rPr>
            </w:pPr>
            <w:r w:rsidRPr="00654EF1">
              <w:rPr>
                <w:rFonts w:eastAsia="MS Mincho"/>
                <w:szCs w:val="22"/>
                <w:lang w:val="en-US"/>
              </w:rPr>
              <w:t>92.0 (85.3</w:t>
            </w:r>
            <w:r w:rsidRPr="00654EF1">
              <w:rPr>
                <w:rFonts w:eastAsia="MS Mincho"/>
                <w:szCs w:val="22"/>
                <w:lang w:val="en-US"/>
              </w:rPr>
              <w:noBreakHyphen/>
              <w:t>95.7)</w:t>
            </w:r>
          </w:p>
        </w:tc>
      </w:tr>
    </w:tbl>
    <w:p w14:paraId="1B68090D" w14:textId="77777777" w:rsidR="000A6648" w:rsidRPr="00654EF1" w:rsidRDefault="000A6648" w:rsidP="001D5C8C">
      <w:pPr>
        <w:widowControl w:val="0"/>
        <w:tabs>
          <w:tab w:val="clear" w:pos="567"/>
        </w:tabs>
        <w:spacing w:line="240" w:lineRule="auto"/>
        <w:rPr>
          <w:rFonts w:eastAsia="MS Mincho"/>
          <w:szCs w:val="22"/>
          <w:lang w:val="en-US"/>
        </w:rPr>
      </w:pPr>
    </w:p>
    <w:p w14:paraId="1B68090E" w14:textId="77777777" w:rsidR="000A6648" w:rsidRPr="00654EF1" w:rsidRDefault="000A6648" w:rsidP="001D5C8C">
      <w:pPr>
        <w:keepNext/>
        <w:widowControl w:val="0"/>
        <w:tabs>
          <w:tab w:val="clear" w:pos="567"/>
          <w:tab w:val="left" w:pos="1134"/>
        </w:tabs>
        <w:spacing w:line="240" w:lineRule="auto"/>
        <w:ind w:left="1134" w:hanging="1134"/>
        <w:outlineLvl w:val="6"/>
        <w:rPr>
          <w:rFonts w:eastAsia="MS Mincho"/>
          <w:b/>
          <w:szCs w:val="22"/>
          <w:lang w:val="en-US"/>
        </w:rPr>
      </w:pPr>
      <w:r w:rsidRPr="00654EF1">
        <w:rPr>
          <w:rFonts w:eastAsia="MS Mincho"/>
          <w:b/>
          <w:szCs w:val="22"/>
          <w:lang w:val="en-US"/>
        </w:rPr>
        <w:t>Figure 1</w:t>
      </w:r>
      <w:r w:rsidRPr="00654EF1">
        <w:rPr>
          <w:rFonts w:eastAsia="MS Mincho"/>
          <w:b/>
          <w:szCs w:val="22"/>
          <w:lang w:val="en-US"/>
        </w:rPr>
        <w:tab/>
        <w:t>Kaplan-Meier estimates for primary recurrence-free survival endpoint (ITT population)</w:t>
      </w:r>
    </w:p>
    <w:p w14:paraId="1B68090F" w14:textId="77777777" w:rsidR="000A6648" w:rsidRPr="00654EF1" w:rsidRDefault="000A6648" w:rsidP="001D5C8C">
      <w:pPr>
        <w:keepNext/>
        <w:widowControl w:val="0"/>
        <w:tabs>
          <w:tab w:val="clear" w:pos="567"/>
          <w:tab w:val="left" w:pos="1134"/>
        </w:tabs>
        <w:spacing w:line="240" w:lineRule="auto"/>
        <w:ind w:left="1134" w:hanging="1134"/>
        <w:outlineLvl w:val="6"/>
        <w:rPr>
          <w:rFonts w:eastAsia="MS Mincho"/>
          <w:szCs w:val="22"/>
          <w:lang w:val="en-US"/>
        </w:rPr>
      </w:pPr>
    </w:p>
    <w:p w14:paraId="1B680910" w14:textId="77777777" w:rsidR="000A6648" w:rsidRPr="00654EF1" w:rsidRDefault="002B04AE" w:rsidP="001D5C8C">
      <w:pPr>
        <w:widowControl w:val="0"/>
        <w:tabs>
          <w:tab w:val="clear" w:pos="567"/>
          <w:tab w:val="left" w:pos="1134"/>
        </w:tabs>
        <w:spacing w:line="240" w:lineRule="auto"/>
        <w:ind w:left="1134" w:hanging="1134"/>
        <w:outlineLvl w:val="6"/>
        <w:rPr>
          <w:rFonts w:eastAsia="MS Mincho"/>
          <w:szCs w:val="22"/>
          <w:lang w:val="en-US"/>
        </w:rPr>
      </w:pPr>
      <w:r w:rsidRPr="00654EF1">
        <w:rPr>
          <w:noProof/>
          <w:lang w:eastAsia="en-GB"/>
        </w:rPr>
        <mc:AlternateContent>
          <mc:Choice Requires="wps">
            <w:drawing>
              <wp:anchor distT="0" distB="0" distL="114300" distR="114300" simplePos="0" relativeHeight="251658240" behindDoc="0" locked="0" layoutInCell="1" allowOverlap="1" wp14:anchorId="1B681301" wp14:editId="1B681302">
                <wp:simplePos x="0" y="0"/>
                <wp:positionH relativeFrom="column">
                  <wp:posOffset>-198120</wp:posOffset>
                </wp:positionH>
                <wp:positionV relativeFrom="paragraph">
                  <wp:posOffset>142240</wp:posOffset>
                </wp:positionV>
                <wp:extent cx="335915" cy="22948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94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63" w14:textId="77777777" w:rsidR="00B97E8A" w:rsidRPr="00A33DBA" w:rsidRDefault="00B97E8A" w:rsidP="000A6648">
                            <w:pPr>
                              <w:rPr>
                                <w:rFonts w:ascii="Arial" w:hAnsi="Arial" w:cs="Arial"/>
                                <w:sz w:val="20"/>
                              </w:rPr>
                            </w:pPr>
                            <w:r w:rsidRPr="00A33DBA">
                              <w:rPr>
                                <w:rFonts w:ascii="Arial" w:hAnsi="Arial" w:cs="Arial"/>
                                <w:sz w:val="20"/>
                              </w:rPr>
                              <w:t>Probability of recurrence-free survival</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1" id="_x0000_s1032" type="#_x0000_t202" style="position:absolute;left:0;text-align:left;margin-left:-15.6pt;margin-top:11.2pt;width:26.45pt;height:18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" stroked="f">
                <v:fill opacity="0"/>
                <v:textbox style="layout-flow:vertical;mso-layout-flow-alt:bottom-to-top">
                  <w:txbxContent>
                    <w:p w14:paraId="1B681363" w14:textId="77777777" w:rsidR="00B97E8A" w:rsidRPr="00A33DBA" w:rsidRDefault="00B97E8A" w:rsidP="000A6648">
                      <w:pPr>
                        <w:rPr>
                          <w:rFonts w:ascii="Arial" w:hAnsi="Arial" w:cs="Arial"/>
                          <w:sz w:val="20"/>
                        </w:rPr>
                      </w:pPr>
                      <w:r w:rsidRPr="00A33DBA">
                        <w:rPr>
                          <w:rFonts w:ascii="Arial" w:hAnsi="Arial" w:cs="Arial"/>
                          <w:sz w:val="20"/>
                        </w:rPr>
                        <w:t>Probability of recurrence-free survival</w:t>
                      </w:r>
                    </w:p>
                  </w:txbxContent>
                </v:textbox>
              </v:shape>
            </w:pict>
          </mc:Fallback>
        </mc:AlternateContent>
      </w:r>
      <w:r w:rsidRPr="00654EF1">
        <w:rPr>
          <w:noProof/>
          <w:lang w:eastAsia="en-GB"/>
        </w:rPr>
        <mc:AlternateContent>
          <mc:Choice Requires="wps">
            <w:drawing>
              <wp:anchor distT="0" distB="0" distL="114300" distR="114300" simplePos="0" relativeHeight="251659264" behindDoc="0" locked="0" layoutInCell="1" allowOverlap="1" wp14:anchorId="1B681303" wp14:editId="1B681304">
                <wp:simplePos x="0" y="0"/>
                <wp:positionH relativeFrom="column">
                  <wp:posOffset>350520</wp:posOffset>
                </wp:positionH>
                <wp:positionV relativeFrom="paragraph">
                  <wp:posOffset>970915</wp:posOffset>
                </wp:positionV>
                <wp:extent cx="4585335" cy="146621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1364" w14:textId="77777777" w:rsidR="00B97E8A" w:rsidRDefault="00B97E8A" w:rsidP="000A66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68" w14:textId="77777777" w:rsidTr="000A6648">
                              <w:trPr>
                                <w:gridAfter w:val="3"/>
                                <w:wAfter w:w="2410" w:type="dxa"/>
                              </w:trPr>
                              <w:tc>
                                <w:tcPr>
                                  <w:tcW w:w="3281" w:type="dxa"/>
                                  <w:gridSpan w:val="2"/>
                                  <w:shd w:val="clear" w:color="auto" w:fill="auto"/>
                                </w:tcPr>
                                <w:p w14:paraId="1B681365" w14:textId="77777777" w:rsidR="00B97E8A" w:rsidRPr="0055776F" w:rsidRDefault="00B97E8A" w:rsidP="0077258C">
                                  <w:pPr>
                                    <w:rPr>
                                      <w:rFonts w:ascii="Arial" w:hAnsi="Arial" w:cs="Arial"/>
                                      <w:sz w:val="20"/>
                                    </w:rPr>
                                  </w:pPr>
                                  <w:r>
                                    <w:rPr>
                                      <w:rFonts w:ascii="Arial" w:hAnsi="Arial" w:cs="Arial"/>
                                      <w:sz w:val="20"/>
                                    </w:rPr>
                                    <w:t>P &lt; 0</w:t>
                                  </w:r>
                                  <w:r w:rsidRPr="0055776F">
                                    <w:rPr>
                                      <w:rFonts w:ascii="Arial" w:hAnsi="Arial" w:cs="Arial"/>
                                      <w:sz w:val="20"/>
                                    </w:rPr>
                                    <w:t>.</w:t>
                                  </w:r>
                                  <w:r>
                                    <w:rPr>
                                      <w:rFonts w:ascii="Arial" w:hAnsi="Arial" w:cs="Arial"/>
                                      <w:sz w:val="20"/>
                                    </w:rPr>
                                    <w:t>0001</w:t>
                                  </w:r>
                                </w:p>
                                <w:p w14:paraId="1B681366" w14:textId="77777777" w:rsidR="00B97E8A" w:rsidRPr="0055776F" w:rsidRDefault="00B97E8A" w:rsidP="0077258C">
                                  <w:pPr>
                                    <w:rPr>
                                      <w:rFonts w:ascii="Arial" w:hAnsi="Arial" w:cs="Arial"/>
                                      <w:sz w:val="20"/>
                                    </w:rPr>
                                  </w:pPr>
                                  <w:r w:rsidRPr="0055776F">
                                    <w:rPr>
                                      <w:rFonts w:ascii="Arial" w:hAnsi="Arial" w:cs="Arial"/>
                                      <w:sz w:val="20"/>
                                    </w:rPr>
                                    <w:t>Hazard ratio 0.4</w:t>
                                  </w:r>
                                  <w:r>
                                    <w:rPr>
                                      <w:rFonts w:ascii="Arial" w:hAnsi="Arial" w:cs="Arial"/>
                                      <w:sz w:val="20"/>
                                    </w:rPr>
                                    <w:t>6</w:t>
                                  </w:r>
                                </w:p>
                                <w:p w14:paraId="1B681367" w14:textId="77777777" w:rsidR="00B97E8A" w:rsidRPr="0055776F" w:rsidRDefault="00B97E8A" w:rsidP="0077258C">
                                  <w:pPr>
                                    <w:rPr>
                                      <w:rFonts w:ascii="Arial" w:hAnsi="Arial" w:cs="Arial"/>
                                      <w:sz w:val="20"/>
                                      <w:lang w:val="de-DE"/>
                                    </w:rPr>
                                  </w:pPr>
                                  <w:r w:rsidRPr="0055776F">
                                    <w:rPr>
                                      <w:rFonts w:ascii="Arial" w:hAnsi="Arial" w:cs="Arial"/>
                                      <w:sz w:val="20"/>
                                    </w:rPr>
                                    <w:t>(95% Cl,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B97E8A" w:rsidRPr="0055776F" w14:paraId="1B68136E" w14:textId="77777777" w:rsidTr="0077258C">
                              <w:tc>
                                <w:tcPr>
                                  <w:tcW w:w="817" w:type="dxa"/>
                                  <w:shd w:val="clear" w:color="auto" w:fill="auto"/>
                                </w:tcPr>
                                <w:p w14:paraId="1B681369" w14:textId="77777777" w:rsidR="00B97E8A" w:rsidRPr="0055776F" w:rsidRDefault="00B97E8A" w:rsidP="0077258C">
                                  <w:pPr>
                                    <w:rPr>
                                      <w:rFonts w:ascii="Arial" w:hAnsi="Arial" w:cs="Arial"/>
                                      <w:sz w:val="20"/>
                                    </w:rPr>
                                  </w:pPr>
                                </w:p>
                              </w:tc>
                              <w:tc>
                                <w:tcPr>
                                  <w:tcW w:w="2464" w:type="dxa"/>
                                  <w:shd w:val="clear" w:color="auto" w:fill="auto"/>
                                </w:tcPr>
                                <w:p w14:paraId="1B68136A"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6B"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6C"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6D"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74" w14:textId="77777777" w:rsidTr="0077258C">
                              <w:tc>
                                <w:tcPr>
                                  <w:tcW w:w="817" w:type="dxa"/>
                                  <w:shd w:val="clear" w:color="auto" w:fill="auto"/>
                                </w:tcPr>
                                <w:p w14:paraId="1B68136F"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70" w14:textId="77777777" w:rsidR="00B97E8A" w:rsidRPr="0055776F" w:rsidRDefault="00B97E8A" w:rsidP="0077258C">
                                  <w:pPr>
                                    <w:rPr>
                                      <w:rFonts w:ascii="Arial" w:hAnsi="Arial" w:cs="Arial"/>
                                      <w:sz w:val="20"/>
                                    </w:rPr>
                                  </w:pPr>
                                  <w:r w:rsidRPr="0055776F">
                                    <w:rPr>
                                      <w:rFonts w:ascii="Arial" w:hAnsi="Arial" w:cs="Arial"/>
                                      <w:sz w:val="20"/>
                                    </w:rPr>
                                    <w:t xml:space="preserve">(1) </w:t>
                                  </w:r>
                                  <w:r>
                                    <w:rPr>
                                      <w:rFonts w:ascii="Arial" w:hAnsi="Arial" w:cs="Arial"/>
                                      <w:sz w:val="20"/>
                                    </w:rPr>
                                    <w:t>Imatinib 12 </w:t>
                                  </w:r>
                                  <w:r w:rsidRPr="0055776F">
                                    <w:rPr>
                                      <w:rFonts w:ascii="Arial" w:hAnsi="Arial" w:cs="Arial"/>
                                      <w:sz w:val="20"/>
                                    </w:rPr>
                                    <w:t>MO:</w:t>
                                  </w:r>
                                </w:p>
                              </w:tc>
                              <w:tc>
                                <w:tcPr>
                                  <w:tcW w:w="851" w:type="dxa"/>
                                  <w:tcBorders>
                                    <w:top w:val="single" w:sz="4" w:space="0" w:color="auto"/>
                                  </w:tcBorders>
                                  <w:shd w:val="clear" w:color="auto" w:fill="auto"/>
                                </w:tcPr>
                                <w:p w14:paraId="1B681371"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72" w14:textId="77777777" w:rsidR="00B97E8A" w:rsidRPr="0055776F" w:rsidRDefault="00B97E8A"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B681373" w14:textId="77777777" w:rsidR="00B97E8A" w:rsidRPr="0055776F" w:rsidRDefault="00B97E8A" w:rsidP="0077258C">
                                  <w:pPr>
                                    <w:rPr>
                                      <w:rFonts w:ascii="Arial" w:hAnsi="Arial" w:cs="Arial"/>
                                      <w:sz w:val="20"/>
                                    </w:rPr>
                                  </w:pPr>
                                  <w:r w:rsidRPr="0055776F">
                                    <w:rPr>
                                      <w:rFonts w:ascii="Arial" w:hAnsi="Arial" w:cs="Arial"/>
                                      <w:sz w:val="20"/>
                                    </w:rPr>
                                    <w:t>115</w:t>
                                  </w:r>
                                </w:p>
                              </w:tc>
                            </w:tr>
                            <w:tr w:rsidR="00B97E8A" w:rsidRPr="0055776F" w14:paraId="1B68137A" w14:textId="77777777" w:rsidTr="0077258C">
                              <w:tc>
                                <w:tcPr>
                                  <w:tcW w:w="817" w:type="dxa"/>
                                  <w:shd w:val="clear" w:color="auto" w:fill="auto"/>
                                </w:tcPr>
                                <w:p w14:paraId="1B681375"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76" w14:textId="77777777" w:rsidR="00B97E8A" w:rsidRPr="0055776F" w:rsidRDefault="00B97E8A" w:rsidP="0077258C">
                                  <w:pPr>
                                    <w:rPr>
                                      <w:rFonts w:ascii="Arial" w:hAnsi="Arial" w:cs="Arial"/>
                                      <w:sz w:val="20"/>
                                    </w:rPr>
                                  </w:pPr>
                                  <w:r w:rsidRPr="0055776F">
                                    <w:rPr>
                                      <w:rFonts w:ascii="Arial" w:hAnsi="Arial" w:cs="Arial"/>
                                      <w:sz w:val="20"/>
                                    </w:rPr>
                                    <w:t xml:space="preserve">(2) </w:t>
                                  </w:r>
                                  <w:r>
                                    <w:rPr>
                                      <w:rFonts w:ascii="Arial" w:hAnsi="Arial" w:cs="Arial"/>
                                      <w:sz w:val="20"/>
                                    </w:rPr>
                                    <w:t>Imatinib 36 </w:t>
                                  </w:r>
                                  <w:r w:rsidRPr="0055776F">
                                    <w:rPr>
                                      <w:rFonts w:ascii="Arial" w:hAnsi="Arial" w:cs="Arial"/>
                                      <w:sz w:val="20"/>
                                    </w:rPr>
                                    <w:t>MO:</w:t>
                                  </w:r>
                                </w:p>
                              </w:tc>
                              <w:tc>
                                <w:tcPr>
                                  <w:tcW w:w="851" w:type="dxa"/>
                                  <w:tcBorders>
                                    <w:bottom w:val="single" w:sz="4" w:space="0" w:color="auto"/>
                                  </w:tcBorders>
                                  <w:shd w:val="clear" w:color="auto" w:fill="auto"/>
                                </w:tcPr>
                                <w:p w14:paraId="1B681377"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78" w14:textId="77777777" w:rsidR="00B97E8A" w:rsidRPr="0055776F" w:rsidRDefault="00B97E8A"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B681379" w14:textId="77777777" w:rsidR="00B97E8A" w:rsidRPr="0055776F" w:rsidRDefault="00B97E8A" w:rsidP="0077258C">
                                  <w:pPr>
                                    <w:rPr>
                                      <w:rFonts w:ascii="Arial" w:hAnsi="Arial" w:cs="Arial"/>
                                      <w:sz w:val="20"/>
                                    </w:rPr>
                                  </w:pPr>
                                  <w:r w:rsidRPr="0055776F">
                                    <w:rPr>
                                      <w:rFonts w:ascii="Arial" w:hAnsi="Arial" w:cs="Arial"/>
                                      <w:sz w:val="20"/>
                                    </w:rPr>
                                    <w:t>148</w:t>
                                  </w:r>
                                </w:p>
                              </w:tc>
                            </w:tr>
                            <w:tr w:rsidR="00B97E8A" w:rsidRPr="0055776F" w14:paraId="1B681380" w14:textId="77777777" w:rsidTr="0077258C">
                              <w:tc>
                                <w:tcPr>
                                  <w:tcW w:w="817" w:type="dxa"/>
                                  <w:shd w:val="clear" w:color="auto" w:fill="auto"/>
                                </w:tcPr>
                                <w:p w14:paraId="1B68137B"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7C"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7D"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7E"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7F" w14:textId="77777777" w:rsidR="00B97E8A" w:rsidRPr="0055776F" w:rsidRDefault="00B97E8A" w:rsidP="0077258C">
                                  <w:pPr>
                                    <w:rPr>
                                      <w:rFonts w:ascii="Arial" w:hAnsi="Arial" w:cs="Arial"/>
                                      <w:sz w:val="20"/>
                                    </w:rPr>
                                  </w:pPr>
                                </w:p>
                              </w:tc>
                            </w:tr>
                          </w:tbl>
                          <w:p w14:paraId="1B681381" w14:textId="77777777" w:rsidR="00B97E8A" w:rsidRPr="00A33DBA" w:rsidRDefault="00B97E8A" w:rsidP="000A6648">
                            <w:pPr>
                              <w:rPr>
                                <w:rFonts w:ascii="Arial" w:hAnsi="Arial" w:cs="Arial"/>
                                <w:sz w:val="20"/>
                              </w:rPr>
                            </w:pPr>
                          </w:p>
                          <w:p w14:paraId="1B681382" w14:textId="77777777" w:rsidR="00B97E8A" w:rsidRPr="00A33DBA" w:rsidRDefault="00B97E8A" w:rsidP="000A66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3" id="_x0000_s1033" type="#_x0000_t202" style="position:absolute;left:0;text-align:left;margin-left:27.6pt;margin-top:76.45pt;width:361.05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bg9gEAAM8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" filled="f" stroked="f">
                <v:textbox>
                  <w:txbxContent>
                    <w:p w14:paraId="1B681364" w14:textId="77777777" w:rsidR="00B97E8A" w:rsidRDefault="00B97E8A" w:rsidP="000A66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68" w14:textId="77777777" w:rsidTr="000A6648">
                        <w:trPr>
                          <w:gridAfter w:val="3"/>
                          <w:wAfter w:w="2410" w:type="dxa"/>
                        </w:trPr>
                        <w:tc>
                          <w:tcPr>
                            <w:tcW w:w="3281" w:type="dxa"/>
                            <w:gridSpan w:val="2"/>
                            <w:shd w:val="clear" w:color="auto" w:fill="auto"/>
                          </w:tcPr>
                          <w:p w14:paraId="1B681365" w14:textId="77777777" w:rsidR="00B97E8A" w:rsidRPr="0055776F" w:rsidRDefault="00B97E8A" w:rsidP="0077258C">
                            <w:pPr>
                              <w:rPr>
                                <w:rFonts w:ascii="Arial" w:hAnsi="Arial" w:cs="Arial"/>
                                <w:sz w:val="20"/>
                              </w:rPr>
                            </w:pPr>
                            <w:r>
                              <w:rPr>
                                <w:rFonts w:ascii="Arial" w:hAnsi="Arial" w:cs="Arial"/>
                                <w:sz w:val="20"/>
                              </w:rPr>
                              <w:t>P &lt; 0</w:t>
                            </w:r>
                            <w:r w:rsidRPr="0055776F">
                              <w:rPr>
                                <w:rFonts w:ascii="Arial" w:hAnsi="Arial" w:cs="Arial"/>
                                <w:sz w:val="20"/>
                              </w:rPr>
                              <w:t>.</w:t>
                            </w:r>
                            <w:r>
                              <w:rPr>
                                <w:rFonts w:ascii="Arial" w:hAnsi="Arial" w:cs="Arial"/>
                                <w:sz w:val="20"/>
                              </w:rPr>
                              <w:t>0001</w:t>
                            </w:r>
                          </w:p>
                          <w:p w14:paraId="1B681366" w14:textId="77777777" w:rsidR="00B97E8A" w:rsidRPr="0055776F" w:rsidRDefault="00B97E8A" w:rsidP="0077258C">
                            <w:pPr>
                              <w:rPr>
                                <w:rFonts w:ascii="Arial" w:hAnsi="Arial" w:cs="Arial"/>
                                <w:sz w:val="20"/>
                              </w:rPr>
                            </w:pPr>
                            <w:r w:rsidRPr="0055776F">
                              <w:rPr>
                                <w:rFonts w:ascii="Arial" w:hAnsi="Arial" w:cs="Arial"/>
                                <w:sz w:val="20"/>
                              </w:rPr>
                              <w:t>Hazard ratio 0.4</w:t>
                            </w:r>
                            <w:r>
                              <w:rPr>
                                <w:rFonts w:ascii="Arial" w:hAnsi="Arial" w:cs="Arial"/>
                                <w:sz w:val="20"/>
                              </w:rPr>
                              <w:t>6</w:t>
                            </w:r>
                          </w:p>
                          <w:p w14:paraId="1B681367" w14:textId="77777777" w:rsidR="00B97E8A" w:rsidRPr="0055776F" w:rsidRDefault="00B97E8A" w:rsidP="0077258C">
                            <w:pPr>
                              <w:rPr>
                                <w:rFonts w:ascii="Arial" w:hAnsi="Arial" w:cs="Arial"/>
                                <w:sz w:val="20"/>
                                <w:lang w:val="de-DE"/>
                              </w:rPr>
                            </w:pPr>
                            <w:r w:rsidRPr="0055776F">
                              <w:rPr>
                                <w:rFonts w:ascii="Arial" w:hAnsi="Arial" w:cs="Arial"/>
                                <w:sz w:val="20"/>
                              </w:rPr>
                              <w:t>(95% Cl,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B97E8A" w:rsidRPr="0055776F" w14:paraId="1B68136E" w14:textId="77777777" w:rsidTr="0077258C">
                        <w:tc>
                          <w:tcPr>
                            <w:tcW w:w="817" w:type="dxa"/>
                            <w:shd w:val="clear" w:color="auto" w:fill="auto"/>
                          </w:tcPr>
                          <w:p w14:paraId="1B681369" w14:textId="77777777" w:rsidR="00B97E8A" w:rsidRPr="0055776F" w:rsidRDefault="00B97E8A" w:rsidP="0077258C">
                            <w:pPr>
                              <w:rPr>
                                <w:rFonts w:ascii="Arial" w:hAnsi="Arial" w:cs="Arial"/>
                                <w:sz w:val="20"/>
                              </w:rPr>
                            </w:pPr>
                          </w:p>
                        </w:tc>
                        <w:tc>
                          <w:tcPr>
                            <w:tcW w:w="2464" w:type="dxa"/>
                            <w:shd w:val="clear" w:color="auto" w:fill="auto"/>
                          </w:tcPr>
                          <w:p w14:paraId="1B68136A"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6B"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6C"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6D"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74" w14:textId="77777777" w:rsidTr="0077258C">
                        <w:tc>
                          <w:tcPr>
                            <w:tcW w:w="817" w:type="dxa"/>
                            <w:shd w:val="clear" w:color="auto" w:fill="auto"/>
                          </w:tcPr>
                          <w:p w14:paraId="1B68136F"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70" w14:textId="77777777" w:rsidR="00B97E8A" w:rsidRPr="0055776F" w:rsidRDefault="00B97E8A" w:rsidP="0077258C">
                            <w:pPr>
                              <w:rPr>
                                <w:rFonts w:ascii="Arial" w:hAnsi="Arial" w:cs="Arial"/>
                                <w:sz w:val="20"/>
                              </w:rPr>
                            </w:pPr>
                            <w:r w:rsidRPr="0055776F">
                              <w:rPr>
                                <w:rFonts w:ascii="Arial" w:hAnsi="Arial" w:cs="Arial"/>
                                <w:sz w:val="20"/>
                              </w:rPr>
                              <w:t xml:space="preserve">(1) </w:t>
                            </w:r>
                            <w:r>
                              <w:rPr>
                                <w:rFonts w:ascii="Arial" w:hAnsi="Arial" w:cs="Arial"/>
                                <w:sz w:val="20"/>
                              </w:rPr>
                              <w:t>Imatinib 12 </w:t>
                            </w:r>
                            <w:r w:rsidRPr="0055776F">
                              <w:rPr>
                                <w:rFonts w:ascii="Arial" w:hAnsi="Arial" w:cs="Arial"/>
                                <w:sz w:val="20"/>
                              </w:rPr>
                              <w:t>MO:</w:t>
                            </w:r>
                          </w:p>
                        </w:tc>
                        <w:tc>
                          <w:tcPr>
                            <w:tcW w:w="851" w:type="dxa"/>
                            <w:tcBorders>
                              <w:top w:val="single" w:sz="4" w:space="0" w:color="auto"/>
                            </w:tcBorders>
                            <w:shd w:val="clear" w:color="auto" w:fill="auto"/>
                          </w:tcPr>
                          <w:p w14:paraId="1B681371"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72" w14:textId="77777777" w:rsidR="00B97E8A" w:rsidRPr="0055776F" w:rsidRDefault="00B97E8A"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1B681373" w14:textId="77777777" w:rsidR="00B97E8A" w:rsidRPr="0055776F" w:rsidRDefault="00B97E8A" w:rsidP="0077258C">
                            <w:pPr>
                              <w:rPr>
                                <w:rFonts w:ascii="Arial" w:hAnsi="Arial" w:cs="Arial"/>
                                <w:sz w:val="20"/>
                              </w:rPr>
                            </w:pPr>
                            <w:r w:rsidRPr="0055776F">
                              <w:rPr>
                                <w:rFonts w:ascii="Arial" w:hAnsi="Arial" w:cs="Arial"/>
                                <w:sz w:val="20"/>
                              </w:rPr>
                              <w:t>115</w:t>
                            </w:r>
                          </w:p>
                        </w:tc>
                      </w:tr>
                      <w:tr w:rsidR="00B97E8A" w:rsidRPr="0055776F" w14:paraId="1B68137A" w14:textId="77777777" w:rsidTr="0077258C">
                        <w:tc>
                          <w:tcPr>
                            <w:tcW w:w="817" w:type="dxa"/>
                            <w:shd w:val="clear" w:color="auto" w:fill="auto"/>
                          </w:tcPr>
                          <w:p w14:paraId="1B681375"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76" w14:textId="77777777" w:rsidR="00B97E8A" w:rsidRPr="0055776F" w:rsidRDefault="00B97E8A" w:rsidP="0077258C">
                            <w:pPr>
                              <w:rPr>
                                <w:rFonts w:ascii="Arial" w:hAnsi="Arial" w:cs="Arial"/>
                                <w:sz w:val="20"/>
                              </w:rPr>
                            </w:pPr>
                            <w:r w:rsidRPr="0055776F">
                              <w:rPr>
                                <w:rFonts w:ascii="Arial" w:hAnsi="Arial" w:cs="Arial"/>
                                <w:sz w:val="20"/>
                              </w:rPr>
                              <w:t xml:space="preserve">(2) </w:t>
                            </w:r>
                            <w:r>
                              <w:rPr>
                                <w:rFonts w:ascii="Arial" w:hAnsi="Arial" w:cs="Arial"/>
                                <w:sz w:val="20"/>
                              </w:rPr>
                              <w:t>Imatinib 36 </w:t>
                            </w:r>
                            <w:r w:rsidRPr="0055776F">
                              <w:rPr>
                                <w:rFonts w:ascii="Arial" w:hAnsi="Arial" w:cs="Arial"/>
                                <w:sz w:val="20"/>
                              </w:rPr>
                              <w:t>MO:</w:t>
                            </w:r>
                          </w:p>
                        </w:tc>
                        <w:tc>
                          <w:tcPr>
                            <w:tcW w:w="851" w:type="dxa"/>
                            <w:tcBorders>
                              <w:bottom w:val="single" w:sz="4" w:space="0" w:color="auto"/>
                            </w:tcBorders>
                            <w:shd w:val="clear" w:color="auto" w:fill="auto"/>
                          </w:tcPr>
                          <w:p w14:paraId="1B681377"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78" w14:textId="77777777" w:rsidR="00B97E8A" w:rsidRPr="0055776F" w:rsidRDefault="00B97E8A"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B681379" w14:textId="77777777" w:rsidR="00B97E8A" w:rsidRPr="0055776F" w:rsidRDefault="00B97E8A" w:rsidP="0077258C">
                            <w:pPr>
                              <w:rPr>
                                <w:rFonts w:ascii="Arial" w:hAnsi="Arial" w:cs="Arial"/>
                                <w:sz w:val="20"/>
                              </w:rPr>
                            </w:pPr>
                            <w:r w:rsidRPr="0055776F">
                              <w:rPr>
                                <w:rFonts w:ascii="Arial" w:hAnsi="Arial" w:cs="Arial"/>
                                <w:sz w:val="20"/>
                              </w:rPr>
                              <w:t>148</w:t>
                            </w:r>
                          </w:p>
                        </w:tc>
                      </w:tr>
                      <w:tr w:rsidR="00B97E8A" w:rsidRPr="0055776F" w14:paraId="1B681380" w14:textId="77777777" w:rsidTr="0077258C">
                        <w:tc>
                          <w:tcPr>
                            <w:tcW w:w="817" w:type="dxa"/>
                            <w:shd w:val="clear" w:color="auto" w:fill="auto"/>
                          </w:tcPr>
                          <w:p w14:paraId="1B68137B"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7C"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7D"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7E"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7F" w14:textId="77777777" w:rsidR="00B97E8A" w:rsidRPr="0055776F" w:rsidRDefault="00B97E8A" w:rsidP="0077258C">
                            <w:pPr>
                              <w:rPr>
                                <w:rFonts w:ascii="Arial" w:hAnsi="Arial" w:cs="Arial"/>
                                <w:sz w:val="20"/>
                              </w:rPr>
                            </w:pPr>
                          </w:p>
                        </w:tc>
                      </w:tr>
                    </w:tbl>
                    <w:p w14:paraId="1B681381" w14:textId="77777777" w:rsidR="00B97E8A" w:rsidRPr="00A33DBA" w:rsidRDefault="00B97E8A" w:rsidP="000A6648">
                      <w:pPr>
                        <w:rPr>
                          <w:rFonts w:ascii="Arial" w:hAnsi="Arial" w:cs="Arial"/>
                          <w:sz w:val="20"/>
                        </w:rPr>
                      </w:pPr>
                    </w:p>
                    <w:p w14:paraId="1B681382" w14:textId="77777777" w:rsidR="00B97E8A" w:rsidRPr="00A33DBA" w:rsidRDefault="00B97E8A" w:rsidP="000A6648">
                      <w:pPr>
                        <w:rPr>
                          <w:rFonts w:ascii="Arial" w:hAnsi="Arial" w:cs="Arial"/>
                          <w:sz w:val="20"/>
                        </w:rPr>
                      </w:pPr>
                    </w:p>
                  </w:txbxContent>
                </v:textbox>
              </v:shape>
            </w:pict>
          </mc:Fallback>
        </mc:AlternateContent>
      </w:r>
      <w:r w:rsidRPr="00654EF1">
        <w:rPr>
          <w:noProof/>
          <w:lang w:eastAsia="en-GB"/>
        </w:rPr>
        <w:drawing>
          <wp:inline distT="0" distB="0" distL="0" distR="0" wp14:anchorId="1B681305" wp14:editId="1B681306">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1B680911" w14:textId="77777777" w:rsidR="000A6648" w:rsidRPr="00654EF1" w:rsidRDefault="002B04AE" w:rsidP="001D5C8C">
      <w:pPr>
        <w:widowControl w:val="0"/>
        <w:tabs>
          <w:tab w:val="clear" w:pos="567"/>
          <w:tab w:val="left" w:pos="1134"/>
        </w:tabs>
        <w:spacing w:line="240" w:lineRule="auto"/>
        <w:ind w:left="1134" w:hanging="1134"/>
        <w:outlineLvl w:val="6"/>
        <w:rPr>
          <w:rFonts w:eastAsia="MS Mincho"/>
          <w:szCs w:val="22"/>
          <w:lang w:val="en-US"/>
        </w:rPr>
      </w:pPr>
      <w:r w:rsidRPr="00654EF1">
        <w:rPr>
          <w:rFonts w:eastAsia="MS Mincho"/>
          <w:noProof/>
          <w:szCs w:val="22"/>
          <w:lang w:eastAsia="en-GB"/>
        </w:rPr>
        <mc:AlternateContent>
          <mc:Choice Requires="wps">
            <w:drawing>
              <wp:anchor distT="0" distB="0" distL="114300" distR="114300" simplePos="0" relativeHeight="251660288" behindDoc="0" locked="0" layoutInCell="1" allowOverlap="1" wp14:anchorId="1B681307" wp14:editId="1B681308">
                <wp:simplePos x="0" y="0"/>
                <wp:positionH relativeFrom="column">
                  <wp:posOffset>2329815</wp:posOffset>
                </wp:positionH>
                <wp:positionV relativeFrom="paragraph">
                  <wp:posOffset>10795</wp:posOffset>
                </wp:positionV>
                <wp:extent cx="1540510"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83" w14:textId="77777777" w:rsidR="00B97E8A" w:rsidRPr="00A33DBA" w:rsidRDefault="00B97E8A" w:rsidP="000A6648">
                            <w:pPr>
                              <w:rPr>
                                <w:rFonts w:ascii="Arial" w:hAnsi="Arial" w:cs="Arial"/>
                                <w:sz w:val="20"/>
                              </w:rPr>
                            </w:pPr>
                            <w:r w:rsidRPr="00A33DBA">
                              <w:rPr>
                                <w:rFonts w:ascii="Arial" w:hAnsi="Arial" w:cs="Arial"/>
                                <w:sz w:val="20"/>
                                <w:lang w:val="de-DE"/>
                              </w:rPr>
                              <w:t>Survival time in months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7" id="_x0000_s1034" type="#_x0000_t202" style="position:absolute;left:0;text-align:left;margin-left:183.45pt;margin-top:.85pt;width:121.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" stroked="f">
                <v:fill opacity="0"/>
                <v:textbox>
                  <w:txbxContent>
                    <w:p w14:paraId="1B681383" w14:textId="77777777" w:rsidR="00B97E8A" w:rsidRPr="00A33DBA" w:rsidRDefault="00B97E8A" w:rsidP="000A6648">
                      <w:pPr>
                        <w:rPr>
                          <w:rFonts w:ascii="Arial" w:hAnsi="Arial" w:cs="Arial"/>
                          <w:sz w:val="20"/>
                        </w:rPr>
                      </w:pPr>
                      <w:r w:rsidRPr="00A33DBA">
                        <w:rPr>
                          <w:rFonts w:ascii="Arial" w:hAnsi="Arial" w:cs="Arial"/>
                          <w:sz w:val="20"/>
                          <w:lang w:val="de-DE"/>
                        </w:rPr>
                        <w:t>Survival time in months</w:t>
                      </w:r>
                    </w:p>
                  </w:txbxContent>
                </v:textbox>
              </v:shape>
            </w:pict>
          </mc:Fallback>
        </mc:AlternateContent>
      </w:r>
    </w:p>
    <w:p w14:paraId="1B680912" w14:textId="77777777" w:rsidR="000A6648" w:rsidRPr="00654EF1" w:rsidRDefault="000A6648" w:rsidP="001D5C8C">
      <w:pPr>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0A6648" w:rsidRPr="00654EF1" w14:paraId="1B680914" w14:textId="77777777" w:rsidTr="0077258C">
        <w:tc>
          <w:tcPr>
            <w:tcW w:w="10599" w:type="dxa"/>
            <w:gridSpan w:val="16"/>
            <w:shd w:val="clear" w:color="auto" w:fill="auto"/>
          </w:tcPr>
          <w:p w14:paraId="1B680913" w14:textId="77777777" w:rsidR="000A6648" w:rsidRPr="00654EF1" w:rsidRDefault="000A6648" w:rsidP="001D5C8C">
            <w:pPr>
              <w:widowControl w:val="0"/>
              <w:spacing w:line="240" w:lineRule="auto"/>
              <w:ind w:left="-27"/>
              <w:rPr>
                <w:rFonts w:ascii="Arial" w:hAnsi="Arial" w:cs="Arial"/>
                <w:sz w:val="16"/>
                <w:szCs w:val="16"/>
              </w:rPr>
            </w:pPr>
            <w:r w:rsidRPr="00654EF1">
              <w:rPr>
                <w:rFonts w:ascii="Arial" w:hAnsi="Arial" w:cs="Arial"/>
                <w:sz w:val="20"/>
              </w:rPr>
              <w:t>At-risk : Events</w:t>
            </w:r>
          </w:p>
        </w:tc>
      </w:tr>
      <w:tr w:rsidR="000A6648" w:rsidRPr="00654EF1" w14:paraId="1B680925" w14:textId="77777777" w:rsidTr="0077258C">
        <w:tc>
          <w:tcPr>
            <w:tcW w:w="450" w:type="dxa"/>
            <w:shd w:val="clear" w:color="auto" w:fill="auto"/>
          </w:tcPr>
          <w:p w14:paraId="1B680915" w14:textId="77777777" w:rsidR="000A6648" w:rsidRPr="00654EF1" w:rsidRDefault="000A6648" w:rsidP="001D5C8C">
            <w:pPr>
              <w:widowControl w:val="0"/>
              <w:spacing w:line="240" w:lineRule="auto"/>
              <w:rPr>
                <w:sz w:val="18"/>
                <w:szCs w:val="18"/>
              </w:rPr>
            </w:pPr>
            <w:r w:rsidRPr="00654EF1">
              <w:rPr>
                <w:sz w:val="18"/>
                <w:szCs w:val="18"/>
              </w:rPr>
              <w:t>(1)</w:t>
            </w:r>
          </w:p>
        </w:tc>
        <w:tc>
          <w:tcPr>
            <w:tcW w:w="646" w:type="dxa"/>
            <w:shd w:val="clear" w:color="auto" w:fill="auto"/>
          </w:tcPr>
          <w:p w14:paraId="1B680916" w14:textId="77777777" w:rsidR="000A6648" w:rsidRPr="00654EF1" w:rsidRDefault="000A6648" w:rsidP="001D5C8C">
            <w:pPr>
              <w:widowControl w:val="0"/>
              <w:spacing w:line="240" w:lineRule="auto"/>
              <w:ind w:left="-27"/>
              <w:rPr>
                <w:sz w:val="18"/>
                <w:szCs w:val="18"/>
              </w:rPr>
            </w:pPr>
            <w:r w:rsidRPr="00654EF1">
              <w:rPr>
                <w:sz w:val="18"/>
                <w:szCs w:val="18"/>
              </w:rPr>
              <w:t>199:0</w:t>
            </w:r>
          </w:p>
        </w:tc>
        <w:tc>
          <w:tcPr>
            <w:tcW w:w="645" w:type="dxa"/>
            <w:shd w:val="clear" w:color="auto" w:fill="auto"/>
          </w:tcPr>
          <w:p w14:paraId="1B680917" w14:textId="77777777" w:rsidR="000A6648" w:rsidRPr="00654EF1" w:rsidRDefault="000A6648" w:rsidP="001D5C8C">
            <w:pPr>
              <w:widowControl w:val="0"/>
              <w:spacing w:line="240" w:lineRule="auto"/>
              <w:ind w:left="-27"/>
              <w:rPr>
                <w:sz w:val="18"/>
                <w:szCs w:val="18"/>
              </w:rPr>
            </w:pPr>
            <w:r w:rsidRPr="00654EF1">
              <w:rPr>
                <w:sz w:val="18"/>
                <w:szCs w:val="18"/>
              </w:rPr>
              <w:t>182:8</w:t>
            </w:r>
          </w:p>
        </w:tc>
        <w:tc>
          <w:tcPr>
            <w:tcW w:w="745" w:type="dxa"/>
            <w:shd w:val="clear" w:color="auto" w:fill="auto"/>
          </w:tcPr>
          <w:p w14:paraId="1B680918" w14:textId="77777777" w:rsidR="000A6648" w:rsidRPr="00654EF1" w:rsidRDefault="000A6648" w:rsidP="001D5C8C">
            <w:pPr>
              <w:widowControl w:val="0"/>
              <w:spacing w:line="240" w:lineRule="auto"/>
              <w:ind w:left="-27"/>
              <w:rPr>
                <w:sz w:val="18"/>
                <w:szCs w:val="18"/>
              </w:rPr>
            </w:pPr>
            <w:r w:rsidRPr="00654EF1">
              <w:rPr>
                <w:sz w:val="18"/>
                <w:szCs w:val="18"/>
              </w:rPr>
              <w:t>177:12</w:t>
            </w:r>
          </w:p>
        </w:tc>
        <w:tc>
          <w:tcPr>
            <w:tcW w:w="745" w:type="dxa"/>
            <w:shd w:val="clear" w:color="auto" w:fill="auto"/>
          </w:tcPr>
          <w:p w14:paraId="1B680919" w14:textId="77777777" w:rsidR="000A6648" w:rsidRPr="00654EF1" w:rsidRDefault="000A6648" w:rsidP="001D5C8C">
            <w:pPr>
              <w:widowControl w:val="0"/>
              <w:spacing w:line="240" w:lineRule="auto"/>
              <w:ind w:left="-27"/>
              <w:rPr>
                <w:sz w:val="18"/>
                <w:szCs w:val="18"/>
              </w:rPr>
            </w:pPr>
            <w:r w:rsidRPr="00654EF1">
              <w:rPr>
                <w:sz w:val="18"/>
                <w:szCs w:val="18"/>
              </w:rPr>
              <w:t>163:25</w:t>
            </w:r>
          </w:p>
        </w:tc>
        <w:tc>
          <w:tcPr>
            <w:tcW w:w="745" w:type="dxa"/>
            <w:shd w:val="clear" w:color="auto" w:fill="auto"/>
          </w:tcPr>
          <w:p w14:paraId="1B68091A" w14:textId="77777777" w:rsidR="000A6648" w:rsidRPr="00654EF1" w:rsidRDefault="000A6648" w:rsidP="001D5C8C">
            <w:pPr>
              <w:widowControl w:val="0"/>
              <w:spacing w:line="240" w:lineRule="auto"/>
              <w:ind w:left="-27"/>
              <w:rPr>
                <w:sz w:val="18"/>
                <w:szCs w:val="18"/>
              </w:rPr>
            </w:pPr>
            <w:r w:rsidRPr="00654EF1">
              <w:rPr>
                <w:sz w:val="18"/>
                <w:szCs w:val="18"/>
              </w:rPr>
              <w:t>137:46</w:t>
            </w:r>
          </w:p>
        </w:tc>
        <w:tc>
          <w:tcPr>
            <w:tcW w:w="752" w:type="dxa"/>
            <w:shd w:val="clear" w:color="auto" w:fill="auto"/>
          </w:tcPr>
          <w:p w14:paraId="1B68091B" w14:textId="77777777" w:rsidR="000A6648" w:rsidRPr="00654EF1" w:rsidRDefault="000A6648" w:rsidP="001D5C8C">
            <w:pPr>
              <w:widowControl w:val="0"/>
              <w:spacing w:line="240" w:lineRule="auto"/>
              <w:ind w:left="-27"/>
              <w:rPr>
                <w:sz w:val="18"/>
                <w:szCs w:val="18"/>
              </w:rPr>
            </w:pPr>
            <w:r w:rsidRPr="00654EF1">
              <w:rPr>
                <w:sz w:val="18"/>
                <w:szCs w:val="18"/>
              </w:rPr>
              <w:t>105:65</w:t>
            </w:r>
          </w:p>
        </w:tc>
        <w:tc>
          <w:tcPr>
            <w:tcW w:w="745" w:type="dxa"/>
            <w:shd w:val="clear" w:color="auto" w:fill="auto"/>
          </w:tcPr>
          <w:p w14:paraId="1B68091C" w14:textId="77777777" w:rsidR="000A6648" w:rsidRPr="00654EF1" w:rsidRDefault="000A6648" w:rsidP="001D5C8C">
            <w:pPr>
              <w:widowControl w:val="0"/>
              <w:spacing w:line="240" w:lineRule="auto"/>
              <w:ind w:left="-27"/>
              <w:rPr>
                <w:sz w:val="18"/>
                <w:szCs w:val="18"/>
              </w:rPr>
            </w:pPr>
            <w:r w:rsidRPr="00654EF1">
              <w:rPr>
                <w:sz w:val="18"/>
                <w:szCs w:val="18"/>
              </w:rPr>
              <w:t>88:72</w:t>
            </w:r>
          </w:p>
        </w:tc>
        <w:tc>
          <w:tcPr>
            <w:tcW w:w="745" w:type="dxa"/>
            <w:shd w:val="clear" w:color="auto" w:fill="auto"/>
          </w:tcPr>
          <w:p w14:paraId="1B68091D" w14:textId="77777777" w:rsidR="000A6648" w:rsidRPr="00654EF1" w:rsidRDefault="000A6648" w:rsidP="001D5C8C">
            <w:pPr>
              <w:widowControl w:val="0"/>
              <w:spacing w:line="240" w:lineRule="auto"/>
              <w:ind w:left="-27"/>
              <w:rPr>
                <w:sz w:val="18"/>
                <w:szCs w:val="18"/>
              </w:rPr>
            </w:pPr>
            <w:r w:rsidRPr="00654EF1">
              <w:rPr>
                <w:sz w:val="18"/>
                <w:szCs w:val="18"/>
              </w:rPr>
              <w:t>61:77</w:t>
            </w:r>
          </w:p>
        </w:tc>
        <w:tc>
          <w:tcPr>
            <w:tcW w:w="652" w:type="dxa"/>
            <w:shd w:val="clear" w:color="auto" w:fill="auto"/>
          </w:tcPr>
          <w:p w14:paraId="1B68091E" w14:textId="77777777" w:rsidR="000A6648" w:rsidRPr="00654EF1" w:rsidRDefault="000A6648" w:rsidP="001D5C8C">
            <w:pPr>
              <w:widowControl w:val="0"/>
              <w:spacing w:line="240" w:lineRule="auto"/>
              <w:ind w:left="-27"/>
              <w:rPr>
                <w:sz w:val="18"/>
                <w:szCs w:val="18"/>
              </w:rPr>
            </w:pPr>
            <w:r w:rsidRPr="00654EF1">
              <w:rPr>
                <w:sz w:val="18"/>
                <w:szCs w:val="18"/>
              </w:rPr>
              <w:t>49:81</w:t>
            </w:r>
          </w:p>
        </w:tc>
        <w:tc>
          <w:tcPr>
            <w:tcW w:w="652" w:type="dxa"/>
            <w:shd w:val="clear" w:color="auto" w:fill="auto"/>
          </w:tcPr>
          <w:p w14:paraId="1B68091F" w14:textId="77777777" w:rsidR="000A6648" w:rsidRPr="00654EF1" w:rsidRDefault="000A6648" w:rsidP="001D5C8C">
            <w:pPr>
              <w:widowControl w:val="0"/>
              <w:spacing w:line="240" w:lineRule="auto"/>
              <w:ind w:left="-27"/>
              <w:rPr>
                <w:sz w:val="18"/>
                <w:szCs w:val="18"/>
              </w:rPr>
            </w:pPr>
            <w:r w:rsidRPr="00654EF1">
              <w:rPr>
                <w:sz w:val="18"/>
                <w:szCs w:val="18"/>
              </w:rPr>
              <w:t>36:83</w:t>
            </w:r>
          </w:p>
        </w:tc>
        <w:tc>
          <w:tcPr>
            <w:tcW w:w="649" w:type="dxa"/>
            <w:shd w:val="clear" w:color="auto" w:fill="auto"/>
          </w:tcPr>
          <w:p w14:paraId="1B680920" w14:textId="77777777" w:rsidR="000A6648" w:rsidRPr="00654EF1" w:rsidRDefault="000A6648" w:rsidP="001D5C8C">
            <w:pPr>
              <w:widowControl w:val="0"/>
              <w:spacing w:line="240" w:lineRule="auto"/>
              <w:ind w:left="-27"/>
              <w:rPr>
                <w:sz w:val="18"/>
                <w:szCs w:val="18"/>
              </w:rPr>
            </w:pPr>
            <w:r w:rsidRPr="00654EF1">
              <w:rPr>
                <w:sz w:val="18"/>
                <w:szCs w:val="18"/>
              </w:rPr>
              <w:t>27:84</w:t>
            </w:r>
          </w:p>
        </w:tc>
        <w:tc>
          <w:tcPr>
            <w:tcW w:w="660" w:type="dxa"/>
            <w:shd w:val="clear" w:color="auto" w:fill="auto"/>
          </w:tcPr>
          <w:p w14:paraId="1B680921" w14:textId="77777777" w:rsidR="000A6648" w:rsidRPr="00654EF1" w:rsidRDefault="000A6648" w:rsidP="001D5C8C">
            <w:pPr>
              <w:widowControl w:val="0"/>
              <w:spacing w:line="240" w:lineRule="auto"/>
              <w:ind w:left="-27"/>
              <w:rPr>
                <w:sz w:val="18"/>
                <w:szCs w:val="18"/>
              </w:rPr>
            </w:pPr>
            <w:r w:rsidRPr="00654EF1">
              <w:rPr>
                <w:sz w:val="18"/>
                <w:szCs w:val="18"/>
              </w:rPr>
              <w:t>14:84</w:t>
            </w:r>
          </w:p>
        </w:tc>
        <w:tc>
          <w:tcPr>
            <w:tcW w:w="649" w:type="dxa"/>
            <w:shd w:val="clear" w:color="auto" w:fill="auto"/>
          </w:tcPr>
          <w:p w14:paraId="1B680922" w14:textId="77777777" w:rsidR="000A6648" w:rsidRPr="00654EF1" w:rsidRDefault="000A6648" w:rsidP="001D5C8C">
            <w:pPr>
              <w:widowControl w:val="0"/>
              <w:spacing w:line="240" w:lineRule="auto"/>
              <w:ind w:left="-27"/>
              <w:rPr>
                <w:sz w:val="18"/>
                <w:szCs w:val="18"/>
              </w:rPr>
            </w:pPr>
            <w:r w:rsidRPr="00654EF1">
              <w:rPr>
                <w:sz w:val="18"/>
                <w:szCs w:val="18"/>
              </w:rPr>
              <w:t>10:84</w:t>
            </w:r>
          </w:p>
        </w:tc>
        <w:tc>
          <w:tcPr>
            <w:tcW w:w="564" w:type="dxa"/>
            <w:shd w:val="clear" w:color="auto" w:fill="auto"/>
          </w:tcPr>
          <w:p w14:paraId="1B680923" w14:textId="77777777" w:rsidR="000A6648" w:rsidRPr="00654EF1" w:rsidRDefault="000A6648" w:rsidP="001D5C8C">
            <w:pPr>
              <w:widowControl w:val="0"/>
              <w:spacing w:line="240" w:lineRule="auto"/>
              <w:ind w:left="-27"/>
              <w:rPr>
                <w:sz w:val="18"/>
                <w:szCs w:val="18"/>
              </w:rPr>
            </w:pPr>
            <w:r w:rsidRPr="00654EF1">
              <w:rPr>
                <w:sz w:val="18"/>
                <w:szCs w:val="18"/>
              </w:rPr>
              <w:t>2:84</w:t>
            </w:r>
          </w:p>
        </w:tc>
        <w:tc>
          <w:tcPr>
            <w:tcW w:w="555" w:type="dxa"/>
            <w:shd w:val="clear" w:color="auto" w:fill="auto"/>
          </w:tcPr>
          <w:p w14:paraId="1B680924" w14:textId="77777777" w:rsidR="000A6648" w:rsidRPr="00654EF1" w:rsidRDefault="000A6648" w:rsidP="001D5C8C">
            <w:pPr>
              <w:widowControl w:val="0"/>
              <w:spacing w:line="240" w:lineRule="auto"/>
              <w:ind w:left="-27"/>
              <w:rPr>
                <w:sz w:val="18"/>
                <w:szCs w:val="18"/>
              </w:rPr>
            </w:pPr>
            <w:r w:rsidRPr="00654EF1">
              <w:rPr>
                <w:sz w:val="18"/>
                <w:szCs w:val="18"/>
              </w:rPr>
              <w:t>0:84</w:t>
            </w:r>
          </w:p>
        </w:tc>
      </w:tr>
      <w:tr w:rsidR="000A6648" w:rsidRPr="00654EF1" w14:paraId="1B680936" w14:textId="77777777" w:rsidTr="0077258C">
        <w:tc>
          <w:tcPr>
            <w:tcW w:w="450" w:type="dxa"/>
            <w:shd w:val="clear" w:color="auto" w:fill="auto"/>
          </w:tcPr>
          <w:p w14:paraId="1B680926" w14:textId="77777777" w:rsidR="000A6648" w:rsidRPr="00654EF1" w:rsidRDefault="000A6648" w:rsidP="001D5C8C">
            <w:pPr>
              <w:widowControl w:val="0"/>
              <w:spacing w:line="240" w:lineRule="auto"/>
              <w:rPr>
                <w:sz w:val="18"/>
                <w:szCs w:val="18"/>
              </w:rPr>
            </w:pPr>
            <w:r w:rsidRPr="00654EF1">
              <w:rPr>
                <w:sz w:val="18"/>
                <w:szCs w:val="18"/>
              </w:rPr>
              <w:t>(2)</w:t>
            </w:r>
          </w:p>
        </w:tc>
        <w:tc>
          <w:tcPr>
            <w:tcW w:w="646" w:type="dxa"/>
            <w:shd w:val="clear" w:color="auto" w:fill="auto"/>
          </w:tcPr>
          <w:p w14:paraId="1B680927" w14:textId="77777777" w:rsidR="000A6648" w:rsidRPr="00654EF1" w:rsidRDefault="000A6648" w:rsidP="001D5C8C">
            <w:pPr>
              <w:widowControl w:val="0"/>
              <w:spacing w:line="240" w:lineRule="auto"/>
              <w:ind w:left="-27"/>
              <w:rPr>
                <w:sz w:val="18"/>
                <w:szCs w:val="18"/>
              </w:rPr>
            </w:pPr>
            <w:r w:rsidRPr="00654EF1">
              <w:rPr>
                <w:sz w:val="18"/>
                <w:szCs w:val="18"/>
              </w:rPr>
              <w:t>198:0</w:t>
            </w:r>
          </w:p>
        </w:tc>
        <w:tc>
          <w:tcPr>
            <w:tcW w:w="645" w:type="dxa"/>
            <w:shd w:val="clear" w:color="auto" w:fill="auto"/>
          </w:tcPr>
          <w:p w14:paraId="1B680928" w14:textId="77777777" w:rsidR="000A6648" w:rsidRPr="00654EF1" w:rsidRDefault="000A6648" w:rsidP="001D5C8C">
            <w:pPr>
              <w:widowControl w:val="0"/>
              <w:spacing w:line="240" w:lineRule="auto"/>
              <w:ind w:left="-27"/>
              <w:rPr>
                <w:sz w:val="18"/>
                <w:szCs w:val="18"/>
              </w:rPr>
            </w:pPr>
            <w:r w:rsidRPr="00654EF1">
              <w:rPr>
                <w:sz w:val="18"/>
                <w:szCs w:val="18"/>
              </w:rPr>
              <w:t>189:5</w:t>
            </w:r>
          </w:p>
        </w:tc>
        <w:tc>
          <w:tcPr>
            <w:tcW w:w="745" w:type="dxa"/>
            <w:shd w:val="clear" w:color="auto" w:fill="auto"/>
          </w:tcPr>
          <w:p w14:paraId="1B680929" w14:textId="77777777" w:rsidR="000A6648" w:rsidRPr="00654EF1" w:rsidRDefault="000A6648" w:rsidP="001D5C8C">
            <w:pPr>
              <w:widowControl w:val="0"/>
              <w:spacing w:line="240" w:lineRule="auto"/>
              <w:ind w:left="-27"/>
              <w:rPr>
                <w:sz w:val="18"/>
                <w:szCs w:val="18"/>
              </w:rPr>
            </w:pPr>
            <w:r w:rsidRPr="00654EF1">
              <w:rPr>
                <w:sz w:val="18"/>
                <w:szCs w:val="18"/>
              </w:rPr>
              <w:t>184:8</w:t>
            </w:r>
          </w:p>
        </w:tc>
        <w:tc>
          <w:tcPr>
            <w:tcW w:w="745" w:type="dxa"/>
            <w:shd w:val="clear" w:color="auto" w:fill="auto"/>
          </w:tcPr>
          <w:p w14:paraId="1B68092A" w14:textId="77777777" w:rsidR="000A6648" w:rsidRPr="00654EF1" w:rsidRDefault="000A6648" w:rsidP="001D5C8C">
            <w:pPr>
              <w:widowControl w:val="0"/>
              <w:spacing w:line="240" w:lineRule="auto"/>
              <w:ind w:left="-27"/>
              <w:rPr>
                <w:sz w:val="18"/>
                <w:szCs w:val="18"/>
              </w:rPr>
            </w:pPr>
            <w:r w:rsidRPr="00654EF1">
              <w:rPr>
                <w:sz w:val="18"/>
                <w:szCs w:val="18"/>
              </w:rPr>
              <w:t>181:11</w:t>
            </w:r>
          </w:p>
        </w:tc>
        <w:tc>
          <w:tcPr>
            <w:tcW w:w="745" w:type="dxa"/>
            <w:shd w:val="clear" w:color="auto" w:fill="auto"/>
          </w:tcPr>
          <w:p w14:paraId="1B68092B" w14:textId="77777777" w:rsidR="000A6648" w:rsidRPr="00654EF1" w:rsidRDefault="000A6648" w:rsidP="001D5C8C">
            <w:pPr>
              <w:widowControl w:val="0"/>
              <w:spacing w:line="240" w:lineRule="auto"/>
              <w:ind w:left="-27"/>
              <w:rPr>
                <w:sz w:val="18"/>
                <w:szCs w:val="18"/>
              </w:rPr>
            </w:pPr>
            <w:r w:rsidRPr="00654EF1">
              <w:rPr>
                <w:sz w:val="18"/>
                <w:szCs w:val="18"/>
              </w:rPr>
              <w:t>173:18</w:t>
            </w:r>
          </w:p>
        </w:tc>
        <w:tc>
          <w:tcPr>
            <w:tcW w:w="752" w:type="dxa"/>
            <w:shd w:val="clear" w:color="auto" w:fill="auto"/>
          </w:tcPr>
          <w:p w14:paraId="1B68092C" w14:textId="77777777" w:rsidR="000A6648" w:rsidRPr="00654EF1" w:rsidRDefault="000A6648" w:rsidP="001D5C8C">
            <w:pPr>
              <w:widowControl w:val="0"/>
              <w:spacing w:line="240" w:lineRule="auto"/>
              <w:ind w:left="-27"/>
              <w:rPr>
                <w:sz w:val="18"/>
                <w:szCs w:val="18"/>
              </w:rPr>
            </w:pPr>
            <w:r w:rsidRPr="00654EF1">
              <w:rPr>
                <w:sz w:val="18"/>
                <w:szCs w:val="18"/>
              </w:rPr>
              <w:t>152:22</w:t>
            </w:r>
          </w:p>
        </w:tc>
        <w:tc>
          <w:tcPr>
            <w:tcW w:w="745" w:type="dxa"/>
            <w:shd w:val="clear" w:color="auto" w:fill="auto"/>
          </w:tcPr>
          <w:p w14:paraId="1B68092D" w14:textId="77777777" w:rsidR="000A6648" w:rsidRPr="00654EF1" w:rsidRDefault="000A6648" w:rsidP="001D5C8C">
            <w:pPr>
              <w:widowControl w:val="0"/>
              <w:spacing w:line="240" w:lineRule="auto"/>
              <w:ind w:left="-27"/>
              <w:rPr>
                <w:sz w:val="18"/>
                <w:szCs w:val="18"/>
              </w:rPr>
            </w:pPr>
            <w:r w:rsidRPr="00654EF1">
              <w:rPr>
                <w:sz w:val="18"/>
                <w:szCs w:val="18"/>
              </w:rPr>
              <w:t>133:25</w:t>
            </w:r>
          </w:p>
        </w:tc>
        <w:tc>
          <w:tcPr>
            <w:tcW w:w="745" w:type="dxa"/>
            <w:shd w:val="clear" w:color="auto" w:fill="auto"/>
          </w:tcPr>
          <w:p w14:paraId="1B68092E" w14:textId="77777777" w:rsidR="000A6648" w:rsidRPr="00654EF1" w:rsidRDefault="000A6648" w:rsidP="001D5C8C">
            <w:pPr>
              <w:widowControl w:val="0"/>
              <w:spacing w:line="240" w:lineRule="auto"/>
              <w:ind w:left="-27"/>
              <w:rPr>
                <w:sz w:val="18"/>
                <w:szCs w:val="18"/>
              </w:rPr>
            </w:pPr>
            <w:r w:rsidRPr="00654EF1">
              <w:rPr>
                <w:sz w:val="18"/>
                <w:szCs w:val="18"/>
              </w:rPr>
              <w:t>102:29</w:t>
            </w:r>
          </w:p>
        </w:tc>
        <w:tc>
          <w:tcPr>
            <w:tcW w:w="652" w:type="dxa"/>
            <w:shd w:val="clear" w:color="auto" w:fill="auto"/>
          </w:tcPr>
          <w:p w14:paraId="1B68092F" w14:textId="77777777" w:rsidR="000A6648" w:rsidRPr="00654EF1" w:rsidRDefault="000A6648" w:rsidP="001D5C8C">
            <w:pPr>
              <w:widowControl w:val="0"/>
              <w:spacing w:line="240" w:lineRule="auto"/>
              <w:ind w:left="-27"/>
              <w:rPr>
                <w:sz w:val="18"/>
                <w:szCs w:val="18"/>
              </w:rPr>
            </w:pPr>
            <w:r w:rsidRPr="00654EF1">
              <w:rPr>
                <w:sz w:val="18"/>
                <w:szCs w:val="18"/>
              </w:rPr>
              <w:t>82:35</w:t>
            </w:r>
          </w:p>
        </w:tc>
        <w:tc>
          <w:tcPr>
            <w:tcW w:w="652" w:type="dxa"/>
            <w:shd w:val="clear" w:color="auto" w:fill="auto"/>
          </w:tcPr>
          <w:p w14:paraId="1B680930" w14:textId="77777777" w:rsidR="000A6648" w:rsidRPr="00654EF1" w:rsidRDefault="000A6648" w:rsidP="001D5C8C">
            <w:pPr>
              <w:widowControl w:val="0"/>
              <w:spacing w:line="240" w:lineRule="auto"/>
              <w:ind w:left="-27"/>
              <w:rPr>
                <w:sz w:val="18"/>
                <w:szCs w:val="18"/>
              </w:rPr>
            </w:pPr>
            <w:r w:rsidRPr="00654EF1">
              <w:rPr>
                <w:sz w:val="18"/>
                <w:szCs w:val="18"/>
              </w:rPr>
              <w:t>54:46</w:t>
            </w:r>
          </w:p>
        </w:tc>
        <w:tc>
          <w:tcPr>
            <w:tcW w:w="649" w:type="dxa"/>
            <w:shd w:val="clear" w:color="auto" w:fill="auto"/>
          </w:tcPr>
          <w:p w14:paraId="1B680931" w14:textId="77777777" w:rsidR="000A6648" w:rsidRPr="00654EF1" w:rsidRDefault="000A6648" w:rsidP="001D5C8C">
            <w:pPr>
              <w:widowControl w:val="0"/>
              <w:spacing w:line="240" w:lineRule="auto"/>
              <w:ind w:left="-27"/>
              <w:rPr>
                <w:sz w:val="18"/>
                <w:szCs w:val="18"/>
              </w:rPr>
            </w:pPr>
            <w:r w:rsidRPr="00654EF1">
              <w:rPr>
                <w:sz w:val="18"/>
                <w:szCs w:val="18"/>
              </w:rPr>
              <w:t>39:47</w:t>
            </w:r>
          </w:p>
        </w:tc>
        <w:tc>
          <w:tcPr>
            <w:tcW w:w="660" w:type="dxa"/>
            <w:shd w:val="clear" w:color="auto" w:fill="auto"/>
          </w:tcPr>
          <w:p w14:paraId="1B680932" w14:textId="77777777" w:rsidR="000A6648" w:rsidRPr="00654EF1" w:rsidRDefault="000A6648" w:rsidP="001D5C8C">
            <w:pPr>
              <w:widowControl w:val="0"/>
              <w:spacing w:line="240" w:lineRule="auto"/>
              <w:ind w:left="-27"/>
              <w:rPr>
                <w:sz w:val="18"/>
                <w:szCs w:val="18"/>
              </w:rPr>
            </w:pPr>
            <w:r w:rsidRPr="00654EF1">
              <w:rPr>
                <w:sz w:val="18"/>
                <w:szCs w:val="18"/>
              </w:rPr>
              <w:t>21:49</w:t>
            </w:r>
          </w:p>
        </w:tc>
        <w:tc>
          <w:tcPr>
            <w:tcW w:w="649" w:type="dxa"/>
            <w:shd w:val="clear" w:color="auto" w:fill="auto"/>
          </w:tcPr>
          <w:p w14:paraId="1B680933" w14:textId="77777777" w:rsidR="000A6648" w:rsidRPr="00654EF1" w:rsidRDefault="000A6648" w:rsidP="001D5C8C">
            <w:pPr>
              <w:widowControl w:val="0"/>
              <w:spacing w:line="240" w:lineRule="auto"/>
              <w:ind w:left="-27"/>
              <w:rPr>
                <w:sz w:val="18"/>
                <w:szCs w:val="18"/>
              </w:rPr>
            </w:pPr>
            <w:r w:rsidRPr="00654EF1">
              <w:rPr>
                <w:sz w:val="18"/>
                <w:szCs w:val="18"/>
              </w:rPr>
              <w:t>8:50</w:t>
            </w:r>
          </w:p>
        </w:tc>
        <w:tc>
          <w:tcPr>
            <w:tcW w:w="564" w:type="dxa"/>
            <w:shd w:val="clear" w:color="auto" w:fill="auto"/>
          </w:tcPr>
          <w:p w14:paraId="1B680934" w14:textId="77777777" w:rsidR="000A6648" w:rsidRPr="00654EF1" w:rsidRDefault="000A6648" w:rsidP="001D5C8C">
            <w:pPr>
              <w:widowControl w:val="0"/>
              <w:spacing w:line="240" w:lineRule="auto"/>
              <w:ind w:left="-27"/>
              <w:rPr>
                <w:sz w:val="18"/>
                <w:szCs w:val="18"/>
              </w:rPr>
            </w:pPr>
            <w:r w:rsidRPr="00654EF1">
              <w:rPr>
                <w:sz w:val="18"/>
                <w:szCs w:val="18"/>
              </w:rPr>
              <w:t>0:50</w:t>
            </w:r>
          </w:p>
        </w:tc>
        <w:tc>
          <w:tcPr>
            <w:tcW w:w="555" w:type="dxa"/>
            <w:shd w:val="clear" w:color="auto" w:fill="auto"/>
          </w:tcPr>
          <w:p w14:paraId="1B680935" w14:textId="77777777" w:rsidR="000A6648" w:rsidRPr="00654EF1" w:rsidRDefault="000A6648" w:rsidP="001D5C8C">
            <w:pPr>
              <w:widowControl w:val="0"/>
              <w:spacing w:line="240" w:lineRule="auto"/>
              <w:ind w:left="-27"/>
              <w:rPr>
                <w:sz w:val="18"/>
                <w:szCs w:val="18"/>
              </w:rPr>
            </w:pPr>
          </w:p>
        </w:tc>
      </w:tr>
    </w:tbl>
    <w:p w14:paraId="1B680937" w14:textId="77777777" w:rsidR="000A6648" w:rsidRPr="00654EF1" w:rsidRDefault="000A6648" w:rsidP="001D5C8C">
      <w:pPr>
        <w:widowControl w:val="0"/>
        <w:tabs>
          <w:tab w:val="clear" w:pos="567"/>
        </w:tabs>
        <w:spacing w:line="240" w:lineRule="auto"/>
        <w:rPr>
          <w:rFonts w:eastAsia="MS Mincho"/>
          <w:szCs w:val="22"/>
          <w:lang w:val="en-US"/>
        </w:rPr>
      </w:pPr>
    </w:p>
    <w:p w14:paraId="1B680938" w14:textId="77777777" w:rsidR="000A6648" w:rsidRPr="00654EF1" w:rsidRDefault="000A6648" w:rsidP="001D5C8C">
      <w:pPr>
        <w:keepNext/>
        <w:widowControl w:val="0"/>
        <w:tabs>
          <w:tab w:val="clear" w:pos="567"/>
        </w:tabs>
        <w:spacing w:line="240" w:lineRule="auto"/>
        <w:ind w:left="1134" w:hanging="1134"/>
        <w:outlineLvl w:val="6"/>
        <w:rPr>
          <w:rFonts w:eastAsia="MS Mincho"/>
          <w:b/>
          <w:szCs w:val="22"/>
          <w:lang w:val="en-US"/>
        </w:rPr>
      </w:pPr>
      <w:r w:rsidRPr="00654EF1">
        <w:rPr>
          <w:rFonts w:eastAsia="MS Mincho"/>
          <w:b/>
          <w:szCs w:val="22"/>
          <w:lang w:val="en-US"/>
        </w:rPr>
        <w:lastRenderedPageBreak/>
        <w:t>Figure 2</w:t>
      </w:r>
      <w:r w:rsidRPr="00654EF1">
        <w:rPr>
          <w:rFonts w:eastAsia="MS Mincho"/>
          <w:b/>
          <w:szCs w:val="22"/>
          <w:lang w:val="en-US"/>
        </w:rPr>
        <w:tab/>
        <w:t>Kaplan-Meier estimates for overall survival (ITT population)</w:t>
      </w:r>
    </w:p>
    <w:p w14:paraId="1B680939" w14:textId="77777777" w:rsidR="000A6648" w:rsidRPr="00654EF1" w:rsidRDefault="000A6648" w:rsidP="001D5C8C">
      <w:pPr>
        <w:keepNext/>
        <w:widowControl w:val="0"/>
        <w:tabs>
          <w:tab w:val="clear" w:pos="567"/>
        </w:tabs>
        <w:spacing w:line="240" w:lineRule="auto"/>
        <w:ind w:left="1134" w:hanging="1134"/>
        <w:outlineLvl w:val="6"/>
        <w:rPr>
          <w:rFonts w:eastAsia="MS Mincho"/>
          <w:szCs w:val="22"/>
          <w:lang w:val="en-US"/>
        </w:rPr>
      </w:pPr>
    </w:p>
    <w:p w14:paraId="1B68093A" w14:textId="77777777" w:rsidR="000A6648" w:rsidRPr="00654EF1" w:rsidRDefault="002B04AE" w:rsidP="001D5C8C">
      <w:pPr>
        <w:keepNext/>
        <w:widowControl w:val="0"/>
        <w:tabs>
          <w:tab w:val="clear" w:pos="567"/>
        </w:tabs>
        <w:spacing w:line="240" w:lineRule="auto"/>
        <w:ind w:left="1134" w:hanging="1134"/>
        <w:outlineLvl w:val="6"/>
        <w:rPr>
          <w:rFonts w:eastAsia="MS Mincho"/>
          <w:szCs w:val="22"/>
          <w:lang w:val="en-US"/>
        </w:rPr>
      </w:pPr>
      <w:r w:rsidRPr="00654EF1">
        <w:rPr>
          <w:noProof/>
          <w:lang w:eastAsia="en-GB"/>
        </w:rPr>
        <mc:AlternateContent>
          <mc:Choice Requires="wps">
            <w:drawing>
              <wp:anchor distT="0" distB="0" distL="114300" distR="114300" simplePos="0" relativeHeight="251661312" behindDoc="0" locked="0" layoutInCell="1" allowOverlap="1" wp14:anchorId="1B681309" wp14:editId="1B68130A">
                <wp:simplePos x="0" y="0"/>
                <wp:positionH relativeFrom="column">
                  <wp:posOffset>-217170</wp:posOffset>
                </wp:positionH>
                <wp:positionV relativeFrom="paragraph">
                  <wp:posOffset>227330</wp:posOffset>
                </wp:positionV>
                <wp:extent cx="335915" cy="18135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13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84" w14:textId="77777777" w:rsidR="00B97E8A" w:rsidRPr="00A33DBA" w:rsidRDefault="00B97E8A" w:rsidP="000A6648">
                            <w:pPr>
                              <w:rPr>
                                <w:rFonts w:ascii="Arial" w:hAnsi="Arial" w:cs="Arial"/>
                                <w:sz w:val="20"/>
                              </w:rPr>
                            </w:pPr>
                            <w:r w:rsidRPr="00A33DBA">
                              <w:rPr>
                                <w:rFonts w:ascii="Arial" w:hAnsi="Arial" w:cs="Arial"/>
                                <w:sz w:val="20"/>
                              </w:rPr>
                              <w:t>Probability of overall survival</w:t>
                            </w:r>
                          </w:p>
                          <w:p w14:paraId="1B681385" w14:textId="77777777" w:rsidR="00B97E8A" w:rsidRPr="00A33DBA" w:rsidRDefault="00B97E8A" w:rsidP="000A6648">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9" id="_x0000_s1035" type="#_x0000_t202" style="position:absolute;left:0;text-align:left;margin-left:-17.1pt;margin-top:17.9pt;width:26.45pt;height:14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" stroked="f">
                <v:fill opacity="0"/>
                <v:textbox style="layout-flow:vertical;mso-layout-flow-alt:bottom-to-top">
                  <w:txbxContent>
                    <w:p w14:paraId="1B681384" w14:textId="77777777" w:rsidR="00B97E8A" w:rsidRPr="00A33DBA" w:rsidRDefault="00B97E8A" w:rsidP="000A6648">
                      <w:pPr>
                        <w:rPr>
                          <w:rFonts w:ascii="Arial" w:hAnsi="Arial" w:cs="Arial"/>
                          <w:sz w:val="20"/>
                        </w:rPr>
                      </w:pPr>
                      <w:r w:rsidRPr="00A33DBA">
                        <w:rPr>
                          <w:rFonts w:ascii="Arial" w:hAnsi="Arial" w:cs="Arial"/>
                          <w:sz w:val="20"/>
                        </w:rPr>
                        <w:t>Probability of overall survival</w:t>
                      </w:r>
                    </w:p>
                    <w:p w14:paraId="1B681385" w14:textId="77777777" w:rsidR="00B97E8A" w:rsidRPr="00A33DBA" w:rsidRDefault="00B97E8A" w:rsidP="000A6648">
                      <w:pPr>
                        <w:rPr>
                          <w:rFonts w:ascii="Arial" w:hAnsi="Arial" w:cs="Arial"/>
                          <w:sz w:val="20"/>
                        </w:rPr>
                      </w:pPr>
                    </w:p>
                  </w:txbxContent>
                </v:textbox>
              </v:shape>
            </w:pict>
          </mc:Fallback>
        </mc:AlternateContent>
      </w:r>
      <w:r w:rsidRPr="00654EF1">
        <w:rPr>
          <w:noProof/>
          <w:lang w:eastAsia="en-GB"/>
        </w:rPr>
        <mc:AlternateContent>
          <mc:Choice Requires="wps">
            <w:drawing>
              <wp:anchor distT="0" distB="0" distL="114300" distR="114300" simplePos="0" relativeHeight="251662336" behindDoc="0" locked="0" layoutInCell="1" allowOverlap="1" wp14:anchorId="1B68130B" wp14:editId="1B68130C">
                <wp:simplePos x="0" y="0"/>
                <wp:positionH relativeFrom="column">
                  <wp:posOffset>350520</wp:posOffset>
                </wp:positionH>
                <wp:positionV relativeFrom="paragraph">
                  <wp:posOffset>866140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1386" w14:textId="77777777" w:rsidR="00B97E8A" w:rsidRDefault="00B97E8A" w:rsidP="000A66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8A" w14:textId="77777777" w:rsidTr="0077258C">
                              <w:tc>
                                <w:tcPr>
                                  <w:tcW w:w="5691" w:type="dxa"/>
                                  <w:gridSpan w:val="5"/>
                                  <w:shd w:val="clear" w:color="auto" w:fill="auto"/>
                                </w:tcPr>
                                <w:p w14:paraId="1B681387" w14:textId="77777777" w:rsidR="00B97E8A" w:rsidRPr="0055776F" w:rsidRDefault="00B97E8A"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1B681388" w14:textId="77777777" w:rsidR="00B97E8A" w:rsidRPr="0055776F" w:rsidRDefault="00B97E8A" w:rsidP="0077258C">
                                  <w:pPr>
                                    <w:rPr>
                                      <w:rFonts w:ascii="Arial" w:hAnsi="Arial" w:cs="Arial"/>
                                      <w:sz w:val="20"/>
                                    </w:rPr>
                                  </w:pPr>
                                  <w:r w:rsidRPr="0055776F">
                                    <w:rPr>
                                      <w:rFonts w:ascii="Arial" w:hAnsi="Arial" w:cs="Arial"/>
                                      <w:sz w:val="20"/>
                                    </w:rPr>
                                    <w:t>Hazard ratio 0.45</w:t>
                                  </w:r>
                                </w:p>
                                <w:p w14:paraId="1B681389" w14:textId="77777777" w:rsidR="00B97E8A" w:rsidRPr="0055776F" w:rsidRDefault="00B97E8A" w:rsidP="000135E1">
                                  <w:pPr>
                                    <w:rPr>
                                      <w:rFonts w:ascii="Arial" w:hAnsi="Arial" w:cs="Arial"/>
                                      <w:sz w:val="20"/>
                                      <w:lang w:val="de-DE"/>
                                    </w:rPr>
                                  </w:pPr>
                                  <w:r w:rsidRPr="0055776F">
                                    <w:rPr>
                                      <w:rFonts w:ascii="Arial" w:hAnsi="Arial" w:cs="Arial"/>
                                      <w:sz w:val="20"/>
                                    </w:rPr>
                                    <w:t>(95% Cl, 0.22</w:t>
                                  </w:r>
                                  <w:r>
                                    <w:rPr>
                                      <w:rFonts w:ascii="Arial" w:hAnsi="Arial" w:cs="Arial"/>
                                      <w:sz w:val="20"/>
                                    </w:rPr>
                                    <w:noBreakHyphen/>
                                  </w:r>
                                  <w:r w:rsidRPr="0055776F">
                                    <w:rPr>
                                      <w:rFonts w:ascii="Arial" w:hAnsi="Arial" w:cs="Arial"/>
                                      <w:sz w:val="20"/>
                                    </w:rPr>
                                    <w:t>0.89)</w:t>
                                  </w:r>
                                </w:p>
                              </w:tc>
                            </w:tr>
                            <w:tr w:rsidR="00B97E8A" w:rsidRPr="0055776F" w14:paraId="1B681390" w14:textId="77777777" w:rsidTr="0077258C">
                              <w:tc>
                                <w:tcPr>
                                  <w:tcW w:w="817" w:type="dxa"/>
                                  <w:shd w:val="clear" w:color="auto" w:fill="auto"/>
                                </w:tcPr>
                                <w:p w14:paraId="1B68138B" w14:textId="77777777" w:rsidR="00B97E8A" w:rsidRPr="0055776F" w:rsidRDefault="00B97E8A" w:rsidP="0077258C">
                                  <w:pPr>
                                    <w:rPr>
                                      <w:rFonts w:ascii="Arial" w:hAnsi="Arial" w:cs="Arial"/>
                                      <w:sz w:val="20"/>
                                    </w:rPr>
                                  </w:pPr>
                                </w:p>
                              </w:tc>
                              <w:tc>
                                <w:tcPr>
                                  <w:tcW w:w="2464" w:type="dxa"/>
                                  <w:shd w:val="clear" w:color="auto" w:fill="auto"/>
                                </w:tcPr>
                                <w:p w14:paraId="1B68138C"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8D"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8E"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8F"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96" w14:textId="77777777" w:rsidTr="0077258C">
                              <w:tc>
                                <w:tcPr>
                                  <w:tcW w:w="817" w:type="dxa"/>
                                  <w:shd w:val="clear" w:color="auto" w:fill="auto"/>
                                </w:tcPr>
                                <w:p w14:paraId="1B681391"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92" w14:textId="77777777" w:rsidR="00B97E8A" w:rsidRPr="0055776F" w:rsidRDefault="00B97E8A" w:rsidP="0077258C">
                                  <w:pPr>
                                    <w:rPr>
                                      <w:rFonts w:ascii="Arial" w:hAnsi="Arial" w:cs="Arial"/>
                                      <w:sz w:val="20"/>
                                    </w:rPr>
                                  </w:pPr>
                                  <w:r>
                                    <w:rPr>
                                      <w:rFonts w:ascii="Arial" w:hAnsi="Arial" w:cs="Arial"/>
                                      <w:sz w:val="20"/>
                                    </w:rPr>
                                    <w:t>(1) Imatinib 12 </w:t>
                                  </w:r>
                                  <w:r w:rsidRPr="0055776F">
                                    <w:rPr>
                                      <w:rFonts w:ascii="Arial" w:hAnsi="Arial" w:cs="Arial"/>
                                      <w:sz w:val="20"/>
                                    </w:rPr>
                                    <w:t>MO:</w:t>
                                  </w:r>
                                </w:p>
                              </w:tc>
                              <w:tc>
                                <w:tcPr>
                                  <w:tcW w:w="851" w:type="dxa"/>
                                  <w:tcBorders>
                                    <w:top w:val="single" w:sz="4" w:space="0" w:color="auto"/>
                                  </w:tcBorders>
                                  <w:shd w:val="clear" w:color="auto" w:fill="auto"/>
                                </w:tcPr>
                                <w:p w14:paraId="1B681393"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94" w14:textId="77777777" w:rsidR="00B97E8A" w:rsidRPr="0055776F" w:rsidRDefault="00B97E8A"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B681395" w14:textId="77777777" w:rsidR="00B97E8A" w:rsidRPr="0055776F" w:rsidRDefault="00B97E8A" w:rsidP="0077258C">
                                  <w:pPr>
                                    <w:rPr>
                                      <w:rFonts w:ascii="Arial" w:hAnsi="Arial" w:cs="Arial"/>
                                      <w:sz w:val="20"/>
                                    </w:rPr>
                                  </w:pPr>
                                  <w:r w:rsidRPr="0055776F">
                                    <w:rPr>
                                      <w:rFonts w:ascii="Arial" w:hAnsi="Arial" w:cs="Arial"/>
                                      <w:sz w:val="20"/>
                                    </w:rPr>
                                    <w:t>174</w:t>
                                  </w:r>
                                </w:p>
                              </w:tc>
                            </w:tr>
                            <w:tr w:rsidR="00B97E8A" w:rsidRPr="0055776F" w14:paraId="1B68139C" w14:textId="77777777" w:rsidTr="0077258C">
                              <w:tc>
                                <w:tcPr>
                                  <w:tcW w:w="817" w:type="dxa"/>
                                  <w:shd w:val="clear" w:color="auto" w:fill="auto"/>
                                </w:tcPr>
                                <w:p w14:paraId="1B681397"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98" w14:textId="77777777" w:rsidR="00B97E8A" w:rsidRPr="0055776F" w:rsidRDefault="00B97E8A" w:rsidP="0077258C">
                                  <w:pPr>
                                    <w:rPr>
                                      <w:rFonts w:ascii="Arial" w:hAnsi="Arial" w:cs="Arial"/>
                                      <w:sz w:val="20"/>
                                    </w:rPr>
                                  </w:pPr>
                                  <w:r>
                                    <w:rPr>
                                      <w:rFonts w:ascii="Arial" w:hAnsi="Arial" w:cs="Arial"/>
                                      <w:sz w:val="20"/>
                                    </w:rPr>
                                    <w:t>(2) Imatinib 36 </w:t>
                                  </w:r>
                                  <w:r w:rsidRPr="0055776F">
                                    <w:rPr>
                                      <w:rFonts w:ascii="Arial" w:hAnsi="Arial" w:cs="Arial"/>
                                      <w:sz w:val="20"/>
                                    </w:rPr>
                                    <w:t>MO:</w:t>
                                  </w:r>
                                </w:p>
                              </w:tc>
                              <w:tc>
                                <w:tcPr>
                                  <w:tcW w:w="851" w:type="dxa"/>
                                  <w:tcBorders>
                                    <w:bottom w:val="single" w:sz="4" w:space="0" w:color="auto"/>
                                  </w:tcBorders>
                                  <w:shd w:val="clear" w:color="auto" w:fill="auto"/>
                                </w:tcPr>
                                <w:p w14:paraId="1B681399"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9A" w14:textId="77777777" w:rsidR="00B97E8A" w:rsidRPr="0055776F" w:rsidRDefault="00B97E8A"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B68139B" w14:textId="77777777" w:rsidR="00B97E8A" w:rsidRPr="0055776F" w:rsidRDefault="00B97E8A" w:rsidP="0077258C">
                                  <w:pPr>
                                    <w:rPr>
                                      <w:rFonts w:ascii="Arial" w:hAnsi="Arial" w:cs="Arial"/>
                                      <w:sz w:val="20"/>
                                    </w:rPr>
                                  </w:pPr>
                                  <w:r w:rsidRPr="0055776F">
                                    <w:rPr>
                                      <w:rFonts w:ascii="Arial" w:hAnsi="Arial" w:cs="Arial"/>
                                      <w:sz w:val="20"/>
                                    </w:rPr>
                                    <w:t>186</w:t>
                                  </w:r>
                                </w:p>
                              </w:tc>
                            </w:tr>
                            <w:tr w:rsidR="00B97E8A" w:rsidRPr="0055776F" w14:paraId="1B6813A2" w14:textId="77777777" w:rsidTr="0077258C">
                              <w:tc>
                                <w:tcPr>
                                  <w:tcW w:w="817" w:type="dxa"/>
                                  <w:shd w:val="clear" w:color="auto" w:fill="auto"/>
                                </w:tcPr>
                                <w:p w14:paraId="1B68139D"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9E"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9F"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A0"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A1" w14:textId="77777777" w:rsidR="00B97E8A" w:rsidRPr="0055776F" w:rsidRDefault="00B97E8A" w:rsidP="0077258C">
                                  <w:pPr>
                                    <w:rPr>
                                      <w:rFonts w:ascii="Arial" w:hAnsi="Arial" w:cs="Arial"/>
                                      <w:sz w:val="20"/>
                                    </w:rPr>
                                  </w:pPr>
                                </w:p>
                              </w:tc>
                            </w:tr>
                          </w:tbl>
                          <w:p w14:paraId="1B6813A3" w14:textId="77777777" w:rsidR="00B97E8A" w:rsidRPr="00A33DBA" w:rsidRDefault="00B97E8A" w:rsidP="000A6648">
                            <w:pPr>
                              <w:rPr>
                                <w:rFonts w:ascii="Arial" w:hAnsi="Arial" w:cs="Arial"/>
                                <w:sz w:val="20"/>
                              </w:rPr>
                            </w:pPr>
                          </w:p>
                          <w:p w14:paraId="1B6813A4" w14:textId="77777777" w:rsidR="00B97E8A" w:rsidRPr="00A33DBA" w:rsidRDefault="00B97E8A" w:rsidP="000A66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B" id="_x0000_s1036" type="#_x0000_t202" style="position:absolute;left:0;text-align:left;margin-left:27.6pt;margin-top:68.2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" filled="f" stroked="f">
                <v:textbox>
                  <w:txbxContent>
                    <w:p w14:paraId="1B681386" w14:textId="77777777" w:rsidR="00B97E8A" w:rsidRDefault="00B97E8A" w:rsidP="000A6648">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B97E8A" w:rsidRPr="0055776F" w14:paraId="1B68138A" w14:textId="77777777" w:rsidTr="0077258C">
                        <w:tc>
                          <w:tcPr>
                            <w:tcW w:w="5691" w:type="dxa"/>
                            <w:gridSpan w:val="5"/>
                            <w:shd w:val="clear" w:color="auto" w:fill="auto"/>
                          </w:tcPr>
                          <w:p w14:paraId="1B681387" w14:textId="77777777" w:rsidR="00B97E8A" w:rsidRPr="0055776F" w:rsidRDefault="00B97E8A"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1B681388" w14:textId="77777777" w:rsidR="00B97E8A" w:rsidRPr="0055776F" w:rsidRDefault="00B97E8A" w:rsidP="0077258C">
                            <w:pPr>
                              <w:rPr>
                                <w:rFonts w:ascii="Arial" w:hAnsi="Arial" w:cs="Arial"/>
                                <w:sz w:val="20"/>
                              </w:rPr>
                            </w:pPr>
                            <w:r w:rsidRPr="0055776F">
                              <w:rPr>
                                <w:rFonts w:ascii="Arial" w:hAnsi="Arial" w:cs="Arial"/>
                                <w:sz w:val="20"/>
                              </w:rPr>
                              <w:t>Hazard ratio 0.45</w:t>
                            </w:r>
                          </w:p>
                          <w:p w14:paraId="1B681389" w14:textId="77777777" w:rsidR="00B97E8A" w:rsidRPr="0055776F" w:rsidRDefault="00B97E8A" w:rsidP="000135E1">
                            <w:pPr>
                              <w:rPr>
                                <w:rFonts w:ascii="Arial" w:hAnsi="Arial" w:cs="Arial"/>
                                <w:sz w:val="20"/>
                                <w:lang w:val="de-DE"/>
                              </w:rPr>
                            </w:pPr>
                            <w:r w:rsidRPr="0055776F">
                              <w:rPr>
                                <w:rFonts w:ascii="Arial" w:hAnsi="Arial" w:cs="Arial"/>
                                <w:sz w:val="20"/>
                              </w:rPr>
                              <w:t>(95% Cl, 0.22</w:t>
                            </w:r>
                            <w:r>
                              <w:rPr>
                                <w:rFonts w:ascii="Arial" w:hAnsi="Arial" w:cs="Arial"/>
                                <w:sz w:val="20"/>
                              </w:rPr>
                              <w:noBreakHyphen/>
                            </w:r>
                            <w:r w:rsidRPr="0055776F">
                              <w:rPr>
                                <w:rFonts w:ascii="Arial" w:hAnsi="Arial" w:cs="Arial"/>
                                <w:sz w:val="20"/>
                              </w:rPr>
                              <w:t>0.89)</w:t>
                            </w:r>
                          </w:p>
                        </w:tc>
                      </w:tr>
                      <w:tr w:rsidR="00B97E8A" w:rsidRPr="0055776F" w14:paraId="1B681390" w14:textId="77777777" w:rsidTr="0077258C">
                        <w:tc>
                          <w:tcPr>
                            <w:tcW w:w="817" w:type="dxa"/>
                            <w:shd w:val="clear" w:color="auto" w:fill="auto"/>
                          </w:tcPr>
                          <w:p w14:paraId="1B68138B" w14:textId="77777777" w:rsidR="00B97E8A" w:rsidRPr="0055776F" w:rsidRDefault="00B97E8A" w:rsidP="0077258C">
                            <w:pPr>
                              <w:rPr>
                                <w:rFonts w:ascii="Arial" w:hAnsi="Arial" w:cs="Arial"/>
                                <w:sz w:val="20"/>
                              </w:rPr>
                            </w:pPr>
                          </w:p>
                        </w:tc>
                        <w:tc>
                          <w:tcPr>
                            <w:tcW w:w="2464" w:type="dxa"/>
                            <w:shd w:val="clear" w:color="auto" w:fill="auto"/>
                          </w:tcPr>
                          <w:p w14:paraId="1B68138C" w14:textId="77777777" w:rsidR="00B97E8A" w:rsidRPr="0055776F" w:rsidRDefault="00B97E8A" w:rsidP="0077258C">
                            <w:pPr>
                              <w:rPr>
                                <w:rFonts w:ascii="Arial" w:hAnsi="Arial" w:cs="Arial"/>
                                <w:sz w:val="20"/>
                              </w:rPr>
                            </w:pPr>
                          </w:p>
                        </w:tc>
                        <w:tc>
                          <w:tcPr>
                            <w:tcW w:w="851" w:type="dxa"/>
                            <w:tcBorders>
                              <w:bottom w:val="single" w:sz="4" w:space="0" w:color="auto"/>
                            </w:tcBorders>
                            <w:shd w:val="clear" w:color="auto" w:fill="auto"/>
                          </w:tcPr>
                          <w:p w14:paraId="1B68138D" w14:textId="77777777" w:rsidR="00B97E8A" w:rsidRPr="0055776F" w:rsidRDefault="00B97E8A"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B68138E" w14:textId="77777777" w:rsidR="00B97E8A" w:rsidRPr="0055776F" w:rsidRDefault="00B97E8A" w:rsidP="0077258C">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B68138F" w14:textId="77777777" w:rsidR="00B97E8A" w:rsidRPr="0055776F" w:rsidRDefault="00B97E8A" w:rsidP="0077258C">
                            <w:pPr>
                              <w:rPr>
                                <w:rFonts w:ascii="Arial" w:hAnsi="Arial" w:cs="Arial"/>
                                <w:sz w:val="20"/>
                              </w:rPr>
                            </w:pPr>
                            <w:r w:rsidRPr="0055776F">
                              <w:rPr>
                                <w:rFonts w:ascii="Arial" w:hAnsi="Arial" w:cs="Arial"/>
                                <w:sz w:val="20"/>
                                <w:lang w:val="de-DE"/>
                              </w:rPr>
                              <w:t>Cen</w:t>
                            </w:r>
                          </w:p>
                        </w:tc>
                      </w:tr>
                      <w:tr w:rsidR="00B97E8A" w:rsidRPr="0055776F" w14:paraId="1B681396" w14:textId="77777777" w:rsidTr="0077258C">
                        <w:tc>
                          <w:tcPr>
                            <w:tcW w:w="817" w:type="dxa"/>
                            <w:shd w:val="clear" w:color="auto" w:fill="auto"/>
                          </w:tcPr>
                          <w:p w14:paraId="1B681391" w14:textId="77777777" w:rsidR="00B97E8A" w:rsidRPr="0055776F" w:rsidRDefault="00B97E8A" w:rsidP="0077258C">
                            <w:pPr>
                              <w:rPr>
                                <w:rFonts w:ascii="Arial" w:hAnsi="Arial" w:cs="Arial"/>
                                <w:sz w:val="20"/>
                              </w:rPr>
                            </w:pPr>
                            <w:r w:rsidRPr="0055776F">
                              <w:rPr>
                                <w:rFonts w:ascii="Arial" w:hAnsi="Arial" w:cs="Arial"/>
                                <w:b/>
                                <w:sz w:val="20"/>
                              </w:rPr>
                              <w:t>——</w:t>
                            </w:r>
                          </w:p>
                        </w:tc>
                        <w:tc>
                          <w:tcPr>
                            <w:tcW w:w="2464" w:type="dxa"/>
                            <w:shd w:val="clear" w:color="auto" w:fill="auto"/>
                          </w:tcPr>
                          <w:p w14:paraId="1B681392" w14:textId="77777777" w:rsidR="00B97E8A" w:rsidRPr="0055776F" w:rsidRDefault="00B97E8A" w:rsidP="0077258C">
                            <w:pPr>
                              <w:rPr>
                                <w:rFonts w:ascii="Arial" w:hAnsi="Arial" w:cs="Arial"/>
                                <w:sz w:val="20"/>
                              </w:rPr>
                            </w:pPr>
                            <w:r>
                              <w:rPr>
                                <w:rFonts w:ascii="Arial" w:hAnsi="Arial" w:cs="Arial"/>
                                <w:sz w:val="20"/>
                              </w:rPr>
                              <w:t>(1) Imatinib 12 </w:t>
                            </w:r>
                            <w:r w:rsidRPr="0055776F">
                              <w:rPr>
                                <w:rFonts w:ascii="Arial" w:hAnsi="Arial" w:cs="Arial"/>
                                <w:sz w:val="20"/>
                              </w:rPr>
                              <w:t>MO:</w:t>
                            </w:r>
                          </w:p>
                        </w:tc>
                        <w:tc>
                          <w:tcPr>
                            <w:tcW w:w="851" w:type="dxa"/>
                            <w:tcBorders>
                              <w:top w:val="single" w:sz="4" w:space="0" w:color="auto"/>
                            </w:tcBorders>
                            <w:shd w:val="clear" w:color="auto" w:fill="auto"/>
                          </w:tcPr>
                          <w:p w14:paraId="1B681393" w14:textId="77777777" w:rsidR="00B97E8A" w:rsidRPr="0055776F" w:rsidRDefault="00B97E8A"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B681394" w14:textId="77777777" w:rsidR="00B97E8A" w:rsidRPr="0055776F" w:rsidRDefault="00B97E8A"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B681395" w14:textId="77777777" w:rsidR="00B97E8A" w:rsidRPr="0055776F" w:rsidRDefault="00B97E8A" w:rsidP="0077258C">
                            <w:pPr>
                              <w:rPr>
                                <w:rFonts w:ascii="Arial" w:hAnsi="Arial" w:cs="Arial"/>
                                <w:sz w:val="20"/>
                              </w:rPr>
                            </w:pPr>
                            <w:r w:rsidRPr="0055776F">
                              <w:rPr>
                                <w:rFonts w:ascii="Arial" w:hAnsi="Arial" w:cs="Arial"/>
                                <w:sz w:val="20"/>
                              </w:rPr>
                              <w:t>174</w:t>
                            </w:r>
                          </w:p>
                        </w:tc>
                      </w:tr>
                      <w:tr w:rsidR="00B97E8A" w:rsidRPr="0055776F" w14:paraId="1B68139C" w14:textId="77777777" w:rsidTr="0077258C">
                        <w:tc>
                          <w:tcPr>
                            <w:tcW w:w="817" w:type="dxa"/>
                            <w:shd w:val="clear" w:color="auto" w:fill="auto"/>
                          </w:tcPr>
                          <w:p w14:paraId="1B681397"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98" w14:textId="77777777" w:rsidR="00B97E8A" w:rsidRPr="0055776F" w:rsidRDefault="00B97E8A" w:rsidP="0077258C">
                            <w:pPr>
                              <w:rPr>
                                <w:rFonts w:ascii="Arial" w:hAnsi="Arial" w:cs="Arial"/>
                                <w:sz w:val="20"/>
                              </w:rPr>
                            </w:pPr>
                            <w:r>
                              <w:rPr>
                                <w:rFonts w:ascii="Arial" w:hAnsi="Arial" w:cs="Arial"/>
                                <w:sz w:val="20"/>
                              </w:rPr>
                              <w:t>(2) Imatinib 36 </w:t>
                            </w:r>
                            <w:r w:rsidRPr="0055776F">
                              <w:rPr>
                                <w:rFonts w:ascii="Arial" w:hAnsi="Arial" w:cs="Arial"/>
                                <w:sz w:val="20"/>
                              </w:rPr>
                              <w:t>MO:</w:t>
                            </w:r>
                          </w:p>
                        </w:tc>
                        <w:tc>
                          <w:tcPr>
                            <w:tcW w:w="851" w:type="dxa"/>
                            <w:tcBorders>
                              <w:bottom w:val="single" w:sz="4" w:space="0" w:color="auto"/>
                            </w:tcBorders>
                            <w:shd w:val="clear" w:color="auto" w:fill="auto"/>
                          </w:tcPr>
                          <w:p w14:paraId="1B681399" w14:textId="77777777" w:rsidR="00B97E8A" w:rsidRPr="0055776F" w:rsidRDefault="00B97E8A"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B68139A" w14:textId="77777777" w:rsidR="00B97E8A" w:rsidRPr="0055776F" w:rsidRDefault="00B97E8A"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B68139B" w14:textId="77777777" w:rsidR="00B97E8A" w:rsidRPr="0055776F" w:rsidRDefault="00B97E8A" w:rsidP="0077258C">
                            <w:pPr>
                              <w:rPr>
                                <w:rFonts w:ascii="Arial" w:hAnsi="Arial" w:cs="Arial"/>
                                <w:sz w:val="20"/>
                              </w:rPr>
                            </w:pPr>
                            <w:r w:rsidRPr="0055776F">
                              <w:rPr>
                                <w:rFonts w:ascii="Arial" w:hAnsi="Arial" w:cs="Arial"/>
                                <w:sz w:val="20"/>
                              </w:rPr>
                              <w:t>186</w:t>
                            </w:r>
                          </w:p>
                        </w:tc>
                      </w:tr>
                      <w:tr w:rsidR="00B97E8A" w:rsidRPr="0055776F" w14:paraId="1B6813A2" w14:textId="77777777" w:rsidTr="0077258C">
                        <w:tc>
                          <w:tcPr>
                            <w:tcW w:w="817" w:type="dxa"/>
                            <w:shd w:val="clear" w:color="auto" w:fill="auto"/>
                          </w:tcPr>
                          <w:p w14:paraId="1B68139D" w14:textId="77777777" w:rsidR="00B97E8A" w:rsidRPr="0055776F" w:rsidRDefault="00B97E8A" w:rsidP="0077258C">
                            <w:pPr>
                              <w:rPr>
                                <w:rFonts w:ascii="Arial" w:hAnsi="Arial" w:cs="Arial"/>
                                <w:sz w:val="20"/>
                              </w:rPr>
                            </w:pPr>
                            <w:r w:rsidRPr="0055776F">
                              <w:rPr>
                                <w:rFonts w:ascii="Arial" w:hAnsi="Arial" w:cs="Arial"/>
                                <w:sz w:val="20"/>
                              </w:rPr>
                              <w:t>│││</w:t>
                            </w:r>
                          </w:p>
                        </w:tc>
                        <w:tc>
                          <w:tcPr>
                            <w:tcW w:w="2464" w:type="dxa"/>
                            <w:shd w:val="clear" w:color="auto" w:fill="auto"/>
                          </w:tcPr>
                          <w:p w14:paraId="1B68139E" w14:textId="77777777" w:rsidR="00B97E8A" w:rsidRPr="0055776F" w:rsidRDefault="00B97E8A" w:rsidP="0077258C">
                            <w:pPr>
                              <w:rPr>
                                <w:rFonts w:ascii="Arial" w:hAnsi="Arial" w:cs="Arial"/>
                                <w:sz w:val="20"/>
                              </w:rPr>
                            </w:pPr>
                            <w:r w:rsidRPr="0055776F">
                              <w:rPr>
                                <w:rFonts w:ascii="Arial" w:hAnsi="Arial" w:cs="Arial"/>
                                <w:sz w:val="20"/>
                              </w:rPr>
                              <w:t>Censored observations</w:t>
                            </w:r>
                          </w:p>
                        </w:tc>
                        <w:tc>
                          <w:tcPr>
                            <w:tcW w:w="851" w:type="dxa"/>
                            <w:tcBorders>
                              <w:top w:val="single" w:sz="4" w:space="0" w:color="auto"/>
                            </w:tcBorders>
                            <w:shd w:val="clear" w:color="auto" w:fill="auto"/>
                          </w:tcPr>
                          <w:p w14:paraId="1B68139F" w14:textId="77777777" w:rsidR="00B97E8A" w:rsidRPr="0055776F" w:rsidRDefault="00B97E8A" w:rsidP="0077258C">
                            <w:pPr>
                              <w:rPr>
                                <w:rFonts w:ascii="Arial" w:hAnsi="Arial" w:cs="Arial"/>
                                <w:sz w:val="20"/>
                              </w:rPr>
                            </w:pPr>
                          </w:p>
                        </w:tc>
                        <w:tc>
                          <w:tcPr>
                            <w:tcW w:w="709" w:type="dxa"/>
                            <w:tcBorders>
                              <w:top w:val="single" w:sz="4" w:space="0" w:color="auto"/>
                            </w:tcBorders>
                            <w:shd w:val="clear" w:color="auto" w:fill="auto"/>
                          </w:tcPr>
                          <w:p w14:paraId="1B6813A0" w14:textId="77777777" w:rsidR="00B97E8A" w:rsidRPr="0055776F" w:rsidRDefault="00B97E8A" w:rsidP="0077258C">
                            <w:pPr>
                              <w:rPr>
                                <w:rFonts w:ascii="Arial" w:hAnsi="Arial" w:cs="Arial"/>
                                <w:sz w:val="20"/>
                              </w:rPr>
                            </w:pPr>
                          </w:p>
                        </w:tc>
                        <w:tc>
                          <w:tcPr>
                            <w:tcW w:w="850" w:type="dxa"/>
                            <w:tcBorders>
                              <w:top w:val="single" w:sz="4" w:space="0" w:color="auto"/>
                            </w:tcBorders>
                            <w:shd w:val="clear" w:color="auto" w:fill="auto"/>
                          </w:tcPr>
                          <w:p w14:paraId="1B6813A1" w14:textId="77777777" w:rsidR="00B97E8A" w:rsidRPr="0055776F" w:rsidRDefault="00B97E8A" w:rsidP="0077258C">
                            <w:pPr>
                              <w:rPr>
                                <w:rFonts w:ascii="Arial" w:hAnsi="Arial" w:cs="Arial"/>
                                <w:sz w:val="20"/>
                              </w:rPr>
                            </w:pPr>
                          </w:p>
                        </w:tc>
                      </w:tr>
                    </w:tbl>
                    <w:p w14:paraId="1B6813A3" w14:textId="77777777" w:rsidR="00B97E8A" w:rsidRPr="00A33DBA" w:rsidRDefault="00B97E8A" w:rsidP="000A6648">
                      <w:pPr>
                        <w:rPr>
                          <w:rFonts w:ascii="Arial" w:hAnsi="Arial" w:cs="Arial"/>
                          <w:sz w:val="20"/>
                        </w:rPr>
                      </w:pPr>
                    </w:p>
                    <w:p w14:paraId="1B6813A4" w14:textId="77777777" w:rsidR="00B97E8A" w:rsidRPr="00A33DBA" w:rsidRDefault="00B97E8A" w:rsidP="000A6648">
                      <w:pPr>
                        <w:rPr>
                          <w:rFonts w:ascii="Arial" w:hAnsi="Arial" w:cs="Arial"/>
                          <w:sz w:val="20"/>
                        </w:rPr>
                      </w:pPr>
                    </w:p>
                  </w:txbxContent>
                </v:textbox>
              </v:shape>
            </w:pict>
          </mc:Fallback>
        </mc:AlternateContent>
      </w:r>
      <w:r w:rsidRPr="00654EF1">
        <w:rPr>
          <w:noProof/>
          <w:lang w:eastAsia="en-GB"/>
        </w:rPr>
        <w:drawing>
          <wp:inline distT="0" distB="0" distL="0" distR="0" wp14:anchorId="1B68130D" wp14:editId="1B68130E">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1B68093B" w14:textId="77777777" w:rsidR="000A6648" w:rsidRPr="00654EF1" w:rsidRDefault="002B04AE" w:rsidP="001D5C8C">
      <w:pPr>
        <w:keepNext/>
        <w:widowControl w:val="0"/>
        <w:tabs>
          <w:tab w:val="clear" w:pos="567"/>
        </w:tabs>
        <w:spacing w:line="240" w:lineRule="auto"/>
        <w:ind w:left="1134" w:hanging="1134"/>
        <w:outlineLvl w:val="6"/>
        <w:rPr>
          <w:rFonts w:eastAsia="MS Mincho"/>
          <w:szCs w:val="22"/>
          <w:lang w:val="en-US"/>
        </w:rPr>
      </w:pPr>
      <w:r w:rsidRPr="00654EF1">
        <w:rPr>
          <w:rFonts w:eastAsia="MS Mincho"/>
          <w:noProof/>
          <w:szCs w:val="22"/>
          <w:lang w:eastAsia="en-GB"/>
        </w:rPr>
        <mc:AlternateContent>
          <mc:Choice Requires="wps">
            <w:drawing>
              <wp:anchor distT="0" distB="0" distL="114300" distR="114300" simplePos="0" relativeHeight="251663360" behindDoc="0" locked="0" layoutInCell="1" allowOverlap="1" wp14:anchorId="1B68130F" wp14:editId="1B681310">
                <wp:simplePos x="0" y="0"/>
                <wp:positionH relativeFrom="column">
                  <wp:posOffset>2329815</wp:posOffset>
                </wp:positionH>
                <wp:positionV relativeFrom="paragraph">
                  <wp:posOffset>73660</wp:posOffset>
                </wp:positionV>
                <wp:extent cx="1619250" cy="3035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813A5" w14:textId="77777777" w:rsidR="00B97E8A" w:rsidRPr="00A33DBA" w:rsidRDefault="00B97E8A" w:rsidP="000A6648">
                            <w:pPr>
                              <w:rPr>
                                <w:rFonts w:ascii="Arial" w:hAnsi="Arial" w:cs="Arial"/>
                                <w:sz w:val="20"/>
                              </w:rPr>
                            </w:pPr>
                            <w:r w:rsidRPr="00A33DBA">
                              <w:rPr>
                                <w:rFonts w:ascii="Arial" w:hAnsi="Arial" w:cs="Arial"/>
                                <w:sz w:val="20"/>
                                <w:lang w:val="de-DE"/>
                              </w:rPr>
                              <w:t>Survival time in months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68130F" id="_x0000_s1037" type="#_x0000_t202" style="position:absolute;left:0;text-align:left;margin-left:183.45pt;margin-top:5.8pt;width:127.5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" stroked="f">
                <v:fill opacity="0"/>
                <v:textbox>
                  <w:txbxContent>
                    <w:p w14:paraId="1B6813A5" w14:textId="77777777" w:rsidR="00B97E8A" w:rsidRPr="00A33DBA" w:rsidRDefault="00B97E8A" w:rsidP="000A6648">
                      <w:pPr>
                        <w:rPr>
                          <w:rFonts w:ascii="Arial" w:hAnsi="Arial" w:cs="Arial"/>
                          <w:sz w:val="20"/>
                        </w:rPr>
                      </w:pPr>
                      <w:r w:rsidRPr="00A33DBA">
                        <w:rPr>
                          <w:rFonts w:ascii="Arial" w:hAnsi="Arial" w:cs="Arial"/>
                          <w:sz w:val="20"/>
                          <w:lang w:val="de-DE"/>
                        </w:rPr>
                        <w:t>Survival time in months</w:t>
                      </w:r>
                    </w:p>
                  </w:txbxContent>
                </v:textbox>
              </v:shape>
            </w:pict>
          </mc:Fallback>
        </mc:AlternateContent>
      </w:r>
    </w:p>
    <w:p w14:paraId="1B68093C" w14:textId="77777777" w:rsidR="000A6648" w:rsidRPr="00654EF1" w:rsidRDefault="000A6648" w:rsidP="001D5C8C">
      <w:pPr>
        <w:keepNext/>
        <w:widowControl w:val="0"/>
        <w:tabs>
          <w:tab w:val="clear" w:pos="567"/>
        </w:tabs>
        <w:spacing w:line="240" w:lineRule="auto"/>
        <w:ind w:left="1134" w:hanging="1134"/>
        <w:outlineLvl w:val="6"/>
        <w:rPr>
          <w:rFonts w:eastAsia="MS Mincho"/>
          <w:szCs w:val="22"/>
          <w:lang w:val="en-US"/>
        </w:rPr>
      </w:pPr>
    </w:p>
    <w:p w14:paraId="1B68093D" w14:textId="77777777" w:rsidR="000A6648" w:rsidRPr="00654EF1" w:rsidRDefault="000A6648" w:rsidP="001D5C8C">
      <w:pPr>
        <w:keepNext/>
        <w:widowControl w:val="0"/>
        <w:spacing w:line="240" w:lineRule="auto"/>
        <w:ind w:left="1134" w:hanging="1134"/>
        <w:outlineLvl w:val="6"/>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0A6648" w:rsidRPr="00654EF1" w14:paraId="1B68093F" w14:textId="77777777" w:rsidTr="0077258C">
        <w:tc>
          <w:tcPr>
            <w:tcW w:w="10632" w:type="dxa"/>
            <w:gridSpan w:val="16"/>
            <w:shd w:val="clear" w:color="auto" w:fill="auto"/>
          </w:tcPr>
          <w:p w14:paraId="1B68093E" w14:textId="77777777" w:rsidR="000A6648" w:rsidRPr="00654EF1" w:rsidRDefault="000A6648" w:rsidP="001D5C8C">
            <w:pPr>
              <w:keepNext/>
              <w:widowControl w:val="0"/>
              <w:spacing w:line="240" w:lineRule="auto"/>
              <w:ind w:left="1134" w:hanging="1134"/>
              <w:outlineLvl w:val="6"/>
              <w:rPr>
                <w:rFonts w:ascii="Arial" w:hAnsi="Arial" w:cs="Arial"/>
                <w:sz w:val="16"/>
                <w:szCs w:val="16"/>
              </w:rPr>
            </w:pPr>
            <w:r w:rsidRPr="00654EF1">
              <w:rPr>
                <w:rFonts w:ascii="Arial" w:hAnsi="Arial" w:cs="Arial"/>
                <w:sz w:val="20"/>
              </w:rPr>
              <w:t>At-risk : Events</w:t>
            </w:r>
          </w:p>
        </w:tc>
      </w:tr>
      <w:tr w:rsidR="000A6648" w:rsidRPr="00654EF1" w14:paraId="1B680950" w14:textId="77777777" w:rsidTr="00E0269A">
        <w:tc>
          <w:tcPr>
            <w:tcW w:w="450" w:type="dxa"/>
            <w:shd w:val="clear" w:color="auto" w:fill="auto"/>
          </w:tcPr>
          <w:p w14:paraId="1B680940" w14:textId="77777777" w:rsidR="000A6648" w:rsidRPr="00654EF1" w:rsidRDefault="000A6648" w:rsidP="001D5C8C">
            <w:pPr>
              <w:widowControl w:val="0"/>
              <w:spacing w:line="240" w:lineRule="auto"/>
              <w:rPr>
                <w:sz w:val="20"/>
              </w:rPr>
            </w:pPr>
            <w:r w:rsidRPr="00654EF1">
              <w:rPr>
                <w:sz w:val="20"/>
              </w:rPr>
              <w:t>(1)</w:t>
            </w:r>
          </w:p>
        </w:tc>
        <w:tc>
          <w:tcPr>
            <w:tcW w:w="687" w:type="dxa"/>
            <w:shd w:val="clear" w:color="auto" w:fill="auto"/>
          </w:tcPr>
          <w:p w14:paraId="1B680941" w14:textId="77777777" w:rsidR="000A6648" w:rsidRPr="00654EF1" w:rsidRDefault="000A6648" w:rsidP="001D5C8C">
            <w:pPr>
              <w:widowControl w:val="0"/>
              <w:spacing w:line="240" w:lineRule="auto"/>
              <w:ind w:left="-45"/>
              <w:rPr>
                <w:sz w:val="20"/>
              </w:rPr>
            </w:pPr>
            <w:r w:rsidRPr="00654EF1">
              <w:rPr>
                <w:sz w:val="20"/>
              </w:rPr>
              <w:t>199:0</w:t>
            </w:r>
          </w:p>
        </w:tc>
        <w:tc>
          <w:tcPr>
            <w:tcW w:w="670" w:type="dxa"/>
            <w:shd w:val="clear" w:color="auto" w:fill="auto"/>
          </w:tcPr>
          <w:p w14:paraId="1B680942" w14:textId="77777777" w:rsidR="000A6648" w:rsidRPr="00654EF1" w:rsidRDefault="000A6648" w:rsidP="001D5C8C">
            <w:pPr>
              <w:widowControl w:val="0"/>
              <w:spacing w:line="240" w:lineRule="auto"/>
              <w:ind w:left="-45"/>
              <w:rPr>
                <w:sz w:val="20"/>
              </w:rPr>
            </w:pPr>
            <w:r w:rsidRPr="00654EF1">
              <w:rPr>
                <w:sz w:val="20"/>
              </w:rPr>
              <w:t>190:2</w:t>
            </w:r>
          </w:p>
        </w:tc>
        <w:tc>
          <w:tcPr>
            <w:tcW w:w="710" w:type="dxa"/>
            <w:shd w:val="clear" w:color="auto" w:fill="auto"/>
          </w:tcPr>
          <w:p w14:paraId="1B680943" w14:textId="77777777" w:rsidR="000A6648" w:rsidRPr="00654EF1" w:rsidRDefault="000A6648" w:rsidP="001D5C8C">
            <w:pPr>
              <w:widowControl w:val="0"/>
              <w:spacing w:line="240" w:lineRule="auto"/>
              <w:ind w:left="-45"/>
              <w:rPr>
                <w:sz w:val="20"/>
              </w:rPr>
            </w:pPr>
            <w:r w:rsidRPr="00654EF1">
              <w:rPr>
                <w:sz w:val="20"/>
              </w:rPr>
              <w:t>188:2</w:t>
            </w:r>
          </w:p>
        </w:tc>
        <w:tc>
          <w:tcPr>
            <w:tcW w:w="717" w:type="dxa"/>
            <w:shd w:val="clear" w:color="auto" w:fill="auto"/>
          </w:tcPr>
          <w:p w14:paraId="1B680944" w14:textId="77777777" w:rsidR="000A6648" w:rsidRPr="00654EF1" w:rsidRDefault="000A6648" w:rsidP="001D5C8C">
            <w:pPr>
              <w:widowControl w:val="0"/>
              <w:spacing w:line="240" w:lineRule="auto"/>
              <w:ind w:left="-45"/>
              <w:rPr>
                <w:sz w:val="20"/>
              </w:rPr>
            </w:pPr>
            <w:r w:rsidRPr="00654EF1">
              <w:rPr>
                <w:sz w:val="20"/>
              </w:rPr>
              <w:t>183:6</w:t>
            </w:r>
          </w:p>
        </w:tc>
        <w:tc>
          <w:tcPr>
            <w:tcW w:w="691" w:type="dxa"/>
            <w:shd w:val="clear" w:color="auto" w:fill="auto"/>
          </w:tcPr>
          <w:p w14:paraId="1B680945" w14:textId="77777777" w:rsidR="000A6648" w:rsidRPr="00654EF1" w:rsidRDefault="000A6648" w:rsidP="001D5C8C">
            <w:pPr>
              <w:widowControl w:val="0"/>
              <w:spacing w:line="240" w:lineRule="auto"/>
              <w:ind w:left="-45"/>
              <w:rPr>
                <w:sz w:val="20"/>
              </w:rPr>
            </w:pPr>
            <w:r w:rsidRPr="00654EF1">
              <w:rPr>
                <w:sz w:val="20"/>
              </w:rPr>
              <w:t>176:8</w:t>
            </w:r>
          </w:p>
        </w:tc>
        <w:tc>
          <w:tcPr>
            <w:tcW w:w="770" w:type="dxa"/>
            <w:shd w:val="clear" w:color="auto" w:fill="auto"/>
          </w:tcPr>
          <w:p w14:paraId="1B680946" w14:textId="77777777" w:rsidR="000A6648" w:rsidRPr="00654EF1" w:rsidRDefault="000A6648" w:rsidP="001D5C8C">
            <w:pPr>
              <w:widowControl w:val="0"/>
              <w:spacing w:line="240" w:lineRule="auto"/>
              <w:ind w:left="-45"/>
              <w:rPr>
                <w:sz w:val="20"/>
              </w:rPr>
            </w:pPr>
            <w:r w:rsidRPr="00654EF1">
              <w:rPr>
                <w:sz w:val="20"/>
              </w:rPr>
              <w:t>156:10</w:t>
            </w:r>
          </w:p>
        </w:tc>
        <w:tc>
          <w:tcPr>
            <w:tcW w:w="779" w:type="dxa"/>
            <w:shd w:val="clear" w:color="auto" w:fill="auto"/>
          </w:tcPr>
          <w:p w14:paraId="1B680947" w14:textId="77777777" w:rsidR="000A6648" w:rsidRPr="00654EF1" w:rsidRDefault="000A6648" w:rsidP="001D5C8C">
            <w:pPr>
              <w:widowControl w:val="0"/>
              <w:spacing w:line="240" w:lineRule="auto"/>
              <w:ind w:left="-45"/>
              <w:rPr>
                <w:sz w:val="20"/>
              </w:rPr>
            </w:pPr>
            <w:r w:rsidRPr="00654EF1">
              <w:rPr>
                <w:sz w:val="20"/>
              </w:rPr>
              <w:t>140:11</w:t>
            </w:r>
          </w:p>
        </w:tc>
        <w:tc>
          <w:tcPr>
            <w:tcW w:w="794" w:type="dxa"/>
            <w:shd w:val="clear" w:color="auto" w:fill="auto"/>
          </w:tcPr>
          <w:p w14:paraId="1B680948" w14:textId="77777777" w:rsidR="000A6648" w:rsidRPr="00654EF1" w:rsidRDefault="000A6648" w:rsidP="001D5C8C">
            <w:pPr>
              <w:widowControl w:val="0"/>
              <w:spacing w:line="240" w:lineRule="auto"/>
              <w:ind w:left="-45"/>
              <w:rPr>
                <w:sz w:val="20"/>
              </w:rPr>
            </w:pPr>
            <w:r w:rsidRPr="00654EF1">
              <w:rPr>
                <w:sz w:val="20"/>
              </w:rPr>
              <w:t>105:14</w:t>
            </w:r>
          </w:p>
        </w:tc>
        <w:tc>
          <w:tcPr>
            <w:tcW w:w="653" w:type="dxa"/>
            <w:shd w:val="clear" w:color="auto" w:fill="auto"/>
          </w:tcPr>
          <w:p w14:paraId="1B680949" w14:textId="77777777" w:rsidR="000A6648" w:rsidRPr="00654EF1" w:rsidRDefault="000A6648" w:rsidP="001D5C8C">
            <w:pPr>
              <w:widowControl w:val="0"/>
              <w:spacing w:line="240" w:lineRule="auto"/>
              <w:ind w:left="-45"/>
              <w:rPr>
                <w:sz w:val="20"/>
              </w:rPr>
            </w:pPr>
            <w:r w:rsidRPr="00654EF1">
              <w:rPr>
                <w:sz w:val="20"/>
              </w:rPr>
              <w:t>87:18</w:t>
            </w:r>
          </w:p>
        </w:tc>
        <w:tc>
          <w:tcPr>
            <w:tcW w:w="630" w:type="dxa"/>
            <w:shd w:val="clear" w:color="auto" w:fill="auto"/>
          </w:tcPr>
          <w:p w14:paraId="1B68094A" w14:textId="77777777" w:rsidR="000A6648" w:rsidRPr="00654EF1" w:rsidRDefault="000A6648" w:rsidP="001D5C8C">
            <w:pPr>
              <w:widowControl w:val="0"/>
              <w:spacing w:line="240" w:lineRule="auto"/>
              <w:ind w:left="-45"/>
              <w:rPr>
                <w:sz w:val="20"/>
              </w:rPr>
            </w:pPr>
            <w:r w:rsidRPr="00654EF1">
              <w:rPr>
                <w:sz w:val="20"/>
              </w:rPr>
              <w:t>64:22</w:t>
            </w:r>
          </w:p>
        </w:tc>
        <w:tc>
          <w:tcPr>
            <w:tcW w:w="643" w:type="dxa"/>
            <w:shd w:val="clear" w:color="auto" w:fill="auto"/>
          </w:tcPr>
          <w:p w14:paraId="1B68094B" w14:textId="77777777" w:rsidR="000A6648" w:rsidRPr="00654EF1" w:rsidRDefault="000A6648" w:rsidP="001D5C8C">
            <w:pPr>
              <w:widowControl w:val="0"/>
              <w:spacing w:line="240" w:lineRule="auto"/>
              <w:ind w:left="-45"/>
              <w:rPr>
                <w:sz w:val="20"/>
              </w:rPr>
            </w:pPr>
            <w:r w:rsidRPr="00654EF1">
              <w:rPr>
                <w:sz w:val="20"/>
              </w:rPr>
              <w:t>46:23</w:t>
            </w:r>
          </w:p>
        </w:tc>
        <w:tc>
          <w:tcPr>
            <w:tcW w:w="670" w:type="dxa"/>
            <w:shd w:val="clear" w:color="auto" w:fill="auto"/>
          </w:tcPr>
          <w:p w14:paraId="1B68094C" w14:textId="77777777" w:rsidR="000A6648" w:rsidRPr="00654EF1" w:rsidRDefault="000A6648" w:rsidP="001D5C8C">
            <w:pPr>
              <w:widowControl w:val="0"/>
              <w:spacing w:line="240" w:lineRule="auto"/>
              <w:ind w:left="-45"/>
              <w:rPr>
                <w:sz w:val="20"/>
              </w:rPr>
            </w:pPr>
            <w:r w:rsidRPr="00654EF1">
              <w:rPr>
                <w:sz w:val="20"/>
              </w:rPr>
              <w:t>27:25</w:t>
            </w:r>
          </w:p>
        </w:tc>
        <w:tc>
          <w:tcPr>
            <w:tcW w:w="683" w:type="dxa"/>
            <w:shd w:val="clear" w:color="auto" w:fill="auto"/>
          </w:tcPr>
          <w:p w14:paraId="1B68094D" w14:textId="77777777" w:rsidR="000A6648" w:rsidRPr="00654EF1" w:rsidRDefault="000A6648" w:rsidP="001D5C8C">
            <w:pPr>
              <w:widowControl w:val="0"/>
              <w:spacing w:line="240" w:lineRule="auto"/>
              <w:ind w:left="-45"/>
              <w:rPr>
                <w:sz w:val="20"/>
              </w:rPr>
            </w:pPr>
            <w:r w:rsidRPr="00654EF1">
              <w:rPr>
                <w:sz w:val="20"/>
              </w:rPr>
              <w:t>20:25</w:t>
            </w:r>
          </w:p>
        </w:tc>
        <w:tc>
          <w:tcPr>
            <w:tcW w:w="558" w:type="dxa"/>
            <w:shd w:val="clear" w:color="auto" w:fill="auto"/>
          </w:tcPr>
          <w:p w14:paraId="1B68094E" w14:textId="77777777" w:rsidR="000A6648" w:rsidRPr="00654EF1" w:rsidRDefault="000A6648" w:rsidP="001D5C8C">
            <w:pPr>
              <w:widowControl w:val="0"/>
              <w:spacing w:line="240" w:lineRule="auto"/>
              <w:ind w:left="-45"/>
              <w:rPr>
                <w:sz w:val="20"/>
              </w:rPr>
            </w:pPr>
            <w:r w:rsidRPr="00654EF1">
              <w:rPr>
                <w:sz w:val="20"/>
              </w:rPr>
              <w:t>2:25</w:t>
            </w:r>
          </w:p>
        </w:tc>
        <w:tc>
          <w:tcPr>
            <w:tcW w:w="527" w:type="dxa"/>
            <w:shd w:val="clear" w:color="auto" w:fill="auto"/>
          </w:tcPr>
          <w:p w14:paraId="1B68094F" w14:textId="77777777" w:rsidR="000A6648" w:rsidRPr="00654EF1" w:rsidRDefault="000A6648" w:rsidP="001D5C8C">
            <w:pPr>
              <w:widowControl w:val="0"/>
              <w:spacing w:line="240" w:lineRule="auto"/>
              <w:ind w:left="-45"/>
              <w:rPr>
                <w:sz w:val="20"/>
              </w:rPr>
            </w:pPr>
            <w:r w:rsidRPr="00654EF1">
              <w:rPr>
                <w:sz w:val="20"/>
              </w:rPr>
              <w:t>0:25</w:t>
            </w:r>
          </w:p>
        </w:tc>
      </w:tr>
      <w:tr w:rsidR="000A6648" w:rsidRPr="00654EF1" w14:paraId="1B680961" w14:textId="77777777" w:rsidTr="00E0269A">
        <w:tc>
          <w:tcPr>
            <w:tcW w:w="450" w:type="dxa"/>
            <w:shd w:val="clear" w:color="auto" w:fill="auto"/>
          </w:tcPr>
          <w:p w14:paraId="1B680951" w14:textId="77777777" w:rsidR="000A6648" w:rsidRPr="00654EF1" w:rsidRDefault="000A6648" w:rsidP="001D5C8C">
            <w:pPr>
              <w:widowControl w:val="0"/>
              <w:spacing w:line="240" w:lineRule="auto"/>
              <w:rPr>
                <w:sz w:val="20"/>
              </w:rPr>
            </w:pPr>
            <w:r w:rsidRPr="00654EF1">
              <w:rPr>
                <w:sz w:val="20"/>
              </w:rPr>
              <w:t>(2)</w:t>
            </w:r>
          </w:p>
        </w:tc>
        <w:tc>
          <w:tcPr>
            <w:tcW w:w="687" w:type="dxa"/>
            <w:shd w:val="clear" w:color="auto" w:fill="auto"/>
          </w:tcPr>
          <w:p w14:paraId="1B680952" w14:textId="77777777" w:rsidR="000A6648" w:rsidRPr="00654EF1" w:rsidRDefault="000A6648" w:rsidP="001D5C8C">
            <w:pPr>
              <w:widowControl w:val="0"/>
              <w:spacing w:line="240" w:lineRule="auto"/>
              <w:ind w:left="-45"/>
              <w:rPr>
                <w:sz w:val="20"/>
              </w:rPr>
            </w:pPr>
            <w:r w:rsidRPr="00654EF1">
              <w:rPr>
                <w:sz w:val="20"/>
              </w:rPr>
              <w:t>198:0</w:t>
            </w:r>
          </w:p>
        </w:tc>
        <w:tc>
          <w:tcPr>
            <w:tcW w:w="670" w:type="dxa"/>
            <w:shd w:val="clear" w:color="auto" w:fill="auto"/>
          </w:tcPr>
          <w:p w14:paraId="1B680953" w14:textId="77777777" w:rsidR="000A6648" w:rsidRPr="00654EF1" w:rsidRDefault="000A6648" w:rsidP="001D5C8C">
            <w:pPr>
              <w:widowControl w:val="0"/>
              <w:spacing w:line="240" w:lineRule="auto"/>
              <w:ind w:left="-45"/>
              <w:rPr>
                <w:sz w:val="20"/>
              </w:rPr>
            </w:pPr>
            <w:r w:rsidRPr="00654EF1">
              <w:rPr>
                <w:sz w:val="20"/>
              </w:rPr>
              <w:t>196:0</w:t>
            </w:r>
          </w:p>
        </w:tc>
        <w:tc>
          <w:tcPr>
            <w:tcW w:w="710" w:type="dxa"/>
            <w:shd w:val="clear" w:color="auto" w:fill="auto"/>
          </w:tcPr>
          <w:p w14:paraId="1B680954" w14:textId="77777777" w:rsidR="000A6648" w:rsidRPr="00654EF1" w:rsidRDefault="000A6648" w:rsidP="001D5C8C">
            <w:pPr>
              <w:widowControl w:val="0"/>
              <w:spacing w:line="240" w:lineRule="auto"/>
              <w:ind w:left="-45"/>
              <w:rPr>
                <w:sz w:val="20"/>
              </w:rPr>
            </w:pPr>
            <w:r w:rsidRPr="00654EF1">
              <w:rPr>
                <w:sz w:val="20"/>
              </w:rPr>
              <w:t>192:0</w:t>
            </w:r>
          </w:p>
        </w:tc>
        <w:tc>
          <w:tcPr>
            <w:tcW w:w="717" w:type="dxa"/>
            <w:shd w:val="clear" w:color="auto" w:fill="auto"/>
          </w:tcPr>
          <w:p w14:paraId="1B680955" w14:textId="77777777" w:rsidR="000A6648" w:rsidRPr="00654EF1" w:rsidRDefault="000A6648" w:rsidP="001D5C8C">
            <w:pPr>
              <w:widowControl w:val="0"/>
              <w:spacing w:line="240" w:lineRule="auto"/>
              <w:ind w:left="-45"/>
              <w:rPr>
                <w:sz w:val="20"/>
              </w:rPr>
            </w:pPr>
            <w:r w:rsidRPr="00654EF1">
              <w:rPr>
                <w:sz w:val="20"/>
              </w:rPr>
              <w:t>187:4</w:t>
            </w:r>
          </w:p>
        </w:tc>
        <w:tc>
          <w:tcPr>
            <w:tcW w:w="691" w:type="dxa"/>
            <w:shd w:val="clear" w:color="auto" w:fill="auto"/>
          </w:tcPr>
          <w:p w14:paraId="1B680956" w14:textId="77777777" w:rsidR="000A6648" w:rsidRPr="00654EF1" w:rsidRDefault="000A6648" w:rsidP="001D5C8C">
            <w:pPr>
              <w:widowControl w:val="0"/>
              <w:spacing w:line="240" w:lineRule="auto"/>
              <w:ind w:left="-45"/>
              <w:rPr>
                <w:sz w:val="20"/>
              </w:rPr>
            </w:pPr>
            <w:r w:rsidRPr="00654EF1">
              <w:rPr>
                <w:sz w:val="20"/>
              </w:rPr>
              <w:t>184:5</w:t>
            </w:r>
          </w:p>
        </w:tc>
        <w:tc>
          <w:tcPr>
            <w:tcW w:w="770" w:type="dxa"/>
            <w:shd w:val="clear" w:color="auto" w:fill="auto"/>
          </w:tcPr>
          <w:p w14:paraId="1B680957" w14:textId="77777777" w:rsidR="000A6648" w:rsidRPr="00654EF1" w:rsidRDefault="000A6648" w:rsidP="001D5C8C">
            <w:pPr>
              <w:widowControl w:val="0"/>
              <w:spacing w:line="240" w:lineRule="auto"/>
              <w:ind w:left="-45"/>
              <w:rPr>
                <w:sz w:val="20"/>
              </w:rPr>
            </w:pPr>
            <w:r w:rsidRPr="00654EF1">
              <w:rPr>
                <w:sz w:val="20"/>
              </w:rPr>
              <w:t>164:7</w:t>
            </w:r>
          </w:p>
        </w:tc>
        <w:tc>
          <w:tcPr>
            <w:tcW w:w="779" w:type="dxa"/>
            <w:shd w:val="clear" w:color="auto" w:fill="auto"/>
          </w:tcPr>
          <w:p w14:paraId="1B680958" w14:textId="77777777" w:rsidR="000A6648" w:rsidRPr="00654EF1" w:rsidRDefault="000A6648" w:rsidP="001D5C8C">
            <w:pPr>
              <w:widowControl w:val="0"/>
              <w:spacing w:line="240" w:lineRule="auto"/>
              <w:ind w:left="-45"/>
              <w:rPr>
                <w:sz w:val="20"/>
              </w:rPr>
            </w:pPr>
            <w:r w:rsidRPr="00654EF1">
              <w:rPr>
                <w:sz w:val="20"/>
              </w:rPr>
              <w:t>152:7</w:t>
            </w:r>
          </w:p>
        </w:tc>
        <w:tc>
          <w:tcPr>
            <w:tcW w:w="794" w:type="dxa"/>
            <w:shd w:val="clear" w:color="auto" w:fill="auto"/>
          </w:tcPr>
          <w:p w14:paraId="1B680959" w14:textId="77777777" w:rsidR="000A6648" w:rsidRPr="00654EF1" w:rsidRDefault="000A6648" w:rsidP="001D5C8C">
            <w:pPr>
              <w:widowControl w:val="0"/>
              <w:spacing w:line="240" w:lineRule="auto"/>
              <w:ind w:left="-45"/>
              <w:rPr>
                <w:sz w:val="20"/>
              </w:rPr>
            </w:pPr>
            <w:r w:rsidRPr="00654EF1">
              <w:rPr>
                <w:sz w:val="20"/>
              </w:rPr>
              <w:t>119:8</w:t>
            </w:r>
          </w:p>
        </w:tc>
        <w:tc>
          <w:tcPr>
            <w:tcW w:w="653" w:type="dxa"/>
            <w:shd w:val="clear" w:color="auto" w:fill="auto"/>
          </w:tcPr>
          <w:p w14:paraId="1B68095A" w14:textId="77777777" w:rsidR="000A6648" w:rsidRPr="00654EF1" w:rsidRDefault="000A6648" w:rsidP="001D5C8C">
            <w:pPr>
              <w:widowControl w:val="0"/>
              <w:spacing w:line="240" w:lineRule="auto"/>
              <w:ind w:left="-45"/>
              <w:rPr>
                <w:sz w:val="20"/>
              </w:rPr>
            </w:pPr>
            <w:r w:rsidRPr="00654EF1">
              <w:rPr>
                <w:sz w:val="20"/>
              </w:rPr>
              <w:t>100:8</w:t>
            </w:r>
          </w:p>
        </w:tc>
        <w:tc>
          <w:tcPr>
            <w:tcW w:w="630" w:type="dxa"/>
            <w:shd w:val="clear" w:color="auto" w:fill="auto"/>
          </w:tcPr>
          <w:p w14:paraId="1B68095B" w14:textId="77777777" w:rsidR="000A6648" w:rsidRPr="00654EF1" w:rsidRDefault="000A6648" w:rsidP="001D5C8C">
            <w:pPr>
              <w:widowControl w:val="0"/>
              <w:spacing w:line="240" w:lineRule="auto"/>
              <w:ind w:left="-45"/>
              <w:rPr>
                <w:sz w:val="20"/>
              </w:rPr>
            </w:pPr>
            <w:r w:rsidRPr="00654EF1">
              <w:rPr>
                <w:sz w:val="20"/>
              </w:rPr>
              <w:t>76:10</w:t>
            </w:r>
          </w:p>
        </w:tc>
        <w:tc>
          <w:tcPr>
            <w:tcW w:w="643" w:type="dxa"/>
            <w:shd w:val="clear" w:color="auto" w:fill="auto"/>
          </w:tcPr>
          <w:p w14:paraId="1B68095C" w14:textId="77777777" w:rsidR="000A6648" w:rsidRPr="00654EF1" w:rsidRDefault="000A6648" w:rsidP="001D5C8C">
            <w:pPr>
              <w:widowControl w:val="0"/>
              <w:spacing w:line="240" w:lineRule="auto"/>
              <w:ind w:left="-45"/>
              <w:rPr>
                <w:sz w:val="20"/>
              </w:rPr>
            </w:pPr>
            <w:r w:rsidRPr="00654EF1">
              <w:rPr>
                <w:sz w:val="20"/>
              </w:rPr>
              <w:t>56:11</w:t>
            </w:r>
          </w:p>
        </w:tc>
        <w:tc>
          <w:tcPr>
            <w:tcW w:w="670" w:type="dxa"/>
            <w:shd w:val="clear" w:color="auto" w:fill="auto"/>
          </w:tcPr>
          <w:p w14:paraId="1B68095D" w14:textId="77777777" w:rsidR="000A6648" w:rsidRPr="00654EF1" w:rsidRDefault="000A6648" w:rsidP="001D5C8C">
            <w:pPr>
              <w:widowControl w:val="0"/>
              <w:spacing w:line="240" w:lineRule="auto"/>
              <w:ind w:left="-45"/>
              <w:rPr>
                <w:sz w:val="20"/>
              </w:rPr>
            </w:pPr>
            <w:r w:rsidRPr="00654EF1">
              <w:rPr>
                <w:sz w:val="20"/>
              </w:rPr>
              <w:t>31:11</w:t>
            </w:r>
          </w:p>
        </w:tc>
        <w:tc>
          <w:tcPr>
            <w:tcW w:w="683" w:type="dxa"/>
            <w:shd w:val="clear" w:color="auto" w:fill="auto"/>
          </w:tcPr>
          <w:p w14:paraId="1B68095E" w14:textId="77777777" w:rsidR="000A6648" w:rsidRPr="00654EF1" w:rsidRDefault="000A6648" w:rsidP="001D5C8C">
            <w:pPr>
              <w:widowControl w:val="0"/>
              <w:spacing w:line="240" w:lineRule="auto"/>
              <w:ind w:left="-45"/>
              <w:rPr>
                <w:sz w:val="20"/>
              </w:rPr>
            </w:pPr>
            <w:r w:rsidRPr="00654EF1">
              <w:rPr>
                <w:sz w:val="20"/>
              </w:rPr>
              <w:t>13:12</w:t>
            </w:r>
          </w:p>
        </w:tc>
        <w:tc>
          <w:tcPr>
            <w:tcW w:w="558" w:type="dxa"/>
            <w:shd w:val="clear" w:color="auto" w:fill="auto"/>
          </w:tcPr>
          <w:p w14:paraId="1B68095F" w14:textId="77777777" w:rsidR="000A6648" w:rsidRPr="00654EF1" w:rsidRDefault="009845D2" w:rsidP="001D5C8C">
            <w:pPr>
              <w:widowControl w:val="0"/>
              <w:spacing w:line="240" w:lineRule="auto"/>
              <w:ind w:left="-45"/>
              <w:rPr>
                <w:sz w:val="20"/>
              </w:rPr>
            </w:pPr>
            <w:r w:rsidRPr="00654EF1">
              <w:rPr>
                <w:sz w:val="20"/>
              </w:rPr>
              <w:t>0</w:t>
            </w:r>
            <w:r w:rsidR="000A6648" w:rsidRPr="00654EF1">
              <w:rPr>
                <w:sz w:val="20"/>
              </w:rPr>
              <w:t>:12</w:t>
            </w:r>
          </w:p>
        </w:tc>
        <w:tc>
          <w:tcPr>
            <w:tcW w:w="527" w:type="dxa"/>
            <w:shd w:val="clear" w:color="auto" w:fill="auto"/>
          </w:tcPr>
          <w:p w14:paraId="1B680960" w14:textId="77777777" w:rsidR="000A6648" w:rsidRPr="00654EF1" w:rsidRDefault="000A6648" w:rsidP="001D5C8C">
            <w:pPr>
              <w:widowControl w:val="0"/>
              <w:spacing w:line="240" w:lineRule="auto"/>
              <w:ind w:left="-45"/>
              <w:rPr>
                <w:sz w:val="20"/>
              </w:rPr>
            </w:pPr>
          </w:p>
        </w:tc>
      </w:tr>
    </w:tbl>
    <w:p w14:paraId="1B680962" w14:textId="77777777" w:rsidR="00E0269A" w:rsidRPr="00654EF1" w:rsidRDefault="00E0269A" w:rsidP="001D5C8C">
      <w:pPr>
        <w:pStyle w:val="Text"/>
        <w:widowControl w:val="0"/>
        <w:spacing w:before="0"/>
        <w:jc w:val="left"/>
        <w:rPr>
          <w:rFonts w:eastAsia="MS Mincho"/>
          <w:color w:val="000000"/>
          <w:sz w:val="22"/>
          <w:szCs w:val="22"/>
          <w:lang w:eastAsia="ja-JP"/>
        </w:rPr>
      </w:pPr>
    </w:p>
    <w:p w14:paraId="1B680963" w14:textId="77777777" w:rsidR="001F2B41" w:rsidRPr="00654EF1" w:rsidRDefault="001F2B41" w:rsidP="001D5C8C">
      <w:pPr>
        <w:pStyle w:val="Text"/>
        <w:widowControl w:val="0"/>
        <w:spacing w:before="0"/>
        <w:jc w:val="left"/>
        <w:rPr>
          <w:rStyle w:val="CommentReference"/>
          <w:sz w:val="22"/>
          <w:szCs w:val="22"/>
        </w:rPr>
      </w:pPr>
      <w:r w:rsidRPr="00654EF1">
        <w:rPr>
          <w:rFonts w:eastAsia="MS Mincho"/>
          <w:sz w:val="22"/>
          <w:szCs w:val="22"/>
          <w:lang w:eastAsia="ja-JP"/>
        </w:rPr>
        <w:t>There are no controlled trials in paediatric patients with c-Kit positive GIST. Seventeen (17)</w:t>
      </w:r>
      <w:r w:rsidRPr="00654EF1">
        <w:rPr>
          <w:color w:val="000000"/>
          <w:sz w:val="22"/>
          <w:szCs w:val="22"/>
        </w:rPr>
        <w:t> </w:t>
      </w:r>
      <w:r w:rsidRPr="00654EF1">
        <w:rPr>
          <w:rFonts w:eastAsia="MS Mincho"/>
          <w:sz w:val="22"/>
          <w:szCs w:val="22"/>
          <w:lang w:eastAsia="ja-JP"/>
        </w:rPr>
        <w:t>patients with GIST (with or without Kit and PDGFR mutations) were reported in 7</w:t>
      </w:r>
      <w:r w:rsidRPr="00654EF1">
        <w:rPr>
          <w:color w:val="000000"/>
          <w:sz w:val="22"/>
          <w:szCs w:val="22"/>
        </w:rPr>
        <w:t> </w:t>
      </w:r>
      <w:r w:rsidRPr="00654EF1">
        <w:rPr>
          <w:rFonts w:eastAsia="MS Mincho"/>
          <w:sz w:val="22"/>
          <w:szCs w:val="22"/>
          <w:lang w:eastAsia="ja-JP"/>
        </w:rPr>
        <w:t>publications. The age of these patients ranged from 8 to 18</w:t>
      </w:r>
      <w:r w:rsidRPr="00654EF1">
        <w:rPr>
          <w:color w:val="000000"/>
          <w:sz w:val="22"/>
          <w:szCs w:val="22"/>
        </w:rPr>
        <w:t> </w:t>
      </w:r>
      <w:r w:rsidRPr="00654EF1">
        <w:rPr>
          <w:rFonts w:eastAsia="MS Mincho"/>
          <w:sz w:val="22"/>
          <w:szCs w:val="22"/>
          <w:lang w:eastAsia="ja-JP"/>
        </w:rPr>
        <w:t>years and imatinib was given in both adjuvant and metastatic settings at doses ranging from 300 to 800</w:t>
      </w:r>
      <w:r w:rsidRPr="00654EF1">
        <w:rPr>
          <w:color w:val="000000"/>
          <w:sz w:val="22"/>
          <w:szCs w:val="22"/>
        </w:rPr>
        <w:t> </w:t>
      </w:r>
      <w:r w:rsidRPr="00654EF1">
        <w:rPr>
          <w:rFonts w:eastAsia="MS Mincho"/>
          <w:sz w:val="22"/>
          <w:szCs w:val="22"/>
          <w:lang w:eastAsia="ja-JP"/>
        </w:rPr>
        <w:t>mg daily. The majority of paediatric patients treated for GIST lacked data confirming c-kit or PDGFR mutations which may have led to mixed clinical outcomes.</w:t>
      </w:r>
    </w:p>
    <w:p w14:paraId="1B680964" w14:textId="77777777" w:rsidR="000A6648" w:rsidRPr="00654EF1" w:rsidRDefault="000A6648" w:rsidP="001D5C8C">
      <w:pPr>
        <w:pStyle w:val="Text"/>
        <w:widowControl w:val="0"/>
        <w:spacing w:before="0"/>
        <w:jc w:val="left"/>
        <w:rPr>
          <w:rFonts w:eastAsia="MS Mincho"/>
          <w:color w:val="000000"/>
          <w:sz w:val="22"/>
          <w:szCs w:val="22"/>
          <w:lang w:eastAsia="ja-JP"/>
        </w:rPr>
      </w:pPr>
    </w:p>
    <w:p w14:paraId="1B680965" w14:textId="77777777" w:rsidR="007E73D8" w:rsidRPr="00654EF1" w:rsidRDefault="007E73D8" w:rsidP="001D5C8C">
      <w:pPr>
        <w:pStyle w:val="Nottoc-headings"/>
        <w:widowControl w:val="0"/>
        <w:spacing w:before="0" w:after="0"/>
        <w:rPr>
          <w:rFonts w:ascii="Times New Roman" w:eastAsia="MS Mincho" w:hAnsi="Times New Roman"/>
          <w:b w:val="0"/>
          <w:color w:val="000000"/>
          <w:sz w:val="22"/>
          <w:szCs w:val="22"/>
          <w:u w:val="single"/>
          <w:lang w:eastAsia="ja-JP"/>
        </w:rPr>
      </w:pPr>
      <w:r w:rsidRPr="00654EF1">
        <w:rPr>
          <w:rFonts w:ascii="Times New Roman" w:eastAsia="MS Mincho" w:hAnsi="Times New Roman"/>
          <w:b w:val="0"/>
          <w:color w:val="000000"/>
          <w:sz w:val="22"/>
          <w:szCs w:val="22"/>
          <w:u w:val="single"/>
          <w:lang w:eastAsia="ja-JP"/>
        </w:rPr>
        <w:t>Clinical studies in DFSP</w:t>
      </w:r>
    </w:p>
    <w:p w14:paraId="1B680966" w14:textId="77777777" w:rsidR="007E73D8" w:rsidRPr="00654EF1" w:rsidRDefault="007E73D8" w:rsidP="001D5C8C">
      <w:pPr>
        <w:pStyle w:val="Text"/>
        <w:widowControl w:val="0"/>
        <w:spacing w:before="0"/>
        <w:jc w:val="left"/>
        <w:rPr>
          <w:rFonts w:eastAsia="MS Mincho"/>
          <w:strike/>
          <w:color w:val="000000"/>
          <w:sz w:val="22"/>
          <w:szCs w:val="22"/>
          <w:lang w:eastAsia="ja-JP"/>
        </w:rPr>
      </w:pPr>
      <w:r w:rsidRPr="00654EF1">
        <w:rPr>
          <w:color w:val="000000"/>
          <w:sz w:val="22"/>
          <w:szCs w:val="22"/>
          <w:lang w:eastAsia="ja-JP"/>
        </w:rPr>
        <w:t xml:space="preserve">One phase II, open label, multicentre clinical trial (study B2225) was conducted including 12 patients with DFSP treated with Glivec 800 mg daily. The age of the DFSP patients ranged from 23 to 75 years; DFSP was metastatic, locally recurrent following initial resective surgery and not considered amenable to further resective surgery at the time of study entry. The primary evidence of efficacy was based on objective response rates. Out of the 12 patients enrolled, 9 responded, one completely and 8 partially. </w:t>
      </w:r>
      <w:r w:rsidRPr="00654EF1">
        <w:rPr>
          <w:color w:val="000000"/>
          <w:sz w:val="22"/>
          <w:szCs w:val="22"/>
        </w:rPr>
        <w:t>Three of the partial responders were subsequently rendered disease free by surgery</w:t>
      </w:r>
      <w:r w:rsidRPr="00654EF1">
        <w:rPr>
          <w:color w:val="000000"/>
          <w:sz w:val="22"/>
          <w:szCs w:val="22"/>
          <w:lang w:eastAsia="ja-JP"/>
        </w:rPr>
        <w:t xml:space="preserve">. The median duration of therapy in study B2225 was 6.2 months, with a maximum duration of 24.3 months. A further 6 DFSP patients treated with Glivec were reported in 5 published case reports, their ages ranging from 18 months to 49 years. The adult patients reported in the published literature were treated with either 400 mg (4 cases) or 800 mg (1 case) Glivec daily. </w:t>
      </w:r>
      <w:r w:rsidR="007F35BE" w:rsidRPr="00654EF1">
        <w:rPr>
          <w:color w:val="000000"/>
          <w:sz w:val="22"/>
          <w:szCs w:val="22"/>
          <w:lang w:eastAsia="ja-JP"/>
        </w:rPr>
        <w:t>Five (</w:t>
      </w:r>
      <w:r w:rsidRPr="00654EF1">
        <w:rPr>
          <w:color w:val="000000"/>
          <w:sz w:val="22"/>
          <w:szCs w:val="22"/>
          <w:lang w:eastAsia="ja-JP"/>
        </w:rPr>
        <w:t>5</w:t>
      </w:r>
      <w:r w:rsidR="007F35BE" w:rsidRPr="00654EF1">
        <w:rPr>
          <w:color w:val="000000"/>
          <w:sz w:val="22"/>
          <w:szCs w:val="22"/>
          <w:lang w:eastAsia="ja-JP"/>
        </w:rPr>
        <w:t>)</w:t>
      </w:r>
      <w:r w:rsidRPr="00654EF1">
        <w:rPr>
          <w:color w:val="000000"/>
          <w:sz w:val="22"/>
          <w:szCs w:val="22"/>
          <w:lang w:eastAsia="ja-JP"/>
        </w:rPr>
        <w:t> patients responded, 3 completely and 2 partially. The median duration of therapy in the published literature ranged between 4 weeks and more than 20 months. The translocation t(</w:t>
      </w:r>
      <w:smartTag w:uri="urn:schemas-microsoft-com:office:smarttags" w:element="time">
        <w:smartTagPr>
          <w:attr w:name="Hour" w:val="17"/>
          <w:attr w:name="Minute" w:val="22"/>
        </w:smartTagPr>
        <w:r w:rsidRPr="00654EF1">
          <w:rPr>
            <w:color w:val="000000"/>
            <w:sz w:val="22"/>
            <w:szCs w:val="22"/>
            <w:lang w:eastAsia="ja-JP"/>
          </w:rPr>
          <w:t>17:22</w:t>
        </w:r>
      </w:smartTag>
      <w:r w:rsidRPr="00654EF1">
        <w:rPr>
          <w:color w:val="000000"/>
          <w:sz w:val="22"/>
          <w:szCs w:val="22"/>
          <w:lang w:eastAsia="ja-JP"/>
        </w:rPr>
        <w:t>)[(q22:q13)], or its gene product, was present in nearly all responders to Glivec treatment.</w:t>
      </w:r>
    </w:p>
    <w:p w14:paraId="1B680967" w14:textId="77777777" w:rsidR="00E0269A" w:rsidRPr="00654EF1" w:rsidRDefault="00E0269A" w:rsidP="001D5C8C">
      <w:pPr>
        <w:pStyle w:val="Text"/>
        <w:widowControl w:val="0"/>
        <w:spacing w:before="0"/>
        <w:jc w:val="left"/>
        <w:rPr>
          <w:color w:val="000000"/>
          <w:sz w:val="22"/>
          <w:szCs w:val="22"/>
          <w:lang w:eastAsia="ja-JP"/>
        </w:rPr>
      </w:pPr>
    </w:p>
    <w:p w14:paraId="1B680968" w14:textId="77777777" w:rsidR="001F2B41" w:rsidRPr="00654EF1" w:rsidRDefault="001F2B41" w:rsidP="001D5C8C">
      <w:pPr>
        <w:pStyle w:val="Text"/>
        <w:widowControl w:val="0"/>
        <w:spacing w:before="0"/>
        <w:jc w:val="left"/>
        <w:rPr>
          <w:color w:val="000000"/>
          <w:sz w:val="22"/>
          <w:szCs w:val="22"/>
          <w:lang w:eastAsia="ja-JP"/>
        </w:rPr>
      </w:pPr>
      <w:r w:rsidRPr="00654EF1">
        <w:rPr>
          <w:color w:val="000000"/>
          <w:sz w:val="22"/>
          <w:szCs w:val="22"/>
          <w:lang w:eastAsia="ja-JP"/>
        </w:rPr>
        <w:t>There are no controlled trials in paediatric patients with DFSP. Five (5)</w:t>
      </w:r>
      <w:r w:rsidRPr="00654EF1">
        <w:rPr>
          <w:color w:val="000000"/>
          <w:sz w:val="22"/>
          <w:szCs w:val="22"/>
        </w:rPr>
        <w:t> </w:t>
      </w:r>
      <w:r w:rsidRPr="00654EF1">
        <w:rPr>
          <w:color w:val="000000"/>
          <w:sz w:val="22"/>
          <w:szCs w:val="22"/>
          <w:lang w:eastAsia="ja-JP"/>
        </w:rPr>
        <w:t>patients with DFSP and PDGFR gene re-arrangements were reported in 3</w:t>
      </w:r>
      <w:r w:rsidRPr="00654EF1">
        <w:rPr>
          <w:color w:val="000000"/>
          <w:sz w:val="22"/>
          <w:szCs w:val="22"/>
        </w:rPr>
        <w:t> </w:t>
      </w:r>
      <w:r w:rsidRPr="00654EF1">
        <w:rPr>
          <w:color w:val="000000"/>
          <w:sz w:val="22"/>
          <w:szCs w:val="22"/>
          <w:lang w:eastAsia="ja-JP"/>
        </w:rPr>
        <w:t>publications. The age of these patients ranged from newborn to 14</w:t>
      </w:r>
      <w:r w:rsidRPr="00654EF1">
        <w:rPr>
          <w:color w:val="000000"/>
          <w:sz w:val="22"/>
          <w:szCs w:val="22"/>
        </w:rPr>
        <w:t> </w:t>
      </w:r>
      <w:r w:rsidRPr="00654EF1">
        <w:rPr>
          <w:color w:val="000000"/>
          <w:sz w:val="22"/>
          <w:szCs w:val="22"/>
          <w:lang w:eastAsia="ja-JP"/>
        </w:rPr>
        <w:t>years and imatinib was given at dose 50 mg daily or doses ranging from 400 to 520</w:t>
      </w:r>
      <w:r w:rsidRPr="00654EF1">
        <w:rPr>
          <w:color w:val="000000"/>
          <w:sz w:val="22"/>
          <w:szCs w:val="22"/>
        </w:rPr>
        <w:t> </w:t>
      </w:r>
      <w:r w:rsidRPr="00654EF1">
        <w:rPr>
          <w:color w:val="000000"/>
          <w:sz w:val="22"/>
          <w:szCs w:val="22"/>
          <w:lang w:eastAsia="ja-JP"/>
        </w:rPr>
        <w:t>mg/m</w:t>
      </w:r>
      <w:r w:rsidRPr="00654EF1">
        <w:rPr>
          <w:color w:val="000000"/>
          <w:sz w:val="22"/>
          <w:szCs w:val="22"/>
          <w:vertAlign w:val="superscript"/>
          <w:lang w:eastAsia="ja-JP"/>
        </w:rPr>
        <w:t>2</w:t>
      </w:r>
      <w:r w:rsidRPr="00654EF1">
        <w:rPr>
          <w:color w:val="000000"/>
          <w:sz w:val="22"/>
          <w:szCs w:val="22"/>
          <w:lang w:eastAsia="ja-JP"/>
        </w:rPr>
        <w:t xml:space="preserve"> daily. All patients achieved partial and/or complete response.</w:t>
      </w:r>
    </w:p>
    <w:p w14:paraId="1B680969" w14:textId="77777777" w:rsidR="006237AB" w:rsidRPr="00654EF1" w:rsidRDefault="006237AB" w:rsidP="001D5C8C">
      <w:pPr>
        <w:pStyle w:val="EndnoteText"/>
        <w:widowControl w:val="0"/>
        <w:tabs>
          <w:tab w:val="clear" w:pos="567"/>
        </w:tabs>
        <w:rPr>
          <w:color w:val="000000"/>
          <w:szCs w:val="22"/>
        </w:rPr>
      </w:pPr>
    </w:p>
    <w:p w14:paraId="1B68096A"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5.2</w:t>
      </w:r>
      <w:r w:rsidRPr="00654EF1">
        <w:rPr>
          <w:b/>
          <w:color w:val="000000"/>
          <w:szCs w:val="22"/>
        </w:rPr>
        <w:tab/>
        <w:t>Pharmacokinetic properties</w:t>
      </w:r>
    </w:p>
    <w:p w14:paraId="1B68096B" w14:textId="77777777" w:rsidR="006237AB" w:rsidRPr="00654EF1" w:rsidRDefault="006237AB" w:rsidP="001D5C8C">
      <w:pPr>
        <w:pStyle w:val="EndnoteText"/>
        <w:keepNext/>
        <w:widowControl w:val="0"/>
        <w:tabs>
          <w:tab w:val="clear" w:pos="567"/>
        </w:tabs>
        <w:rPr>
          <w:color w:val="000000"/>
          <w:szCs w:val="22"/>
        </w:rPr>
      </w:pPr>
    </w:p>
    <w:p w14:paraId="1B68096C" w14:textId="77777777" w:rsidR="006237AB" w:rsidRPr="00654EF1" w:rsidRDefault="006237AB" w:rsidP="001D5C8C">
      <w:pPr>
        <w:pStyle w:val="EndnoteText"/>
        <w:keepNext/>
        <w:widowControl w:val="0"/>
        <w:tabs>
          <w:tab w:val="clear" w:pos="567"/>
        </w:tabs>
        <w:rPr>
          <w:color w:val="000000"/>
          <w:szCs w:val="22"/>
          <w:u w:val="single"/>
        </w:rPr>
      </w:pPr>
      <w:r w:rsidRPr="00654EF1">
        <w:rPr>
          <w:color w:val="000000"/>
          <w:szCs w:val="22"/>
          <w:u w:val="single"/>
        </w:rPr>
        <w:t>Pharmacokinetics of Glivec</w:t>
      </w:r>
    </w:p>
    <w:p w14:paraId="1B68096D"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The pharmacokinetics of Glivec have been evaluated over a dosage range of 25 to 1</w:t>
      </w:r>
      <w:r w:rsidR="00050FB1" w:rsidRPr="00654EF1">
        <w:rPr>
          <w:color w:val="000000"/>
          <w:szCs w:val="22"/>
        </w:rPr>
        <w:t>,</w:t>
      </w:r>
      <w:r w:rsidRPr="00654EF1">
        <w:rPr>
          <w:color w:val="000000"/>
          <w:szCs w:val="22"/>
        </w:rPr>
        <w:t xml:space="preserve">000 mg. Plasma pharmacokinetic profiles were analysed on day 1 and on either day 7 or day 28, by which time plasma </w:t>
      </w:r>
      <w:r w:rsidRPr="00654EF1">
        <w:rPr>
          <w:color w:val="000000"/>
          <w:szCs w:val="22"/>
        </w:rPr>
        <w:lastRenderedPageBreak/>
        <w:t>concentrations had reached steady state.</w:t>
      </w:r>
    </w:p>
    <w:p w14:paraId="1B68096E" w14:textId="77777777" w:rsidR="006237AB" w:rsidRPr="00654EF1" w:rsidRDefault="006237AB" w:rsidP="001D5C8C">
      <w:pPr>
        <w:pStyle w:val="EndnoteText"/>
        <w:widowControl w:val="0"/>
        <w:tabs>
          <w:tab w:val="clear" w:pos="567"/>
        </w:tabs>
        <w:rPr>
          <w:color w:val="000000"/>
          <w:szCs w:val="22"/>
        </w:rPr>
      </w:pPr>
    </w:p>
    <w:p w14:paraId="1B68096F"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Absorption</w:t>
      </w:r>
    </w:p>
    <w:p w14:paraId="1B680970"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Mean absolute bioavailability for imatinib is 98%. There was high between-patient variability in plasma imatinib AUC levels after an oral dose. When given with a high-fat meal, the rate of absorption of imatinib was minimally reduced (11% decrease in C</w:t>
      </w:r>
      <w:r w:rsidRPr="00654EF1">
        <w:rPr>
          <w:color w:val="000000"/>
          <w:szCs w:val="22"/>
          <w:vertAlign w:val="subscript"/>
        </w:rPr>
        <w:t>max</w:t>
      </w:r>
      <w:r w:rsidRPr="00654EF1">
        <w:rPr>
          <w:color w:val="000000"/>
          <w:szCs w:val="22"/>
        </w:rPr>
        <w:t xml:space="preserve"> and prolongation of t</w:t>
      </w:r>
      <w:r w:rsidRPr="00654EF1">
        <w:rPr>
          <w:color w:val="000000"/>
          <w:szCs w:val="22"/>
          <w:vertAlign w:val="subscript"/>
        </w:rPr>
        <w:t>max</w:t>
      </w:r>
      <w:r w:rsidRPr="00654EF1">
        <w:rPr>
          <w:color w:val="000000"/>
          <w:szCs w:val="22"/>
        </w:rPr>
        <w:t xml:space="preserve"> by 1.5 h), with a small reduction in AUC (7.4%) compared to fasting conditions. The effect of prior gastrointestinal surgery on drug absorption has not been investigated.</w:t>
      </w:r>
    </w:p>
    <w:p w14:paraId="1B680971" w14:textId="77777777" w:rsidR="006237AB" w:rsidRPr="00654EF1" w:rsidRDefault="006237AB" w:rsidP="001D5C8C">
      <w:pPr>
        <w:pStyle w:val="EndnoteText"/>
        <w:widowControl w:val="0"/>
        <w:tabs>
          <w:tab w:val="clear" w:pos="567"/>
        </w:tabs>
        <w:rPr>
          <w:color w:val="000000"/>
          <w:szCs w:val="22"/>
        </w:rPr>
      </w:pPr>
    </w:p>
    <w:p w14:paraId="1B680972"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Distribution</w:t>
      </w:r>
    </w:p>
    <w:p w14:paraId="1B680973"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At clinically relevant concentrations of imatinib, binding to plasma proteins was approximately 95% on the basis of </w:t>
      </w:r>
      <w:r w:rsidRPr="00654EF1">
        <w:rPr>
          <w:i/>
          <w:color w:val="000000"/>
          <w:szCs w:val="22"/>
        </w:rPr>
        <w:t>in vitro</w:t>
      </w:r>
      <w:r w:rsidRPr="00654EF1">
        <w:rPr>
          <w:color w:val="000000"/>
          <w:szCs w:val="22"/>
        </w:rPr>
        <w:t xml:space="preserve"> experiments, mostly to albumin and alpha-acid-glycoprotein, with little binding to lipoprotein.</w:t>
      </w:r>
    </w:p>
    <w:p w14:paraId="1B680974" w14:textId="77777777" w:rsidR="006237AB" w:rsidRPr="00654EF1" w:rsidRDefault="006237AB" w:rsidP="001D5C8C">
      <w:pPr>
        <w:pStyle w:val="EndnoteText"/>
        <w:widowControl w:val="0"/>
        <w:tabs>
          <w:tab w:val="clear" w:pos="567"/>
        </w:tabs>
        <w:rPr>
          <w:color w:val="000000"/>
          <w:szCs w:val="22"/>
        </w:rPr>
      </w:pPr>
    </w:p>
    <w:p w14:paraId="1B680975" w14:textId="77777777" w:rsidR="006237AB" w:rsidRPr="00654EF1" w:rsidRDefault="00F428C6" w:rsidP="001D5C8C">
      <w:pPr>
        <w:pStyle w:val="EndnoteText"/>
        <w:keepNext/>
        <w:widowControl w:val="0"/>
        <w:tabs>
          <w:tab w:val="clear" w:pos="567"/>
        </w:tabs>
        <w:rPr>
          <w:color w:val="000000"/>
          <w:szCs w:val="22"/>
          <w:u w:val="single"/>
        </w:rPr>
      </w:pPr>
      <w:r w:rsidRPr="00654EF1">
        <w:rPr>
          <w:u w:val="single"/>
        </w:rPr>
        <w:t>Biotransformation</w:t>
      </w:r>
    </w:p>
    <w:p w14:paraId="1B680976"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The main circulating metabolite in humans is the N-demethylated piperazine derivative, which shows similar </w:t>
      </w:r>
      <w:r w:rsidRPr="00654EF1">
        <w:rPr>
          <w:i/>
          <w:color w:val="000000"/>
          <w:szCs w:val="22"/>
        </w:rPr>
        <w:t>in vitro</w:t>
      </w:r>
      <w:r w:rsidRPr="00654EF1">
        <w:rPr>
          <w:color w:val="000000"/>
          <w:szCs w:val="22"/>
        </w:rPr>
        <w:t xml:space="preserve"> potency to the parent. The plasma AUC for this metabolite was found to be only 16% of the AUC for imatinib.</w:t>
      </w:r>
      <w:r w:rsidR="00BE2245" w:rsidRPr="00654EF1">
        <w:rPr>
          <w:color w:val="000000"/>
          <w:szCs w:val="22"/>
        </w:rPr>
        <w:t xml:space="preserve"> </w:t>
      </w:r>
      <w:r w:rsidR="00BE2245" w:rsidRPr="00654EF1">
        <w:rPr>
          <w:color w:val="000000"/>
        </w:rPr>
        <w:t>The plasma protein binding of the N-demethylated metabolite is similar to that of the parent compound.</w:t>
      </w:r>
    </w:p>
    <w:p w14:paraId="1B680977" w14:textId="77777777" w:rsidR="006237AB" w:rsidRPr="00654EF1" w:rsidRDefault="006237AB" w:rsidP="001D5C8C">
      <w:pPr>
        <w:pStyle w:val="EndnoteText"/>
        <w:widowControl w:val="0"/>
        <w:tabs>
          <w:tab w:val="clear" w:pos="567"/>
        </w:tabs>
        <w:rPr>
          <w:color w:val="000000"/>
          <w:szCs w:val="22"/>
        </w:rPr>
      </w:pPr>
    </w:p>
    <w:p w14:paraId="1B680978"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Imatinib and the N-demethyl metabolite together accounted for about 65% of the circulating radioactivity (AUC</w:t>
      </w:r>
      <w:r w:rsidRPr="00654EF1">
        <w:rPr>
          <w:color w:val="000000"/>
          <w:sz w:val="22"/>
          <w:szCs w:val="22"/>
          <w:vertAlign w:val="subscript"/>
          <w:lang w:val="en-GB"/>
        </w:rPr>
        <w:t>(0-48h)</w:t>
      </w:r>
      <w:r w:rsidRPr="00654EF1">
        <w:rPr>
          <w:color w:val="000000"/>
          <w:sz w:val="22"/>
          <w:szCs w:val="22"/>
          <w:lang w:val="en-GB"/>
        </w:rPr>
        <w:t>). The remaining circulating radioactivity consisted of a number of minor metabolites.</w:t>
      </w:r>
    </w:p>
    <w:p w14:paraId="1B680979" w14:textId="77777777" w:rsidR="006237AB" w:rsidRPr="00654EF1" w:rsidRDefault="006237AB" w:rsidP="001D5C8C">
      <w:pPr>
        <w:pStyle w:val="Text"/>
        <w:widowControl w:val="0"/>
        <w:spacing w:before="0"/>
        <w:jc w:val="left"/>
        <w:rPr>
          <w:color w:val="000000"/>
          <w:sz w:val="22"/>
          <w:szCs w:val="22"/>
          <w:lang w:val="en-GB"/>
        </w:rPr>
      </w:pPr>
    </w:p>
    <w:p w14:paraId="1B68097A"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The </w:t>
      </w:r>
      <w:r w:rsidRPr="00654EF1">
        <w:rPr>
          <w:i/>
          <w:color w:val="000000"/>
          <w:sz w:val="22"/>
          <w:szCs w:val="22"/>
          <w:lang w:val="en-GB"/>
        </w:rPr>
        <w:t>in vitro</w:t>
      </w:r>
      <w:r w:rsidRPr="00654EF1">
        <w:rPr>
          <w:color w:val="000000"/>
          <w:sz w:val="22"/>
          <w:szCs w:val="22"/>
          <w:lang w:val="en-GB"/>
        </w:rPr>
        <w:t xml:space="preserve"> results showed that CYP3A4 was the major human P450 enzyme catalysing the biotransformation of imatinib. Of a panel of potential comedications (acetaminophen, aciclovir, allopurinol, amphotericin, cytarabine, erythromycin, fluconazole, hydroxyurea, norfloxacin, penicillin V) only erythromycin (IC</w:t>
      </w:r>
      <w:r w:rsidRPr="00654EF1">
        <w:rPr>
          <w:color w:val="000000"/>
          <w:sz w:val="22"/>
          <w:szCs w:val="22"/>
          <w:vertAlign w:val="subscript"/>
          <w:lang w:val="en-GB"/>
        </w:rPr>
        <w:t>50</w:t>
      </w:r>
      <w:r w:rsidRPr="00654EF1">
        <w:rPr>
          <w:color w:val="000000"/>
          <w:sz w:val="22"/>
          <w:szCs w:val="22"/>
          <w:lang w:val="en-GB"/>
        </w:rPr>
        <w:t xml:space="preserve"> 50 µM) and fluconazole (IC</w:t>
      </w:r>
      <w:r w:rsidRPr="00654EF1">
        <w:rPr>
          <w:color w:val="000000"/>
          <w:sz w:val="22"/>
          <w:szCs w:val="22"/>
          <w:vertAlign w:val="subscript"/>
          <w:lang w:val="en-GB"/>
        </w:rPr>
        <w:t>50</w:t>
      </w:r>
      <w:r w:rsidRPr="00654EF1">
        <w:rPr>
          <w:color w:val="000000"/>
          <w:sz w:val="22"/>
          <w:szCs w:val="22"/>
          <w:lang w:val="en-GB"/>
        </w:rPr>
        <w:t xml:space="preserve"> 118 µM) showed inhibition of imatinib metabolism which could have clinical relevance.</w:t>
      </w:r>
    </w:p>
    <w:p w14:paraId="1B68097B" w14:textId="77777777" w:rsidR="006237AB" w:rsidRPr="00654EF1" w:rsidRDefault="006237AB" w:rsidP="001D5C8C">
      <w:pPr>
        <w:pStyle w:val="Text"/>
        <w:widowControl w:val="0"/>
        <w:spacing w:before="0"/>
        <w:jc w:val="left"/>
        <w:rPr>
          <w:color w:val="000000"/>
          <w:sz w:val="22"/>
          <w:szCs w:val="22"/>
          <w:lang w:val="en-GB"/>
        </w:rPr>
      </w:pPr>
    </w:p>
    <w:p w14:paraId="1B68097C"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Imatinib was shown </w:t>
      </w:r>
      <w:r w:rsidRPr="00654EF1">
        <w:rPr>
          <w:i/>
          <w:color w:val="000000"/>
          <w:sz w:val="22"/>
          <w:szCs w:val="22"/>
          <w:lang w:val="en-GB"/>
        </w:rPr>
        <w:t>in vitro</w:t>
      </w:r>
      <w:r w:rsidRPr="00654EF1">
        <w:rPr>
          <w:color w:val="000000"/>
          <w:sz w:val="22"/>
          <w:szCs w:val="22"/>
          <w:lang w:val="en-GB"/>
        </w:rPr>
        <w:t xml:space="preserve"> to be a competitive inhibitor of marker substrates for CYP2C9, CYP2D6 and CYP3A4/5. K</w:t>
      </w:r>
      <w:r w:rsidRPr="00654EF1">
        <w:rPr>
          <w:color w:val="000000"/>
          <w:sz w:val="22"/>
          <w:szCs w:val="22"/>
          <w:vertAlign w:val="subscript"/>
          <w:lang w:val="en-GB"/>
        </w:rPr>
        <w:t>i</w:t>
      </w:r>
      <w:r w:rsidRPr="00654EF1">
        <w:rPr>
          <w:color w:val="000000"/>
          <w:sz w:val="22"/>
          <w:szCs w:val="22"/>
          <w:lang w:val="en-GB"/>
        </w:rPr>
        <w:t xml:space="preserve"> values in human liver microsomes were 27, 7.5 and 7.9</w:t>
      </w:r>
      <w:r w:rsidR="00A36A10" w:rsidRPr="00654EF1">
        <w:rPr>
          <w:color w:val="000000"/>
          <w:sz w:val="22"/>
          <w:szCs w:val="22"/>
          <w:lang w:val="en-GB"/>
        </w:rPr>
        <w:t> </w:t>
      </w:r>
      <w:r w:rsidRPr="00654EF1">
        <w:rPr>
          <w:color w:val="000000"/>
          <w:sz w:val="22"/>
          <w:szCs w:val="22"/>
          <w:lang w:val="en-GB"/>
        </w:rPr>
        <w:sym w:font="Symbol" w:char="F06D"/>
      </w:r>
      <w:r w:rsidRPr="00654EF1">
        <w:rPr>
          <w:color w:val="000000"/>
          <w:sz w:val="22"/>
          <w:szCs w:val="22"/>
          <w:lang w:val="en-GB"/>
        </w:rPr>
        <w:t>mol/l, respectively. Maximal plasma concentrations of imatinib in patients are 2</w:t>
      </w:r>
      <w:r w:rsidR="00A36A10" w:rsidRPr="00654EF1">
        <w:rPr>
          <w:color w:val="000000"/>
          <w:sz w:val="22"/>
          <w:szCs w:val="22"/>
        </w:rPr>
        <w:t>–</w:t>
      </w:r>
      <w:r w:rsidRPr="00654EF1">
        <w:rPr>
          <w:color w:val="000000"/>
          <w:sz w:val="22"/>
          <w:szCs w:val="22"/>
          <w:lang w:val="en-GB"/>
        </w:rPr>
        <w:t>4 </w:t>
      </w:r>
      <w:r w:rsidRPr="00654EF1">
        <w:rPr>
          <w:color w:val="000000"/>
          <w:sz w:val="22"/>
          <w:szCs w:val="22"/>
          <w:lang w:val="en-GB"/>
        </w:rPr>
        <w:sym w:font="Symbol" w:char="F06D"/>
      </w:r>
      <w:r w:rsidRPr="00654EF1">
        <w:rPr>
          <w:color w:val="000000"/>
          <w:sz w:val="22"/>
          <w:szCs w:val="22"/>
          <w:lang w:val="en-GB"/>
        </w:rPr>
        <w:t>mol/l, consequently an inhibition of CYP2D6 and/or CYP3A4/5-mediated metabolism of co-administered drugs is possible. Imatinib did not interfere with the biotransformation of 5-fluorouracil, but it inhibited paclitaxel metabolism as a result of competitive inhibition of CYP2C8 (K</w:t>
      </w:r>
      <w:r w:rsidRPr="00654EF1">
        <w:rPr>
          <w:color w:val="000000"/>
          <w:sz w:val="22"/>
          <w:szCs w:val="22"/>
          <w:vertAlign w:val="subscript"/>
          <w:lang w:val="en-GB"/>
        </w:rPr>
        <w:t>i</w:t>
      </w:r>
      <w:r w:rsidRPr="00654EF1">
        <w:rPr>
          <w:color w:val="000000"/>
          <w:sz w:val="22"/>
          <w:szCs w:val="22"/>
          <w:lang w:val="en-GB"/>
        </w:rPr>
        <w:t xml:space="preserve"> = 34.7</w:t>
      </w:r>
      <w:r w:rsidR="00A36A10" w:rsidRPr="00654EF1">
        <w:rPr>
          <w:color w:val="000000"/>
          <w:sz w:val="22"/>
          <w:szCs w:val="22"/>
          <w:lang w:val="en-GB"/>
        </w:rPr>
        <w:t> </w:t>
      </w:r>
      <w:r w:rsidRPr="00654EF1">
        <w:rPr>
          <w:color w:val="000000"/>
          <w:sz w:val="22"/>
          <w:szCs w:val="22"/>
          <w:lang w:val="en-GB"/>
        </w:rPr>
        <w:t>µM). This K</w:t>
      </w:r>
      <w:r w:rsidRPr="00654EF1">
        <w:rPr>
          <w:color w:val="000000"/>
          <w:sz w:val="22"/>
          <w:szCs w:val="22"/>
          <w:vertAlign w:val="subscript"/>
          <w:lang w:val="en-GB"/>
        </w:rPr>
        <w:t>i</w:t>
      </w:r>
      <w:r w:rsidRPr="00654EF1">
        <w:rPr>
          <w:color w:val="000000"/>
          <w:sz w:val="22"/>
          <w:szCs w:val="22"/>
          <w:lang w:val="en-GB"/>
        </w:rPr>
        <w:t xml:space="preserve"> value is far higher than the expected plasma levels of imatinib in patients, consequently no interaction is expected upon co-administration of either 5-fluorouracil or paclitaxel and imatinib.</w:t>
      </w:r>
    </w:p>
    <w:p w14:paraId="1B68097D" w14:textId="77777777" w:rsidR="006237AB" w:rsidRPr="00654EF1" w:rsidRDefault="006237AB" w:rsidP="001D5C8C">
      <w:pPr>
        <w:pStyle w:val="EndnoteText"/>
        <w:widowControl w:val="0"/>
        <w:tabs>
          <w:tab w:val="clear" w:pos="567"/>
        </w:tabs>
        <w:rPr>
          <w:color w:val="000000"/>
          <w:szCs w:val="22"/>
        </w:rPr>
      </w:pPr>
    </w:p>
    <w:p w14:paraId="1B68097E"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Elimination</w:t>
      </w:r>
    </w:p>
    <w:p w14:paraId="1B68097F"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 xml:space="preserve">Based on the recovery of compound(s) after an oral </w:t>
      </w:r>
      <w:r w:rsidRPr="00654EF1">
        <w:rPr>
          <w:color w:val="000000"/>
          <w:szCs w:val="22"/>
          <w:vertAlign w:val="superscript"/>
        </w:rPr>
        <w:t>14</w:t>
      </w:r>
      <w:r w:rsidRPr="00654EF1">
        <w:rPr>
          <w:color w:val="000000"/>
          <w:szCs w:val="22"/>
        </w:rPr>
        <w:t>C-labelled dose of imatinib, approximately 81% of the dose was recovered within 7</w:t>
      </w:r>
      <w:r w:rsidR="00A36A10" w:rsidRPr="00654EF1">
        <w:rPr>
          <w:color w:val="000000"/>
          <w:szCs w:val="22"/>
        </w:rPr>
        <w:t> </w:t>
      </w:r>
      <w:r w:rsidRPr="00654EF1">
        <w:rPr>
          <w:color w:val="000000"/>
          <w:szCs w:val="22"/>
        </w:rPr>
        <w:t>days in faeces (68% of dose) and urine (13% of dose). Unchanged imatinib accounted for 25% of the dose (5% urine, 20% faeces), the remainder being metabolites.</w:t>
      </w:r>
    </w:p>
    <w:p w14:paraId="1B680980" w14:textId="77777777" w:rsidR="006237AB" w:rsidRPr="00654EF1" w:rsidRDefault="006237AB" w:rsidP="001D5C8C">
      <w:pPr>
        <w:pStyle w:val="EndnoteText"/>
        <w:widowControl w:val="0"/>
        <w:tabs>
          <w:tab w:val="clear" w:pos="567"/>
        </w:tabs>
        <w:rPr>
          <w:color w:val="000000"/>
          <w:szCs w:val="22"/>
        </w:rPr>
      </w:pPr>
    </w:p>
    <w:p w14:paraId="1B680981"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Plasma pharmacokinetics</w:t>
      </w:r>
    </w:p>
    <w:p w14:paraId="1B680982"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Following oral administration in healthy volunteers, the t</w:t>
      </w:r>
      <w:r w:rsidRPr="00654EF1">
        <w:rPr>
          <w:color w:val="000000"/>
          <w:szCs w:val="22"/>
          <w:vertAlign w:val="subscript"/>
        </w:rPr>
        <w:t>½</w:t>
      </w:r>
      <w:r w:rsidRPr="00654EF1">
        <w:rPr>
          <w:color w:val="000000"/>
          <w:szCs w:val="22"/>
        </w:rPr>
        <w:t xml:space="preserve"> was approximately 18 h, suggesting that once-daily dosing is appropriate. The increase in mean AUC with increasing dose was linear and dose proportional in the range of 25–1</w:t>
      </w:r>
      <w:r w:rsidR="00050FB1" w:rsidRPr="00654EF1">
        <w:rPr>
          <w:color w:val="000000"/>
          <w:szCs w:val="22"/>
        </w:rPr>
        <w:t>,</w:t>
      </w:r>
      <w:r w:rsidRPr="00654EF1">
        <w:rPr>
          <w:color w:val="000000"/>
          <w:szCs w:val="22"/>
        </w:rPr>
        <w:t>000 mg imatinib after oral administration. There was no change in the kinetics of imatinib on repeated dosing, and accumulation was 1.5–2.5-fold at steady state when dosed once daily.</w:t>
      </w:r>
    </w:p>
    <w:p w14:paraId="1B680983" w14:textId="77777777" w:rsidR="006237AB" w:rsidRPr="00654EF1" w:rsidRDefault="006237AB" w:rsidP="001D5C8C">
      <w:pPr>
        <w:pStyle w:val="EndnoteText"/>
        <w:widowControl w:val="0"/>
        <w:tabs>
          <w:tab w:val="clear" w:pos="567"/>
        </w:tabs>
        <w:rPr>
          <w:color w:val="000000"/>
          <w:szCs w:val="22"/>
        </w:rPr>
      </w:pPr>
    </w:p>
    <w:p w14:paraId="1B680984" w14:textId="77777777" w:rsidR="006237AB" w:rsidRPr="00654EF1" w:rsidRDefault="006237AB" w:rsidP="001D5C8C">
      <w:pPr>
        <w:pStyle w:val="EndnoteText"/>
        <w:keepNext/>
        <w:widowControl w:val="0"/>
        <w:tabs>
          <w:tab w:val="clear" w:pos="567"/>
        </w:tabs>
        <w:rPr>
          <w:color w:val="000000"/>
          <w:szCs w:val="22"/>
          <w:u w:val="single"/>
        </w:rPr>
      </w:pPr>
      <w:r w:rsidRPr="00654EF1">
        <w:rPr>
          <w:color w:val="000000"/>
          <w:szCs w:val="22"/>
          <w:u w:val="single"/>
        </w:rPr>
        <w:t>Pharmacokinetics in GIST patients</w:t>
      </w:r>
    </w:p>
    <w:p w14:paraId="1B680985" w14:textId="77777777" w:rsidR="006237AB" w:rsidRPr="00654EF1" w:rsidRDefault="006237AB" w:rsidP="001D5C8C">
      <w:pPr>
        <w:pStyle w:val="Text"/>
        <w:widowControl w:val="0"/>
        <w:spacing w:before="0"/>
        <w:jc w:val="left"/>
        <w:rPr>
          <w:color w:val="000000"/>
          <w:sz w:val="22"/>
          <w:szCs w:val="22"/>
        </w:rPr>
      </w:pPr>
      <w:r w:rsidRPr="00654EF1">
        <w:rPr>
          <w:snapToGrid w:val="0"/>
          <w:color w:val="000000"/>
          <w:sz w:val="22"/>
          <w:szCs w:val="22"/>
        </w:rPr>
        <w:t>In patients with GIST steady-state exposure was 1.5-fold higher than that observed for CML patients for the same dosage (400</w:t>
      </w:r>
      <w:r w:rsidR="002D524A" w:rsidRPr="00654EF1">
        <w:rPr>
          <w:snapToGrid w:val="0"/>
          <w:color w:val="000000"/>
          <w:sz w:val="22"/>
          <w:szCs w:val="22"/>
        </w:rPr>
        <w:t> mg</w:t>
      </w:r>
      <w:r w:rsidRPr="00654EF1">
        <w:rPr>
          <w:snapToGrid w:val="0"/>
          <w:color w:val="000000"/>
          <w:sz w:val="22"/>
          <w:szCs w:val="22"/>
        </w:rPr>
        <w:t xml:space="preserve"> daily). </w:t>
      </w:r>
      <w:r w:rsidRPr="00654EF1">
        <w:rPr>
          <w:color w:val="000000"/>
          <w:sz w:val="22"/>
          <w:szCs w:val="22"/>
        </w:rPr>
        <w:t xml:space="preserve">Based on preliminary population pharmacokinetic analysis in GIST patients, there were three variables (albumin, WBC and bilirubin) found to have a statistically significant relationship with imatinib pharmacokinetics. Decreased values of albumin caused a reduced clearance (CL/f); and higher levels of WBC led to a reduction of CL/f. However, these </w:t>
      </w:r>
      <w:r w:rsidRPr="00654EF1">
        <w:rPr>
          <w:color w:val="000000"/>
          <w:sz w:val="22"/>
          <w:szCs w:val="22"/>
        </w:rPr>
        <w:lastRenderedPageBreak/>
        <w:t>associations are not sufficiently pronounced to warrant dose adjustment. In this patient population, the presence of hepatic metastases could potentially lead to hepatic insufficiency and reduced metabolism.</w:t>
      </w:r>
    </w:p>
    <w:p w14:paraId="1B680986" w14:textId="77777777" w:rsidR="006237AB" w:rsidRPr="00654EF1" w:rsidRDefault="006237AB" w:rsidP="001D5C8C">
      <w:pPr>
        <w:pStyle w:val="EndnoteText"/>
        <w:widowControl w:val="0"/>
        <w:tabs>
          <w:tab w:val="clear" w:pos="567"/>
        </w:tabs>
        <w:rPr>
          <w:color w:val="000000"/>
          <w:szCs w:val="22"/>
        </w:rPr>
      </w:pPr>
    </w:p>
    <w:p w14:paraId="1B680987"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Population pharmacokinetics</w:t>
      </w:r>
    </w:p>
    <w:p w14:paraId="1B680988"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Based on population pharmacokinetic analysis in CML patients, there was a small effect of age on the volume of distribution (12% increase in patients &gt; 65 years old). This change is not thought to be clinically significant. The effect of bodyweight on the clearance of imatinib is such that for a patient weighing 50 kg the mean clearance is expected to be 8.5 l/h, while for a patient weighing 100 kg the clearance will rise to 11.8 l/h. These changes are not considered sufficient to warrant dose adjustment based on kg bodyweight. There is no effect of gender on the kinetics of imatinib.</w:t>
      </w:r>
    </w:p>
    <w:p w14:paraId="1B680989" w14:textId="77777777" w:rsidR="006237AB" w:rsidRPr="00654EF1" w:rsidRDefault="006237AB" w:rsidP="001D5C8C">
      <w:pPr>
        <w:pStyle w:val="EndnoteText"/>
        <w:widowControl w:val="0"/>
        <w:tabs>
          <w:tab w:val="clear" w:pos="567"/>
        </w:tabs>
        <w:rPr>
          <w:color w:val="000000"/>
          <w:szCs w:val="22"/>
        </w:rPr>
      </w:pPr>
    </w:p>
    <w:p w14:paraId="1B68098A" w14:textId="77777777" w:rsidR="006237AB" w:rsidRPr="00654EF1" w:rsidRDefault="006237AB" w:rsidP="001D5C8C">
      <w:pPr>
        <w:pStyle w:val="EndnoteText"/>
        <w:keepNext/>
        <w:widowControl w:val="0"/>
        <w:tabs>
          <w:tab w:val="clear" w:pos="567"/>
        </w:tabs>
        <w:rPr>
          <w:color w:val="000000"/>
          <w:szCs w:val="22"/>
          <w:u w:val="single"/>
        </w:rPr>
      </w:pPr>
      <w:r w:rsidRPr="00654EF1">
        <w:rPr>
          <w:color w:val="000000"/>
          <w:szCs w:val="22"/>
          <w:u w:val="single"/>
        </w:rPr>
        <w:t>Pharmacokinetics in children</w:t>
      </w:r>
    </w:p>
    <w:p w14:paraId="1B68098B" w14:textId="77777777" w:rsidR="006237AB" w:rsidRPr="00654EF1" w:rsidRDefault="007E73D8" w:rsidP="001D5C8C">
      <w:pPr>
        <w:pStyle w:val="EndnoteText"/>
        <w:widowControl w:val="0"/>
        <w:rPr>
          <w:color w:val="000000"/>
          <w:szCs w:val="22"/>
        </w:rPr>
      </w:pPr>
      <w:r w:rsidRPr="00654EF1">
        <w:rPr>
          <w:color w:val="000000"/>
          <w:szCs w:val="22"/>
        </w:rPr>
        <w:t xml:space="preserve">As in adult patients, imatinib was rapidly absorbed after oral administration in paediatric patients in both phase I and phase II studies. </w:t>
      </w:r>
      <w:r w:rsidR="006237AB" w:rsidRPr="00654EF1">
        <w:rPr>
          <w:color w:val="000000"/>
          <w:szCs w:val="22"/>
        </w:rPr>
        <w:t>Dosing in children at 260 and 340 mg/m</w:t>
      </w:r>
      <w:r w:rsidR="006237AB" w:rsidRPr="00654EF1">
        <w:rPr>
          <w:color w:val="000000"/>
          <w:szCs w:val="22"/>
          <w:vertAlign w:val="superscript"/>
        </w:rPr>
        <w:t>2</w:t>
      </w:r>
      <w:r w:rsidR="006237AB" w:rsidRPr="00654EF1">
        <w:rPr>
          <w:color w:val="000000"/>
          <w:szCs w:val="22"/>
        </w:rPr>
        <w:t>/day achieved the same exposure, respectively, as doses of 400 mg and 600 mg in adult patients. The comparison of AUC</w:t>
      </w:r>
      <w:r w:rsidR="006237AB" w:rsidRPr="00654EF1">
        <w:rPr>
          <w:color w:val="000000"/>
          <w:szCs w:val="22"/>
          <w:vertAlign w:val="subscript"/>
        </w:rPr>
        <w:t>(0-24)</w:t>
      </w:r>
      <w:r w:rsidR="006237AB" w:rsidRPr="00654EF1">
        <w:rPr>
          <w:color w:val="000000"/>
          <w:szCs w:val="22"/>
        </w:rPr>
        <w:t xml:space="preserve"> on day 8 and day 1 at the 340 mg/m</w:t>
      </w:r>
      <w:r w:rsidR="006237AB" w:rsidRPr="00654EF1">
        <w:rPr>
          <w:color w:val="000000"/>
          <w:szCs w:val="22"/>
          <w:vertAlign w:val="superscript"/>
        </w:rPr>
        <w:t>2</w:t>
      </w:r>
      <w:r w:rsidR="006237AB" w:rsidRPr="00654EF1">
        <w:rPr>
          <w:color w:val="000000"/>
          <w:szCs w:val="22"/>
        </w:rPr>
        <w:t>/day dose level revealed a 1.7-fold drug accumulation after repeated once-daily dosing.</w:t>
      </w:r>
    </w:p>
    <w:p w14:paraId="1B68098C" w14:textId="77777777" w:rsidR="00836B4E" w:rsidRPr="00654EF1" w:rsidRDefault="00836B4E" w:rsidP="001D5C8C">
      <w:pPr>
        <w:pStyle w:val="EndnoteText"/>
        <w:widowControl w:val="0"/>
        <w:rPr>
          <w:color w:val="000000"/>
          <w:szCs w:val="22"/>
        </w:rPr>
      </w:pPr>
    </w:p>
    <w:p w14:paraId="1B68098D" w14:textId="77777777" w:rsidR="00836B4E" w:rsidRPr="00654EF1" w:rsidRDefault="00836B4E" w:rsidP="001D5C8C">
      <w:pPr>
        <w:pStyle w:val="EndnoteText"/>
        <w:widowControl w:val="0"/>
        <w:rPr>
          <w:color w:val="000000"/>
          <w:szCs w:val="22"/>
        </w:rPr>
      </w:pPr>
      <w:r w:rsidRPr="00654EF1">
        <w:rPr>
          <w:color w:val="000000"/>
          <w:szCs w:val="22"/>
        </w:rPr>
        <w:t>Based on pooled population pharmacokinetic analysis in paediatric patients with haematological disorders (CML, Ph+ALL, or other haematological disorders treated with imatinib), clearance of imatinib increases with increasing body surface area (BSA). After correcting for the BSA effect, other demographics such as age, body weight and body mass index did not have clinically significant effects on the exposure of imatinib. The analysis confirmed that exposure of imatinib in paediatric patients receiving 260 mg/m</w:t>
      </w:r>
      <w:r w:rsidRPr="00654EF1">
        <w:rPr>
          <w:color w:val="000000"/>
          <w:szCs w:val="22"/>
          <w:vertAlign w:val="superscript"/>
        </w:rPr>
        <w:t>2</w:t>
      </w:r>
      <w:r w:rsidRPr="00654EF1">
        <w:rPr>
          <w:color w:val="000000"/>
          <w:szCs w:val="22"/>
        </w:rPr>
        <w:t xml:space="preserve"> once daily (not exceeding 400 mg once daily) or 340 mg/m</w:t>
      </w:r>
      <w:r w:rsidRPr="00654EF1">
        <w:rPr>
          <w:color w:val="000000"/>
          <w:szCs w:val="22"/>
          <w:vertAlign w:val="superscript"/>
        </w:rPr>
        <w:t>2</w:t>
      </w:r>
      <w:r w:rsidRPr="00654EF1">
        <w:rPr>
          <w:color w:val="000000"/>
          <w:szCs w:val="22"/>
        </w:rPr>
        <w:t xml:space="preserve"> once daily (not exceeding 600 mg once daily) were similar to those in adult patients who received imatinib 400 mg or 600 mg once daily.</w:t>
      </w:r>
    </w:p>
    <w:p w14:paraId="1B68098E" w14:textId="77777777" w:rsidR="006237AB" w:rsidRPr="00654EF1" w:rsidRDefault="006237AB" w:rsidP="001D5C8C">
      <w:pPr>
        <w:pStyle w:val="EndnoteText"/>
        <w:widowControl w:val="0"/>
        <w:tabs>
          <w:tab w:val="clear" w:pos="567"/>
        </w:tabs>
        <w:rPr>
          <w:color w:val="000000"/>
          <w:szCs w:val="22"/>
        </w:rPr>
      </w:pPr>
    </w:p>
    <w:p w14:paraId="1B68098F"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u w:val="single"/>
        </w:rPr>
        <w:t>Organ function impairment</w:t>
      </w:r>
    </w:p>
    <w:p w14:paraId="1B680990" w14:textId="77777777" w:rsidR="00664496" w:rsidRPr="00654EF1" w:rsidRDefault="006237AB" w:rsidP="001D5C8C">
      <w:pPr>
        <w:pStyle w:val="EndnoteText"/>
        <w:widowControl w:val="0"/>
        <w:tabs>
          <w:tab w:val="clear" w:pos="567"/>
        </w:tabs>
        <w:rPr>
          <w:color w:val="000000"/>
        </w:rPr>
      </w:pPr>
      <w:r w:rsidRPr="00654EF1">
        <w:rPr>
          <w:color w:val="000000"/>
          <w:szCs w:val="22"/>
        </w:rPr>
        <w:t>Imatinib and its metabolites are not excreted via the kidney to a significant extent.</w:t>
      </w:r>
      <w:r w:rsidR="00BE2245" w:rsidRPr="00654EF1">
        <w:rPr>
          <w:color w:val="000000"/>
        </w:rPr>
        <w:t xml:space="preserve"> </w:t>
      </w:r>
      <w:r w:rsidR="00664496" w:rsidRPr="00654EF1">
        <w:rPr>
          <w:color w:val="000000"/>
        </w:rPr>
        <w:t>Patients with mild and moderate impairment of renal function appear to have a higher plasma exposure than patients with normal renal function. The increase is approximately 1.5- to 2-fold, corresponding to a 1.5-fold elevation of plasma AGP, to which imatinib binds strongly. The free drug clearance of imatinib is probably similar between patients with renal impairment and those with normal renal function, since renal excretion represents only a minor elimination pathway for imatinib (see sections 4.2 and 4.4).</w:t>
      </w:r>
    </w:p>
    <w:p w14:paraId="1B680991" w14:textId="77777777" w:rsidR="00664496" w:rsidRPr="00654EF1" w:rsidRDefault="00664496" w:rsidP="001D5C8C">
      <w:pPr>
        <w:pStyle w:val="EndnoteText"/>
        <w:widowControl w:val="0"/>
        <w:tabs>
          <w:tab w:val="clear" w:pos="567"/>
        </w:tabs>
        <w:rPr>
          <w:color w:val="000000"/>
        </w:rPr>
      </w:pPr>
    </w:p>
    <w:p w14:paraId="1B680992" w14:textId="77777777" w:rsidR="00BE2245" w:rsidRPr="00654EF1" w:rsidRDefault="00BE2245" w:rsidP="001D5C8C">
      <w:pPr>
        <w:pStyle w:val="EndnoteText"/>
        <w:widowControl w:val="0"/>
        <w:tabs>
          <w:tab w:val="clear" w:pos="567"/>
        </w:tabs>
        <w:rPr>
          <w:color w:val="000000"/>
          <w:szCs w:val="22"/>
        </w:rPr>
      </w:pPr>
      <w:r w:rsidRPr="00654EF1">
        <w:rPr>
          <w:color w:val="000000"/>
        </w:rPr>
        <w:t xml:space="preserve">Although the results of pharmacokinetic analysis showed that there is considerable inter-subject variation, the mean exposure to imatinib did not increase in patients with varying degrees of liver dysfunction as compared to patients with normal liver function </w:t>
      </w:r>
      <w:r w:rsidRPr="00654EF1">
        <w:rPr>
          <w:color w:val="000000"/>
          <w:szCs w:val="22"/>
        </w:rPr>
        <w:t>(see sections 4.2, 4.4</w:t>
      </w:r>
      <w:r w:rsidR="00EC499F" w:rsidRPr="00654EF1">
        <w:rPr>
          <w:color w:val="000000"/>
          <w:szCs w:val="22"/>
        </w:rPr>
        <w:t xml:space="preserve"> and 4.8</w:t>
      </w:r>
      <w:r w:rsidRPr="00654EF1">
        <w:rPr>
          <w:color w:val="000000"/>
          <w:szCs w:val="22"/>
        </w:rPr>
        <w:t>).</w:t>
      </w:r>
    </w:p>
    <w:p w14:paraId="1B680993" w14:textId="77777777" w:rsidR="006237AB" w:rsidRPr="00654EF1" w:rsidRDefault="006237AB" w:rsidP="001D5C8C">
      <w:pPr>
        <w:pStyle w:val="EndnoteText"/>
        <w:widowControl w:val="0"/>
        <w:tabs>
          <w:tab w:val="clear" w:pos="567"/>
        </w:tabs>
        <w:rPr>
          <w:color w:val="000000"/>
          <w:szCs w:val="22"/>
        </w:rPr>
      </w:pPr>
    </w:p>
    <w:p w14:paraId="1B680994"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5.3</w:t>
      </w:r>
      <w:r w:rsidRPr="00654EF1">
        <w:rPr>
          <w:b/>
          <w:color w:val="000000"/>
          <w:szCs w:val="22"/>
        </w:rPr>
        <w:tab/>
        <w:t>Preclinical safety data</w:t>
      </w:r>
    </w:p>
    <w:p w14:paraId="1B680995" w14:textId="77777777" w:rsidR="006237AB" w:rsidRPr="00654EF1" w:rsidRDefault="006237AB" w:rsidP="001D5C8C">
      <w:pPr>
        <w:pStyle w:val="EndnoteText"/>
        <w:keepNext/>
        <w:widowControl w:val="0"/>
        <w:tabs>
          <w:tab w:val="clear" w:pos="567"/>
        </w:tabs>
        <w:rPr>
          <w:color w:val="000000"/>
          <w:szCs w:val="22"/>
        </w:rPr>
      </w:pPr>
    </w:p>
    <w:p w14:paraId="1B680996"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The preclinical safety profile of imatinib was assessed in rats, dogs, monkeys and rabbits.</w:t>
      </w:r>
    </w:p>
    <w:p w14:paraId="1B680997" w14:textId="77777777" w:rsidR="006237AB" w:rsidRPr="00654EF1" w:rsidRDefault="006237AB" w:rsidP="001D5C8C">
      <w:pPr>
        <w:widowControl w:val="0"/>
        <w:tabs>
          <w:tab w:val="clear" w:pos="567"/>
        </w:tabs>
        <w:spacing w:line="240" w:lineRule="auto"/>
        <w:rPr>
          <w:color w:val="000000"/>
          <w:szCs w:val="22"/>
        </w:rPr>
      </w:pPr>
    </w:p>
    <w:p w14:paraId="1B680998" w14:textId="77777777" w:rsidR="006237AB" w:rsidRPr="00654EF1" w:rsidRDefault="006237AB" w:rsidP="001D5C8C">
      <w:pPr>
        <w:pStyle w:val="Text"/>
        <w:widowControl w:val="0"/>
        <w:spacing w:before="0"/>
        <w:jc w:val="left"/>
        <w:outlineLvl w:val="0"/>
        <w:rPr>
          <w:color w:val="000000"/>
          <w:sz w:val="22"/>
          <w:szCs w:val="22"/>
          <w:lang w:val="en-GB"/>
        </w:rPr>
      </w:pPr>
      <w:r w:rsidRPr="00654EF1">
        <w:rPr>
          <w:color w:val="000000"/>
          <w:sz w:val="22"/>
          <w:szCs w:val="22"/>
          <w:lang w:val="en-GB"/>
        </w:rPr>
        <w:t>Multiple dose toxicity studies revealed mild to moderate haematological changes in rats, dogs and monkeys, accompanied by bone marrow changes in rats and dogs.</w:t>
      </w:r>
    </w:p>
    <w:p w14:paraId="1B680999" w14:textId="77777777" w:rsidR="006237AB" w:rsidRPr="00654EF1" w:rsidRDefault="006237AB" w:rsidP="001D5C8C">
      <w:pPr>
        <w:pStyle w:val="Text"/>
        <w:widowControl w:val="0"/>
        <w:spacing w:before="0"/>
        <w:jc w:val="left"/>
        <w:outlineLvl w:val="0"/>
        <w:rPr>
          <w:color w:val="000000"/>
          <w:sz w:val="22"/>
          <w:szCs w:val="22"/>
          <w:lang w:val="en-GB"/>
        </w:rPr>
      </w:pPr>
    </w:p>
    <w:p w14:paraId="1B68099A" w14:textId="77777777" w:rsidR="006237AB" w:rsidRPr="00654EF1" w:rsidRDefault="006237AB" w:rsidP="001D5C8C">
      <w:pPr>
        <w:pStyle w:val="Text"/>
        <w:widowControl w:val="0"/>
        <w:spacing w:before="0"/>
        <w:jc w:val="left"/>
        <w:outlineLvl w:val="0"/>
        <w:rPr>
          <w:color w:val="000000"/>
          <w:sz w:val="22"/>
          <w:szCs w:val="22"/>
          <w:lang w:val="en-GB"/>
        </w:rPr>
      </w:pPr>
      <w:r w:rsidRPr="00654EF1">
        <w:rPr>
          <w:color w:val="000000"/>
          <w:sz w:val="22"/>
          <w:szCs w:val="22"/>
          <w:lang w:val="en-GB"/>
        </w:rPr>
        <w:t>The liver was a target organ in rats and dogs. Mild to moderate increases in transaminases and slight decreases in cholesterol, triglycerides, total protein and albumin levels were observed in both species. No histopathological changes were seen in rat liver. Severe liver toxicity was observed in dogs treated for 2</w:t>
      </w:r>
      <w:r w:rsidR="00A36A10" w:rsidRPr="00654EF1">
        <w:rPr>
          <w:color w:val="000000"/>
          <w:sz w:val="22"/>
          <w:szCs w:val="22"/>
          <w:lang w:val="en-GB"/>
        </w:rPr>
        <w:t> </w:t>
      </w:r>
      <w:r w:rsidRPr="00654EF1">
        <w:rPr>
          <w:color w:val="000000"/>
          <w:sz w:val="22"/>
          <w:szCs w:val="22"/>
          <w:lang w:val="en-GB"/>
        </w:rPr>
        <w:t>weeks, with elevated liver enzymes, hepatocellular necrosis, bile duct necrosis, and bile duct hyperplasia.</w:t>
      </w:r>
    </w:p>
    <w:p w14:paraId="1B68099B" w14:textId="77777777" w:rsidR="006237AB" w:rsidRPr="00654EF1" w:rsidRDefault="006237AB" w:rsidP="001D5C8C">
      <w:pPr>
        <w:pStyle w:val="Text"/>
        <w:widowControl w:val="0"/>
        <w:spacing w:before="0"/>
        <w:outlineLvl w:val="0"/>
        <w:rPr>
          <w:color w:val="000000"/>
          <w:sz w:val="22"/>
          <w:szCs w:val="22"/>
          <w:lang w:val="en-GB"/>
        </w:rPr>
      </w:pPr>
    </w:p>
    <w:p w14:paraId="1B68099C" w14:textId="77777777" w:rsidR="006237AB" w:rsidRPr="00654EF1" w:rsidRDefault="006237AB" w:rsidP="001D5C8C">
      <w:pPr>
        <w:pStyle w:val="Text"/>
        <w:widowControl w:val="0"/>
        <w:spacing w:before="0"/>
        <w:jc w:val="left"/>
        <w:outlineLvl w:val="0"/>
        <w:rPr>
          <w:color w:val="000000"/>
          <w:sz w:val="22"/>
          <w:szCs w:val="22"/>
          <w:lang w:val="en-GB"/>
        </w:rPr>
      </w:pPr>
      <w:r w:rsidRPr="00654EF1">
        <w:rPr>
          <w:color w:val="000000"/>
          <w:sz w:val="22"/>
          <w:szCs w:val="22"/>
          <w:lang w:val="en-GB"/>
        </w:rPr>
        <w:t>Renal toxicity was observed in monkeys treated for 2</w:t>
      </w:r>
      <w:r w:rsidR="00A36A10" w:rsidRPr="00654EF1">
        <w:rPr>
          <w:color w:val="000000"/>
          <w:sz w:val="22"/>
          <w:szCs w:val="22"/>
          <w:lang w:val="en-GB"/>
        </w:rPr>
        <w:t> </w:t>
      </w:r>
      <w:r w:rsidRPr="00654EF1">
        <w:rPr>
          <w:color w:val="000000"/>
          <w:sz w:val="22"/>
          <w:szCs w:val="22"/>
          <w:lang w:val="en-GB"/>
        </w:rPr>
        <w:t xml:space="preserve">weeks, with focal mineralisation and dilation of the renal tubules and tubular nephrosis. Increased blood urea nitrogen (BUN) and creatinine were observed in several of these animals. In rats, hyperplasia of the transitional epithelium in the renal papilla and in the urinary bladder was observed at doses </w:t>
      </w:r>
      <w:r w:rsidRPr="00654EF1">
        <w:rPr>
          <w:color w:val="000000"/>
          <w:sz w:val="22"/>
          <w:szCs w:val="22"/>
          <w:lang w:val="en-GB"/>
        </w:rPr>
        <w:sym w:font="Symbol" w:char="F0B3"/>
      </w:r>
      <w:r w:rsidR="00A36A10" w:rsidRPr="00654EF1">
        <w:rPr>
          <w:color w:val="000000"/>
          <w:sz w:val="22"/>
          <w:szCs w:val="22"/>
          <w:lang w:val="en-GB"/>
        </w:rPr>
        <w:t> </w:t>
      </w:r>
      <w:r w:rsidRPr="00654EF1">
        <w:rPr>
          <w:color w:val="000000"/>
          <w:sz w:val="22"/>
          <w:szCs w:val="22"/>
          <w:lang w:val="en-GB"/>
        </w:rPr>
        <w:t>6</w:t>
      </w:r>
      <w:r w:rsidR="002D524A" w:rsidRPr="00654EF1">
        <w:rPr>
          <w:color w:val="000000"/>
          <w:sz w:val="22"/>
          <w:szCs w:val="22"/>
          <w:lang w:val="en-GB"/>
        </w:rPr>
        <w:t> mg</w:t>
      </w:r>
      <w:r w:rsidRPr="00654EF1">
        <w:rPr>
          <w:color w:val="000000"/>
          <w:sz w:val="22"/>
          <w:szCs w:val="22"/>
          <w:lang w:val="en-GB"/>
        </w:rPr>
        <w:t xml:space="preserve">/kg in the 13-week study, without changes in serum or urinary parameters. An increased rate of opportunistic infections was observed </w:t>
      </w:r>
      <w:r w:rsidRPr="00654EF1">
        <w:rPr>
          <w:color w:val="000000"/>
          <w:sz w:val="22"/>
          <w:szCs w:val="22"/>
          <w:lang w:val="en-GB"/>
        </w:rPr>
        <w:lastRenderedPageBreak/>
        <w:t>with chronic imatinib treatment.</w:t>
      </w:r>
    </w:p>
    <w:p w14:paraId="1B68099D" w14:textId="77777777" w:rsidR="006237AB" w:rsidRPr="00654EF1" w:rsidRDefault="006237AB" w:rsidP="001D5C8C">
      <w:pPr>
        <w:pStyle w:val="Text"/>
        <w:widowControl w:val="0"/>
        <w:spacing w:before="0"/>
        <w:jc w:val="left"/>
        <w:outlineLvl w:val="0"/>
        <w:rPr>
          <w:color w:val="000000"/>
          <w:sz w:val="22"/>
          <w:szCs w:val="22"/>
          <w:lang w:val="en-GB"/>
        </w:rPr>
      </w:pPr>
    </w:p>
    <w:p w14:paraId="1B68099E" w14:textId="77777777" w:rsidR="006237AB" w:rsidRPr="00654EF1" w:rsidRDefault="006237AB" w:rsidP="001D5C8C">
      <w:pPr>
        <w:pStyle w:val="Text"/>
        <w:widowControl w:val="0"/>
        <w:spacing w:before="0"/>
        <w:jc w:val="left"/>
        <w:outlineLvl w:val="0"/>
        <w:rPr>
          <w:color w:val="000000"/>
          <w:sz w:val="22"/>
          <w:szCs w:val="22"/>
          <w:lang w:val="en-GB"/>
        </w:rPr>
      </w:pPr>
      <w:r w:rsidRPr="00654EF1">
        <w:rPr>
          <w:color w:val="000000"/>
          <w:sz w:val="22"/>
          <w:szCs w:val="22"/>
          <w:lang w:val="en-GB"/>
        </w:rPr>
        <w:t xml:space="preserve">In a 39-week monkey study, no NOAEL </w:t>
      </w:r>
      <w:r w:rsidR="009975D6" w:rsidRPr="00654EF1">
        <w:rPr>
          <w:color w:val="000000"/>
          <w:sz w:val="22"/>
          <w:lang w:val="en-GB"/>
        </w:rPr>
        <w:t xml:space="preserve">(no observed adverse effect level) </w:t>
      </w:r>
      <w:r w:rsidRPr="00654EF1">
        <w:rPr>
          <w:color w:val="000000"/>
          <w:sz w:val="22"/>
          <w:szCs w:val="22"/>
          <w:lang w:val="en-GB"/>
        </w:rPr>
        <w:t>was established at the lowest dose of 15</w:t>
      </w:r>
      <w:r w:rsidR="002D524A" w:rsidRPr="00654EF1">
        <w:rPr>
          <w:color w:val="000000"/>
          <w:sz w:val="22"/>
          <w:szCs w:val="22"/>
          <w:lang w:val="en-GB"/>
        </w:rPr>
        <w:t> mg</w:t>
      </w:r>
      <w:r w:rsidRPr="00654EF1">
        <w:rPr>
          <w:color w:val="000000"/>
          <w:sz w:val="22"/>
          <w:szCs w:val="22"/>
          <w:lang w:val="en-GB"/>
        </w:rPr>
        <w:t>/kg, approximately one-third the maximum human dose of 800</w:t>
      </w:r>
      <w:r w:rsidR="002D524A" w:rsidRPr="00654EF1">
        <w:rPr>
          <w:color w:val="000000"/>
          <w:sz w:val="22"/>
          <w:szCs w:val="22"/>
          <w:lang w:val="en-GB"/>
        </w:rPr>
        <w:t> mg</w:t>
      </w:r>
      <w:r w:rsidRPr="00654EF1">
        <w:rPr>
          <w:color w:val="000000"/>
          <w:sz w:val="22"/>
          <w:szCs w:val="22"/>
          <w:lang w:val="en-GB"/>
        </w:rPr>
        <w:t xml:space="preserve"> based on body surface. Treatment resulted in worsening of normally suppressed malarial infections in these animals.</w:t>
      </w:r>
    </w:p>
    <w:p w14:paraId="1B68099F" w14:textId="77777777" w:rsidR="006237AB" w:rsidRPr="00654EF1" w:rsidRDefault="006237AB" w:rsidP="001D5C8C">
      <w:pPr>
        <w:pStyle w:val="Text"/>
        <w:widowControl w:val="0"/>
        <w:spacing w:before="0"/>
        <w:jc w:val="left"/>
        <w:outlineLvl w:val="0"/>
        <w:rPr>
          <w:color w:val="000000"/>
          <w:sz w:val="22"/>
          <w:szCs w:val="22"/>
          <w:lang w:val="en-GB"/>
        </w:rPr>
      </w:pPr>
    </w:p>
    <w:p w14:paraId="1B6809A0" w14:textId="77777777" w:rsidR="006237AB" w:rsidRPr="00654EF1" w:rsidRDefault="006237AB" w:rsidP="001D5C8C">
      <w:pPr>
        <w:pStyle w:val="Text"/>
        <w:widowControl w:val="0"/>
        <w:spacing w:before="0"/>
        <w:jc w:val="left"/>
        <w:outlineLvl w:val="0"/>
        <w:rPr>
          <w:color w:val="000000"/>
          <w:sz w:val="22"/>
          <w:szCs w:val="22"/>
          <w:lang w:val="en-GB"/>
        </w:rPr>
      </w:pPr>
      <w:r w:rsidRPr="00654EF1">
        <w:rPr>
          <w:color w:val="000000"/>
          <w:sz w:val="22"/>
          <w:szCs w:val="22"/>
          <w:lang w:val="en-GB"/>
        </w:rPr>
        <w:t xml:space="preserve">Imatinib was not considered genotoxic when tested in an </w:t>
      </w:r>
      <w:r w:rsidRPr="00654EF1">
        <w:rPr>
          <w:i/>
          <w:color w:val="000000"/>
          <w:sz w:val="22"/>
          <w:szCs w:val="22"/>
          <w:lang w:val="en-GB"/>
        </w:rPr>
        <w:t xml:space="preserve">in vitro </w:t>
      </w:r>
      <w:r w:rsidRPr="00654EF1">
        <w:rPr>
          <w:color w:val="000000"/>
          <w:sz w:val="22"/>
          <w:szCs w:val="22"/>
          <w:lang w:val="en-GB"/>
        </w:rPr>
        <w:t xml:space="preserve">bacterial cell assay (Ames test), an </w:t>
      </w:r>
      <w:r w:rsidRPr="00654EF1">
        <w:rPr>
          <w:i/>
          <w:color w:val="000000"/>
          <w:sz w:val="22"/>
          <w:szCs w:val="22"/>
          <w:lang w:val="en-GB"/>
        </w:rPr>
        <w:t xml:space="preserve">in vitro </w:t>
      </w:r>
      <w:r w:rsidRPr="00654EF1">
        <w:rPr>
          <w:color w:val="000000"/>
          <w:sz w:val="22"/>
          <w:szCs w:val="22"/>
          <w:lang w:val="en-GB"/>
        </w:rPr>
        <w:t xml:space="preserve">mammalian cell assay (mouse lymphoma) and an </w:t>
      </w:r>
      <w:r w:rsidRPr="00654EF1">
        <w:rPr>
          <w:i/>
          <w:color w:val="000000"/>
          <w:sz w:val="22"/>
          <w:szCs w:val="22"/>
          <w:lang w:val="en-GB"/>
        </w:rPr>
        <w:t xml:space="preserve">in vivo </w:t>
      </w:r>
      <w:r w:rsidRPr="00654EF1">
        <w:rPr>
          <w:color w:val="000000"/>
          <w:sz w:val="22"/>
          <w:szCs w:val="22"/>
          <w:lang w:val="en-GB"/>
        </w:rPr>
        <w:t xml:space="preserve">rat micronucleus test. Positive genotoxic effects were obtained for imatinib in an </w:t>
      </w:r>
      <w:r w:rsidRPr="00654EF1">
        <w:rPr>
          <w:i/>
          <w:color w:val="000000"/>
          <w:sz w:val="22"/>
          <w:szCs w:val="22"/>
          <w:lang w:val="en-GB"/>
        </w:rPr>
        <w:t xml:space="preserve">in vitro </w:t>
      </w:r>
      <w:r w:rsidRPr="00654EF1">
        <w:rPr>
          <w:color w:val="000000"/>
          <w:sz w:val="22"/>
          <w:szCs w:val="22"/>
          <w:lang w:val="en-GB"/>
        </w:rPr>
        <w:t xml:space="preserve">mammalian cell assay (Chinese hamster ovary) for clastogenicity (chromosome aberration) in the presence of metabolic activation. Two intermediates of the manufacturing process, which are also present in the final product, are positive for mutagenesis in the </w:t>
      </w:r>
      <w:smartTag w:uri="urn:schemas-microsoft-com:office:smarttags" w:element="City">
        <w:smartTag w:uri="urn:schemas-microsoft-com:office:smarttags" w:element="place">
          <w:r w:rsidRPr="00654EF1">
            <w:rPr>
              <w:color w:val="000000"/>
              <w:sz w:val="22"/>
              <w:szCs w:val="22"/>
              <w:lang w:val="en-GB"/>
            </w:rPr>
            <w:t>Ames</w:t>
          </w:r>
        </w:smartTag>
      </w:smartTag>
      <w:r w:rsidRPr="00654EF1">
        <w:rPr>
          <w:color w:val="000000"/>
          <w:sz w:val="22"/>
          <w:szCs w:val="22"/>
          <w:lang w:val="en-GB"/>
        </w:rPr>
        <w:t xml:space="preserve"> assay. One of these intermediates was also positive in the mouse lymphoma assay.</w:t>
      </w:r>
    </w:p>
    <w:p w14:paraId="1B6809A1" w14:textId="77777777" w:rsidR="006237AB" w:rsidRPr="00654EF1" w:rsidRDefault="006237AB" w:rsidP="001D5C8C">
      <w:pPr>
        <w:pStyle w:val="Text"/>
        <w:widowControl w:val="0"/>
        <w:spacing w:before="0"/>
        <w:jc w:val="left"/>
        <w:outlineLvl w:val="0"/>
        <w:rPr>
          <w:color w:val="000000"/>
          <w:sz w:val="22"/>
          <w:szCs w:val="22"/>
          <w:lang w:val="en-GB"/>
        </w:rPr>
      </w:pPr>
    </w:p>
    <w:p w14:paraId="1B6809A2"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In a study of fertility, in male rats dosed for 70</w:t>
      </w:r>
      <w:r w:rsidR="00A36A10" w:rsidRPr="00654EF1">
        <w:rPr>
          <w:color w:val="000000"/>
          <w:sz w:val="22"/>
          <w:szCs w:val="22"/>
          <w:lang w:val="en-GB"/>
        </w:rPr>
        <w:t> </w:t>
      </w:r>
      <w:r w:rsidRPr="00654EF1">
        <w:rPr>
          <w:color w:val="000000"/>
          <w:sz w:val="22"/>
          <w:szCs w:val="22"/>
          <w:lang w:val="en-GB"/>
        </w:rPr>
        <w:t>days prior to mating, testicular and epididymal weights and percent motile sperm were decreased at 60</w:t>
      </w:r>
      <w:r w:rsidR="002D524A" w:rsidRPr="00654EF1">
        <w:rPr>
          <w:color w:val="000000"/>
          <w:sz w:val="22"/>
          <w:szCs w:val="22"/>
          <w:lang w:val="en-GB"/>
        </w:rPr>
        <w:t> mg</w:t>
      </w:r>
      <w:r w:rsidRPr="00654EF1">
        <w:rPr>
          <w:color w:val="000000"/>
          <w:sz w:val="22"/>
          <w:szCs w:val="22"/>
          <w:lang w:val="en-GB"/>
        </w:rPr>
        <w:t>/kg, approximately equal to the maximum clinical dose of 800</w:t>
      </w:r>
      <w:r w:rsidR="002D524A" w:rsidRPr="00654EF1">
        <w:rPr>
          <w:color w:val="000000"/>
          <w:sz w:val="22"/>
          <w:szCs w:val="22"/>
          <w:lang w:val="en-GB"/>
        </w:rPr>
        <w:t> mg</w:t>
      </w:r>
      <w:r w:rsidRPr="00654EF1">
        <w:rPr>
          <w:color w:val="000000"/>
          <w:sz w:val="22"/>
          <w:szCs w:val="22"/>
          <w:lang w:val="en-GB"/>
        </w:rPr>
        <w:t>/day, based on body surface area. This was not seen at doses ≤</w:t>
      </w:r>
      <w:r w:rsidR="00A36A10" w:rsidRPr="00654EF1">
        <w:rPr>
          <w:color w:val="000000"/>
          <w:sz w:val="22"/>
          <w:szCs w:val="22"/>
          <w:lang w:val="en-GB"/>
        </w:rPr>
        <w:t> </w:t>
      </w:r>
      <w:r w:rsidRPr="00654EF1">
        <w:rPr>
          <w:color w:val="000000"/>
          <w:sz w:val="22"/>
          <w:szCs w:val="22"/>
          <w:lang w:val="en-GB"/>
        </w:rPr>
        <w:t>20</w:t>
      </w:r>
      <w:r w:rsidR="002D524A" w:rsidRPr="00654EF1">
        <w:rPr>
          <w:color w:val="000000"/>
          <w:sz w:val="22"/>
          <w:szCs w:val="22"/>
          <w:lang w:val="en-GB"/>
        </w:rPr>
        <w:t> mg</w:t>
      </w:r>
      <w:r w:rsidRPr="00654EF1">
        <w:rPr>
          <w:color w:val="000000"/>
          <w:sz w:val="22"/>
          <w:szCs w:val="22"/>
          <w:lang w:val="en-GB"/>
        </w:rPr>
        <w:t>/kg. A slight to moderate reduction in spermatogenesis was also observed in the dog at oral doses ≥</w:t>
      </w:r>
      <w:r w:rsidR="00A36A10" w:rsidRPr="00654EF1">
        <w:rPr>
          <w:color w:val="000000"/>
          <w:sz w:val="22"/>
          <w:szCs w:val="22"/>
          <w:lang w:val="en-GB"/>
        </w:rPr>
        <w:t> </w:t>
      </w:r>
      <w:r w:rsidRPr="00654EF1">
        <w:rPr>
          <w:color w:val="000000"/>
          <w:sz w:val="22"/>
          <w:szCs w:val="22"/>
          <w:lang w:val="en-GB"/>
        </w:rPr>
        <w:t>30</w:t>
      </w:r>
      <w:r w:rsidR="002D524A" w:rsidRPr="00654EF1">
        <w:rPr>
          <w:color w:val="000000"/>
          <w:sz w:val="22"/>
          <w:szCs w:val="22"/>
          <w:lang w:val="en-GB"/>
        </w:rPr>
        <w:t> mg</w:t>
      </w:r>
      <w:r w:rsidRPr="00654EF1">
        <w:rPr>
          <w:color w:val="000000"/>
          <w:sz w:val="22"/>
          <w:szCs w:val="22"/>
          <w:lang w:val="en-GB"/>
        </w:rPr>
        <w:t>/kg. When female rats were dosed 14</w:t>
      </w:r>
      <w:r w:rsidR="00A36A10" w:rsidRPr="00654EF1">
        <w:rPr>
          <w:color w:val="000000"/>
          <w:sz w:val="22"/>
          <w:szCs w:val="22"/>
          <w:lang w:val="en-GB"/>
        </w:rPr>
        <w:t> </w:t>
      </w:r>
      <w:r w:rsidRPr="00654EF1">
        <w:rPr>
          <w:color w:val="000000"/>
          <w:sz w:val="22"/>
          <w:szCs w:val="22"/>
          <w:lang w:val="en-GB"/>
        </w:rPr>
        <w:t>days prior to mating and through to gestational day 6, there was no effect on mating or on number of pregnant females. At a dose of 60</w:t>
      </w:r>
      <w:r w:rsidR="002D524A" w:rsidRPr="00654EF1">
        <w:rPr>
          <w:color w:val="000000"/>
          <w:sz w:val="22"/>
          <w:szCs w:val="22"/>
          <w:lang w:val="en-GB"/>
        </w:rPr>
        <w:t> mg</w:t>
      </w:r>
      <w:r w:rsidRPr="00654EF1">
        <w:rPr>
          <w:color w:val="000000"/>
          <w:sz w:val="22"/>
          <w:szCs w:val="22"/>
          <w:lang w:val="en-GB"/>
        </w:rPr>
        <w:t>/kg, female rats had significant post-implantation foetal loss and a reduced number of live foetuses. This was not seen at doses ≤ 20 mg/kg.</w:t>
      </w:r>
    </w:p>
    <w:p w14:paraId="1B6809A3" w14:textId="77777777" w:rsidR="006237AB" w:rsidRPr="00654EF1" w:rsidRDefault="006237AB" w:rsidP="001D5C8C">
      <w:pPr>
        <w:pStyle w:val="Text"/>
        <w:widowControl w:val="0"/>
        <w:spacing w:before="0"/>
        <w:jc w:val="left"/>
        <w:rPr>
          <w:color w:val="000000"/>
          <w:sz w:val="22"/>
          <w:szCs w:val="22"/>
          <w:lang w:val="en-GB"/>
        </w:rPr>
      </w:pPr>
    </w:p>
    <w:p w14:paraId="1B6809A4" w14:textId="77777777" w:rsidR="006237AB" w:rsidRPr="00654EF1" w:rsidRDefault="006237AB" w:rsidP="001D5C8C">
      <w:pPr>
        <w:pStyle w:val="Text"/>
        <w:widowControl w:val="0"/>
        <w:spacing w:before="0"/>
        <w:jc w:val="left"/>
        <w:rPr>
          <w:color w:val="000000"/>
          <w:sz w:val="22"/>
          <w:szCs w:val="22"/>
        </w:rPr>
      </w:pPr>
      <w:r w:rsidRPr="00654EF1">
        <w:rPr>
          <w:color w:val="000000"/>
          <w:sz w:val="22"/>
          <w:szCs w:val="22"/>
        </w:rPr>
        <w:t>In an oral pre</w:t>
      </w:r>
      <w:r w:rsidRPr="00654EF1">
        <w:rPr>
          <w:color w:val="000000"/>
          <w:sz w:val="22"/>
          <w:szCs w:val="22"/>
        </w:rPr>
        <w:noBreakHyphen/>
        <w:t xml:space="preserve"> and postnatal development study in rats, red vaginal discharge was noted in the 45 mg/kg/day group on either day 14 or day</w:t>
      </w:r>
      <w:r w:rsidR="00A36A10" w:rsidRPr="00654EF1">
        <w:rPr>
          <w:color w:val="000000"/>
          <w:sz w:val="22"/>
          <w:szCs w:val="22"/>
        </w:rPr>
        <w:t> </w:t>
      </w:r>
      <w:r w:rsidRPr="00654EF1">
        <w:rPr>
          <w:color w:val="000000"/>
          <w:sz w:val="22"/>
          <w:szCs w:val="22"/>
        </w:rPr>
        <w:t>15 of gestation. At the same dose, the number of stillborn pups as well as those dying between postpartum days 0 and 4 was increased. In the F</w:t>
      </w:r>
      <w:r w:rsidRPr="00654EF1">
        <w:rPr>
          <w:color w:val="000000"/>
          <w:sz w:val="22"/>
          <w:szCs w:val="22"/>
          <w:vertAlign w:val="subscript"/>
        </w:rPr>
        <w:t>1</w:t>
      </w:r>
      <w:r w:rsidRPr="00654EF1">
        <w:rPr>
          <w:color w:val="000000"/>
          <w:sz w:val="22"/>
          <w:szCs w:val="22"/>
        </w:rPr>
        <w:t xml:space="preserve"> offspring, at the same dose level, mean body weights were reduced from birth until terminal sacrifice and the number of litters achieving criterion for preputial separation was slightly decreased. F</w:t>
      </w:r>
      <w:r w:rsidRPr="00654EF1">
        <w:rPr>
          <w:color w:val="000000"/>
          <w:sz w:val="22"/>
          <w:szCs w:val="22"/>
          <w:vertAlign w:val="subscript"/>
        </w:rPr>
        <w:t>1</w:t>
      </w:r>
      <w:r w:rsidRPr="00654EF1">
        <w:rPr>
          <w:color w:val="000000"/>
          <w:sz w:val="22"/>
          <w:szCs w:val="22"/>
        </w:rPr>
        <w:t xml:space="preserve"> fertility was not affected, while an increased number of resorptions and a decreased number of viable foetuses was noted at 45 mg/kg/day. The no </w:t>
      </w:r>
      <w:r w:rsidR="009975D6" w:rsidRPr="00654EF1">
        <w:rPr>
          <w:color w:val="000000"/>
          <w:sz w:val="22"/>
        </w:rPr>
        <w:t>observed effect level (NOEL)</w:t>
      </w:r>
      <w:r w:rsidRPr="00654EF1">
        <w:rPr>
          <w:color w:val="000000"/>
          <w:sz w:val="22"/>
          <w:szCs w:val="22"/>
        </w:rPr>
        <w:t xml:space="preserve"> for both the maternal animals and the F</w:t>
      </w:r>
      <w:r w:rsidRPr="00654EF1">
        <w:rPr>
          <w:color w:val="000000"/>
          <w:sz w:val="22"/>
          <w:szCs w:val="22"/>
          <w:vertAlign w:val="subscript"/>
        </w:rPr>
        <w:t>1</w:t>
      </w:r>
      <w:r w:rsidRPr="00654EF1">
        <w:rPr>
          <w:color w:val="000000"/>
          <w:sz w:val="22"/>
          <w:szCs w:val="22"/>
        </w:rPr>
        <w:t xml:space="preserve"> generation was 15 mg/kg/day (one quarter of the maximum human dose of 800 mg).</w:t>
      </w:r>
    </w:p>
    <w:p w14:paraId="1B6809A5" w14:textId="77777777" w:rsidR="006237AB" w:rsidRPr="00654EF1" w:rsidRDefault="006237AB" w:rsidP="001D5C8C">
      <w:pPr>
        <w:pStyle w:val="Text"/>
        <w:widowControl w:val="0"/>
        <w:spacing w:before="0"/>
        <w:jc w:val="left"/>
        <w:rPr>
          <w:color w:val="000000"/>
          <w:sz w:val="22"/>
          <w:szCs w:val="22"/>
          <w:lang w:val="en-GB"/>
        </w:rPr>
      </w:pPr>
    </w:p>
    <w:p w14:paraId="1B6809A6"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Imatinib was teratogenic in rats when administered during organogenesis at doses ≥ 100</w:t>
      </w:r>
      <w:r w:rsidR="002D524A" w:rsidRPr="00654EF1">
        <w:rPr>
          <w:color w:val="000000"/>
          <w:sz w:val="22"/>
          <w:szCs w:val="22"/>
          <w:lang w:val="en-GB"/>
        </w:rPr>
        <w:t> mg</w:t>
      </w:r>
      <w:r w:rsidRPr="00654EF1">
        <w:rPr>
          <w:color w:val="000000"/>
          <w:sz w:val="22"/>
          <w:szCs w:val="22"/>
          <w:lang w:val="en-GB"/>
        </w:rPr>
        <w:t>/kg, approximately equal to the maximum clinical dose of 800</w:t>
      </w:r>
      <w:r w:rsidR="002D524A" w:rsidRPr="00654EF1">
        <w:rPr>
          <w:color w:val="000000"/>
          <w:sz w:val="22"/>
          <w:szCs w:val="22"/>
          <w:lang w:val="en-GB"/>
        </w:rPr>
        <w:t> mg</w:t>
      </w:r>
      <w:r w:rsidR="0079090C" w:rsidRPr="00654EF1">
        <w:rPr>
          <w:color w:val="000000"/>
          <w:sz w:val="22"/>
          <w:szCs w:val="22"/>
          <w:lang w:val="en-GB"/>
        </w:rPr>
        <w:t>/day</w:t>
      </w:r>
      <w:r w:rsidRPr="00654EF1">
        <w:rPr>
          <w:color w:val="000000"/>
          <w:sz w:val="22"/>
          <w:szCs w:val="22"/>
          <w:lang w:val="en-GB"/>
        </w:rPr>
        <w:t>, based on body surface area. Teratogenic effects included exencephaly or encephalocele, absent/reduced frontal and absent parietal bones. These effects were not seen at doses ≤ 30</w:t>
      </w:r>
      <w:r w:rsidR="002D524A" w:rsidRPr="00654EF1">
        <w:rPr>
          <w:color w:val="000000"/>
          <w:sz w:val="22"/>
          <w:szCs w:val="22"/>
          <w:lang w:val="en-GB"/>
        </w:rPr>
        <w:t> mg</w:t>
      </w:r>
      <w:r w:rsidRPr="00654EF1">
        <w:rPr>
          <w:color w:val="000000"/>
          <w:sz w:val="22"/>
          <w:szCs w:val="22"/>
          <w:lang w:val="en-GB"/>
        </w:rPr>
        <w:t>/kg.</w:t>
      </w:r>
    </w:p>
    <w:p w14:paraId="1B6809A7" w14:textId="77777777" w:rsidR="00156AEB" w:rsidRPr="00654EF1" w:rsidRDefault="00156AEB" w:rsidP="001D5C8C">
      <w:pPr>
        <w:pStyle w:val="Text"/>
        <w:widowControl w:val="0"/>
        <w:spacing w:before="0"/>
        <w:jc w:val="left"/>
        <w:rPr>
          <w:color w:val="000000"/>
          <w:sz w:val="22"/>
          <w:szCs w:val="22"/>
          <w:lang w:val="en-GB"/>
        </w:rPr>
      </w:pPr>
    </w:p>
    <w:p w14:paraId="1B6809A8" w14:textId="77777777" w:rsidR="00156AEB" w:rsidRPr="00654EF1" w:rsidRDefault="00156AEB" w:rsidP="001D5C8C">
      <w:pPr>
        <w:pStyle w:val="Text"/>
        <w:widowControl w:val="0"/>
        <w:spacing w:before="0"/>
        <w:jc w:val="left"/>
        <w:rPr>
          <w:color w:val="000000"/>
          <w:sz w:val="22"/>
          <w:szCs w:val="22"/>
          <w:lang w:val="en-GB"/>
        </w:rPr>
      </w:pPr>
      <w:r w:rsidRPr="00654EF1">
        <w:rPr>
          <w:color w:val="000000"/>
          <w:sz w:val="22"/>
          <w:szCs w:val="22"/>
          <w:lang w:val="en-GB"/>
        </w:rPr>
        <w:t>No new target organs were identified in the rat juvenile development toxicology study (day 10 to 70 postpartum)</w:t>
      </w:r>
      <w:r w:rsidR="00AB152B" w:rsidRPr="00654EF1">
        <w:rPr>
          <w:color w:val="000000"/>
          <w:sz w:val="22"/>
          <w:szCs w:val="22"/>
          <w:lang w:val="en-GB"/>
        </w:rPr>
        <w:t xml:space="preserve"> with respect to the known target organs in adult rats</w:t>
      </w:r>
      <w:r w:rsidRPr="00654EF1">
        <w:rPr>
          <w:color w:val="000000"/>
          <w:sz w:val="22"/>
          <w:szCs w:val="22"/>
          <w:lang w:val="en-GB"/>
        </w:rPr>
        <w:t>. In the juvenile toxicology study, effects upon growth, delay in vaginal opening and preputial separation were observed at approximately 0.3 to 2 times the average paediatric exposure at the highest recommended dose of 340 mg/m</w:t>
      </w:r>
      <w:r w:rsidRPr="00654EF1">
        <w:rPr>
          <w:color w:val="000000"/>
          <w:sz w:val="22"/>
          <w:szCs w:val="22"/>
          <w:vertAlign w:val="superscript"/>
          <w:lang w:val="en-GB"/>
        </w:rPr>
        <w:t>2</w:t>
      </w:r>
      <w:r w:rsidRPr="00654EF1">
        <w:rPr>
          <w:color w:val="000000"/>
          <w:sz w:val="22"/>
          <w:szCs w:val="22"/>
          <w:lang w:val="en-GB"/>
        </w:rPr>
        <w:t>. In addition, mortality was observed in juvenile animals (around weaning phase) at approximately 2 times the average paediatric exposure at the highest recommended dose of 340 mg/m</w:t>
      </w:r>
      <w:r w:rsidRPr="00654EF1">
        <w:rPr>
          <w:color w:val="000000"/>
          <w:sz w:val="22"/>
          <w:szCs w:val="22"/>
          <w:vertAlign w:val="superscript"/>
          <w:lang w:val="en-GB"/>
        </w:rPr>
        <w:t>2</w:t>
      </w:r>
      <w:r w:rsidRPr="00654EF1">
        <w:rPr>
          <w:color w:val="000000"/>
          <w:sz w:val="22"/>
          <w:szCs w:val="22"/>
          <w:lang w:val="en-GB"/>
        </w:rPr>
        <w:t>.</w:t>
      </w:r>
    </w:p>
    <w:p w14:paraId="1B6809A9" w14:textId="77777777" w:rsidR="006237AB" w:rsidRPr="00654EF1" w:rsidRDefault="006237AB" w:rsidP="001D5C8C">
      <w:pPr>
        <w:pStyle w:val="Text"/>
        <w:widowControl w:val="0"/>
        <w:spacing w:before="0"/>
        <w:jc w:val="left"/>
        <w:rPr>
          <w:color w:val="000000"/>
          <w:sz w:val="22"/>
          <w:szCs w:val="22"/>
          <w:lang w:val="en-GB"/>
        </w:rPr>
      </w:pPr>
    </w:p>
    <w:p w14:paraId="1B6809AA" w14:textId="77777777" w:rsidR="00C81915" w:rsidRPr="00654EF1" w:rsidRDefault="00C81915" w:rsidP="001D5C8C">
      <w:pPr>
        <w:widowControl w:val="0"/>
        <w:spacing w:line="240" w:lineRule="auto"/>
        <w:rPr>
          <w:color w:val="000000"/>
        </w:rPr>
      </w:pPr>
      <w:r w:rsidRPr="00654EF1">
        <w:rPr>
          <w:color w:val="000000"/>
        </w:rPr>
        <w:t>In the 2-year rat carcinogenicity study administration of imatinib at 15, 30 and 60 mg/kg/day resulted in a statistically significant reduction in the longevity of males at 60 mg/kg/day and females at ≥30 mg/kg/day. Histopathological examination of decedents revealed cardiomyopathy (both sexes), chronic progressive nephropathy (females) and preputial gland papilloma as principal causes of death or reasons for sacrifice. Target organs for neoplastic changes were the kidneys, urinary bladder, urethra, preputial and clitoral gland, small intestine, parathyroid glands, adrenal gl</w:t>
      </w:r>
      <w:r w:rsidR="00083AC4" w:rsidRPr="00654EF1">
        <w:rPr>
          <w:color w:val="000000"/>
        </w:rPr>
        <w:t>ands and non-glandular stomach.</w:t>
      </w:r>
    </w:p>
    <w:p w14:paraId="1B6809AB" w14:textId="77777777" w:rsidR="009975D6" w:rsidRPr="00654EF1" w:rsidRDefault="009975D6" w:rsidP="001D5C8C">
      <w:pPr>
        <w:widowControl w:val="0"/>
        <w:spacing w:line="240" w:lineRule="auto"/>
        <w:rPr>
          <w:color w:val="000000"/>
        </w:rPr>
      </w:pPr>
    </w:p>
    <w:p w14:paraId="1B6809AC" w14:textId="77777777" w:rsidR="00C81915" w:rsidRPr="00654EF1" w:rsidRDefault="00083AC4" w:rsidP="001D5C8C">
      <w:pPr>
        <w:widowControl w:val="0"/>
        <w:spacing w:line="240" w:lineRule="auto"/>
        <w:rPr>
          <w:bCs/>
          <w:color w:val="000000"/>
        </w:rPr>
      </w:pPr>
      <w:r w:rsidRPr="00654EF1">
        <w:rPr>
          <w:bCs/>
          <w:color w:val="000000"/>
        </w:rPr>
        <w:t>P</w:t>
      </w:r>
      <w:r w:rsidR="009975D6" w:rsidRPr="00654EF1">
        <w:rPr>
          <w:bCs/>
          <w:color w:val="000000"/>
        </w:rPr>
        <w:t xml:space="preserve">apilloma/carcinoma of the preputial/clitoral gland were noted </w:t>
      </w:r>
      <w:r w:rsidRPr="00654EF1">
        <w:rPr>
          <w:bCs/>
          <w:color w:val="000000"/>
        </w:rPr>
        <w:t>from</w:t>
      </w:r>
      <w:r w:rsidR="009975D6" w:rsidRPr="00654EF1">
        <w:rPr>
          <w:bCs/>
          <w:color w:val="000000"/>
        </w:rPr>
        <w:t xml:space="preserve"> 30 mg/kg/day</w:t>
      </w:r>
      <w:r w:rsidRPr="00654EF1">
        <w:rPr>
          <w:bCs/>
          <w:color w:val="000000"/>
        </w:rPr>
        <w:t xml:space="preserve"> onwards</w:t>
      </w:r>
      <w:r w:rsidR="009975D6" w:rsidRPr="00654EF1">
        <w:rPr>
          <w:bCs/>
          <w:color w:val="000000"/>
        </w:rPr>
        <w:t>, representing approximately 0.5 or 0.3 times the human daily exposure (based on AUC) at 400 mg/day or 800 mg/day, respectively, and 0.4 times the daily exposure in children (based on AUC) at 340 mg/m</w:t>
      </w:r>
      <w:r w:rsidR="009975D6" w:rsidRPr="00654EF1">
        <w:rPr>
          <w:bCs/>
          <w:color w:val="000000"/>
          <w:szCs w:val="22"/>
          <w:vertAlign w:val="superscript"/>
        </w:rPr>
        <w:t>2</w:t>
      </w:r>
      <w:r w:rsidR="00C6490C" w:rsidRPr="00654EF1">
        <w:rPr>
          <w:bCs/>
          <w:color w:val="000000"/>
          <w:szCs w:val="22"/>
        </w:rPr>
        <w:t>/day</w:t>
      </w:r>
      <w:r w:rsidR="009975D6" w:rsidRPr="00654EF1">
        <w:rPr>
          <w:bCs/>
          <w:color w:val="000000"/>
        </w:rPr>
        <w:t xml:space="preserve">. </w:t>
      </w:r>
      <w:r w:rsidRPr="00654EF1">
        <w:rPr>
          <w:bCs/>
          <w:color w:val="000000"/>
        </w:rPr>
        <w:t xml:space="preserve">The no observed effect level (NOEL) was 15 mg/kg/day. </w:t>
      </w:r>
      <w:r w:rsidR="00C81915" w:rsidRPr="00654EF1">
        <w:rPr>
          <w:bCs/>
          <w:color w:val="000000"/>
        </w:rPr>
        <w:t xml:space="preserve">The renal </w:t>
      </w:r>
      <w:r w:rsidR="00C81915" w:rsidRPr="00654EF1">
        <w:rPr>
          <w:bCs/>
          <w:color w:val="000000"/>
        </w:rPr>
        <w:lastRenderedPageBreak/>
        <w:t>adenoma/carcinoma, the urinary bladder and urethra papilloma, the small intestine adenocarcinomas, the parathyroid glands adenomas, the benign and malignant medullary tumours of the adrenal glands and the non-glandular stomach papillomas/carcinomas were noted at 60 mg/kg/day</w:t>
      </w:r>
      <w:r w:rsidRPr="00654EF1">
        <w:rPr>
          <w:bCs/>
          <w:color w:val="000000"/>
        </w:rPr>
        <w:t>, representing approximately 1</w:t>
      </w:r>
      <w:r w:rsidR="0002261D" w:rsidRPr="00654EF1">
        <w:rPr>
          <w:bCs/>
          <w:color w:val="000000"/>
        </w:rPr>
        <w:t>.7 or 1</w:t>
      </w:r>
      <w:r w:rsidRPr="00654EF1">
        <w:rPr>
          <w:bCs/>
          <w:color w:val="000000"/>
        </w:rPr>
        <w:t> time</w:t>
      </w:r>
      <w:r w:rsidR="00D54B6B" w:rsidRPr="00654EF1">
        <w:rPr>
          <w:bCs/>
          <w:color w:val="000000"/>
        </w:rPr>
        <w:t>s</w:t>
      </w:r>
      <w:r w:rsidRPr="00654EF1">
        <w:rPr>
          <w:bCs/>
          <w:color w:val="000000"/>
        </w:rPr>
        <w:t xml:space="preserve"> the human daily exposure (based on AUC) at 400 mg/day or 800 mg/day, respectively, and 1.2 times the daily exposure in children (based on AUC) at 340 mg/m</w:t>
      </w:r>
      <w:r w:rsidRPr="00654EF1">
        <w:rPr>
          <w:bCs/>
          <w:color w:val="000000"/>
          <w:szCs w:val="22"/>
          <w:vertAlign w:val="superscript"/>
        </w:rPr>
        <w:t>2</w:t>
      </w:r>
      <w:r w:rsidR="00C6490C" w:rsidRPr="00654EF1">
        <w:rPr>
          <w:bCs/>
          <w:color w:val="000000"/>
          <w:szCs w:val="22"/>
        </w:rPr>
        <w:t>/day</w:t>
      </w:r>
      <w:r w:rsidRPr="00654EF1">
        <w:rPr>
          <w:bCs/>
          <w:color w:val="000000"/>
        </w:rPr>
        <w:t>. The no observed effect level (NOEL) was 30 mg/kg/day</w:t>
      </w:r>
      <w:r w:rsidR="00C81915" w:rsidRPr="00654EF1">
        <w:rPr>
          <w:bCs/>
          <w:color w:val="000000"/>
        </w:rPr>
        <w:t>.</w:t>
      </w:r>
    </w:p>
    <w:p w14:paraId="1B6809AD" w14:textId="77777777" w:rsidR="00C81915" w:rsidRPr="00654EF1" w:rsidRDefault="00C81915" w:rsidP="001D5C8C">
      <w:pPr>
        <w:widowControl w:val="0"/>
        <w:spacing w:line="240" w:lineRule="auto"/>
        <w:rPr>
          <w:bCs/>
          <w:color w:val="000000"/>
        </w:rPr>
      </w:pPr>
    </w:p>
    <w:p w14:paraId="1B6809AE" w14:textId="77777777" w:rsidR="00C81915" w:rsidRPr="00654EF1" w:rsidRDefault="00C81915" w:rsidP="001D5C8C">
      <w:pPr>
        <w:widowControl w:val="0"/>
        <w:spacing w:line="240" w:lineRule="auto"/>
        <w:rPr>
          <w:color w:val="000000"/>
          <w:szCs w:val="22"/>
        </w:rPr>
      </w:pPr>
      <w:r w:rsidRPr="00654EF1">
        <w:rPr>
          <w:bCs/>
          <w:color w:val="000000"/>
        </w:rPr>
        <w:t>The mechanism and relevance of these findings in the rat carcinogenicity study for humans are not yet clarified.</w:t>
      </w:r>
    </w:p>
    <w:p w14:paraId="1B6809AF" w14:textId="77777777" w:rsidR="00C81915" w:rsidRPr="00654EF1" w:rsidRDefault="00C81915" w:rsidP="001D5C8C">
      <w:pPr>
        <w:widowControl w:val="0"/>
        <w:spacing w:line="240" w:lineRule="auto"/>
        <w:rPr>
          <w:bCs/>
          <w:color w:val="000000"/>
        </w:rPr>
      </w:pPr>
    </w:p>
    <w:p w14:paraId="1B6809B0" w14:textId="77777777" w:rsidR="009975D6" w:rsidRPr="00654EF1" w:rsidRDefault="00C81915" w:rsidP="001D5C8C">
      <w:pPr>
        <w:widowControl w:val="0"/>
        <w:spacing w:line="240" w:lineRule="auto"/>
        <w:rPr>
          <w:color w:val="000000"/>
          <w:szCs w:val="22"/>
        </w:rPr>
      </w:pPr>
      <w:r w:rsidRPr="00654EF1">
        <w:rPr>
          <w:bCs/>
          <w:color w:val="000000"/>
        </w:rPr>
        <w:t>Non-neoplastic lesions not identified in earlier preclinical studies were the cardiovascular system, pancreas, endocrine organs and teeth. The most important changes included cardiac hypertrophy and dilatation, leading to signs of cardiac insufficiency in some animals.</w:t>
      </w:r>
    </w:p>
    <w:p w14:paraId="1B6809B1" w14:textId="77777777" w:rsidR="007F35BE" w:rsidRPr="00654EF1" w:rsidRDefault="007F35BE" w:rsidP="001D5C8C">
      <w:pPr>
        <w:widowControl w:val="0"/>
        <w:spacing w:line="240" w:lineRule="auto"/>
        <w:rPr>
          <w:bCs/>
          <w:color w:val="000000"/>
        </w:rPr>
      </w:pPr>
    </w:p>
    <w:p w14:paraId="1B6809B2" w14:textId="77777777" w:rsidR="006237AB" w:rsidRPr="00654EF1" w:rsidRDefault="007F35BE" w:rsidP="001D5C8C">
      <w:pPr>
        <w:widowControl w:val="0"/>
        <w:spacing w:line="240" w:lineRule="auto"/>
        <w:rPr>
          <w:color w:val="000000"/>
        </w:rPr>
      </w:pPr>
      <w:r w:rsidRPr="00654EF1">
        <w:rPr>
          <w:bCs/>
          <w:color w:val="000000"/>
        </w:rPr>
        <w:t>The active substance imatinib demonstrates an environmental risk for sediment organisms.</w:t>
      </w:r>
    </w:p>
    <w:p w14:paraId="1B6809B3" w14:textId="77777777" w:rsidR="006237AB" w:rsidRPr="00654EF1" w:rsidRDefault="006237AB" w:rsidP="001D5C8C">
      <w:pPr>
        <w:pStyle w:val="EndnoteText"/>
        <w:widowControl w:val="0"/>
        <w:tabs>
          <w:tab w:val="clear" w:pos="567"/>
        </w:tabs>
        <w:rPr>
          <w:color w:val="000000"/>
          <w:szCs w:val="22"/>
        </w:rPr>
      </w:pPr>
    </w:p>
    <w:p w14:paraId="1B6809B4" w14:textId="77777777" w:rsidR="00026B70" w:rsidRPr="00654EF1" w:rsidRDefault="00026B70" w:rsidP="001D5C8C">
      <w:pPr>
        <w:pStyle w:val="EndnoteText"/>
        <w:widowControl w:val="0"/>
        <w:tabs>
          <w:tab w:val="clear" w:pos="567"/>
        </w:tabs>
        <w:rPr>
          <w:color w:val="000000"/>
          <w:szCs w:val="22"/>
        </w:rPr>
      </w:pPr>
    </w:p>
    <w:p w14:paraId="1B6809B5" w14:textId="77777777" w:rsidR="006237AB" w:rsidRPr="00654EF1" w:rsidRDefault="006237AB" w:rsidP="001D5C8C">
      <w:pPr>
        <w:keepNext/>
        <w:widowControl w:val="0"/>
        <w:tabs>
          <w:tab w:val="clear" w:pos="567"/>
        </w:tabs>
        <w:spacing w:line="240" w:lineRule="auto"/>
        <w:ind w:left="567" w:hanging="567"/>
        <w:rPr>
          <w:b/>
          <w:color w:val="000000"/>
          <w:szCs w:val="22"/>
        </w:rPr>
      </w:pPr>
      <w:r w:rsidRPr="00654EF1">
        <w:rPr>
          <w:b/>
          <w:color w:val="000000"/>
          <w:szCs w:val="22"/>
        </w:rPr>
        <w:t>6.</w:t>
      </w:r>
      <w:r w:rsidRPr="00654EF1">
        <w:rPr>
          <w:b/>
          <w:color w:val="000000"/>
          <w:szCs w:val="22"/>
        </w:rPr>
        <w:tab/>
        <w:t>PHARMACEUTICAL PARTICULARS</w:t>
      </w:r>
    </w:p>
    <w:p w14:paraId="1B6809B6" w14:textId="77777777" w:rsidR="006237AB" w:rsidRPr="00654EF1" w:rsidRDefault="006237AB" w:rsidP="001D5C8C">
      <w:pPr>
        <w:pStyle w:val="EndnoteText"/>
        <w:keepNext/>
        <w:widowControl w:val="0"/>
        <w:tabs>
          <w:tab w:val="clear" w:pos="567"/>
        </w:tabs>
        <w:rPr>
          <w:color w:val="000000"/>
          <w:szCs w:val="22"/>
        </w:rPr>
      </w:pPr>
    </w:p>
    <w:p w14:paraId="1B6809B7"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6.1</w:t>
      </w:r>
      <w:r w:rsidRPr="00654EF1">
        <w:rPr>
          <w:b/>
          <w:color w:val="000000"/>
          <w:szCs w:val="22"/>
        </w:rPr>
        <w:tab/>
        <w:t>List of excipients</w:t>
      </w:r>
    </w:p>
    <w:p w14:paraId="1B6809B8" w14:textId="77777777" w:rsidR="006237AB" w:rsidRPr="00654EF1" w:rsidRDefault="006237AB" w:rsidP="001D5C8C">
      <w:pPr>
        <w:keepNext/>
        <w:widowControl w:val="0"/>
        <w:tabs>
          <w:tab w:val="clear" w:pos="567"/>
        </w:tabs>
        <w:spacing w:line="240" w:lineRule="auto"/>
        <w:ind w:left="567" w:hanging="567"/>
        <w:rPr>
          <w:color w:val="000000"/>
          <w:szCs w:val="22"/>
        </w:rPr>
      </w:pPr>
    </w:p>
    <w:p w14:paraId="1B6809B9"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Tablet core:</w:t>
      </w:r>
    </w:p>
    <w:p w14:paraId="1B6809BA"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Cellulose microcrystalline</w:t>
      </w:r>
    </w:p>
    <w:p w14:paraId="1B6809BB"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Crospovidone</w:t>
      </w:r>
    </w:p>
    <w:p w14:paraId="1B6809BC"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Hypromellose</w:t>
      </w:r>
    </w:p>
    <w:p w14:paraId="1B6809BD"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Magnesium stearate</w:t>
      </w:r>
    </w:p>
    <w:p w14:paraId="1B6809BE"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Silica, colloidal anhydrous</w:t>
      </w:r>
    </w:p>
    <w:p w14:paraId="1B6809BF" w14:textId="77777777" w:rsidR="006237AB" w:rsidRPr="00654EF1" w:rsidRDefault="006237AB" w:rsidP="001D5C8C">
      <w:pPr>
        <w:widowControl w:val="0"/>
        <w:tabs>
          <w:tab w:val="clear" w:pos="567"/>
        </w:tabs>
        <w:spacing w:line="240" w:lineRule="auto"/>
        <w:rPr>
          <w:color w:val="000000"/>
          <w:szCs w:val="22"/>
        </w:rPr>
      </w:pPr>
    </w:p>
    <w:p w14:paraId="1B6809C0" w14:textId="77777777" w:rsidR="006237AB" w:rsidRPr="008637D0" w:rsidRDefault="006237AB" w:rsidP="001D5C8C">
      <w:pPr>
        <w:pStyle w:val="EndnoteText"/>
        <w:keepNext/>
        <w:widowControl w:val="0"/>
        <w:tabs>
          <w:tab w:val="clear" w:pos="567"/>
        </w:tabs>
        <w:rPr>
          <w:color w:val="000000"/>
          <w:szCs w:val="22"/>
        </w:rPr>
      </w:pPr>
      <w:r w:rsidRPr="008637D0">
        <w:rPr>
          <w:color w:val="000000"/>
          <w:szCs w:val="22"/>
        </w:rPr>
        <w:t>Tablet coat:</w:t>
      </w:r>
    </w:p>
    <w:p w14:paraId="1B6809C1" w14:textId="77777777" w:rsidR="006237AB" w:rsidRPr="008637D0" w:rsidRDefault="006237AB" w:rsidP="001D5C8C">
      <w:pPr>
        <w:pStyle w:val="EndnoteText"/>
        <w:keepNext/>
        <w:widowControl w:val="0"/>
        <w:tabs>
          <w:tab w:val="clear" w:pos="567"/>
        </w:tabs>
        <w:rPr>
          <w:color w:val="000000"/>
          <w:szCs w:val="22"/>
        </w:rPr>
      </w:pPr>
      <w:r w:rsidRPr="008637D0">
        <w:rPr>
          <w:color w:val="000000"/>
          <w:szCs w:val="22"/>
        </w:rPr>
        <w:t>Iron oxide, red (E172)</w:t>
      </w:r>
    </w:p>
    <w:p w14:paraId="1B6809C2" w14:textId="77777777" w:rsidR="006237AB" w:rsidRPr="00654EF1" w:rsidRDefault="006237AB" w:rsidP="001D5C8C">
      <w:pPr>
        <w:pStyle w:val="EndnoteText"/>
        <w:keepNext/>
        <w:widowControl w:val="0"/>
        <w:tabs>
          <w:tab w:val="clear" w:pos="567"/>
        </w:tabs>
        <w:rPr>
          <w:color w:val="000000"/>
          <w:szCs w:val="22"/>
        </w:rPr>
      </w:pPr>
      <w:r w:rsidRPr="00654EF1">
        <w:rPr>
          <w:color w:val="000000"/>
          <w:szCs w:val="22"/>
        </w:rPr>
        <w:t>Iron oxide, yellow (E172)</w:t>
      </w:r>
    </w:p>
    <w:p w14:paraId="1B6809C3" w14:textId="77777777" w:rsidR="00E945C1" w:rsidRPr="00654EF1" w:rsidRDefault="00E945C1" w:rsidP="001D5C8C">
      <w:pPr>
        <w:pStyle w:val="EndnoteText"/>
        <w:keepNext/>
        <w:widowControl w:val="0"/>
        <w:tabs>
          <w:tab w:val="clear" w:pos="567"/>
        </w:tabs>
        <w:rPr>
          <w:color w:val="000000"/>
          <w:szCs w:val="22"/>
        </w:rPr>
      </w:pPr>
      <w:r w:rsidRPr="00654EF1">
        <w:rPr>
          <w:color w:val="000000"/>
          <w:szCs w:val="22"/>
        </w:rPr>
        <w:t>Macrogol</w:t>
      </w:r>
    </w:p>
    <w:p w14:paraId="1B6809C4" w14:textId="77777777" w:rsidR="00E945C1" w:rsidRPr="00654EF1" w:rsidRDefault="00E945C1" w:rsidP="001D5C8C">
      <w:pPr>
        <w:pStyle w:val="EndnoteText"/>
        <w:keepNext/>
        <w:widowControl w:val="0"/>
        <w:tabs>
          <w:tab w:val="clear" w:pos="567"/>
        </w:tabs>
        <w:rPr>
          <w:color w:val="000000"/>
          <w:szCs w:val="22"/>
        </w:rPr>
      </w:pPr>
      <w:r w:rsidRPr="00654EF1">
        <w:rPr>
          <w:color w:val="000000"/>
          <w:szCs w:val="22"/>
        </w:rPr>
        <w:t>Talc</w:t>
      </w:r>
    </w:p>
    <w:p w14:paraId="1B6809C5" w14:textId="77777777" w:rsidR="00E945C1" w:rsidRPr="00654EF1" w:rsidRDefault="00E945C1" w:rsidP="001D5C8C">
      <w:pPr>
        <w:pStyle w:val="EndnoteText"/>
        <w:widowControl w:val="0"/>
        <w:tabs>
          <w:tab w:val="clear" w:pos="567"/>
        </w:tabs>
        <w:rPr>
          <w:color w:val="000000"/>
          <w:szCs w:val="22"/>
        </w:rPr>
      </w:pPr>
      <w:r w:rsidRPr="00654EF1">
        <w:rPr>
          <w:color w:val="000000"/>
          <w:szCs w:val="22"/>
        </w:rPr>
        <w:t>Hypromellose</w:t>
      </w:r>
    </w:p>
    <w:p w14:paraId="1B6809C6" w14:textId="77777777" w:rsidR="006237AB" w:rsidRPr="00654EF1" w:rsidRDefault="006237AB" w:rsidP="001D5C8C">
      <w:pPr>
        <w:widowControl w:val="0"/>
        <w:tabs>
          <w:tab w:val="clear" w:pos="567"/>
        </w:tabs>
        <w:spacing w:line="240" w:lineRule="auto"/>
        <w:rPr>
          <w:color w:val="000000"/>
          <w:szCs w:val="22"/>
          <w:lang w:val="en-US"/>
        </w:rPr>
      </w:pPr>
    </w:p>
    <w:p w14:paraId="1B6809C7" w14:textId="77777777" w:rsidR="006237AB" w:rsidRPr="00654EF1" w:rsidRDefault="006237AB" w:rsidP="001D5C8C">
      <w:pPr>
        <w:keepNext/>
        <w:widowControl w:val="0"/>
        <w:tabs>
          <w:tab w:val="clear" w:pos="567"/>
        </w:tabs>
        <w:spacing w:line="240" w:lineRule="auto"/>
        <w:rPr>
          <w:color w:val="000000"/>
          <w:szCs w:val="22"/>
        </w:rPr>
      </w:pPr>
      <w:r w:rsidRPr="00654EF1">
        <w:rPr>
          <w:b/>
          <w:color w:val="000000"/>
          <w:szCs w:val="22"/>
        </w:rPr>
        <w:t>6.2</w:t>
      </w:r>
      <w:r w:rsidRPr="00654EF1">
        <w:rPr>
          <w:b/>
          <w:color w:val="000000"/>
          <w:szCs w:val="22"/>
        </w:rPr>
        <w:tab/>
        <w:t>Incompatibilities</w:t>
      </w:r>
    </w:p>
    <w:p w14:paraId="1B6809C8" w14:textId="77777777" w:rsidR="006237AB" w:rsidRPr="00654EF1" w:rsidRDefault="006237AB" w:rsidP="001D5C8C">
      <w:pPr>
        <w:keepNext/>
        <w:widowControl w:val="0"/>
        <w:tabs>
          <w:tab w:val="clear" w:pos="567"/>
        </w:tabs>
        <w:spacing w:line="240" w:lineRule="auto"/>
        <w:rPr>
          <w:color w:val="000000"/>
          <w:szCs w:val="22"/>
        </w:rPr>
      </w:pPr>
    </w:p>
    <w:p w14:paraId="1B6809C9"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Not applicable</w:t>
      </w:r>
      <w:r w:rsidR="00765B18" w:rsidRPr="00654EF1">
        <w:rPr>
          <w:color w:val="000000"/>
          <w:szCs w:val="22"/>
        </w:rPr>
        <w:t>.</w:t>
      </w:r>
    </w:p>
    <w:p w14:paraId="1B6809CA" w14:textId="77777777" w:rsidR="006237AB" w:rsidRPr="00654EF1" w:rsidRDefault="006237AB" w:rsidP="001D5C8C">
      <w:pPr>
        <w:pStyle w:val="EndnoteText"/>
        <w:widowControl w:val="0"/>
        <w:tabs>
          <w:tab w:val="clear" w:pos="567"/>
        </w:tabs>
        <w:rPr>
          <w:color w:val="000000"/>
          <w:szCs w:val="22"/>
        </w:rPr>
      </w:pPr>
    </w:p>
    <w:p w14:paraId="1B6809CB"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6.3</w:t>
      </w:r>
      <w:r w:rsidRPr="00654EF1">
        <w:rPr>
          <w:b/>
          <w:color w:val="000000"/>
          <w:szCs w:val="22"/>
        </w:rPr>
        <w:tab/>
        <w:t>Shelf life</w:t>
      </w:r>
    </w:p>
    <w:p w14:paraId="1B6809CC" w14:textId="77777777" w:rsidR="006237AB" w:rsidRPr="00654EF1" w:rsidRDefault="006237AB" w:rsidP="001D5C8C">
      <w:pPr>
        <w:pStyle w:val="EndnoteText"/>
        <w:keepNext/>
        <w:widowControl w:val="0"/>
        <w:tabs>
          <w:tab w:val="clear" w:pos="567"/>
        </w:tabs>
        <w:rPr>
          <w:color w:val="000000"/>
          <w:szCs w:val="22"/>
        </w:rPr>
      </w:pPr>
    </w:p>
    <w:p w14:paraId="1B6809CD" w14:textId="77777777" w:rsidR="006237AB" w:rsidRPr="00654EF1" w:rsidRDefault="00CE4E6A" w:rsidP="001D5C8C">
      <w:pPr>
        <w:pStyle w:val="EndnoteText"/>
        <w:widowControl w:val="0"/>
        <w:tabs>
          <w:tab w:val="clear" w:pos="567"/>
        </w:tabs>
        <w:rPr>
          <w:color w:val="000000"/>
          <w:szCs w:val="22"/>
        </w:rPr>
      </w:pPr>
      <w:r w:rsidRPr="00654EF1">
        <w:rPr>
          <w:color w:val="000000"/>
          <w:szCs w:val="22"/>
        </w:rPr>
        <w:t>3</w:t>
      </w:r>
      <w:r w:rsidR="00A36A10" w:rsidRPr="00654EF1">
        <w:rPr>
          <w:color w:val="000000"/>
          <w:szCs w:val="22"/>
        </w:rPr>
        <w:t> </w:t>
      </w:r>
      <w:r w:rsidR="006237AB" w:rsidRPr="00654EF1">
        <w:rPr>
          <w:color w:val="000000"/>
          <w:szCs w:val="22"/>
        </w:rPr>
        <w:t>years</w:t>
      </w:r>
    </w:p>
    <w:p w14:paraId="1B6809CE" w14:textId="77777777" w:rsidR="006237AB" w:rsidRPr="00654EF1" w:rsidRDefault="006237AB" w:rsidP="001D5C8C">
      <w:pPr>
        <w:widowControl w:val="0"/>
        <w:tabs>
          <w:tab w:val="clear" w:pos="567"/>
        </w:tabs>
        <w:spacing w:line="240" w:lineRule="auto"/>
        <w:ind w:left="567" w:hanging="567"/>
        <w:rPr>
          <w:color w:val="000000"/>
          <w:szCs w:val="22"/>
        </w:rPr>
      </w:pPr>
    </w:p>
    <w:p w14:paraId="1B6809CF"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6.4</w:t>
      </w:r>
      <w:r w:rsidRPr="00654EF1">
        <w:rPr>
          <w:b/>
          <w:color w:val="000000"/>
          <w:szCs w:val="22"/>
        </w:rPr>
        <w:tab/>
        <w:t>Special precautions for storage</w:t>
      </w:r>
    </w:p>
    <w:p w14:paraId="1B6809D0" w14:textId="77777777" w:rsidR="006237AB" w:rsidRPr="00654EF1" w:rsidRDefault="006237AB" w:rsidP="001D5C8C">
      <w:pPr>
        <w:keepNext/>
        <w:widowControl w:val="0"/>
        <w:tabs>
          <w:tab w:val="clear" w:pos="567"/>
        </w:tabs>
        <w:spacing w:line="240" w:lineRule="auto"/>
        <w:rPr>
          <w:color w:val="000000"/>
          <w:szCs w:val="22"/>
        </w:rPr>
      </w:pPr>
    </w:p>
    <w:p w14:paraId="1B6809D1"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Do not store above 30</w:t>
      </w:r>
      <w:r w:rsidRPr="00654EF1">
        <w:rPr>
          <w:color w:val="000000"/>
          <w:szCs w:val="22"/>
        </w:rPr>
        <w:sym w:font="Symbol" w:char="F0B0"/>
      </w:r>
      <w:r w:rsidRPr="00654EF1">
        <w:rPr>
          <w:color w:val="000000"/>
          <w:szCs w:val="22"/>
        </w:rPr>
        <w:t>C.</w:t>
      </w:r>
    </w:p>
    <w:p w14:paraId="1B6809D2" w14:textId="77777777" w:rsidR="006237AB" w:rsidRPr="00654EF1" w:rsidRDefault="006237AB" w:rsidP="001D5C8C">
      <w:pPr>
        <w:widowControl w:val="0"/>
        <w:tabs>
          <w:tab w:val="clear" w:pos="567"/>
        </w:tabs>
        <w:spacing w:line="240" w:lineRule="auto"/>
        <w:rPr>
          <w:color w:val="000000"/>
          <w:szCs w:val="22"/>
        </w:rPr>
      </w:pPr>
    </w:p>
    <w:p w14:paraId="1B6809D3" w14:textId="77777777" w:rsidR="006237AB" w:rsidRPr="00654EF1" w:rsidRDefault="006237AB" w:rsidP="001D5C8C">
      <w:pPr>
        <w:widowControl w:val="0"/>
        <w:tabs>
          <w:tab w:val="clear" w:pos="567"/>
        </w:tabs>
        <w:spacing w:line="240" w:lineRule="auto"/>
        <w:rPr>
          <w:color w:val="000000"/>
          <w:szCs w:val="22"/>
        </w:rPr>
      </w:pPr>
      <w:r w:rsidRPr="00654EF1">
        <w:rPr>
          <w:color w:val="000000"/>
          <w:szCs w:val="22"/>
        </w:rPr>
        <w:t>Store in the original package in order to protect from moisture.</w:t>
      </w:r>
    </w:p>
    <w:p w14:paraId="1B6809D4" w14:textId="77777777" w:rsidR="006237AB" w:rsidRPr="00654EF1" w:rsidRDefault="006237AB" w:rsidP="001D5C8C">
      <w:pPr>
        <w:widowControl w:val="0"/>
        <w:tabs>
          <w:tab w:val="clear" w:pos="567"/>
        </w:tabs>
        <w:spacing w:line="240" w:lineRule="auto"/>
        <w:rPr>
          <w:color w:val="000000"/>
          <w:szCs w:val="22"/>
        </w:rPr>
      </w:pPr>
    </w:p>
    <w:p w14:paraId="1B6809D5"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6.5</w:t>
      </w:r>
      <w:r w:rsidRPr="00654EF1">
        <w:rPr>
          <w:b/>
          <w:color w:val="000000"/>
          <w:szCs w:val="22"/>
        </w:rPr>
        <w:tab/>
        <w:t>Nature and contents of container</w:t>
      </w:r>
    </w:p>
    <w:p w14:paraId="1B6809D6" w14:textId="77777777" w:rsidR="006237AB" w:rsidRPr="00654EF1" w:rsidRDefault="006237AB" w:rsidP="001D5C8C">
      <w:pPr>
        <w:pStyle w:val="EndnoteText"/>
        <w:keepNext/>
        <w:widowControl w:val="0"/>
        <w:tabs>
          <w:tab w:val="clear" w:pos="567"/>
        </w:tabs>
        <w:rPr>
          <w:color w:val="000000"/>
          <w:szCs w:val="22"/>
        </w:rPr>
      </w:pPr>
    </w:p>
    <w:p w14:paraId="1B6809D7" w14:textId="77777777" w:rsidR="00DE25B9" w:rsidRPr="00654EF1" w:rsidRDefault="00DE25B9" w:rsidP="001D5C8C">
      <w:pPr>
        <w:keepNext/>
        <w:widowControl w:val="0"/>
        <w:tabs>
          <w:tab w:val="clear" w:pos="567"/>
        </w:tabs>
        <w:spacing w:line="240" w:lineRule="auto"/>
        <w:rPr>
          <w:color w:val="000000"/>
          <w:szCs w:val="22"/>
          <w:u w:val="single"/>
        </w:rPr>
      </w:pPr>
      <w:r w:rsidRPr="00654EF1">
        <w:rPr>
          <w:color w:val="000000"/>
          <w:szCs w:val="22"/>
          <w:u w:val="single"/>
        </w:rPr>
        <w:t>Glivec 100 mg film-coated tablets</w:t>
      </w:r>
    </w:p>
    <w:p w14:paraId="1B6809D8" w14:textId="77777777" w:rsidR="006237AB" w:rsidRPr="00654EF1" w:rsidRDefault="006237AB" w:rsidP="001D5C8C">
      <w:pPr>
        <w:widowControl w:val="0"/>
        <w:tabs>
          <w:tab w:val="clear" w:pos="567"/>
        </w:tabs>
        <w:spacing w:line="240" w:lineRule="auto"/>
        <w:rPr>
          <w:color w:val="000000"/>
          <w:szCs w:val="22"/>
          <w:lang w:val="en-US"/>
        </w:rPr>
      </w:pPr>
      <w:r w:rsidRPr="00654EF1">
        <w:rPr>
          <w:color w:val="000000"/>
          <w:szCs w:val="22"/>
        </w:rPr>
        <w:t>PVC/alu blisters</w:t>
      </w:r>
    </w:p>
    <w:p w14:paraId="1B6809D9"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Packs containing 20, 60, 120 or 180</w:t>
      </w:r>
      <w:r w:rsidR="00A36A10" w:rsidRPr="00654EF1">
        <w:rPr>
          <w:color w:val="000000"/>
          <w:szCs w:val="22"/>
        </w:rPr>
        <w:t> </w:t>
      </w:r>
      <w:r w:rsidRPr="00654EF1">
        <w:rPr>
          <w:color w:val="000000"/>
          <w:szCs w:val="22"/>
        </w:rPr>
        <w:t>film-coated tablets</w:t>
      </w:r>
    </w:p>
    <w:p w14:paraId="1B6809DA" w14:textId="77777777" w:rsidR="00752F25" w:rsidRDefault="00752F25" w:rsidP="001D5C8C">
      <w:pPr>
        <w:pStyle w:val="EndnoteText"/>
        <w:widowControl w:val="0"/>
        <w:tabs>
          <w:tab w:val="clear" w:pos="567"/>
        </w:tabs>
        <w:rPr>
          <w:color w:val="000000"/>
          <w:szCs w:val="22"/>
        </w:rPr>
      </w:pPr>
    </w:p>
    <w:p w14:paraId="1B6809DB" w14:textId="77777777" w:rsidR="00752F25" w:rsidRPr="00D42BBC" w:rsidRDefault="00752F25" w:rsidP="001D5C8C">
      <w:pPr>
        <w:keepNext/>
        <w:widowControl w:val="0"/>
        <w:tabs>
          <w:tab w:val="clear" w:pos="567"/>
        </w:tabs>
        <w:spacing w:line="240" w:lineRule="auto"/>
        <w:rPr>
          <w:color w:val="000000"/>
          <w:szCs w:val="22"/>
          <w:lang w:val="en-US"/>
        </w:rPr>
      </w:pPr>
      <w:r w:rsidRPr="00D42BBC">
        <w:rPr>
          <w:color w:val="000000"/>
          <w:szCs w:val="22"/>
        </w:rPr>
        <w:t>PVDC/alu blisters</w:t>
      </w:r>
    </w:p>
    <w:p w14:paraId="1B6809DC" w14:textId="77777777" w:rsidR="00752F25" w:rsidRPr="00D42BBC" w:rsidRDefault="00752F25" w:rsidP="001D5C8C">
      <w:pPr>
        <w:widowControl w:val="0"/>
        <w:tabs>
          <w:tab w:val="clear" w:pos="567"/>
        </w:tabs>
        <w:spacing w:line="240" w:lineRule="auto"/>
        <w:rPr>
          <w:color w:val="000000"/>
          <w:szCs w:val="22"/>
        </w:rPr>
      </w:pPr>
      <w:r w:rsidRPr="00D42BBC">
        <w:rPr>
          <w:color w:val="000000"/>
          <w:szCs w:val="22"/>
        </w:rPr>
        <w:t xml:space="preserve">Packs containing </w:t>
      </w:r>
      <w:r w:rsidR="00721F27">
        <w:rPr>
          <w:color w:val="000000"/>
          <w:szCs w:val="22"/>
        </w:rPr>
        <w:t>6</w:t>
      </w:r>
      <w:r w:rsidRPr="00D42BBC">
        <w:rPr>
          <w:color w:val="000000"/>
          <w:szCs w:val="22"/>
        </w:rPr>
        <w:t xml:space="preserve">0, </w:t>
      </w:r>
      <w:r w:rsidRPr="005E4D60">
        <w:rPr>
          <w:color w:val="000000"/>
          <w:szCs w:val="22"/>
        </w:rPr>
        <w:t>120 or 180</w:t>
      </w:r>
      <w:r w:rsidRPr="00D42BBC">
        <w:rPr>
          <w:color w:val="000000"/>
          <w:szCs w:val="22"/>
        </w:rPr>
        <w:t> film-coated tablets</w:t>
      </w:r>
    </w:p>
    <w:p w14:paraId="1B6809DD" w14:textId="77777777" w:rsidR="00DE25B9" w:rsidRPr="00654EF1" w:rsidRDefault="00DE25B9" w:rsidP="001D5C8C">
      <w:pPr>
        <w:pStyle w:val="EndnoteText"/>
        <w:widowControl w:val="0"/>
        <w:tabs>
          <w:tab w:val="clear" w:pos="567"/>
        </w:tabs>
        <w:rPr>
          <w:color w:val="000000"/>
          <w:szCs w:val="22"/>
        </w:rPr>
      </w:pPr>
    </w:p>
    <w:p w14:paraId="1B6809DE" w14:textId="77777777" w:rsidR="00DE25B9" w:rsidRPr="00654EF1" w:rsidRDefault="00DE25B9" w:rsidP="001D5C8C">
      <w:pPr>
        <w:pStyle w:val="EndnoteText"/>
        <w:keepNext/>
        <w:widowControl w:val="0"/>
        <w:tabs>
          <w:tab w:val="clear" w:pos="567"/>
        </w:tabs>
        <w:rPr>
          <w:color w:val="000000"/>
          <w:szCs w:val="22"/>
          <w:u w:val="single"/>
        </w:rPr>
      </w:pPr>
      <w:r w:rsidRPr="00654EF1">
        <w:rPr>
          <w:color w:val="000000"/>
          <w:szCs w:val="22"/>
          <w:u w:val="single"/>
        </w:rPr>
        <w:t>Glivec 400 mg film-coated tablets</w:t>
      </w:r>
    </w:p>
    <w:p w14:paraId="1B6809DF" w14:textId="77777777" w:rsidR="00DE25B9" w:rsidRPr="00654EF1" w:rsidRDefault="00DE25B9" w:rsidP="001D5C8C">
      <w:pPr>
        <w:widowControl w:val="0"/>
        <w:tabs>
          <w:tab w:val="clear" w:pos="567"/>
        </w:tabs>
        <w:spacing w:line="240" w:lineRule="auto"/>
        <w:rPr>
          <w:color w:val="000000"/>
          <w:szCs w:val="22"/>
          <w:lang w:val="en-US"/>
        </w:rPr>
      </w:pPr>
      <w:r w:rsidRPr="00654EF1">
        <w:rPr>
          <w:color w:val="000000"/>
          <w:szCs w:val="22"/>
        </w:rPr>
        <w:t>PVDC/alu blisters</w:t>
      </w:r>
    </w:p>
    <w:p w14:paraId="1B6809E0" w14:textId="77777777" w:rsidR="00DE25B9" w:rsidRPr="00654EF1" w:rsidRDefault="00DE25B9" w:rsidP="001D5C8C">
      <w:pPr>
        <w:widowControl w:val="0"/>
        <w:tabs>
          <w:tab w:val="clear" w:pos="567"/>
        </w:tabs>
        <w:spacing w:line="240" w:lineRule="auto"/>
        <w:rPr>
          <w:color w:val="000000"/>
          <w:szCs w:val="22"/>
        </w:rPr>
      </w:pPr>
      <w:r w:rsidRPr="00654EF1">
        <w:rPr>
          <w:color w:val="000000"/>
          <w:szCs w:val="22"/>
        </w:rPr>
        <w:t>Packs containing 10, 30 or 90 film-coated tablets</w:t>
      </w:r>
    </w:p>
    <w:p w14:paraId="1B6809E1" w14:textId="77777777" w:rsidR="006237AB" w:rsidRPr="00654EF1" w:rsidRDefault="006237AB" w:rsidP="001D5C8C">
      <w:pPr>
        <w:pStyle w:val="EndnoteText"/>
        <w:widowControl w:val="0"/>
        <w:tabs>
          <w:tab w:val="clear" w:pos="567"/>
        </w:tabs>
        <w:rPr>
          <w:color w:val="000000"/>
          <w:szCs w:val="22"/>
        </w:rPr>
      </w:pPr>
    </w:p>
    <w:p w14:paraId="1B6809E2" w14:textId="77777777" w:rsidR="00C703BD" w:rsidRPr="00654EF1" w:rsidRDefault="006237AB" w:rsidP="001D5C8C">
      <w:pPr>
        <w:pStyle w:val="EndnoteText"/>
        <w:widowControl w:val="0"/>
        <w:tabs>
          <w:tab w:val="clear" w:pos="567"/>
        </w:tabs>
        <w:rPr>
          <w:color w:val="000000"/>
          <w:szCs w:val="22"/>
        </w:rPr>
      </w:pPr>
      <w:r w:rsidRPr="00654EF1">
        <w:rPr>
          <w:color w:val="000000"/>
          <w:szCs w:val="22"/>
        </w:rPr>
        <w:t>Not all pack sizes may be marketed.</w:t>
      </w:r>
    </w:p>
    <w:p w14:paraId="1B6809E3" w14:textId="77777777" w:rsidR="006237AB" w:rsidRPr="00654EF1" w:rsidRDefault="006237AB" w:rsidP="001D5C8C">
      <w:pPr>
        <w:pStyle w:val="EndnoteText"/>
        <w:widowControl w:val="0"/>
        <w:tabs>
          <w:tab w:val="clear" w:pos="567"/>
        </w:tabs>
        <w:rPr>
          <w:color w:val="000000"/>
          <w:szCs w:val="22"/>
        </w:rPr>
      </w:pPr>
    </w:p>
    <w:p w14:paraId="1B6809E4"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6.6</w:t>
      </w:r>
      <w:r w:rsidRPr="00654EF1">
        <w:rPr>
          <w:b/>
          <w:color w:val="000000"/>
          <w:szCs w:val="22"/>
        </w:rPr>
        <w:tab/>
      </w:r>
      <w:r w:rsidR="00394E9C" w:rsidRPr="00654EF1">
        <w:rPr>
          <w:b/>
          <w:color w:val="000000"/>
          <w:szCs w:val="22"/>
        </w:rPr>
        <w:t>Special precautions for disposal</w:t>
      </w:r>
    </w:p>
    <w:p w14:paraId="1B6809E5" w14:textId="77777777" w:rsidR="006237AB" w:rsidRPr="00654EF1" w:rsidRDefault="006237AB" w:rsidP="001D5C8C">
      <w:pPr>
        <w:pStyle w:val="EndnoteText"/>
        <w:keepNext/>
        <w:widowControl w:val="0"/>
        <w:tabs>
          <w:tab w:val="clear" w:pos="567"/>
        </w:tabs>
        <w:rPr>
          <w:color w:val="000000"/>
          <w:szCs w:val="22"/>
        </w:rPr>
      </w:pPr>
    </w:p>
    <w:p w14:paraId="1B6809E6" w14:textId="77777777" w:rsidR="006237AB" w:rsidRPr="00654EF1" w:rsidRDefault="007F35BE" w:rsidP="001D5C8C">
      <w:pPr>
        <w:pStyle w:val="EndnoteText"/>
        <w:widowControl w:val="0"/>
        <w:tabs>
          <w:tab w:val="clear" w:pos="567"/>
        </w:tabs>
        <w:rPr>
          <w:color w:val="000000"/>
          <w:szCs w:val="22"/>
        </w:rPr>
      </w:pPr>
      <w:r w:rsidRPr="00654EF1">
        <w:rPr>
          <w:color w:val="000000"/>
          <w:szCs w:val="22"/>
        </w:rPr>
        <w:t>Any unused medicinal product or waste material should be disposed of in accordance with local requirements.</w:t>
      </w:r>
    </w:p>
    <w:p w14:paraId="1B6809E7" w14:textId="77777777" w:rsidR="000B442F" w:rsidRPr="00654EF1" w:rsidRDefault="000B442F" w:rsidP="001D5C8C">
      <w:pPr>
        <w:pStyle w:val="EndnoteText"/>
        <w:widowControl w:val="0"/>
        <w:tabs>
          <w:tab w:val="clear" w:pos="567"/>
        </w:tabs>
        <w:rPr>
          <w:color w:val="000000"/>
          <w:szCs w:val="22"/>
        </w:rPr>
      </w:pPr>
    </w:p>
    <w:p w14:paraId="1B6809E8" w14:textId="77777777" w:rsidR="006237AB" w:rsidRPr="00654EF1" w:rsidRDefault="006237AB" w:rsidP="001D5C8C">
      <w:pPr>
        <w:pStyle w:val="EndnoteText"/>
        <w:widowControl w:val="0"/>
        <w:tabs>
          <w:tab w:val="clear" w:pos="567"/>
        </w:tabs>
        <w:rPr>
          <w:color w:val="000000"/>
          <w:szCs w:val="22"/>
        </w:rPr>
      </w:pPr>
    </w:p>
    <w:p w14:paraId="1B6809E9" w14:textId="77777777" w:rsidR="006237AB" w:rsidRPr="00654EF1" w:rsidRDefault="006237AB" w:rsidP="001D5C8C">
      <w:pPr>
        <w:keepNext/>
        <w:widowControl w:val="0"/>
        <w:tabs>
          <w:tab w:val="clear" w:pos="567"/>
        </w:tabs>
        <w:spacing w:line="240" w:lineRule="auto"/>
        <w:ind w:left="567" w:hanging="567"/>
        <w:rPr>
          <w:color w:val="000000"/>
          <w:szCs w:val="22"/>
        </w:rPr>
      </w:pPr>
      <w:r w:rsidRPr="00654EF1">
        <w:rPr>
          <w:b/>
          <w:color w:val="000000"/>
          <w:szCs w:val="22"/>
        </w:rPr>
        <w:t>7.</w:t>
      </w:r>
      <w:r w:rsidRPr="00654EF1">
        <w:rPr>
          <w:b/>
          <w:color w:val="000000"/>
          <w:szCs w:val="22"/>
        </w:rPr>
        <w:tab/>
        <w:t>MARKETING AUTHORISATION HOLDER</w:t>
      </w:r>
    </w:p>
    <w:p w14:paraId="1B6809EA" w14:textId="77777777" w:rsidR="006237AB" w:rsidRPr="00654EF1" w:rsidRDefault="006237AB" w:rsidP="001D5C8C">
      <w:pPr>
        <w:pStyle w:val="EndnoteText"/>
        <w:keepNext/>
        <w:widowControl w:val="0"/>
        <w:tabs>
          <w:tab w:val="clear" w:pos="567"/>
        </w:tabs>
        <w:rPr>
          <w:color w:val="000000"/>
          <w:szCs w:val="22"/>
        </w:rPr>
      </w:pPr>
    </w:p>
    <w:p w14:paraId="1B6809EB"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9EC" w14:textId="77777777" w:rsidR="005716CE" w:rsidRPr="00654EF1" w:rsidRDefault="005716CE" w:rsidP="001D5C8C">
      <w:pPr>
        <w:keepNext/>
        <w:widowControl w:val="0"/>
        <w:spacing w:line="240" w:lineRule="auto"/>
        <w:rPr>
          <w:color w:val="000000"/>
        </w:rPr>
      </w:pPr>
      <w:r w:rsidRPr="00654EF1">
        <w:rPr>
          <w:color w:val="000000"/>
        </w:rPr>
        <w:t>Vista Building</w:t>
      </w:r>
    </w:p>
    <w:p w14:paraId="1B6809ED"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9EE" w14:textId="77777777" w:rsidR="005716CE" w:rsidRPr="00654EF1" w:rsidRDefault="005716CE" w:rsidP="001D5C8C">
      <w:pPr>
        <w:keepNext/>
        <w:widowControl w:val="0"/>
        <w:spacing w:line="240" w:lineRule="auto"/>
        <w:rPr>
          <w:color w:val="000000"/>
        </w:rPr>
      </w:pPr>
      <w:r w:rsidRPr="00654EF1">
        <w:rPr>
          <w:color w:val="000000"/>
        </w:rPr>
        <w:t>Dublin 4</w:t>
      </w:r>
    </w:p>
    <w:p w14:paraId="1B6809EF" w14:textId="77777777" w:rsidR="005716CE" w:rsidRPr="00654EF1" w:rsidRDefault="005716CE" w:rsidP="001D5C8C">
      <w:pPr>
        <w:spacing w:line="240" w:lineRule="auto"/>
        <w:rPr>
          <w:color w:val="000000"/>
        </w:rPr>
      </w:pPr>
      <w:r w:rsidRPr="00654EF1">
        <w:rPr>
          <w:color w:val="000000"/>
        </w:rPr>
        <w:t>Ireland</w:t>
      </w:r>
    </w:p>
    <w:p w14:paraId="1B6809F0" w14:textId="77777777" w:rsidR="006237AB" w:rsidRPr="00654EF1" w:rsidRDefault="006237AB" w:rsidP="001D5C8C">
      <w:pPr>
        <w:widowControl w:val="0"/>
        <w:tabs>
          <w:tab w:val="clear" w:pos="567"/>
        </w:tabs>
        <w:spacing w:line="240" w:lineRule="auto"/>
        <w:rPr>
          <w:color w:val="000000"/>
          <w:szCs w:val="22"/>
        </w:rPr>
      </w:pPr>
    </w:p>
    <w:p w14:paraId="1B6809F1" w14:textId="77777777" w:rsidR="006237AB" w:rsidRPr="00654EF1" w:rsidRDefault="006237AB" w:rsidP="001D5C8C">
      <w:pPr>
        <w:pStyle w:val="EndnoteText"/>
        <w:widowControl w:val="0"/>
        <w:tabs>
          <w:tab w:val="clear" w:pos="567"/>
        </w:tabs>
        <w:rPr>
          <w:color w:val="000000"/>
          <w:szCs w:val="22"/>
        </w:rPr>
      </w:pPr>
    </w:p>
    <w:p w14:paraId="1B6809F2" w14:textId="77777777" w:rsidR="00C703BD" w:rsidRPr="00654EF1" w:rsidRDefault="006237AB" w:rsidP="001D5C8C">
      <w:pPr>
        <w:pStyle w:val="BodyTextIndent"/>
        <w:keepNext/>
        <w:widowControl w:val="0"/>
        <w:rPr>
          <w:color w:val="000000"/>
          <w:szCs w:val="22"/>
        </w:rPr>
      </w:pPr>
      <w:r w:rsidRPr="00654EF1">
        <w:rPr>
          <w:color w:val="000000"/>
          <w:szCs w:val="22"/>
        </w:rPr>
        <w:t>8.</w:t>
      </w:r>
      <w:r w:rsidRPr="00654EF1">
        <w:rPr>
          <w:color w:val="000000"/>
          <w:szCs w:val="22"/>
        </w:rPr>
        <w:tab/>
        <w:t>MARKETING AUTHORISATION NUMBER(S)</w:t>
      </w:r>
    </w:p>
    <w:p w14:paraId="1B6809F3" w14:textId="77777777" w:rsidR="006237AB" w:rsidRPr="00654EF1" w:rsidRDefault="006237AB" w:rsidP="001D5C8C">
      <w:pPr>
        <w:pStyle w:val="EndnoteText"/>
        <w:keepNext/>
        <w:widowControl w:val="0"/>
        <w:tabs>
          <w:tab w:val="clear" w:pos="567"/>
        </w:tabs>
        <w:rPr>
          <w:color w:val="000000"/>
          <w:szCs w:val="22"/>
        </w:rPr>
      </w:pPr>
    </w:p>
    <w:p w14:paraId="1B6809F4" w14:textId="77777777" w:rsidR="00DE25B9" w:rsidRPr="008637D0" w:rsidRDefault="00DE25B9" w:rsidP="001D5C8C">
      <w:pPr>
        <w:keepNext/>
        <w:widowControl w:val="0"/>
        <w:tabs>
          <w:tab w:val="clear" w:pos="567"/>
        </w:tabs>
        <w:spacing w:line="240" w:lineRule="auto"/>
        <w:rPr>
          <w:color w:val="000000"/>
          <w:szCs w:val="22"/>
          <w:u w:val="single"/>
          <w:lang w:val="sv-SE"/>
        </w:rPr>
      </w:pPr>
      <w:bookmarkStart w:id="4" w:name="OLE_LINK1"/>
      <w:r w:rsidRPr="008637D0">
        <w:rPr>
          <w:color w:val="000000"/>
          <w:szCs w:val="22"/>
          <w:u w:val="single"/>
          <w:lang w:val="sv-SE"/>
        </w:rPr>
        <w:t>Glivec 100 mg film-coated tablets</w:t>
      </w:r>
    </w:p>
    <w:p w14:paraId="1B6809F5" w14:textId="77777777" w:rsidR="006237AB" w:rsidRPr="008637D0" w:rsidRDefault="006237AB" w:rsidP="001D5C8C">
      <w:pPr>
        <w:pStyle w:val="EndnoteText"/>
        <w:keepNext/>
        <w:widowControl w:val="0"/>
        <w:tabs>
          <w:tab w:val="clear" w:pos="567"/>
        </w:tabs>
        <w:rPr>
          <w:color w:val="000000"/>
          <w:szCs w:val="22"/>
          <w:lang w:val="sv-SE"/>
        </w:rPr>
      </w:pPr>
      <w:r w:rsidRPr="008637D0">
        <w:rPr>
          <w:color w:val="000000"/>
          <w:szCs w:val="22"/>
          <w:lang w:val="sv-SE"/>
        </w:rPr>
        <w:t>EU/1/01/198/007</w:t>
      </w:r>
    </w:p>
    <w:p w14:paraId="1B6809F6" w14:textId="77777777" w:rsidR="006237AB" w:rsidRPr="008637D0" w:rsidRDefault="006237AB" w:rsidP="001D5C8C">
      <w:pPr>
        <w:pStyle w:val="EndnoteText"/>
        <w:keepNext/>
        <w:widowControl w:val="0"/>
        <w:tabs>
          <w:tab w:val="clear" w:pos="567"/>
        </w:tabs>
        <w:rPr>
          <w:color w:val="000000"/>
          <w:szCs w:val="22"/>
          <w:lang w:val="sv-SE"/>
        </w:rPr>
      </w:pPr>
      <w:r w:rsidRPr="008637D0">
        <w:rPr>
          <w:color w:val="000000"/>
          <w:szCs w:val="22"/>
          <w:lang w:val="sv-SE"/>
        </w:rPr>
        <w:t>EU/1/01/198/008</w:t>
      </w:r>
    </w:p>
    <w:p w14:paraId="1B6809F7" w14:textId="77777777" w:rsidR="006237AB" w:rsidRPr="008637D0" w:rsidRDefault="006237AB" w:rsidP="001D5C8C">
      <w:pPr>
        <w:pStyle w:val="EndnoteText"/>
        <w:keepNext/>
        <w:widowControl w:val="0"/>
        <w:tabs>
          <w:tab w:val="clear" w:pos="567"/>
        </w:tabs>
        <w:rPr>
          <w:color w:val="000000"/>
          <w:szCs w:val="22"/>
          <w:lang w:val="pt-PT"/>
        </w:rPr>
      </w:pPr>
      <w:r w:rsidRPr="008637D0">
        <w:rPr>
          <w:color w:val="000000"/>
          <w:szCs w:val="22"/>
          <w:lang w:val="pt-PT"/>
        </w:rPr>
        <w:t>EU/1/01/198/</w:t>
      </w:r>
      <w:r w:rsidR="002E2278" w:rsidRPr="008637D0">
        <w:rPr>
          <w:color w:val="000000"/>
          <w:szCs w:val="22"/>
          <w:lang w:val="pt-PT"/>
        </w:rPr>
        <w:t>011</w:t>
      </w:r>
    </w:p>
    <w:bookmarkEnd w:id="4"/>
    <w:p w14:paraId="1B6809F8" w14:textId="77777777" w:rsidR="006237AB" w:rsidRPr="008637D0" w:rsidRDefault="006237AB" w:rsidP="001D5C8C">
      <w:pPr>
        <w:pStyle w:val="EndnoteText"/>
        <w:keepNext/>
        <w:widowControl w:val="0"/>
        <w:tabs>
          <w:tab w:val="clear" w:pos="567"/>
        </w:tabs>
        <w:rPr>
          <w:color w:val="000000"/>
          <w:szCs w:val="22"/>
          <w:lang w:val="pt-PT"/>
        </w:rPr>
      </w:pPr>
      <w:r w:rsidRPr="008637D0">
        <w:rPr>
          <w:color w:val="000000"/>
          <w:szCs w:val="22"/>
          <w:lang w:val="pt-PT"/>
        </w:rPr>
        <w:t>EU/1/01/198/</w:t>
      </w:r>
      <w:r w:rsidR="002E2278" w:rsidRPr="008637D0">
        <w:rPr>
          <w:color w:val="000000"/>
          <w:szCs w:val="22"/>
          <w:lang w:val="pt-PT"/>
        </w:rPr>
        <w:t>012</w:t>
      </w:r>
    </w:p>
    <w:p w14:paraId="1B6809F9" w14:textId="77777777" w:rsidR="00752F25" w:rsidRPr="008637D0" w:rsidRDefault="00752F25" w:rsidP="001D5C8C">
      <w:pPr>
        <w:pStyle w:val="EndnoteText"/>
        <w:keepNext/>
        <w:widowControl w:val="0"/>
        <w:tabs>
          <w:tab w:val="clear" w:pos="567"/>
        </w:tabs>
        <w:rPr>
          <w:color w:val="000000"/>
          <w:szCs w:val="22"/>
          <w:lang w:val="pt-PT"/>
        </w:rPr>
      </w:pPr>
      <w:r w:rsidRPr="008637D0">
        <w:rPr>
          <w:color w:val="000000"/>
          <w:szCs w:val="22"/>
          <w:lang w:val="pt-PT"/>
        </w:rPr>
        <w:t>EU/1/01/198/01</w:t>
      </w:r>
      <w:r w:rsidR="00F03236" w:rsidRPr="008637D0">
        <w:rPr>
          <w:color w:val="000000"/>
          <w:szCs w:val="22"/>
          <w:lang w:val="pt-PT"/>
        </w:rPr>
        <w:t>4</w:t>
      </w:r>
    </w:p>
    <w:p w14:paraId="1B6809FA" w14:textId="77777777" w:rsidR="00752F25" w:rsidRPr="008637D0" w:rsidRDefault="00752F25" w:rsidP="001D5C8C">
      <w:pPr>
        <w:pStyle w:val="EndnoteText"/>
        <w:keepNext/>
        <w:widowControl w:val="0"/>
        <w:tabs>
          <w:tab w:val="clear" w:pos="567"/>
        </w:tabs>
        <w:rPr>
          <w:color w:val="000000"/>
          <w:szCs w:val="22"/>
          <w:lang w:val="pt-PT"/>
        </w:rPr>
      </w:pPr>
      <w:r w:rsidRPr="008637D0">
        <w:rPr>
          <w:color w:val="000000"/>
          <w:szCs w:val="22"/>
          <w:lang w:val="pt-PT"/>
        </w:rPr>
        <w:t>EU/1/01/198/01</w:t>
      </w:r>
      <w:r w:rsidR="00F03236" w:rsidRPr="008637D0">
        <w:rPr>
          <w:color w:val="000000"/>
          <w:szCs w:val="22"/>
          <w:lang w:val="pt-PT"/>
        </w:rPr>
        <w:t>5</w:t>
      </w:r>
    </w:p>
    <w:p w14:paraId="1B6809FB" w14:textId="77777777" w:rsidR="00721F27" w:rsidRPr="008637D0" w:rsidRDefault="00721F27" w:rsidP="001D5C8C">
      <w:pPr>
        <w:pStyle w:val="EndnoteText"/>
        <w:widowControl w:val="0"/>
        <w:tabs>
          <w:tab w:val="clear" w:pos="567"/>
        </w:tabs>
        <w:rPr>
          <w:color w:val="000000"/>
          <w:szCs w:val="22"/>
          <w:lang w:val="pt-PT"/>
        </w:rPr>
      </w:pPr>
      <w:r w:rsidRPr="008637D0">
        <w:rPr>
          <w:color w:val="000000"/>
          <w:szCs w:val="22"/>
          <w:lang w:val="pt-PT"/>
        </w:rPr>
        <w:t>EU/1/01/198/01</w:t>
      </w:r>
      <w:r w:rsidR="00F03236" w:rsidRPr="008637D0">
        <w:rPr>
          <w:color w:val="000000"/>
          <w:szCs w:val="22"/>
          <w:lang w:val="pt-PT"/>
        </w:rPr>
        <w:t>6</w:t>
      </w:r>
    </w:p>
    <w:p w14:paraId="1B6809FC" w14:textId="77777777" w:rsidR="00DE25B9" w:rsidRPr="008637D0" w:rsidRDefault="00DE25B9" w:rsidP="001D5C8C">
      <w:pPr>
        <w:pStyle w:val="EndnoteText"/>
        <w:widowControl w:val="0"/>
        <w:tabs>
          <w:tab w:val="clear" w:pos="567"/>
        </w:tabs>
        <w:rPr>
          <w:color w:val="000000"/>
          <w:szCs w:val="22"/>
          <w:lang w:val="pt-PT"/>
        </w:rPr>
      </w:pPr>
    </w:p>
    <w:p w14:paraId="1B6809FD" w14:textId="77777777" w:rsidR="00DE25B9" w:rsidRPr="008637D0" w:rsidRDefault="00DE25B9" w:rsidP="001D5C8C">
      <w:pPr>
        <w:pStyle w:val="EndnoteText"/>
        <w:keepNext/>
        <w:widowControl w:val="0"/>
        <w:tabs>
          <w:tab w:val="clear" w:pos="567"/>
        </w:tabs>
        <w:rPr>
          <w:color w:val="000000"/>
          <w:szCs w:val="22"/>
          <w:u w:val="single"/>
          <w:lang w:val="sv-SE"/>
        </w:rPr>
      </w:pPr>
      <w:r w:rsidRPr="008637D0">
        <w:rPr>
          <w:color w:val="000000"/>
          <w:szCs w:val="22"/>
          <w:u w:val="single"/>
          <w:lang w:val="sv-SE"/>
        </w:rPr>
        <w:t>Glivec 400 mg film-coated tablets</w:t>
      </w:r>
    </w:p>
    <w:p w14:paraId="1B6809FE" w14:textId="77777777" w:rsidR="00DE25B9" w:rsidRPr="008637D0" w:rsidRDefault="00DE25B9" w:rsidP="001D5C8C">
      <w:pPr>
        <w:pStyle w:val="EndnoteText"/>
        <w:keepNext/>
        <w:widowControl w:val="0"/>
        <w:tabs>
          <w:tab w:val="clear" w:pos="567"/>
        </w:tabs>
        <w:rPr>
          <w:color w:val="000000"/>
          <w:szCs w:val="22"/>
          <w:lang w:val="sv-SE"/>
        </w:rPr>
      </w:pPr>
      <w:r w:rsidRPr="008637D0">
        <w:rPr>
          <w:color w:val="000000"/>
          <w:szCs w:val="22"/>
          <w:lang w:val="sv-SE"/>
        </w:rPr>
        <w:t>EU/1/01/198/009</w:t>
      </w:r>
    </w:p>
    <w:p w14:paraId="1B6809FF" w14:textId="77777777" w:rsidR="00DE25B9" w:rsidRPr="008637D0" w:rsidRDefault="00DE25B9" w:rsidP="001D5C8C">
      <w:pPr>
        <w:pStyle w:val="EndnoteText"/>
        <w:keepNext/>
        <w:widowControl w:val="0"/>
        <w:tabs>
          <w:tab w:val="clear" w:pos="567"/>
        </w:tabs>
        <w:rPr>
          <w:color w:val="000000"/>
          <w:szCs w:val="22"/>
          <w:lang w:val="sv-SE"/>
        </w:rPr>
      </w:pPr>
      <w:r w:rsidRPr="008637D0">
        <w:rPr>
          <w:color w:val="000000"/>
          <w:szCs w:val="22"/>
          <w:lang w:val="sv-SE"/>
        </w:rPr>
        <w:t>EU/1/01/198/010</w:t>
      </w:r>
    </w:p>
    <w:p w14:paraId="1B680A00" w14:textId="77777777" w:rsidR="00DE25B9" w:rsidRPr="00654EF1" w:rsidRDefault="00DE25B9" w:rsidP="001D5C8C">
      <w:pPr>
        <w:pStyle w:val="EndnoteText"/>
        <w:widowControl w:val="0"/>
        <w:tabs>
          <w:tab w:val="clear" w:pos="567"/>
        </w:tabs>
        <w:rPr>
          <w:color w:val="000000"/>
          <w:szCs w:val="22"/>
        </w:rPr>
      </w:pPr>
      <w:r w:rsidRPr="00654EF1">
        <w:rPr>
          <w:color w:val="000000"/>
          <w:szCs w:val="22"/>
        </w:rPr>
        <w:t>EU/1/01/198/013</w:t>
      </w:r>
    </w:p>
    <w:p w14:paraId="1B680A01" w14:textId="77777777" w:rsidR="006237AB" w:rsidRPr="00654EF1" w:rsidRDefault="006237AB" w:rsidP="001D5C8C">
      <w:pPr>
        <w:pStyle w:val="EndnoteText"/>
        <w:widowControl w:val="0"/>
        <w:tabs>
          <w:tab w:val="clear" w:pos="567"/>
        </w:tabs>
        <w:rPr>
          <w:color w:val="000000"/>
          <w:szCs w:val="22"/>
          <w:lang w:val="en-US"/>
        </w:rPr>
      </w:pPr>
    </w:p>
    <w:p w14:paraId="1B680A02" w14:textId="77777777" w:rsidR="006237AB" w:rsidRPr="00654EF1" w:rsidRDefault="006237AB" w:rsidP="001D5C8C">
      <w:pPr>
        <w:widowControl w:val="0"/>
        <w:tabs>
          <w:tab w:val="clear" w:pos="567"/>
        </w:tabs>
        <w:spacing w:line="240" w:lineRule="auto"/>
        <w:rPr>
          <w:color w:val="000000"/>
          <w:szCs w:val="22"/>
          <w:lang w:val="en-US"/>
        </w:rPr>
      </w:pPr>
    </w:p>
    <w:p w14:paraId="1B680A03" w14:textId="77777777" w:rsidR="00F428C6" w:rsidRPr="00654EF1" w:rsidRDefault="00F428C6" w:rsidP="001D5C8C">
      <w:pPr>
        <w:keepNext/>
        <w:widowControl w:val="0"/>
        <w:tabs>
          <w:tab w:val="clear" w:pos="567"/>
        </w:tabs>
        <w:spacing w:line="240" w:lineRule="auto"/>
        <w:ind w:left="567" w:hanging="567"/>
        <w:rPr>
          <w:color w:val="000000"/>
          <w:szCs w:val="22"/>
        </w:rPr>
      </w:pPr>
      <w:r w:rsidRPr="00654EF1">
        <w:rPr>
          <w:b/>
          <w:color w:val="000000"/>
          <w:szCs w:val="22"/>
        </w:rPr>
        <w:t>9.</w:t>
      </w:r>
      <w:r w:rsidRPr="00654EF1">
        <w:rPr>
          <w:b/>
          <w:color w:val="000000"/>
          <w:szCs w:val="22"/>
        </w:rPr>
        <w:tab/>
        <w:t>DATE OF FIRST AUTHORISATION/RENEWAL OF THE AUTHORISATION</w:t>
      </w:r>
    </w:p>
    <w:p w14:paraId="1B680A04" w14:textId="77777777" w:rsidR="00F428C6" w:rsidRPr="00654EF1" w:rsidRDefault="00F428C6" w:rsidP="001D5C8C">
      <w:pPr>
        <w:keepNext/>
        <w:widowControl w:val="0"/>
        <w:spacing w:line="240" w:lineRule="auto"/>
        <w:rPr>
          <w:color w:val="000000"/>
          <w:szCs w:val="22"/>
          <w:lang w:val="en-US"/>
        </w:rPr>
      </w:pPr>
    </w:p>
    <w:p w14:paraId="1B680A05" w14:textId="77777777" w:rsidR="00F428C6" w:rsidRPr="00654EF1" w:rsidRDefault="00F428C6" w:rsidP="001D5C8C">
      <w:pPr>
        <w:keepNext/>
        <w:widowControl w:val="0"/>
        <w:spacing w:line="240" w:lineRule="auto"/>
        <w:rPr>
          <w:color w:val="000000"/>
          <w:szCs w:val="22"/>
          <w:lang w:val="en-US"/>
        </w:rPr>
      </w:pPr>
      <w:r w:rsidRPr="00654EF1">
        <w:rPr>
          <w:color w:val="000000"/>
          <w:szCs w:val="22"/>
        </w:rPr>
        <w:t xml:space="preserve">Date of first authorisation: </w:t>
      </w:r>
      <w:r w:rsidR="00F74A6C" w:rsidRPr="00654EF1">
        <w:rPr>
          <w:color w:val="000000"/>
          <w:szCs w:val="22"/>
        </w:rPr>
        <w:t>07 November 2001</w:t>
      </w:r>
    </w:p>
    <w:p w14:paraId="1B680A06" w14:textId="77777777" w:rsidR="00F428C6" w:rsidRPr="00654EF1" w:rsidRDefault="00F428C6" w:rsidP="001D5C8C">
      <w:pPr>
        <w:widowControl w:val="0"/>
        <w:tabs>
          <w:tab w:val="clear" w:pos="567"/>
        </w:tabs>
        <w:spacing w:line="240" w:lineRule="auto"/>
        <w:rPr>
          <w:color w:val="000000"/>
          <w:szCs w:val="22"/>
        </w:rPr>
      </w:pPr>
      <w:r w:rsidRPr="00654EF1">
        <w:rPr>
          <w:color w:val="000000"/>
          <w:szCs w:val="22"/>
        </w:rPr>
        <w:t xml:space="preserve">Date of </w:t>
      </w:r>
      <w:r w:rsidR="006D7D90" w:rsidRPr="00654EF1">
        <w:rPr>
          <w:color w:val="000000"/>
          <w:szCs w:val="22"/>
        </w:rPr>
        <w:t xml:space="preserve">latest </w:t>
      </w:r>
      <w:r w:rsidRPr="00654EF1">
        <w:rPr>
          <w:color w:val="000000"/>
          <w:szCs w:val="22"/>
        </w:rPr>
        <w:t>renewal: 07 November 2006</w:t>
      </w:r>
    </w:p>
    <w:p w14:paraId="1B680A07" w14:textId="77777777" w:rsidR="00F428C6" w:rsidRPr="00654EF1" w:rsidRDefault="00F428C6" w:rsidP="001D5C8C">
      <w:pPr>
        <w:widowControl w:val="0"/>
        <w:tabs>
          <w:tab w:val="clear" w:pos="567"/>
        </w:tabs>
        <w:spacing w:line="240" w:lineRule="auto"/>
        <w:rPr>
          <w:color w:val="000000"/>
          <w:szCs w:val="22"/>
        </w:rPr>
      </w:pPr>
    </w:p>
    <w:p w14:paraId="1B680A08" w14:textId="77777777" w:rsidR="00F428C6" w:rsidRPr="00654EF1" w:rsidRDefault="00F428C6" w:rsidP="001D5C8C">
      <w:pPr>
        <w:widowControl w:val="0"/>
        <w:tabs>
          <w:tab w:val="clear" w:pos="567"/>
        </w:tabs>
        <w:spacing w:line="240" w:lineRule="auto"/>
        <w:rPr>
          <w:color w:val="000000"/>
          <w:szCs w:val="22"/>
        </w:rPr>
      </w:pPr>
    </w:p>
    <w:p w14:paraId="1B680A09" w14:textId="77777777" w:rsidR="00F428C6" w:rsidRPr="00654EF1" w:rsidRDefault="00F428C6" w:rsidP="001D5C8C">
      <w:pPr>
        <w:widowControl w:val="0"/>
        <w:tabs>
          <w:tab w:val="clear" w:pos="567"/>
        </w:tabs>
        <w:spacing w:line="240" w:lineRule="auto"/>
        <w:ind w:left="567" w:hanging="567"/>
        <w:rPr>
          <w:b/>
          <w:color w:val="000000"/>
          <w:szCs w:val="22"/>
        </w:rPr>
      </w:pPr>
      <w:r w:rsidRPr="00654EF1">
        <w:rPr>
          <w:b/>
          <w:color w:val="000000"/>
          <w:szCs w:val="22"/>
        </w:rPr>
        <w:t>10.</w:t>
      </w:r>
      <w:r w:rsidRPr="00654EF1">
        <w:rPr>
          <w:b/>
          <w:color w:val="000000"/>
          <w:szCs w:val="22"/>
        </w:rPr>
        <w:tab/>
        <w:t>DATE OF REVISION OF THE TEXT</w:t>
      </w:r>
    </w:p>
    <w:p w14:paraId="1B680A0A" w14:textId="77777777" w:rsidR="00F428C6" w:rsidRPr="00654EF1" w:rsidRDefault="00F428C6" w:rsidP="001D5C8C">
      <w:pPr>
        <w:widowControl w:val="0"/>
        <w:tabs>
          <w:tab w:val="clear" w:pos="567"/>
        </w:tabs>
        <w:spacing w:line="240" w:lineRule="auto"/>
        <w:ind w:left="567" w:hanging="567"/>
        <w:rPr>
          <w:bCs/>
          <w:color w:val="000000"/>
          <w:szCs w:val="22"/>
        </w:rPr>
      </w:pPr>
    </w:p>
    <w:p w14:paraId="1B680A0B" w14:textId="77777777" w:rsidR="00F428C6" w:rsidRPr="00654EF1" w:rsidRDefault="00F428C6" w:rsidP="001D5C8C">
      <w:pPr>
        <w:widowControl w:val="0"/>
        <w:tabs>
          <w:tab w:val="clear" w:pos="567"/>
        </w:tabs>
        <w:spacing w:line="240" w:lineRule="auto"/>
        <w:ind w:left="567" w:hanging="567"/>
        <w:rPr>
          <w:bCs/>
          <w:color w:val="000000"/>
          <w:szCs w:val="22"/>
        </w:rPr>
      </w:pPr>
    </w:p>
    <w:p w14:paraId="1B680A0C" w14:textId="77777777" w:rsidR="00F428C6" w:rsidRPr="00654EF1" w:rsidRDefault="00F428C6" w:rsidP="001D5C8C">
      <w:pPr>
        <w:widowControl w:val="0"/>
        <w:tabs>
          <w:tab w:val="clear" w:pos="567"/>
        </w:tabs>
        <w:spacing w:line="240" w:lineRule="auto"/>
        <w:rPr>
          <w:color w:val="000000"/>
          <w:szCs w:val="22"/>
        </w:rPr>
      </w:pPr>
      <w:r w:rsidRPr="00654EF1">
        <w:rPr>
          <w:iCs/>
          <w:noProof/>
          <w:color w:val="000000"/>
        </w:rPr>
        <w:t xml:space="preserve">Detailed information on this medicinal product </w:t>
      </w:r>
      <w:r w:rsidRPr="00654EF1">
        <w:rPr>
          <w:noProof/>
          <w:color w:val="000000"/>
        </w:rPr>
        <w:t>is available on the website of the European Medicines Agency http://www.ema.europa.eu</w:t>
      </w:r>
    </w:p>
    <w:p w14:paraId="1B680A0D" w14:textId="77777777" w:rsidR="006237AB" w:rsidRPr="00654EF1" w:rsidRDefault="006237AB" w:rsidP="001D5C8C">
      <w:pPr>
        <w:widowControl w:val="0"/>
        <w:tabs>
          <w:tab w:val="clear" w:pos="567"/>
        </w:tabs>
        <w:spacing w:line="240" w:lineRule="auto"/>
        <w:rPr>
          <w:color w:val="000000"/>
          <w:szCs w:val="22"/>
        </w:rPr>
      </w:pPr>
    </w:p>
    <w:p w14:paraId="1B680A0E" w14:textId="77777777" w:rsidR="00633C4F" w:rsidRPr="00654EF1" w:rsidRDefault="006237AB" w:rsidP="001D5C8C">
      <w:pPr>
        <w:keepNext/>
        <w:keepLines/>
        <w:widowControl w:val="0"/>
        <w:spacing w:line="240" w:lineRule="auto"/>
        <w:rPr>
          <w:color w:val="000000"/>
          <w:szCs w:val="22"/>
        </w:rPr>
      </w:pPr>
      <w:r w:rsidRPr="00654EF1">
        <w:rPr>
          <w:color w:val="000000"/>
          <w:szCs w:val="22"/>
        </w:rPr>
        <w:br w:type="page"/>
      </w:r>
    </w:p>
    <w:p w14:paraId="1B680A0F" w14:textId="77777777" w:rsidR="00633C4F" w:rsidRPr="00654EF1" w:rsidRDefault="00633C4F" w:rsidP="001D5C8C">
      <w:pPr>
        <w:widowControl w:val="0"/>
        <w:spacing w:line="240" w:lineRule="auto"/>
        <w:rPr>
          <w:color w:val="000000"/>
          <w:szCs w:val="22"/>
        </w:rPr>
      </w:pPr>
    </w:p>
    <w:p w14:paraId="1B680A10" w14:textId="77777777" w:rsidR="00633C4F" w:rsidRPr="00654EF1" w:rsidRDefault="00633C4F" w:rsidP="001D5C8C">
      <w:pPr>
        <w:widowControl w:val="0"/>
        <w:spacing w:line="240" w:lineRule="auto"/>
        <w:rPr>
          <w:color w:val="000000"/>
          <w:szCs w:val="22"/>
        </w:rPr>
      </w:pPr>
    </w:p>
    <w:p w14:paraId="1B680A11" w14:textId="77777777" w:rsidR="00633C4F" w:rsidRPr="00654EF1" w:rsidRDefault="00633C4F" w:rsidP="001D5C8C">
      <w:pPr>
        <w:widowControl w:val="0"/>
        <w:spacing w:line="240" w:lineRule="auto"/>
        <w:rPr>
          <w:color w:val="000000"/>
          <w:szCs w:val="22"/>
        </w:rPr>
      </w:pPr>
    </w:p>
    <w:p w14:paraId="1B680A12" w14:textId="77777777" w:rsidR="00633C4F" w:rsidRPr="00654EF1" w:rsidRDefault="00633C4F" w:rsidP="001D5C8C">
      <w:pPr>
        <w:widowControl w:val="0"/>
        <w:spacing w:line="240" w:lineRule="auto"/>
        <w:rPr>
          <w:color w:val="000000"/>
          <w:szCs w:val="22"/>
        </w:rPr>
      </w:pPr>
    </w:p>
    <w:p w14:paraId="1B680A13" w14:textId="77777777" w:rsidR="00633C4F" w:rsidRPr="00654EF1" w:rsidRDefault="00633C4F" w:rsidP="001D5C8C">
      <w:pPr>
        <w:widowControl w:val="0"/>
        <w:spacing w:line="240" w:lineRule="auto"/>
        <w:rPr>
          <w:color w:val="000000"/>
          <w:szCs w:val="22"/>
        </w:rPr>
      </w:pPr>
    </w:p>
    <w:p w14:paraId="1B680A14" w14:textId="77777777" w:rsidR="00633C4F" w:rsidRPr="00654EF1" w:rsidRDefault="00633C4F" w:rsidP="001D5C8C">
      <w:pPr>
        <w:widowControl w:val="0"/>
        <w:spacing w:line="240" w:lineRule="auto"/>
        <w:rPr>
          <w:color w:val="000000"/>
          <w:szCs w:val="22"/>
        </w:rPr>
      </w:pPr>
    </w:p>
    <w:p w14:paraId="1B680A15" w14:textId="77777777" w:rsidR="00633C4F" w:rsidRPr="00654EF1" w:rsidRDefault="00633C4F" w:rsidP="001D5C8C">
      <w:pPr>
        <w:widowControl w:val="0"/>
        <w:spacing w:line="240" w:lineRule="auto"/>
        <w:rPr>
          <w:color w:val="000000"/>
          <w:szCs w:val="22"/>
        </w:rPr>
      </w:pPr>
    </w:p>
    <w:p w14:paraId="1B680A16" w14:textId="77777777" w:rsidR="00633C4F" w:rsidRPr="00654EF1" w:rsidRDefault="00633C4F" w:rsidP="001D5C8C">
      <w:pPr>
        <w:widowControl w:val="0"/>
        <w:spacing w:line="240" w:lineRule="auto"/>
        <w:rPr>
          <w:color w:val="000000"/>
          <w:szCs w:val="22"/>
        </w:rPr>
      </w:pPr>
    </w:p>
    <w:p w14:paraId="1B680A17" w14:textId="77777777" w:rsidR="00633C4F" w:rsidRPr="00654EF1" w:rsidRDefault="00633C4F" w:rsidP="001D5C8C">
      <w:pPr>
        <w:widowControl w:val="0"/>
        <w:spacing w:line="240" w:lineRule="auto"/>
        <w:rPr>
          <w:color w:val="000000"/>
          <w:szCs w:val="22"/>
        </w:rPr>
      </w:pPr>
    </w:p>
    <w:p w14:paraId="1B680A18" w14:textId="77777777" w:rsidR="00633C4F" w:rsidRPr="00654EF1" w:rsidRDefault="00633C4F" w:rsidP="001D5C8C">
      <w:pPr>
        <w:widowControl w:val="0"/>
        <w:spacing w:line="240" w:lineRule="auto"/>
        <w:rPr>
          <w:color w:val="000000"/>
          <w:szCs w:val="22"/>
        </w:rPr>
      </w:pPr>
    </w:p>
    <w:p w14:paraId="1B680A19" w14:textId="77777777" w:rsidR="00633C4F" w:rsidRPr="00654EF1" w:rsidRDefault="00633C4F" w:rsidP="001D5C8C">
      <w:pPr>
        <w:widowControl w:val="0"/>
        <w:spacing w:line="240" w:lineRule="auto"/>
        <w:rPr>
          <w:color w:val="000000"/>
          <w:szCs w:val="22"/>
        </w:rPr>
      </w:pPr>
    </w:p>
    <w:p w14:paraId="1B680A1A" w14:textId="77777777" w:rsidR="00633C4F" w:rsidRPr="00654EF1" w:rsidRDefault="00633C4F" w:rsidP="001D5C8C">
      <w:pPr>
        <w:widowControl w:val="0"/>
        <w:spacing w:line="240" w:lineRule="auto"/>
        <w:rPr>
          <w:color w:val="000000"/>
          <w:szCs w:val="22"/>
        </w:rPr>
      </w:pPr>
    </w:p>
    <w:p w14:paraId="1B680A1B" w14:textId="77777777" w:rsidR="00633C4F" w:rsidRPr="00654EF1" w:rsidRDefault="00633C4F" w:rsidP="001D5C8C">
      <w:pPr>
        <w:widowControl w:val="0"/>
        <w:spacing w:line="240" w:lineRule="auto"/>
        <w:rPr>
          <w:color w:val="000000"/>
          <w:szCs w:val="22"/>
        </w:rPr>
      </w:pPr>
    </w:p>
    <w:p w14:paraId="1B680A1C" w14:textId="77777777" w:rsidR="00633C4F" w:rsidRPr="00654EF1" w:rsidRDefault="00633C4F" w:rsidP="001D5C8C">
      <w:pPr>
        <w:widowControl w:val="0"/>
        <w:spacing w:line="240" w:lineRule="auto"/>
        <w:rPr>
          <w:color w:val="000000"/>
          <w:szCs w:val="22"/>
        </w:rPr>
      </w:pPr>
    </w:p>
    <w:p w14:paraId="1B680A1D" w14:textId="77777777" w:rsidR="00633C4F" w:rsidRPr="00654EF1" w:rsidRDefault="00633C4F" w:rsidP="001D5C8C">
      <w:pPr>
        <w:widowControl w:val="0"/>
        <w:spacing w:line="240" w:lineRule="auto"/>
        <w:rPr>
          <w:color w:val="000000"/>
          <w:szCs w:val="22"/>
        </w:rPr>
      </w:pPr>
    </w:p>
    <w:p w14:paraId="1B680A1E" w14:textId="77777777" w:rsidR="00633C4F" w:rsidRPr="00654EF1" w:rsidRDefault="00633C4F" w:rsidP="001D5C8C">
      <w:pPr>
        <w:widowControl w:val="0"/>
        <w:spacing w:line="240" w:lineRule="auto"/>
        <w:rPr>
          <w:color w:val="000000"/>
          <w:szCs w:val="22"/>
        </w:rPr>
      </w:pPr>
    </w:p>
    <w:p w14:paraId="1B680A1F" w14:textId="77777777" w:rsidR="00633C4F" w:rsidRPr="00654EF1" w:rsidRDefault="00633C4F" w:rsidP="001D5C8C">
      <w:pPr>
        <w:widowControl w:val="0"/>
        <w:spacing w:line="240" w:lineRule="auto"/>
        <w:rPr>
          <w:color w:val="000000"/>
          <w:szCs w:val="22"/>
        </w:rPr>
      </w:pPr>
    </w:p>
    <w:p w14:paraId="1B680A20" w14:textId="77777777" w:rsidR="00633C4F" w:rsidRPr="00654EF1" w:rsidRDefault="00633C4F" w:rsidP="001D5C8C">
      <w:pPr>
        <w:widowControl w:val="0"/>
        <w:spacing w:line="240" w:lineRule="auto"/>
        <w:rPr>
          <w:color w:val="000000"/>
          <w:szCs w:val="22"/>
        </w:rPr>
      </w:pPr>
    </w:p>
    <w:p w14:paraId="1B680A21" w14:textId="77777777" w:rsidR="00633C4F" w:rsidRPr="00654EF1" w:rsidRDefault="00633C4F" w:rsidP="001D5C8C">
      <w:pPr>
        <w:widowControl w:val="0"/>
        <w:spacing w:line="240" w:lineRule="auto"/>
        <w:rPr>
          <w:color w:val="000000"/>
          <w:szCs w:val="22"/>
        </w:rPr>
      </w:pPr>
    </w:p>
    <w:p w14:paraId="1B680A22" w14:textId="77777777" w:rsidR="00633C4F" w:rsidRPr="00654EF1" w:rsidRDefault="00633C4F" w:rsidP="001D5C8C">
      <w:pPr>
        <w:widowControl w:val="0"/>
        <w:spacing w:line="240" w:lineRule="auto"/>
        <w:rPr>
          <w:color w:val="000000"/>
          <w:szCs w:val="22"/>
        </w:rPr>
      </w:pPr>
    </w:p>
    <w:p w14:paraId="1B680A23" w14:textId="77777777" w:rsidR="00633C4F" w:rsidRPr="00654EF1" w:rsidRDefault="00633C4F" w:rsidP="001D5C8C">
      <w:pPr>
        <w:widowControl w:val="0"/>
        <w:spacing w:line="240" w:lineRule="auto"/>
        <w:rPr>
          <w:color w:val="000000"/>
          <w:szCs w:val="22"/>
        </w:rPr>
      </w:pPr>
    </w:p>
    <w:p w14:paraId="1B680A24" w14:textId="77777777" w:rsidR="00633C4F" w:rsidRDefault="00633C4F" w:rsidP="001D5C8C">
      <w:pPr>
        <w:widowControl w:val="0"/>
        <w:spacing w:line="240" w:lineRule="auto"/>
        <w:rPr>
          <w:color w:val="000000"/>
          <w:szCs w:val="22"/>
        </w:rPr>
      </w:pPr>
    </w:p>
    <w:p w14:paraId="1B680A25" w14:textId="77777777" w:rsidR="005E7BE5" w:rsidRPr="00654EF1" w:rsidRDefault="005E7BE5" w:rsidP="001D5C8C">
      <w:pPr>
        <w:widowControl w:val="0"/>
        <w:spacing w:line="240" w:lineRule="auto"/>
        <w:rPr>
          <w:color w:val="000000"/>
          <w:szCs w:val="22"/>
        </w:rPr>
      </w:pPr>
    </w:p>
    <w:p w14:paraId="1B680A26" w14:textId="77777777" w:rsidR="00633C4F" w:rsidRPr="00654EF1" w:rsidRDefault="00633C4F" w:rsidP="001D5C8C">
      <w:pPr>
        <w:widowControl w:val="0"/>
        <w:spacing w:line="240" w:lineRule="auto"/>
        <w:jc w:val="center"/>
        <w:rPr>
          <w:b/>
          <w:color w:val="000000"/>
          <w:szCs w:val="22"/>
          <w:lang w:val="en-US"/>
        </w:rPr>
      </w:pPr>
      <w:r w:rsidRPr="00654EF1">
        <w:rPr>
          <w:b/>
          <w:color w:val="000000"/>
          <w:szCs w:val="22"/>
          <w:lang w:val="en-US"/>
        </w:rPr>
        <w:t>ANNEX II</w:t>
      </w:r>
    </w:p>
    <w:p w14:paraId="1B680A27" w14:textId="77777777" w:rsidR="00633C4F" w:rsidRPr="00654EF1" w:rsidRDefault="00633C4F" w:rsidP="001D5C8C">
      <w:pPr>
        <w:widowControl w:val="0"/>
        <w:spacing w:line="240" w:lineRule="auto"/>
        <w:rPr>
          <w:color w:val="000000"/>
          <w:szCs w:val="22"/>
          <w:lang w:val="en-US"/>
        </w:rPr>
      </w:pPr>
    </w:p>
    <w:p w14:paraId="1B680A28" w14:textId="77777777" w:rsidR="00633C4F" w:rsidRPr="00654EF1" w:rsidRDefault="00633C4F" w:rsidP="001D5C8C">
      <w:pPr>
        <w:widowControl w:val="0"/>
        <w:tabs>
          <w:tab w:val="left" w:pos="-720"/>
        </w:tabs>
        <w:suppressAutoHyphens/>
        <w:spacing w:line="240" w:lineRule="auto"/>
        <w:ind w:left="1701" w:right="1410" w:hanging="567"/>
        <w:rPr>
          <w:b/>
          <w:color w:val="000000"/>
          <w:szCs w:val="22"/>
          <w:lang w:val="en-US"/>
        </w:rPr>
      </w:pPr>
      <w:r w:rsidRPr="00654EF1">
        <w:rPr>
          <w:b/>
          <w:color w:val="000000"/>
          <w:szCs w:val="22"/>
          <w:lang w:val="en-US"/>
        </w:rPr>
        <w:t>A.</w:t>
      </w:r>
      <w:r w:rsidRPr="00654EF1">
        <w:rPr>
          <w:b/>
          <w:color w:val="000000"/>
          <w:szCs w:val="22"/>
          <w:lang w:val="en-US"/>
        </w:rPr>
        <w:tab/>
        <w:t>MANUFACTUR</w:t>
      </w:r>
      <w:r w:rsidR="00625777" w:rsidRPr="00654EF1">
        <w:rPr>
          <w:b/>
          <w:color w:val="000000"/>
          <w:szCs w:val="22"/>
          <w:lang w:val="en-US"/>
        </w:rPr>
        <w:t>ER</w:t>
      </w:r>
      <w:r w:rsidRPr="00654EF1">
        <w:rPr>
          <w:b/>
          <w:color w:val="000000"/>
          <w:szCs w:val="22"/>
          <w:lang w:val="en-US"/>
        </w:rPr>
        <w:t xml:space="preserve"> RESPONSIBLE FOR BATCH RELEASE</w:t>
      </w:r>
    </w:p>
    <w:p w14:paraId="1B680A29" w14:textId="77777777" w:rsidR="00633C4F" w:rsidRPr="00654EF1" w:rsidRDefault="00633C4F" w:rsidP="001D5C8C">
      <w:pPr>
        <w:widowControl w:val="0"/>
        <w:numPr>
          <w:ilvl w:val="12"/>
          <w:numId w:val="0"/>
        </w:numPr>
        <w:spacing w:line="240" w:lineRule="auto"/>
        <w:ind w:right="1410"/>
        <w:rPr>
          <w:color w:val="000000"/>
          <w:szCs w:val="22"/>
          <w:lang w:val="en-US"/>
        </w:rPr>
      </w:pPr>
    </w:p>
    <w:p w14:paraId="1B680A2A" w14:textId="77777777" w:rsidR="00633C4F" w:rsidRPr="00654EF1" w:rsidRDefault="00633C4F" w:rsidP="001D5C8C">
      <w:pPr>
        <w:widowControl w:val="0"/>
        <w:tabs>
          <w:tab w:val="left" w:pos="-720"/>
        </w:tabs>
        <w:suppressAutoHyphens/>
        <w:spacing w:line="240" w:lineRule="auto"/>
        <w:ind w:left="1701" w:right="1410" w:hanging="567"/>
        <w:rPr>
          <w:b/>
          <w:color w:val="000000"/>
          <w:szCs w:val="22"/>
          <w:lang w:val="en-US"/>
        </w:rPr>
      </w:pPr>
      <w:r w:rsidRPr="00654EF1">
        <w:rPr>
          <w:b/>
          <w:color w:val="000000"/>
          <w:szCs w:val="22"/>
          <w:lang w:val="en-US"/>
        </w:rPr>
        <w:t>B.</w:t>
      </w:r>
      <w:r w:rsidRPr="00654EF1">
        <w:rPr>
          <w:b/>
          <w:color w:val="000000"/>
          <w:szCs w:val="22"/>
          <w:lang w:val="en-US"/>
        </w:rPr>
        <w:tab/>
        <w:t>CONDITIONS</w:t>
      </w:r>
      <w:r w:rsidR="00625777" w:rsidRPr="00654EF1">
        <w:rPr>
          <w:b/>
          <w:color w:val="000000"/>
          <w:szCs w:val="22"/>
          <w:lang w:val="en-US"/>
        </w:rPr>
        <w:t xml:space="preserve"> OR RESTRICTIONS REGARDING SUPPLY AND USE</w:t>
      </w:r>
    </w:p>
    <w:p w14:paraId="1B680A2B" w14:textId="77777777" w:rsidR="00625777" w:rsidRPr="00654EF1" w:rsidRDefault="00625777" w:rsidP="001D5C8C">
      <w:pPr>
        <w:widowControl w:val="0"/>
        <w:tabs>
          <w:tab w:val="clear" w:pos="567"/>
          <w:tab w:val="left" w:pos="-720"/>
        </w:tabs>
        <w:suppressAutoHyphens/>
        <w:spacing w:line="240" w:lineRule="auto"/>
        <w:ind w:right="1410"/>
        <w:rPr>
          <w:color w:val="000000"/>
          <w:szCs w:val="22"/>
          <w:lang w:val="en-US"/>
        </w:rPr>
      </w:pPr>
    </w:p>
    <w:p w14:paraId="1B680A2C" w14:textId="77777777" w:rsidR="00625777" w:rsidRPr="00654EF1" w:rsidRDefault="00625777" w:rsidP="001D5C8C">
      <w:pPr>
        <w:widowControl w:val="0"/>
        <w:tabs>
          <w:tab w:val="left" w:pos="-720"/>
        </w:tabs>
        <w:suppressAutoHyphens/>
        <w:spacing w:line="240" w:lineRule="auto"/>
        <w:ind w:left="1701" w:right="1410" w:hanging="567"/>
        <w:rPr>
          <w:b/>
          <w:color w:val="000000"/>
          <w:szCs w:val="22"/>
          <w:lang w:val="en-US"/>
        </w:rPr>
      </w:pPr>
      <w:r w:rsidRPr="00654EF1">
        <w:rPr>
          <w:b/>
          <w:color w:val="000000"/>
          <w:szCs w:val="22"/>
          <w:lang w:val="en-US"/>
        </w:rPr>
        <w:t>C.</w:t>
      </w:r>
      <w:r w:rsidRPr="00654EF1">
        <w:rPr>
          <w:b/>
          <w:color w:val="000000"/>
          <w:szCs w:val="22"/>
          <w:lang w:val="en-US"/>
        </w:rPr>
        <w:tab/>
        <w:t>OTHER CONDITIONS AND REQUIREMENTS OF THE MARKETING AUTHORISATION</w:t>
      </w:r>
    </w:p>
    <w:p w14:paraId="1B680A2D" w14:textId="77777777" w:rsidR="00854280" w:rsidRPr="00654EF1" w:rsidRDefault="00854280" w:rsidP="001D5C8C">
      <w:pPr>
        <w:widowControl w:val="0"/>
        <w:tabs>
          <w:tab w:val="clear" w:pos="567"/>
        </w:tabs>
        <w:suppressAutoHyphens/>
        <w:spacing w:line="240" w:lineRule="auto"/>
        <w:ind w:right="1410"/>
        <w:rPr>
          <w:color w:val="000000"/>
          <w:szCs w:val="22"/>
        </w:rPr>
      </w:pPr>
    </w:p>
    <w:p w14:paraId="1B680A2E" w14:textId="77777777" w:rsidR="00854280" w:rsidRPr="00654EF1" w:rsidRDefault="00854280" w:rsidP="001D5C8C">
      <w:pPr>
        <w:widowControl w:val="0"/>
        <w:suppressLineNumbers/>
        <w:tabs>
          <w:tab w:val="clear" w:pos="567"/>
        </w:tabs>
        <w:spacing w:line="240" w:lineRule="auto"/>
        <w:ind w:left="1701" w:right="1416" w:hanging="567"/>
        <w:rPr>
          <w:b/>
          <w:szCs w:val="22"/>
        </w:rPr>
      </w:pPr>
      <w:r w:rsidRPr="00654EF1">
        <w:rPr>
          <w:b/>
          <w:szCs w:val="22"/>
        </w:rPr>
        <w:t>D.</w:t>
      </w:r>
      <w:r w:rsidRPr="00654EF1">
        <w:rPr>
          <w:b/>
          <w:szCs w:val="22"/>
        </w:rPr>
        <w:tab/>
      </w:r>
      <w:r w:rsidRPr="00654EF1">
        <w:rPr>
          <w:b/>
          <w:caps/>
          <w:szCs w:val="22"/>
        </w:rPr>
        <w:t>conditions or restrictions with regard to the safe and effective use of the medicinal product</w:t>
      </w:r>
    </w:p>
    <w:p w14:paraId="1B680A2F" w14:textId="77777777" w:rsidR="00633C4F" w:rsidRPr="00654EF1" w:rsidRDefault="00633C4F" w:rsidP="001D5C8C">
      <w:pPr>
        <w:widowControl w:val="0"/>
        <w:tabs>
          <w:tab w:val="left" w:pos="7513"/>
        </w:tabs>
        <w:spacing w:line="240" w:lineRule="auto"/>
        <w:ind w:left="567" w:hanging="567"/>
        <w:rPr>
          <w:color w:val="000000"/>
          <w:szCs w:val="22"/>
          <w:lang w:val="en-US"/>
        </w:rPr>
      </w:pPr>
      <w:r w:rsidRPr="00654EF1">
        <w:rPr>
          <w:b/>
          <w:color w:val="000000"/>
          <w:szCs w:val="22"/>
          <w:lang w:val="en-US"/>
        </w:rPr>
        <w:br w:type="page"/>
      </w:r>
      <w:r w:rsidRPr="00654EF1">
        <w:rPr>
          <w:b/>
          <w:color w:val="000000"/>
          <w:szCs w:val="22"/>
          <w:lang w:val="en-US"/>
        </w:rPr>
        <w:lastRenderedPageBreak/>
        <w:t>A.</w:t>
      </w:r>
      <w:r w:rsidRPr="00654EF1">
        <w:rPr>
          <w:b/>
          <w:color w:val="000000"/>
          <w:szCs w:val="22"/>
          <w:lang w:val="en-US"/>
        </w:rPr>
        <w:tab/>
        <w:t>MANUFACTUR</w:t>
      </w:r>
      <w:r w:rsidR="00625777" w:rsidRPr="00654EF1">
        <w:rPr>
          <w:b/>
          <w:color w:val="000000"/>
          <w:szCs w:val="22"/>
          <w:lang w:val="en-US"/>
        </w:rPr>
        <w:t>ER</w:t>
      </w:r>
      <w:r w:rsidRPr="00654EF1">
        <w:rPr>
          <w:b/>
          <w:color w:val="000000"/>
          <w:szCs w:val="22"/>
          <w:lang w:val="en-US"/>
        </w:rPr>
        <w:t xml:space="preserve"> RESPONSIBLE FOR BATCH RELEASE</w:t>
      </w:r>
    </w:p>
    <w:p w14:paraId="1B680A30" w14:textId="77777777" w:rsidR="00633C4F" w:rsidRPr="00654EF1" w:rsidRDefault="00633C4F" w:rsidP="001D5C8C">
      <w:pPr>
        <w:widowControl w:val="0"/>
        <w:tabs>
          <w:tab w:val="left" w:pos="7513"/>
        </w:tabs>
        <w:spacing w:line="240" w:lineRule="auto"/>
        <w:rPr>
          <w:color w:val="000000"/>
          <w:szCs w:val="22"/>
          <w:lang w:val="en-US"/>
        </w:rPr>
      </w:pPr>
    </w:p>
    <w:p w14:paraId="1B680A31" w14:textId="77777777" w:rsidR="00633C4F" w:rsidRPr="00654EF1" w:rsidRDefault="00633C4F" w:rsidP="001D5C8C">
      <w:pPr>
        <w:widowControl w:val="0"/>
        <w:tabs>
          <w:tab w:val="left" w:pos="7513"/>
        </w:tabs>
        <w:spacing w:line="240" w:lineRule="auto"/>
        <w:rPr>
          <w:color w:val="000000"/>
          <w:szCs w:val="22"/>
          <w:u w:val="single"/>
          <w:lang w:val="en-US"/>
        </w:rPr>
      </w:pPr>
      <w:r w:rsidRPr="00654EF1">
        <w:rPr>
          <w:color w:val="000000"/>
          <w:szCs w:val="22"/>
          <w:u w:val="single"/>
          <w:lang w:val="en-US"/>
        </w:rPr>
        <w:t>Name and address of the manufacturer responsible for batch release</w:t>
      </w:r>
    </w:p>
    <w:p w14:paraId="1B680A32" w14:textId="77777777" w:rsidR="00633C4F" w:rsidRPr="00D1632D" w:rsidRDefault="00633C4F" w:rsidP="001D5C8C">
      <w:pPr>
        <w:widowControl w:val="0"/>
        <w:tabs>
          <w:tab w:val="left" w:pos="7513"/>
        </w:tabs>
        <w:spacing w:line="240" w:lineRule="auto"/>
        <w:rPr>
          <w:szCs w:val="22"/>
          <w:lang w:val="en-US"/>
        </w:rPr>
      </w:pPr>
    </w:p>
    <w:p w14:paraId="1B680A33" w14:textId="10FDDFAC" w:rsidR="00E81348" w:rsidRPr="00011E43" w:rsidRDefault="00E81348" w:rsidP="001D5C8C">
      <w:pPr>
        <w:widowControl w:val="0"/>
        <w:tabs>
          <w:tab w:val="left" w:pos="7513"/>
        </w:tabs>
        <w:spacing w:line="240" w:lineRule="auto"/>
        <w:rPr>
          <w:szCs w:val="22"/>
          <w:lang w:val="pt-PT"/>
        </w:rPr>
      </w:pPr>
      <w:r w:rsidRPr="00011E43">
        <w:rPr>
          <w:szCs w:val="22"/>
          <w:lang w:val="pt-PT"/>
        </w:rPr>
        <w:t>Lek d.d, PE PROIZVODNJA LENDAVA</w:t>
      </w:r>
    </w:p>
    <w:p w14:paraId="1B680A34" w14:textId="77777777" w:rsidR="00E81348" w:rsidRPr="00011E43" w:rsidRDefault="00E81348" w:rsidP="001D5C8C">
      <w:pPr>
        <w:widowControl w:val="0"/>
        <w:tabs>
          <w:tab w:val="left" w:pos="7513"/>
        </w:tabs>
        <w:spacing w:line="240" w:lineRule="auto"/>
        <w:rPr>
          <w:szCs w:val="22"/>
          <w:lang w:val="it-IT"/>
        </w:rPr>
      </w:pPr>
      <w:r w:rsidRPr="00011E43">
        <w:rPr>
          <w:szCs w:val="22"/>
          <w:lang w:val="it-IT"/>
        </w:rPr>
        <w:t>Trimlini 2D</w:t>
      </w:r>
    </w:p>
    <w:p w14:paraId="1B680A35" w14:textId="77777777" w:rsidR="00E81348" w:rsidRPr="00011E43" w:rsidRDefault="00E81348" w:rsidP="001D5C8C">
      <w:pPr>
        <w:widowControl w:val="0"/>
        <w:tabs>
          <w:tab w:val="left" w:pos="7513"/>
        </w:tabs>
        <w:spacing w:line="240" w:lineRule="auto"/>
        <w:rPr>
          <w:szCs w:val="22"/>
          <w:lang w:val="it-IT"/>
        </w:rPr>
      </w:pPr>
      <w:r w:rsidRPr="00011E43">
        <w:rPr>
          <w:szCs w:val="22"/>
          <w:lang w:val="it-IT"/>
        </w:rPr>
        <w:t>Lendava</w:t>
      </w:r>
      <w:r w:rsidR="000A45F7" w:rsidRPr="00011E43">
        <w:rPr>
          <w:szCs w:val="22"/>
          <w:lang w:val="it-IT"/>
        </w:rPr>
        <w:t>,</w:t>
      </w:r>
      <w:r w:rsidRPr="00011E43">
        <w:rPr>
          <w:szCs w:val="22"/>
          <w:lang w:val="it-IT"/>
        </w:rPr>
        <w:t xml:space="preserve"> 9220</w:t>
      </w:r>
    </w:p>
    <w:p w14:paraId="1B680A36" w14:textId="77777777" w:rsidR="00E81348" w:rsidRPr="00011E43" w:rsidRDefault="00E81348" w:rsidP="001D5C8C">
      <w:pPr>
        <w:widowControl w:val="0"/>
        <w:tabs>
          <w:tab w:val="left" w:pos="7513"/>
        </w:tabs>
        <w:spacing w:line="240" w:lineRule="auto"/>
        <w:rPr>
          <w:szCs w:val="22"/>
          <w:lang w:val="it-IT"/>
        </w:rPr>
      </w:pPr>
      <w:r w:rsidRPr="00011E43">
        <w:rPr>
          <w:szCs w:val="22"/>
          <w:lang w:val="it-IT"/>
        </w:rPr>
        <w:t>Slovenia</w:t>
      </w:r>
    </w:p>
    <w:p w14:paraId="1B680A37" w14:textId="77777777" w:rsidR="00E81348" w:rsidRPr="00011E43" w:rsidRDefault="00E81348" w:rsidP="001D5C8C">
      <w:pPr>
        <w:widowControl w:val="0"/>
        <w:tabs>
          <w:tab w:val="left" w:pos="7513"/>
        </w:tabs>
        <w:spacing w:line="240" w:lineRule="auto"/>
        <w:rPr>
          <w:szCs w:val="22"/>
          <w:lang w:val="it-IT"/>
        </w:rPr>
      </w:pPr>
    </w:p>
    <w:p w14:paraId="1B680A38" w14:textId="030F33AA" w:rsidR="00633C4F" w:rsidRPr="00011E43" w:rsidDel="009309DF" w:rsidRDefault="00633C4F" w:rsidP="001D5C8C">
      <w:pPr>
        <w:widowControl w:val="0"/>
        <w:tabs>
          <w:tab w:val="left" w:pos="7513"/>
        </w:tabs>
        <w:spacing w:line="240" w:lineRule="auto"/>
        <w:rPr>
          <w:szCs w:val="22"/>
          <w:lang w:val="it-IT"/>
        </w:rPr>
      </w:pPr>
      <w:r w:rsidRPr="00011E43" w:rsidDel="009309DF">
        <w:rPr>
          <w:szCs w:val="22"/>
          <w:lang w:val="it-IT"/>
        </w:rPr>
        <w:t>Novartis Pharma GmbH</w:t>
      </w:r>
    </w:p>
    <w:p w14:paraId="1B680A39" w14:textId="11686D97" w:rsidR="00633C4F" w:rsidRPr="00011E43" w:rsidDel="009309DF" w:rsidRDefault="00633C4F" w:rsidP="001D5C8C">
      <w:pPr>
        <w:widowControl w:val="0"/>
        <w:tabs>
          <w:tab w:val="left" w:pos="7513"/>
        </w:tabs>
        <w:spacing w:line="240" w:lineRule="auto"/>
        <w:rPr>
          <w:szCs w:val="22"/>
          <w:lang w:val="it-IT"/>
        </w:rPr>
      </w:pPr>
      <w:r w:rsidRPr="00011E43" w:rsidDel="009309DF">
        <w:rPr>
          <w:szCs w:val="22"/>
          <w:lang w:val="it-IT"/>
        </w:rPr>
        <w:t>Roonstra</w:t>
      </w:r>
      <w:r w:rsidR="00681006" w:rsidRPr="00011E43" w:rsidDel="009309DF">
        <w:rPr>
          <w:snapToGrid w:val="0"/>
          <w:szCs w:val="22"/>
          <w:lang w:val="it-IT"/>
        </w:rPr>
        <w:t>ss</w:t>
      </w:r>
      <w:r w:rsidRPr="00011E43" w:rsidDel="009309DF">
        <w:rPr>
          <w:szCs w:val="22"/>
          <w:lang w:val="it-IT"/>
        </w:rPr>
        <w:t>e 25</w:t>
      </w:r>
    </w:p>
    <w:p w14:paraId="1B680A3A" w14:textId="4A11BC3E" w:rsidR="00633C4F" w:rsidRPr="00011E43" w:rsidDel="009309DF" w:rsidRDefault="00633C4F" w:rsidP="001D5C8C">
      <w:pPr>
        <w:widowControl w:val="0"/>
        <w:tabs>
          <w:tab w:val="left" w:pos="7513"/>
        </w:tabs>
        <w:spacing w:line="240" w:lineRule="auto"/>
        <w:rPr>
          <w:szCs w:val="22"/>
          <w:lang w:val="it-IT"/>
        </w:rPr>
      </w:pPr>
      <w:r w:rsidRPr="00011E43" w:rsidDel="009309DF">
        <w:rPr>
          <w:szCs w:val="22"/>
          <w:lang w:val="it-IT"/>
        </w:rPr>
        <w:t>D-90429 Nuremberg</w:t>
      </w:r>
    </w:p>
    <w:p w14:paraId="1B680A3B" w14:textId="256F7742" w:rsidR="006822C7" w:rsidRPr="00011E43" w:rsidRDefault="00633C4F" w:rsidP="001D5C8C">
      <w:pPr>
        <w:widowControl w:val="0"/>
        <w:tabs>
          <w:tab w:val="left" w:pos="7513"/>
        </w:tabs>
        <w:spacing w:line="240" w:lineRule="auto"/>
        <w:rPr>
          <w:szCs w:val="22"/>
          <w:lang w:val="it-IT"/>
        </w:rPr>
      </w:pPr>
      <w:r w:rsidRPr="00011E43" w:rsidDel="009309DF">
        <w:rPr>
          <w:szCs w:val="22"/>
          <w:lang w:val="it-IT"/>
        </w:rPr>
        <w:t>Germany</w:t>
      </w:r>
    </w:p>
    <w:p w14:paraId="1B680A3C" w14:textId="77777777" w:rsidR="00633C4F" w:rsidRPr="00011E43" w:rsidRDefault="00633C4F" w:rsidP="001D5C8C">
      <w:pPr>
        <w:widowControl w:val="0"/>
        <w:tabs>
          <w:tab w:val="left" w:pos="7513"/>
        </w:tabs>
        <w:spacing w:line="240" w:lineRule="auto"/>
        <w:rPr>
          <w:szCs w:val="22"/>
          <w:lang w:val="it-IT"/>
        </w:rPr>
      </w:pPr>
    </w:p>
    <w:p w14:paraId="631345C9" w14:textId="77777777" w:rsidR="006C05A8" w:rsidRPr="00011E43" w:rsidRDefault="006C05A8" w:rsidP="006C05A8">
      <w:pPr>
        <w:widowControl w:val="0"/>
        <w:tabs>
          <w:tab w:val="left" w:pos="7513"/>
        </w:tabs>
        <w:spacing w:line="240" w:lineRule="auto"/>
        <w:rPr>
          <w:szCs w:val="22"/>
          <w:lang w:val="it-IT"/>
        </w:rPr>
      </w:pPr>
      <w:r w:rsidRPr="00011E43">
        <w:rPr>
          <w:szCs w:val="22"/>
          <w:lang w:val="it-IT"/>
        </w:rPr>
        <w:t>Sandoz S.R.L.</w:t>
      </w:r>
    </w:p>
    <w:p w14:paraId="75692BF3" w14:textId="77777777" w:rsidR="006C05A8" w:rsidRPr="00011E43" w:rsidRDefault="006C05A8" w:rsidP="006C05A8">
      <w:pPr>
        <w:widowControl w:val="0"/>
        <w:tabs>
          <w:tab w:val="left" w:pos="7513"/>
        </w:tabs>
        <w:spacing w:line="240" w:lineRule="auto"/>
        <w:rPr>
          <w:szCs w:val="22"/>
          <w:lang w:val="it-IT"/>
        </w:rPr>
      </w:pPr>
      <w:r w:rsidRPr="00011E43">
        <w:rPr>
          <w:szCs w:val="22"/>
          <w:lang w:val="it-IT"/>
        </w:rPr>
        <w:t>Str. Livezeni nr. 7A</w:t>
      </w:r>
    </w:p>
    <w:p w14:paraId="5EC7F3C0" w14:textId="77777777" w:rsidR="006C05A8" w:rsidRPr="008808E5" w:rsidRDefault="006C05A8" w:rsidP="006C05A8">
      <w:pPr>
        <w:widowControl w:val="0"/>
        <w:tabs>
          <w:tab w:val="left" w:pos="7513"/>
        </w:tabs>
        <w:spacing w:line="240" w:lineRule="auto"/>
        <w:rPr>
          <w:szCs w:val="22"/>
          <w:lang w:val="en-US"/>
        </w:rPr>
      </w:pPr>
      <w:r w:rsidRPr="008808E5">
        <w:rPr>
          <w:szCs w:val="22"/>
          <w:lang w:val="en-US"/>
        </w:rPr>
        <w:t>540472, Targu Mures</w:t>
      </w:r>
    </w:p>
    <w:p w14:paraId="37DEEAF0" w14:textId="77777777" w:rsidR="006C05A8" w:rsidRPr="008808E5" w:rsidRDefault="006C05A8" w:rsidP="006C05A8">
      <w:pPr>
        <w:widowControl w:val="0"/>
        <w:tabs>
          <w:tab w:val="left" w:pos="7513"/>
        </w:tabs>
        <w:spacing w:line="240" w:lineRule="auto"/>
        <w:rPr>
          <w:szCs w:val="22"/>
          <w:lang w:val="en-US"/>
        </w:rPr>
      </w:pPr>
      <w:r w:rsidRPr="008808E5">
        <w:rPr>
          <w:szCs w:val="22"/>
          <w:lang w:val="en-US"/>
        </w:rPr>
        <w:t>Romania</w:t>
      </w:r>
    </w:p>
    <w:p w14:paraId="7DE7B906" w14:textId="77777777" w:rsidR="006C05A8" w:rsidRPr="008808E5" w:rsidRDefault="006C05A8" w:rsidP="006C05A8">
      <w:pPr>
        <w:widowControl w:val="0"/>
        <w:tabs>
          <w:tab w:val="left" w:pos="7513"/>
        </w:tabs>
        <w:spacing w:line="240" w:lineRule="auto"/>
        <w:rPr>
          <w:szCs w:val="22"/>
          <w:lang w:val="en-US"/>
        </w:rPr>
      </w:pPr>
    </w:p>
    <w:p w14:paraId="1B680A3D" w14:textId="77777777" w:rsidR="001B4689" w:rsidRPr="00D1632D" w:rsidRDefault="00F304A0" w:rsidP="001D5C8C">
      <w:pPr>
        <w:widowControl w:val="0"/>
        <w:tabs>
          <w:tab w:val="left" w:pos="7513"/>
        </w:tabs>
        <w:spacing w:line="240" w:lineRule="auto"/>
        <w:rPr>
          <w:noProof/>
          <w:szCs w:val="22"/>
        </w:rPr>
      </w:pPr>
      <w:r w:rsidRPr="00D1632D">
        <w:rPr>
          <w:noProof/>
          <w:szCs w:val="22"/>
        </w:rPr>
        <w:t>The printed package leaflet of the medicinal product must state the name and address of the manufacturer responsible for the release of the concerned batch.</w:t>
      </w:r>
    </w:p>
    <w:p w14:paraId="1B680A3E" w14:textId="77777777" w:rsidR="00F304A0" w:rsidRPr="00D1632D" w:rsidRDefault="00F304A0" w:rsidP="001D5C8C">
      <w:pPr>
        <w:widowControl w:val="0"/>
        <w:tabs>
          <w:tab w:val="left" w:pos="7513"/>
        </w:tabs>
        <w:spacing w:line="240" w:lineRule="auto"/>
        <w:rPr>
          <w:szCs w:val="22"/>
          <w:lang w:val="en-US"/>
        </w:rPr>
      </w:pPr>
    </w:p>
    <w:p w14:paraId="1B680A3F" w14:textId="77777777" w:rsidR="00633C4F" w:rsidRPr="00D1632D" w:rsidRDefault="00633C4F" w:rsidP="001D5C8C">
      <w:pPr>
        <w:widowControl w:val="0"/>
        <w:tabs>
          <w:tab w:val="left" w:pos="7513"/>
        </w:tabs>
        <w:spacing w:line="240" w:lineRule="auto"/>
        <w:rPr>
          <w:szCs w:val="22"/>
          <w:lang w:val="en-US"/>
        </w:rPr>
      </w:pPr>
    </w:p>
    <w:p w14:paraId="1B680A40" w14:textId="77777777" w:rsidR="00633C4F" w:rsidRPr="00654EF1" w:rsidRDefault="00633C4F" w:rsidP="001D5C8C">
      <w:pPr>
        <w:widowControl w:val="0"/>
        <w:numPr>
          <w:ilvl w:val="12"/>
          <w:numId w:val="0"/>
        </w:numPr>
        <w:spacing w:line="240" w:lineRule="auto"/>
        <w:rPr>
          <w:color w:val="000000"/>
          <w:szCs w:val="22"/>
          <w:lang w:val="en-US"/>
        </w:rPr>
      </w:pPr>
      <w:r w:rsidRPr="00654EF1">
        <w:rPr>
          <w:b/>
          <w:color w:val="000000"/>
          <w:szCs w:val="22"/>
          <w:lang w:val="en-US"/>
        </w:rPr>
        <w:t>B.</w:t>
      </w:r>
      <w:r w:rsidRPr="00654EF1">
        <w:rPr>
          <w:b/>
          <w:color w:val="000000"/>
          <w:szCs w:val="22"/>
          <w:lang w:val="en-US"/>
        </w:rPr>
        <w:tab/>
        <w:t>CONDITIONS</w:t>
      </w:r>
      <w:r w:rsidR="00625777" w:rsidRPr="00654EF1">
        <w:rPr>
          <w:b/>
          <w:color w:val="000000"/>
          <w:szCs w:val="22"/>
          <w:lang w:val="en-US"/>
        </w:rPr>
        <w:t xml:space="preserve"> OR RESTRICTIONS REGARDING SUPPLY AND USE</w:t>
      </w:r>
    </w:p>
    <w:p w14:paraId="1B680A41" w14:textId="77777777" w:rsidR="001730DC" w:rsidRPr="00654EF1" w:rsidRDefault="001730DC" w:rsidP="001D5C8C">
      <w:pPr>
        <w:widowControl w:val="0"/>
        <w:numPr>
          <w:ilvl w:val="12"/>
          <w:numId w:val="0"/>
        </w:numPr>
        <w:tabs>
          <w:tab w:val="left" w:pos="7513"/>
        </w:tabs>
        <w:spacing w:line="240" w:lineRule="auto"/>
        <w:rPr>
          <w:color w:val="000000"/>
          <w:szCs w:val="22"/>
          <w:lang w:val="en-US"/>
        </w:rPr>
      </w:pPr>
    </w:p>
    <w:p w14:paraId="1B680A42" w14:textId="77777777" w:rsidR="009B57ED" w:rsidRPr="00654EF1" w:rsidRDefault="009B57ED" w:rsidP="001D5C8C">
      <w:pPr>
        <w:widowControl w:val="0"/>
        <w:numPr>
          <w:ilvl w:val="12"/>
          <w:numId w:val="0"/>
        </w:numPr>
        <w:tabs>
          <w:tab w:val="left" w:pos="7513"/>
        </w:tabs>
        <w:spacing w:line="240" w:lineRule="auto"/>
        <w:rPr>
          <w:color w:val="000000"/>
          <w:szCs w:val="22"/>
          <w:lang w:val="en-US"/>
        </w:rPr>
      </w:pPr>
      <w:r w:rsidRPr="00654EF1">
        <w:rPr>
          <w:color w:val="000000"/>
          <w:szCs w:val="22"/>
          <w:lang w:val="en-US"/>
        </w:rPr>
        <w:t>Medicinal product subject to restricted medical prescription (See Annex I: Summary of Product Characteristics, section 4.2).</w:t>
      </w:r>
    </w:p>
    <w:p w14:paraId="1B680A43" w14:textId="77777777" w:rsidR="00625777" w:rsidRPr="00654EF1" w:rsidRDefault="00625777" w:rsidP="001D5C8C">
      <w:pPr>
        <w:widowControl w:val="0"/>
        <w:numPr>
          <w:ilvl w:val="12"/>
          <w:numId w:val="0"/>
        </w:numPr>
        <w:tabs>
          <w:tab w:val="left" w:pos="7513"/>
        </w:tabs>
        <w:spacing w:line="240" w:lineRule="auto"/>
        <w:rPr>
          <w:color w:val="000000"/>
          <w:szCs w:val="22"/>
          <w:lang w:val="en-US"/>
        </w:rPr>
      </w:pPr>
    </w:p>
    <w:p w14:paraId="1B680A44" w14:textId="77777777" w:rsidR="001D623C" w:rsidRPr="00654EF1" w:rsidRDefault="001D623C" w:rsidP="001D5C8C">
      <w:pPr>
        <w:widowControl w:val="0"/>
        <w:numPr>
          <w:ilvl w:val="12"/>
          <w:numId w:val="0"/>
        </w:numPr>
        <w:tabs>
          <w:tab w:val="left" w:pos="7513"/>
        </w:tabs>
        <w:spacing w:line="240" w:lineRule="auto"/>
        <w:rPr>
          <w:color w:val="000000"/>
          <w:szCs w:val="22"/>
          <w:lang w:val="en-US"/>
        </w:rPr>
      </w:pPr>
    </w:p>
    <w:p w14:paraId="1B680A45" w14:textId="77777777" w:rsidR="00625777" w:rsidRPr="00654EF1" w:rsidRDefault="00625777" w:rsidP="001D5C8C">
      <w:pPr>
        <w:widowControl w:val="0"/>
        <w:tabs>
          <w:tab w:val="left" w:pos="-720"/>
        </w:tabs>
        <w:suppressAutoHyphens/>
        <w:spacing w:line="240" w:lineRule="auto"/>
        <w:ind w:left="567" w:right="1410" w:hanging="567"/>
        <w:rPr>
          <w:b/>
          <w:color w:val="000000"/>
          <w:szCs w:val="22"/>
          <w:lang w:val="en-US"/>
        </w:rPr>
      </w:pPr>
      <w:r w:rsidRPr="00654EF1">
        <w:rPr>
          <w:b/>
          <w:color w:val="000000"/>
          <w:szCs w:val="22"/>
          <w:lang w:val="en-US"/>
        </w:rPr>
        <w:t>C.</w:t>
      </w:r>
      <w:r w:rsidRPr="00654EF1">
        <w:rPr>
          <w:b/>
          <w:color w:val="000000"/>
          <w:szCs w:val="22"/>
          <w:lang w:val="en-US"/>
        </w:rPr>
        <w:tab/>
        <w:t>OTHER CONDITIONS AND REQUIREMENTS OF THE MARKETING AUTHORISATION</w:t>
      </w:r>
    </w:p>
    <w:p w14:paraId="1B680A46" w14:textId="77777777" w:rsidR="00356F51" w:rsidRPr="00654EF1" w:rsidRDefault="00356F51" w:rsidP="001D5C8C">
      <w:pPr>
        <w:widowControl w:val="0"/>
        <w:spacing w:line="240" w:lineRule="auto"/>
        <w:rPr>
          <w:color w:val="000000"/>
          <w:szCs w:val="22"/>
        </w:rPr>
      </w:pPr>
    </w:p>
    <w:p w14:paraId="1B680A47" w14:textId="77777777" w:rsidR="00854280" w:rsidRPr="00654EF1" w:rsidRDefault="00854280" w:rsidP="001D5C8C">
      <w:pPr>
        <w:widowControl w:val="0"/>
        <w:numPr>
          <w:ilvl w:val="0"/>
          <w:numId w:val="31"/>
        </w:numPr>
        <w:suppressLineNumbers/>
        <w:spacing w:line="240" w:lineRule="auto"/>
        <w:ind w:right="-1" w:hanging="720"/>
        <w:rPr>
          <w:b/>
          <w:szCs w:val="22"/>
        </w:rPr>
      </w:pPr>
      <w:r w:rsidRPr="00654EF1">
        <w:rPr>
          <w:b/>
          <w:szCs w:val="22"/>
        </w:rPr>
        <w:t>Periodic Safety Update Reports</w:t>
      </w:r>
    </w:p>
    <w:p w14:paraId="1B680A48" w14:textId="77777777" w:rsidR="00997C9B" w:rsidRPr="00654EF1" w:rsidRDefault="004B2983" w:rsidP="001D5C8C">
      <w:pPr>
        <w:widowControl w:val="0"/>
        <w:tabs>
          <w:tab w:val="clear" w:pos="567"/>
        </w:tabs>
        <w:autoSpaceDE w:val="0"/>
        <w:autoSpaceDN w:val="0"/>
        <w:adjustRightInd w:val="0"/>
        <w:spacing w:line="240" w:lineRule="auto"/>
        <w:rPr>
          <w:color w:val="000000"/>
          <w:szCs w:val="22"/>
          <w:lang w:val="en-US"/>
        </w:rPr>
      </w:pPr>
      <w:r w:rsidRPr="00654EF1">
        <w:rPr>
          <w:color w:val="000000"/>
          <w:szCs w:val="22"/>
          <w:lang w:val="en-US"/>
        </w:rPr>
        <w:t xml:space="preserve">The </w:t>
      </w:r>
      <w:r w:rsidR="00DE25B9" w:rsidRPr="00654EF1">
        <w:rPr>
          <w:iCs/>
          <w:szCs w:val="22"/>
        </w:rPr>
        <w:t>requirements for submission of</w:t>
      </w:r>
      <w:r w:rsidRPr="00654EF1">
        <w:rPr>
          <w:color w:val="000000"/>
          <w:szCs w:val="22"/>
          <w:lang w:val="en-US"/>
        </w:rPr>
        <w:t xml:space="preserve"> periodic safety update reports for this </w:t>
      </w:r>
      <w:r w:rsidR="00DE25B9" w:rsidRPr="00654EF1">
        <w:rPr>
          <w:iCs/>
          <w:szCs w:val="22"/>
        </w:rPr>
        <w:t>medicinal</w:t>
      </w:r>
      <w:r w:rsidR="00DE25B9" w:rsidRPr="00654EF1">
        <w:rPr>
          <w:color w:val="000000"/>
          <w:szCs w:val="22"/>
          <w:lang w:val="en-US"/>
        </w:rPr>
        <w:t xml:space="preserve"> </w:t>
      </w:r>
      <w:r w:rsidRPr="00654EF1">
        <w:rPr>
          <w:color w:val="000000"/>
          <w:szCs w:val="22"/>
          <w:lang w:val="en-US"/>
        </w:rPr>
        <w:t xml:space="preserve">product </w:t>
      </w:r>
      <w:r w:rsidR="00DE25B9" w:rsidRPr="00654EF1">
        <w:rPr>
          <w:color w:val="000000"/>
          <w:szCs w:val="22"/>
          <w:lang w:val="en-US"/>
        </w:rPr>
        <w:t>are</w:t>
      </w:r>
      <w:r w:rsidRPr="00654EF1">
        <w:rPr>
          <w:color w:val="000000"/>
          <w:szCs w:val="22"/>
          <w:lang w:val="en-US"/>
        </w:rPr>
        <w:t xml:space="preserve"> set out in the list of Union reference dates (EURD list) provided for under Article 107c(7) of Directive 2001/83/EC and </w:t>
      </w:r>
      <w:r w:rsidR="00DE25B9" w:rsidRPr="00654EF1">
        <w:rPr>
          <w:iCs/>
          <w:szCs w:val="22"/>
        </w:rPr>
        <w:t xml:space="preserve">any subsequent updates </w:t>
      </w:r>
      <w:r w:rsidRPr="00654EF1">
        <w:rPr>
          <w:color w:val="000000"/>
          <w:szCs w:val="22"/>
          <w:lang w:val="en-US"/>
        </w:rPr>
        <w:t>published on the European medicines web-portal.</w:t>
      </w:r>
    </w:p>
    <w:p w14:paraId="1B680A49" w14:textId="77777777" w:rsidR="00997C9B" w:rsidRPr="00654EF1" w:rsidRDefault="00997C9B" w:rsidP="001D5C8C">
      <w:pPr>
        <w:widowControl w:val="0"/>
        <w:tabs>
          <w:tab w:val="clear" w:pos="567"/>
        </w:tabs>
        <w:autoSpaceDE w:val="0"/>
        <w:autoSpaceDN w:val="0"/>
        <w:adjustRightInd w:val="0"/>
        <w:spacing w:line="240" w:lineRule="auto"/>
        <w:rPr>
          <w:color w:val="000000"/>
          <w:szCs w:val="22"/>
          <w:lang w:val="en-US"/>
        </w:rPr>
      </w:pPr>
    </w:p>
    <w:p w14:paraId="1B680A4A" w14:textId="77777777" w:rsidR="00F1218D" w:rsidRPr="00654EF1" w:rsidRDefault="00F1218D" w:rsidP="001D5C8C">
      <w:pPr>
        <w:widowControl w:val="0"/>
        <w:tabs>
          <w:tab w:val="left" w:pos="7513"/>
        </w:tabs>
        <w:spacing w:line="240" w:lineRule="auto"/>
        <w:rPr>
          <w:color w:val="000000"/>
          <w:szCs w:val="22"/>
          <w:lang w:val="en-US"/>
        </w:rPr>
      </w:pPr>
    </w:p>
    <w:p w14:paraId="1B680A4B" w14:textId="77777777" w:rsidR="00F1218D" w:rsidRPr="00654EF1" w:rsidRDefault="004B2983" w:rsidP="001D5C8C">
      <w:pPr>
        <w:widowControl w:val="0"/>
        <w:tabs>
          <w:tab w:val="clear" w:pos="567"/>
        </w:tabs>
        <w:spacing w:line="240" w:lineRule="auto"/>
        <w:ind w:left="567" w:right="567" w:hanging="567"/>
        <w:rPr>
          <w:noProof/>
          <w:color w:val="000000"/>
        </w:rPr>
      </w:pPr>
      <w:r w:rsidRPr="00654EF1">
        <w:rPr>
          <w:b/>
          <w:color w:val="000000"/>
          <w:szCs w:val="22"/>
          <w:lang w:val="en-US"/>
        </w:rPr>
        <w:t>D.</w:t>
      </w:r>
      <w:r w:rsidRPr="00654EF1">
        <w:rPr>
          <w:b/>
          <w:color w:val="000000"/>
          <w:szCs w:val="22"/>
          <w:lang w:val="en-US"/>
        </w:rPr>
        <w:tab/>
      </w:r>
      <w:r w:rsidR="00F1218D" w:rsidRPr="00654EF1">
        <w:rPr>
          <w:b/>
          <w:noProof/>
          <w:color w:val="000000"/>
        </w:rPr>
        <w:t xml:space="preserve">CONDITIONS OR RESTRICTIONS WITH REGARD TO THE </w:t>
      </w:r>
      <w:smartTag w:uri="urn:schemas-microsoft-com:office:smarttags" w:element="stockticker">
        <w:r w:rsidR="00F1218D" w:rsidRPr="00654EF1">
          <w:rPr>
            <w:b/>
            <w:noProof/>
            <w:color w:val="000000"/>
          </w:rPr>
          <w:t>SAFE</w:t>
        </w:r>
      </w:smartTag>
      <w:r w:rsidR="00F1218D" w:rsidRPr="00654EF1">
        <w:rPr>
          <w:b/>
          <w:noProof/>
          <w:color w:val="000000"/>
        </w:rPr>
        <w:t xml:space="preserve"> </w:t>
      </w:r>
      <w:smartTag w:uri="urn:schemas-microsoft-com:office:smarttags" w:element="stockticker">
        <w:r w:rsidR="00F1218D" w:rsidRPr="00654EF1">
          <w:rPr>
            <w:b/>
            <w:noProof/>
            <w:color w:val="000000"/>
          </w:rPr>
          <w:t>AND</w:t>
        </w:r>
      </w:smartTag>
      <w:r w:rsidR="00F1218D" w:rsidRPr="00654EF1">
        <w:rPr>
          <w:b/>
          <w:noProof/>
          <w:color w:val="000000"/>
        </w:rPr>
        <w:t xml:space="preserve"> EFFECTIVE USE OF THE MEDICINAL PRODUCT</w:t>
      </w:r>
    </w:p>
    <w:p w14:paraId="1B680A4C" w14:textId="77777777" w:rsidR="00F1218D" w:rsidRPr="00654EF1" w:rsidRDefault="00F1218D" w:rsidP="001D5C8C">
      <w:pPr>
        <w:widowControl w:val="0"/>
        <w:spacing w:line="240" w:lineRule="auto"/>
        <w:ind w:right="567"/>
        <w:rPr>
          <w:noProof/>
          <w:color w:val="000000"/>
        </w:rPr>
      </w:pPr>
    </w:p>
    <w:p w14:paraId="1B680A4D" w14:textId="77777777" w:rsidR="004B2983" w:rsidRPr="00654EF1" w:rsidRDefault="004B2983" w:rsidP="001D5C8C">
      <w:pPr>
        <w:widowControl w:val="0"/>
        <w:numPr>
          <w:ilvl w:val="0"/>
          <w:numId w:val="31"/>
        </w:numPr>
        <w:suppressLineNumbers/>
        <w:spacing w:line="240" w:lineRule="auto"/>
        <w:ind w:right="-1" w:hanging="720"/>
        <w:rPr>
          <w:b/>
          <w:szCs w:val="22"/>
        </w:rPr>
      </w:pPr>
      <w:r w:rsidRPr="00654EF1">
        <w:rPr>
          <w:b/>
          <w:iCs/>
          <w:noProof/>
          <w:szCs w:val="22"/>
        </w:rPr>
        <w:t>Risk Management Plan (RMP)</w:t>
      </w:r>
    </w:p>
    <w:p w14:paraId="1B680A4E" w14:textId="77777777" w:rsidR="004B2983" w:rsidRPr="00654EF1" w:rsidRDefault="004B2983" w:rsidP="001D5C8C">
      <w:pPr>
        <w:widowControl w:val="0"/>
        <w:suppressLineNumbers/>
        <w:tabs>
          <w:tab w:val="left" w:pos="0"/>
        </w:tabs>
        <w:spacing w:line="240" w:lineRule="auto"/>
        <w:ind w:right="567"/>
        <w:rPr>
          <w:noProof/>
          <w:szCs w:val="22"/>
        </w:rPr>
      </w:pPr>
      <w:r w:rsidRPr="00654EF1">
        <w:rPr>
          <w:noProof/>
          <w:szCs w:val="22"/>
        </w:rPr>
        <w:t>The MAH shall perform the required pharmacovigilance activities and interventions detailed in the agreed RMP presented in Module 1.8.2 of the Marketing Authorisation and any agreed subsequent updates of the RMP.</w:t>
      </w:r>
    </w:p>
    <w:p w14:paraId="1B680A4F" w14:textId="77777777" w:rsidR="004B2983" w:rsidRPr="00654EF1" w:rsidRDefault="004B2983" w:rsidP="001D5C8C">
      <w:pPr>
        <w:widowControl w:val="0"/>
        <w:suppressLineNumbers/>
        <w:spacing w:line="240" w:lineRule="auto"/>
        <w:ind w:right="-1"/>
        <w:rPr>
          <w:iCs/>
          <w:noProof/>
          <w:szCs w:val="22"/>
        </w:rPr>
      </w:pPr>
    </w:p>
    <w:p w14:paraId="1B680A50" w14:textId="77777777" w:rsidR="004B2983" w:rsidRPr="00654EF1" w:rsidRDefault="004B2983" w:rsidP="00B82D5A">
      <w:pPr>
        <w:keepNext/>
        <w:widowControl w:val="0"/>
        <w:suppressLineNumbers/>
        <w:spacing w:line="240" w:lineRule="auto"/>
        <w:ind w:right="-1"/>
        <w:rPr>
          <w:iCs/>
          <w:noProof/>
          <w:szCs w:val="22"/>
        </w:rPr>
      </w:pPr>
      <w:r w:rsidRPr="00654EF1">
        <w:rPr>
          <w:iCs/>
          <w:noProof/>
          <w:szCs w:val="22"/>
        </w:rPr>
        <w:t>An updated RMP should be submitted:</w:t>
      </w:r>
    </w:p>
    <w:p w14:paraId="1B680A51" w14:textId="77777777" w:rsidR="004B2983" w:rsidRPr="00654EF1" w:rsidRDefault="004B2983" w:rsidP="00B82D5A">
      <w:pPr>
        <w:keepNext/>
        <w:widowControl w:val="0"/>
        <w:numPr>
          <w:ilvl w:val="0"/>
          <w:numId w:val="30"/>
        </w:numPr>
        <w:suppressLineNumbers/>
        <w:tabs>
          <w:tab w:val="clear" w:pos="720"/>
          <w:tab w:val="num" w:pos="567"/>
        </w:tabs>
        <w:spacing w:line="240" w:lineRule="auto"/>
        <w:ind w:right="-1" w:hanging="720"/>
        <w:rPr>
          <w:iCs/>
          <w:noProof/>
          <w:szCs w:val="22"/>
        </w:rPr>
      </w:pPr>
      <w:r w:rsidRPr="00654EF1">
        <w:rPr>
          <w:iCs/>
          <w:noProof/>
          <w:szCs w:val="22"/>
        </w:rPr>
        <w:t>At the request of the European Medicines Agency;</w:t>
      </w:r>
    </w:p>
    <w:p w14:paraId="1B680A52" w14:textId="77777777" w:rsidR="004B2983" w:rsidRPr="00654EF1" w:rsidRDefault="004B2983" w:rsidP="00B82D5A">
      <w:pPr>
        <w:keepLines/>
        <w:widowControl w:val="0"/>
        <w:numPr>
          <w:ilvl w:val="0"/>
          <w:numId w:val="30"/>
        </w:numPr>
        <w:suppressLineNumbers/>
        <w:tabs>
          <w:tab w:val="clear" w:pos="567"/>
          <w:tab w:val="clear" w:pos="720"/>
        </w:tabs>
        <w:spacing w:line="240" w:lineRule="auto"/>
        <w:ind w:left="567" w:hanging="567"/>
        <w:rPr>
          <w:iCs/>
          <w:noProof/>
          <w:szCs w:val="22"/>
        </w:rPr>
      </w:pPr>
      <w:r w:rsidRPr="00654EF1">
        <w:rPr>
          <w:iCs/>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1B680A53" w14:textId="77777777" w:rsidR="004B2983" w:rsidRPr="00654EF1" w:rsidRDefault="004B2983" w:rsidP="001D5C8C">
      <w:pPr>
        <w:widowControl w:val="0"/>
        <w:spacing w:line="240" w:lineRule="auto"/>
        <w:rPr>
          <w:noProof/>
        </w:rPr>
      </w:pPr>
    </w:p>
    <w:p w14:paraId="1B680A54" w14:textId="77777777" w:rsidR="00E956C2" w:rsidRPr="00654EF1" w:rsidRDefault="00E956C2" w:rsidP="00B82D5A">
      <w:pPr>
        <w:keepNext/>
        <w:widowControl w:val="0"/>
        <w:numPr>
          <w:ilvl w:val="0"/>
          <w:numId w:val="31"/>
        </w:numPr>
        <w:tabs>
          <w:tab w:val="clear" w:pos="567"/>
          <w:tab w:val="clear" w:pos="720"/>
        </w:tabs>
        <w:spacing w:line="240" w:lineRule="auto"/>
        <w:ind w:left="567" w:hanging="567"/>
        <w:rPr>
          <w:b/>
          <w:bCs/>
        </w:rPr>
      </w:pPr>
      <w:r w:rsidRPr="00654EF1">
        <w:rPr>
          <w:b/>
          <w:szCs w:val="22"/>
        </w:rPr>
        <w:lastRenderedPageBreak/>
        <w:t>Obligation to conduct post-authorisation measures</w:t>
      </w:r>
    </w:p>
    <w:p w14:paraId="1B680A55" w14:textId="77777777" w:rsidR="00E956C2" w:rsidRPr="00654EF1" w:rsidRDefault="00E956C2" w:rsidP="00B82D5A">
      <w:pPr>
        <w:pStyle w:val="NormalAgency"/>
        <w:keepNext/>
        <w:widowControl w:val="0"/>
        <w:rPr>
          <w:rFonts w:ascii="Times New Roman" w:hAnsi="Times New Roman"/>
          <w:b/>
          <w:bCs/>
          <w:i/>
          <w:iCs/>
          <w:lang w:val="en-GB"/>
        </w:rPr>
      </w:pPr>
    </w:p>
    <w:p w14:paraId="1B680A56" w14:textId="77777777" w:rsidR="00E956C2" w:rsidRPr="00654EF1" w:rsidRDefault="00E956C2" w:rsidP="00B82D5A">
      <w:pPr>
        <w:keepNext/>
        <w:widowControl w:val="0"/>
        <w:spacing w:line="240" w:lineRule="auto"/>
      </w:pPr>
      <w:r w:rsidRPr="00654EF1">
        <w:t>The MAH shall complete, within the stated timeframe, the below measures:</w:t>
      </w:r>
    </w:p>
    <w:p w14:paraId="1B680A57" w14:textId="77777777" w:rsidR="00E956C2" w:rsidRPr="00654EF1" w:rsidRDefault="00E956C2" w:rsidP="00B82D5A">
      <w:pPr>
        <w:keepNext/>
        <w:widowControl w:val="0"/>
        <w:spacing w:line="240" w:lineRule="auto"/>
      </w:pPr>
    </w:p>
    <w:tbl>
      <w:tblPr>
        <w:tblW w:w="4900" w:type="pct"/>
        <w:tblCellMar>
          <w:left w:w="0" w:type="dxa"/>
          <w:right w:w="0" w:type="dxa"/>
        </w:tblCellMar>
        <w:tblLook w:val="04A0" w:firstRow="1" w:lastRow="0" w:firstColumn="1" w:lastColumn="0" w:noHBand="0" w:noVBand="1"/>
      </w:tblPr>
      <w:tblGrid>
        <w:gridCol w:w="7417"/>
        <w:gridCol w:w="1453"/>
      </w:tblGrid>
      <w:tr w:rsidR="00E956C2" w:rsidRPr="00654EF1" w14:paraId="1B680A5A" w14:textId="77777777" w:rsidTr="006D4AAA">
        <w:tc>
          <w:tcPr>
            <w:tcW w:w="418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680A58" w14:textId="77777777" w:rsidR="00E956C2" w:rsidRPr="00654EF1" w:rsidRDefault="00E956C2" w:rsidP="00B82D5A">
            <w:pPr>
              <w:keepNext/>
              <w:widowControl w:val="0"/>
              <w:spacing w:line="240" w:lineRule="auto"/>
              <w:ind w:right="-1"/>
              <w:rPr>
                <w:rFonts w:eastAsia="Calibri"/>
                <w:b/>
                <w:bCs/>
                <w:szCs w:val="22"/>
              </w:rPr>
            </w:pPr>
            <w:r w:rsidRPr="00654EF1">
              <w:rPr>
                <w:b/>
                <w:bCs/>
              </w:rPr>
              <w:t>Description</w:t>
            </w:r>
          </w:p>
        </w:tc>
        <w:tc>
          <w:tcPr>
            <w:tcW w:w="81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80A59" w14:textId="77777777" w:rsidR="00E956C2" w:rsidRPr="00654EF1" w:rsidRDefault="00E956C2" w:rsidP="001D5C8C">
            <w:pPr>
              <w:widowControl w:val="0"/>
              <w:spacing w:line="240" w:lineRule="auto"/>
              <w:ind w:right="-1"/>
              <w:rPr>
                <w:rFonts w:eastAsia="Calibri"/>
                <w:b/>
                <w:bCs/>
                <w:szCs w:val="22"/>
              </w:rPr>
            </w:pPr>
            <w:r w:rsidRPr="00654EF1">
              <w:rPr>
                <w:b/>
                <w:bCs/>
              </w:rPr>
              <w:t>Due date</w:t>
            </w:r>
          </w:p>
        </w:tc>
      </w:tr>
      <w:tr w:rsidR="00E956C2" w:rsidRPr="00654EF1" w14:paraId="1B680A5D" w14:textId="77777777" w:rsidTr="006D4AAA">
        <w:tc>
          <w:tcPr>
            <w:tcW w:w="41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680A5B" w14:textId="77777777" w:rsidR="00E956C2" w:rsidRPr="00654EF1" w:rsidRDefault="00E956C2" w:rsidP="001D5C8C">
            <w:pPr>
              <w:widowControl w:val="0"/>
              <w:spacing w:line="240" w:lineRule="auto"/>
              <w:ind w:right="-1"/>
              <w:rPr>
                <w:rFonts w:eastAsia="Calibri"/>
                <w:szCs w:val="22"/>
              </w:rPr>
            </w:pPr>
            <w:r w:rsidRPr="00654EF1">
              <w:t>To conduct an observational registry collecting efficacy and safety data in newly diagnosed paediatric Ph+ Acute Lymphoblastic Leukaemia (ALL) patients treated with chemotherapy + imatinib ± HSCT. Submission of final study report.</w:t>
            </w:r>
          </w:p>
        </w:tc>
        <w:tc>
          <w:tcPr>
            <w:tcW w:w="819" w:type="pct"/>
            <w:tcBorders>
              <w:top w:val="nil"/>
              <w:left w:val="nil"/>
              <w:bottom w:val="single" w:sz="8" w:space="0" w:color="auto"/>
              <w:right w:val="single" w:sz="8" w:space="0" w:color="auto"/>
            </w:tcBorders>
            <w:tcMar>
              <w:top w:w="0" w:type="dxa"/>
              <w:left w:w="108" w:type="dxa"/>
              <w:bottom w:w="0" w:type="dxa"/>
              <w:right w:w="108" w:type="dxa"/>
            </w:tcMar>
            <w:hideMark/>
          </w:tcPr>
          <w:p w14:paraId="1B680A5C" w14:textId="265E46DC" w:rsidR="00E956C2" w:rsidRPr="00654EF1" w:rsidRDefault="003646EC" w:rsidP="003646EC">
            <w:pPr>
              <w:widowControl w:val="0"/>
              <w:spacing w:line="240" w:lineRule="auto"/>
              <w:ind w:right="-1"/>
              <w:rPr>
                <w:rFonts w:eastAsia="Calibri"/>
                <w:szCs w:val="22"/>
              </w:rPr>
            </w:pPr>
            <w:r>
              <w:t>23</w:t>
            </w:r>
            <w:r w:rsidR="008D1CCC" w:rsidRPr="00654EF1">
              <w:t>/06/</w:t>
            </w:r>
            <w:r w:rsidR="00B97E8A" w:rsidRPr="00654EF1">
              <w:t>20</w:t>
            </w:r>
            <w:r w:rsidR="00B97E8A">
              <w:t>23</w:t>
            </w:r>
          </w:p>
        </w:tc>
      </w:tr>
    </w:tbl>
    <w:p w14:paraId="1B680A5E" w14:textId="77777777" w:rsidR="00BB30F2" w:rsidRPr="00654EF1" w:rsidRDefault="00356F51" w:rsidP="001D5C8C">
      <w:pPr>
        <w:widowControl w:val="0"/>
        <w:tabs>
          <w:tab w:val="clear" w:pos="567"/>
        </w:tabs>
        <w:spacing w:line="240" w:lineRule="auto"/>
        <w:ind w:right="566"/>
        <w:rPr>
          <w:color w:val="000000"/>
          <w:szCs w:val="22"/>
        </w:rPr>
      </w:pPr>
      <w:r w:rsidRPr="00654EF1">
        <w:rPr>
          <w:color w:val="000000"/>
          <w:szCs w:val="22"/>
        </w:rPr>
        <w:br w:type="page"/>
      </w:r>
    </w:p>
    <w:p w14:paraId="1B680A5F" w14:textId="77777777" w:rsidR="00BB30F2" w:rsidRPr="00654EF1" w:rsidRDefault="00BB30F2" w:rsidP="001D5C8C">
      <w:pPr>
        <w:widowControl w:val="0"/>
        <w:tabs>
          <w:tab w:val="clear" w:pos="567"/>
        </w:tabs>
        <w:spacing w:line="240" w:lineRule="auto"/>
        <w:rPr>
          <w:color w:val="000000"/>
          <w:szCs w:val="22"/>
        </w:rPr>
      </w:pPr>
    </w:p>
    <w:p w14:paraId="1B680A60" w14:textId="77777777" w:rsidR="00BB30F2" w:rsidRPr="00654EF1" w:rsidRDefault="00BB30F2" w:rsidP="001D5C8C">
      <w:pPr>
        <w:widowControl w:val="0"/>
        <w:tabs>
          <w:tab w:val="clear" w:pos="567"/>
        </w:tabs>
        <w:spacing w:line="240" w:lineRule="auto"/>
        <w:rPr>
          <w:color w:val="000000"/>
          <w:szCs w:val="22"/>
        </w:rPr>
      </w:pPr>
    </w:p>
    <w:p w14:paraId="1B680A61" w14:textId="77777777" w:rsidR="00BB30F2" w:rsidRPr="00654EF1" w:rsidRDefault="00BB30F2" w:rsidP="001D5C8C">
      <w:pPr>
        <w:widowControl w:val="0"/>
        <w:tabs>
          <w:tab w:val="clear" w:pos="567"/>
        </w:tabs>
        <w:spacing w:line="240" w:lineRule="auto"/>
        <w:rPr>
          <w:color w:val="000000"/>
          <w:szCs w:val="22"/>
        </w:rPr>
      </w:pPr>
    </w:p>
    <w:p w14:paraId="1B680A62" w14:textId="77777777" w:rsidR="00BB30F2" w:rsidRPr="00654EF1" w:rsidRDefault="00BB30F2" w:rsidP="001D5C8C">
      <w:pPr>
        <w:widowControl w:val="0"/>
        <w:tabs>
          <w:tab w:val="clear" w:pos="567"/>
        </w:tabs>
        <w:spacing w:line="240" w:lineRule="auto"/>
        <w:rPr>
          <w:color w:val="000000"/>
          <w:szCs w:val="22"/>
        </w:rPr>
      </w:pPr>
    </w:p>
    <w:p w14:paraId="1B680A63" w14:textId="77777777" w:rsidR="00BB30F2" w:rsidRPr="00654EF1" w:rsidRDefault="00BB30F2" w:rsidP="001D5C8C">
      <w:pPr>
        <w:widowControl w:val="0"/>
        <w:tabs>
          <w:tab w:val="clear" w:pos="567"/>
        </w:tabs>
        <w:spacing w:line="240" w:lineRule="auto"/>
        <w:rPr>
          <w:color w:val="000000"/>
          <w:szCs w:val="22"/>
        </w:rPr>
      </w:pPr>
    </w:p>
    <w:p w14:paraId="1B680A64" w14:textId="77777777" w:rsidR="00BB30F2" w:rsidRPr="00654EF1" w:rsidRDefault="00BB30F2" w:rsidP="001D5C8C">
      <w:pPr>
        <w:widowControl w:val="0"/>
        <w:tabs>
          <w:tab w:val="clear" w:pos="567"/>
        </w:tabs>
        <w:spacing w:line="240" w:lineRule="auto"/>
        <w:rPr>
          <w:color w:val="000000"/>
          <w:szCs w:val="22"/>
        </w:rPr>
      </w:pPr>
    </w:p>
    <w:p w14:paraId="1B680A65" w14:textId="77777777" w:rsidR="00BB30F2" w:rsidRPr="00654EF1" w:rsidRDefault="00BB30F2" w:rsidP="001D5C8C">
      <w:pPr>
        <w:widowControl w:val="0"/>
        <w:tabs>
          <w:tab w:val="clear" w:pos="567"/>
        </w:tabs>
        <w:spacing w:line="240" w:lineRule="auto"/>
        <w:rPr>
          <w:color w:val="000000"/>
          <w:szCs w:val="22"/>
        </w:rPr>
      </w:pPr>
    </w:p>
    <w:p w14:paraId="1B680A66" w14:textId="77777777" w:rsidR="00BB30F2" w:rsidRPr="00654EF1" w:rsidRDefault="00BB30F2" w:rsidP="001D5C8C">
      <w:pPr>
        <w:widowControl w:val="0"/>
        <w:tabs>
          <w:tab w:val="clear" w:pos="567"/>
        </w:tabs>
        <w:spacing w:line="240" w:lineRule="auto"/>
        <w:rPr>
          <w:color w:val="000000"/>
          <w:szCs w:val="22"/>
        </w:rPr>
      </w:pPr>
    </w:p>
    <w:p w14:paraId="1B680A67" w14:textId="77777777" w:rsidR="00BB30F2" w:rsidRPr="00654EF1" w:rsidRDefault="00BB30F2" w:rsidP="001D5C8C">
      <w:pPr>
        <w:widowControl w:val="0"/>
        <w:tabs>
          <w:tab w:val="clear" w:pos="567"/>
        </w:tabs>
        <w:spacing w:line="240" w:lineRule="auto"/>
        <w:rPr>
          <w:color w:val="000000"/>
          <w:szCs w:val="22"/>
        </w:rPr>
      </w:pPr>
    </w:p>
    <w:p w14:paraId="1B680A68" w14:textId="77777777" w:rsidR="00BB30F2" w:rsidRPr="00654EF1" w:rsidRDefault="00BB30F2" w:rsidP="001D5C8C">
      <w:pPr>
        <w:widowControl w:val="0"/>
        <w:tabs>
          <w:tab w:val="clear" w:pos="567"/>
        </w:tabs>
        <w:spacing w:line="240" w:lineRule="auto"/>
        <w:rPr>
          <w:color w:val="000000"/>
          <w:szCs w:val="22"/>
        </w:rPr>
      </w:pPr>
    </w:p>
    <w:p w14:paraId="1B680A69" w14:textId="77777777" w:rsidR="00BB30F2" w:rsidRPr="00654EF1" w:rsidRDefault="00BB30F2" w:rsidP="001D5C8C">
      <w:pPr>
        <w:widowControl w:val="0"/>
        <w:tabs>
          <w:tab w:val="clear" w:pos="567"/>
        </w:tabs>
        <w:spacing w:line="240" w:lineRule="auto"/>
        <w:rPr>
          <w:color w:val="000000"/>
          <w:szCs w:val="22"/>
        </w:rPr>
      </w:pPr>
    </w:p>
    <w:p w14:paraId="1B680A6A" w14:textId="77777777" w:rsidR="00BB30F2" w:rsidRPr="00654EF1" w:rsidRDefault="00BB30F2" w:rsidP="001D5C8C">
      <w:pPr>
        <w:widowControl w:val="0"/>
        <w:tabs>
          <w:tab w:val="clear" w:pos="567"/>
        </w:tabs>
        <w:spacing w:line="240" w:lineRule="auto"/>
        <w:rPr>
          <w:color w:val="000000"/>
          <w:szCs w:val="22"/>
        </w:rPr>
      </w:pPr>
    </w:p>
    <w:p w14:paraId="1B680A6B" w14:textId="77777777" w:rsidR="00BB30F2" w:rsidRPr="00654EF1" w:rsidRDefault="00BB30F2" w:rsidP="001D5C8C">
      <w:pPr>
        <w:widowControl w:val="0"/>
        <w:tabs>
          <w:tab w:val="clear" w:pos="567"/>
        </w:tabs>
        <w:spacing w:line="240" w:lineRule="auto"/>
        <w:rPr>
          <w:color w:val="000000"/>
          <w:szCs w:val="22"/>
        </w:rPr>
      </w:pPr>
    </w:p>
    <w:p w14:paraId="1B680A6C" w14:textId="77777777" w:rsidR="00BB30F2" w:rsidRPr="00654EF1" w:rsidRDefault="00BB30F2" w:rsidP="001D5C8C">
      <w:pPr>
        <w:widowControl w:val="0"/>
        <w:tabs>
          <w:tab w:val="clear" w:pos="567"/>
        </w:tabs>
        <w:spacing w:line="240" w:lineRule="auto"/>
        <w:rPr>
          <w:color w:val="000000"/>
          <w:szCs w:val="22"/>
        </w:rPr>
      </w:pPr>
    </w:p>
    <w:p w14:paraId="1B680A6D" w14:textId="77777777" w:rsidR="00BB30F2" w:rsidRPr="00654EF1" w:rsidRDefault="00BB30F2" w:rsidP="001D5C8C">
      <w:pPr>
        <w:widowControl w:val="0"/>
        <w:tabs>
          <w:tab w:val="clear" w:pos="567"/>
        </w:tabs>
        <w:spacing w:line="240" w:lineRule="auto"/>
        <w:rPr>
          <w:color w:val="000000"/>
          <w:szCs w:val="22"/>
        </w:rPr>
      </w:pPr>
    </w:p>
    <w:p w14:paraId="1B680A6E" w14:textId="77777777" w:rsidR="00BB30F2" w:rsidRPr="00654EF1" w:rsidRDefault="00BB30F2" w:rsidP="001D5C8C">
      <w:pPr>
        <w:widowControl w:val="0"/>
        <w:tabs>
          <w:tab w:val="clear" w:pos="567"/>
        </w:tabs>
        <w:spacing w:line="240" w:lineRule="auto"/>
        <w:rPr>
          <w:color w:val="000000"/>
          <w:szCs w:val="22"/>
        </w:rPr>
      </w:pPr>
    </w:p>
    <w:p w14:paraId="1B680A6F" w14:textId="77777777" w:rsidR="00BB30F2" w:rsidRPr="00654EF1" w:rsidRDefault="00BB30F2" w:rsidP="001D5C8C">
      <w:pPr>
        <w:widowControl w:val="0"/>
        <w:tabs>
          <w:tab w:val="clear" w:pos="567"/>
        </w:tabs>
        <w:spacing w:line="240" w:lineRule="auto"/>
        <w:rPr>
          <w:color w:val="000000"/>
          <w:szCs w:val="22"/>
        </w:rPr>
      </w:pPr>
    </w:p>
    <w:p w14:paraId="1B680A70" w14:textId="77777777" w:rsidR="00BB30F2" w:rsidRPr="00654EF1" w:rsidRDefault="00BB30F2" w:rsidP="001D5C8C">
      <w:pPr>
        <w:widowControl w:val="0"/>
        <w:tabs>
          <w:tab w:val="clear" w:pos="567"/>
        </w:tabs>
        <w:spacing w:line="240" w:lineRule="auto"/>
        <w:rPr>
          <w:color w:val="000000"/>
          <w:szCs w:val="22"/>
        </w:rPr>
      </w:pPr>
    </w:p>
    <w:p w14:paraId="1B680A71" w14:textId="77777777" w:rsidR="00BB30F2" w:rsidRPr="00654EF1" w:rsidRDefault="00BB30F2" w:rsidP="001D5C8C">
      <w:pPr>
        <w:widowControl w:val="0"/>
        <w:tabs>
          <w:tab w:val="clear" w:pos="567"/>
        </w:tabs>
        <w:spacing w:line="240" w:lineRule="auto"/>
        <w:rPr>
          <w:color w:val="000000"/>
          <w:szCs w:val="22"/>
        </w:rPr>
      </w:pPr>
    </w:p>
    <w:p w14:paraId="1B680A72" w14:textId="77777777" w:rsidR="00BB30F2" w:rsidRPr="00654EF1" w:rsidRDefault="00BB30F2" w:rsidP="001D5C8C">
      <w:pPr>
        <w:widowControl w:val="0"/>
        <w:tabs>
          <w:tab w:val="clear" w:pos="567"/>
        </w:tabs>
        <w:spacing w:line="240" w:lineRule="auto"/>
        <w:rPr>
          <w:color w:val="000000"/>
          <w:szCs w:val="22"/>
        </w:rPr>
      </w:pPr>
    </w:p>
    <w:p w14:paraId="1B680A73" w14:textId="77777777" w:rsidR="00BB30F2" w:rsidRPr="00654EF1" w:rsidRDefault="00BB30F2" w:rsidP="001D5C8C">
      <w:pPr>
        <w:widowControl w:val="0"/>
        <w:tabs>
          <w:tab w:val="clear" w:pos="567"/>
        </w:tabs>
        <w:spacing w:line="240" w:lineRule="auto"/>
        <w:rPr>
          <w:color w:val="000000"/>
          <w:szCs w:val="22"/>
        </w:rPr>
      </w:pPr>
    </w:p>
    <w:p w14:paraId="1B680A74" w14:textId="77777777" w:rsidR="00BB30F2" w:rsidRDefault="00BB30F2" w:rsidP="001D5C8C">
      <w:pPr>
        <w:widowControl w:val="0"/>
        <w:tabs>
          <w:tab w:val="clear" w:pos="567"/>
        </w:tabs>
        <w:spacing w:line="240" w:lineRule="auto"/>
        <w:rPr>
          <w:color w:val="000000"/>
          <w:szCs w:val="22"/>
        </w:rPr>
      </w:pPr>
    </w:p>
    <w:p w14:paraId="1B680A75" w14:textId="77777777" w:rsidR="005E7BE5" w:rsidRPr="00654EF1" w:rsidRDefault="005E7BE5" w:rsidP="001D5C8C">
      <w:pPr>
        <w:widowControl w:val="0"/>
        <w:tabs>
          <w:tab w:val="clear" w:pos="567"/>
        </w:tabs>
        <w:spacing w:line="240" w:lineRule="auto"/>
        <w:rPr>
          <w:color w:val="000000"/>
          <w:szCs w:val="22"/>
        </w:rPr>
      </w:pPr>
    </w:p>
    <w:p w14:paraId="1B680A76" w14:textId="77777777" w:rsidR="00BB30F2" w:rsidRPr="00654EF1" w:rsidRDefault="00BB30F2" w:rsidP="001D5C8C">
      <w:pPr>
        <w:widowControl w:val="0"/>
        <w:tabs>
          <w:tab w:val="clear" w:pos="567"/>
        </w:tabs>
        <w:spacing w:line="240" w:lineRule="auto"/>
        <w:jc w:val="center"/>
        <w:rPr>
          <w:b/>
          <w:color w:val="000000"/>
          <w:szCs w:val="22"/>
        </w:rPr>
      </w:pPr>
      <w:r w:rsidRPr="00654EF1">
        <w:rPr>
          <w:b/>
          <w:color w:val="000000"/>
          <w:szCs w:val="22"/>
        </w:rPr>
        <w:t xml:space="preserve">ANNEX </w:t>
      </w:r>
      <w:smartTag w:uri="urn:schemas-microsoft-com:office:smarttags" w:element="stockticker">
        <w:r w:rsidRPr="00654EF1">
          <w:rPr>
            <w:b/>
            <w:color w:val="000000"/>
            <w:szCs w:val="22"/>
          </w:rPr>
          <w:t>III</w:t>
        </w:r>
      </w:smartTag>
    </w:p>
    <w:p w14:paraId="1B680A77" w14:textId="77777777" w:rsidR="00BB30F2" w:rsidRPr="00654EF1" w:rsidRDefault="00BB30F2" w:rsidP="001D5C8C">
      <w:pPr>
        <w:widowControl w:val="0"/>
        <w:tabs>
          <w:tab w:val="clear" w:pos="567"/>
        </w:tabs>
        <w:spacing w:line="240" w:lineRule="auto"/>
        <w:jc w:val="center"/>
        <w:rPr>
          <w:color w:val="000000"/>
          <w:szCs w:val="22"/>
        </w:rPr>
      </w:pPr>
    </w:p>
    <w:p w14:paraId="1B680A78" w14:textId="77777777" w:rsidR="00BB30F2" w:rsidRPr="00654EF1" w:rsidRDefault="00BB30F2" w:rsidP="001D5C8C">
      <w:pPr>
        <w:widowControl w:val="0"/>
        <w:tabs>
          <w:tab w:val="clear" w:pos="567"/>
        </w:tabs>
        <w:spacing w:line="240" w:lineRule="auto"/>
        <w:jc w:val="center"/>
        <w:rPr>
          <w:b/>
          <w:color w:val="000000"/>
          <w:szCs w:val="22"/>
        </w:rPr>
      </w:pPr>
      <w:r w:rsidRPr="00654EF1">
        <w:rPr>
          <w:b/>
          <w:color w:val="000000"/>
          <w:szCs w:val="22"/>
        </w:rPr>
        <w:t xml:space="preserve">LABELLING </w:t>
      </w:r>
      <w:smartTag w:uri="urn:schemas-microsoft-com:office:smarttags" w:element="stockticker">
        <w:r w:rsidRPr="00654EF1">
          <w:rPr>
            <w:b/>
            <w:color w:val="000000"/>
            <w:szCs w:val="22"/>
          </w:rPr>
          <w:t>AND</w:t>
        </w:r>
      </w:smartTag>
      <w:r w:rsidRPr="00654EF1">
        <w:rPr>
          <w:b/>
          <w:color w:val="000000"/>
          <w:szCs w:val="22"/>
        </w:rPr>
        <w:t xml:space="preserve"> PACKAGE LEAFLET</w:t>
      </w:r>
    </w:p>
    <w:p w14:paraId="1B680A79" w14:textId="77777777" w:rsidR="00633C4F" w:rsidRPr="00654EF1" w:rsidRDefault="00BB30F2" w:rsidP="001D5C8C">
      <w:pPr>
        <w:pStyle w:val="EndnoteText"/>
        <w:widowControl w:val="0"/>
        <w:tabs>
          <w:tab w:val="clear" w:pos="567"/>
        </w:tabs>
        <w:rPr>
          <w:color w:val="000000"/>
          <w:szCs w:val="22"/>
        </w:rPr>
      </w:pPr>
      <w:r w:rsidRPr="00654EF1">
        <w:rPr>
          <w:color w:val="000000"/>
          <w:szCs w:val="22"/>
        </w:rPr>
        <w:br w:type="page"/>
      </w:r>
    </w:p>
    <w:p w14:paraId="1B680A7A" w14:textId="77777777" w:rsidR="00633C4F" w:rsidRPr="00654EF1" w:rsidRDefault="00633C4F" w:rsidP="001D5C8C">
      <w:pPr>
        <w:widowControl w:val="0"/>
        <w:tabs>
          <w:tab w:val="clear" w:pos="567"/>
        </w:tabs>
        <w:spacing w:line="240" w:lineRule="auto"/>
        <w:rPr>
          <w:color w:val="000000"/>
          <w:szCs w:val="22"/>
        </w:rPr>
      </w:pPr>
    </w:p>
    <w:p w14:paraId="1B680A7B" w14:textId="77777777" w:rsidR="00633C4F" w:rsidRPr="00654EF1" w:rsidRDefault="00633C4F" w:rsidP="001D5C8C">
      <w:pPr>
        <w:widowControl w:val="0"/>
        <w:tabs>
          <w:tab w:val="clear" w:pos="567"/>
        </w:tabs>
        <w:spacing w:line="240" w:lineRule="auto"/>
        <w:rPr>
          <w:color w:val="000000"/>
          <w:szCs w:val="22"/>
        </w:rPr>
      </w:pPr>
    </w:p>
    <w:p w14:paraId="1B680A7C" w14:textId="77777777" w:rsidR="00633C4F" w:rsidRPr="00654EF1" w:rsidRDefault="00633C4F" w:rsidP="001D5C8C">
      <w:pPr>
        <w:widowControl w:val="0"/>
        <w:tabs>
          <w:tab w:val="clear" w:pos="567"/>
        </w:tabs>
        <w:spacing w:line="240" w:lineRule="auto"/>
        <w:rPr>
          <w:color w:val="000000"/>
          <w:szCs w:val="22"/>
        </w:rPr>
      </w:pPr>
    </w:p>
    <w:p w14:paraId="1B680A7D" w14:textId="77777777" w:rsidR="00633C4F" w:rsidRPr="00654EF1" w:rsidRDefault="00633C4F" w:rsidP="001D5C8C">
      <w:pPr>
        <w:widowControl w:val="0"/>
        <w:tabs>
          <w:tab w:val="clear" w:pos="567"/>
        </w:tabs>
        <w:spacing w:line="240" w:lineRule="auto"/>
        <w:rPr>
          <w:color w:val="000000"/>
          <w:szCs w:val="22"/>
        </w:rPr>
      </w:pPr>
    </w:p>
    <w:p w14:paraId="1B680A7E" w14:textId="77777777" w:rsidR="00633C4F" w:rsidRPr="00654EF1" w:rsidRDefault="00633C4F" w:rsidP="001D5C8C">
      <w:pPr>
        <w:widowControl w:val="0"/>
        <w:tabs>
          <w:tab w:val="clear" w:pos="567"/>
        </w:tabs>
        <w:spacing w:line="240" w:lineRule="auto"/>
        <w:rPr>
          <w:color w:val="000000"/>
          <w:szCs w:val="22"/>
        </w:rPr>
      </w:pPr>
    </w:p>
    <w:p w14:paraId="1B680A7F" w14:textId="77777777" w:rsidR="00633C4F" w:rsidRPr="00654EF1" w:rsidRDefault="00633C4F" w:rsidP="001D5C8C">
      <w:pPr>
        <w:widowControl w:val="0"/>
        <w:tabs>
          <w:tab w:val="clear" w:pos="567"/>
        </w:tabs>
        <w:spacing w:line="240" w:lineRule="auto"/>
        <w:rPr>
          <w:color w:val="000000"/>
          <w:szCs w:val="22"/>
        </w:rPr>
      </w:pPr>
    </w:p>
    <w:p w14:paraId="1B680A80" w14:textId="77777777" w:rsidR="00633C4F" w:rsidRPr="00654EF1" w:rsidRDefault="00633C4F" w:rsidP="001D5C8C">
      <w:pPr>
        <w:widowControl w:val="0"/>
        <w:tabs>
          <w:tab w:val="clear" w:pos="567"/>
        </w:tabs>
        <w:spacing w:line="240" w:lineRule="auto"/>
        <w:rPr>
          <w:color w:val="000000"/>
          <w:szCs w:val="22"/>
        </w:rPr>
      </w:pPr>
    </w:p>
    <w:p w14:paraId="1B680A81" w14:textId="77777777" w:rsidR="00633C4F" w:rsidRPr="00654EF1" w:rsidRDefault="00633C4F" w:rsidP="001D5C8C">
      <w:pPr>
        <w:widowControl w:val="0"/>
        <w:tabs>
          <w:tab w:val="clear" w:pos="567"/>
        </w:tabs>
        <w:spacing w:line="240" w:lineRule="auto"/>
        <w:rPr>
          <w:color w:val="000000"/>
          <w:szCs w:val="22"/>
        </w:rPr>
      </w:pPr>
    </w:p>
    <w:p w14:paraId="1B680A82" w14:textId="77777777" w:rsidR="00633C4F" w:rsidRPr="00654EF1" w:rsidRDefault="00633C4F" w:rsidP="001D5C8C">
      <w:pPr>
        <w:widowControl w:val="0"/>
        <w:tabs>
          <w:tab w:val="clear" w:pos="567"/>
        </w:tabs>
        <w:spacing w:line="240" w:lineRule="auto"/>
        <w:rPr>
          <w:color w:val="000000"/>
          <w:szCs w:val="22"/>
        </w:rPr>
      </w:pPr>
    </w:p>
    <w:p w14:paraId="1B680A83" w14:textId="77777777" w:rsidR="00633C4F" w:rsidRPr="00654EF1" w:rsidRDefault="00633C4F" w:rsidP="001D5C8C">
      <w:pPr>
        <w:widowControl w:val="0"/>
        <w:tabs>
          <w:tab w:val="clear" w:pos="567"/>
        </w:tabs>
        <w:spacing w:line="240" w:lineRule="auto"/>
        <w:rPr>
          <w:color w:val="000000"/>
          <w:szCs w:val="22"/>
        </w:rPr>
      </w:pPr>
    </w:p>
    <w:p w14:paraId="1B680A84" w14:textId="77777777" w:rsidR="00633C4F" w:rsidRPr="00654EF1" w:rsidRDefault="00633C4F" w:rsidP="001D5C8C">
      <w:pPr>
        <w:widowControl w:val="0"/>
        <w:tabs>
          <w:tab w:val="clear" w:pos="567"/>
        </w:tabs>
        <w:spacing w:line="240" w:lineRule="auto"/>
        <w:rPr>
          <w:color w:val="000000"/>
          <w:szCs w:val="22"/>
        </w:rPr>
      </w:pPr>
    </w:p>
    <w:p w14:paraId="1B680A85" w14:textId="77777777" w:rsidR="00633C4F" w:rsidRPr="00654EF1" w:rsidRDefault="00633C4F" w:rsidP="001D5C8C">
      <w:pPr>
        <w:widowControl w:val="0"/>
        <w:tabs>
          <w:tab w:val="clear" w:pos="567"/>
        </w:tabs>
        <w:spacing w:line="240" w:lineRule="auto"/>
        <w:rPr>
          <w:color w:val="000000"/>
          <w:szCs w:val="22"/>
        </w:rPr>
      </w:pPr>
    </w:p>
    <w:p w14:paraId="1B680A86" w14:textId="77777777" w:rsidR="00633C4F" w:rsidRPr="00654EF1" w:rsidRDefault="00633C4F" w:rsidP="001D5C8C">
      <w:pPr>
        <w:widowControl w:val="0"/>
        <w:tabs>
          <w:tab w:val="clear" w:pos="567"/>
        </w:tabs>
        <w:spacing w:line="240" w:lineRule="auto"/>
        <w:rPr>
          <w:color w:val="000000"/>
          <w:szCs w:val="22"/>
        </w:rPr>
      </w:pPr>
    </w:p>
    <w:p w14:paraId="1B680A87" w14:textId="77777777" w:rsidR="00633C4F" w:rsidRPr="00654EF1" w:rsidRDefault="00633C4F" w:rsidP="001D5C8C">
      <w:pPr>
        <w:widowControl w:val="0"/>
        <w:tabs>
          <w:tab w:val="clear" w:pos="567"/>
        </w:tabs>
        <w:spacing w:line="240" w:lineRule="auto"/>
        <w:rPr>
          <w:color w:val="000000"/>
          <w:szCs w:val="22"/>
        </w:rPr>
      </w:pPr>
    </w:p>
    <w:p w14:paraId="1B680A88" w14:textId="77777777" w:rsidR="00633C4F" w:rsidRPr="00654EF1" w:rsidRDefault="00633C4F" w:rsidP="001D5C8C">
      <w:pPr>
        <w:widowControl w:val="0"/>
        <w:tabs>
          <w:tab w:val="clear" w:pos="567"/>
        </w:tabs>
        <w:spacing w:line="240" w:lineRule="auto"/>
        <w:rPr>
          <w:color w:val="000000"/>
          <w:szCs w:val="22"/>
        </w:rPr>
      </w:pPr>
    </w:p>
    <w:p w14:paraId="1B680A89" w14:textId="77777777" w:rsidR="00633C4F" w:rsidRPr="00654EF1" w:rsidRDefault="00633C4F" w:rsidP="001D5C8C">
      <w:pPr>
        <w:widowControl w:val="0"/>
        <w:tabs>
          <w:tab w:val="clear" w:pos="567"/>
        </w:tabs>
        <w:spacing w:line="240" w:lineRule="auto"/>
        <w:rPr>
          <w:color w:val="000000"/>
          <w:szCs w:val="22"/>
        </w:rPr>
      </w:pPr>
    </w:p>
    <w:p w14:paraId="1B680A8A" w14:textId="77777777" w:rsidR="00633C4F" w:rsidRPr="00654EF1" w:rsidRDefault="00633C4F" w:rsidP="001D5C8C">
      <w:pPr>
        <w:widowControl w:val="0"/>
        <w:tabs>
          <w:tab w:val="clear" w:pos="567"/>
        </w:tabs>
        <w:spacing w:line="240" w:lineRule="auto"/>
        <w:rPr>
          <w:color w:val="000000"/>
          <w:szCs w:val="22"/>
        </w:rPr>
      </w:pPr>
    </w:p>
    <w:p w14:paraId="1B680A8B" w14:textId="77777777" w:rsidR="00633C4F" w:rsidRPr="00654EF1" w:rsidRDefault="00633C4F" w:rsidP="001D5C8C">
      <w:pPr>
        <w:widowControl w:val="0"/>
        <w:tabs>
          <w:tab w:val="clear" w:pos="567"/>
        </w:tabs>
        <w:spacing w:line="240" w:lineRule="auto"/>
        <w:rPr>
          <w:color w:val="000000"/>
          <w:szCs w:val="22"/>
        </w:rPr>
      </w:pPr>
    </w:p>
    <w:p w14:paraId="1B680A8C" w14:textId="77777777" w:rsidR="00633C4F" w:rsidRPr="00654EF1" w:rsidRDefault="00633C4F" w:rsidP="001D5C8C">
      <w:pPr>
        <w:widowControl w:val="0"/>
        <w:tabs>
          <w:tab w:val="clear" w:pos="567"/>
        </w:tabs>
        <w:spacing w:line="240" w:lineRule="auto"/>
        <w:rPr>
          <w:color w:val="000000"/>
          <w:szCs w:val="22"/>
        </w:rPr>
      </w:pPr>
    </w:p>
    <w:p w14:paraId="1B680A8D" w14:textId="77777777" w:rsidR="00633C4F" w:rsidRPr="00654EF1" w:rsidRDefault="00633C4F" w:rsidP="001D5C8C">
      <w:pPr>
        <w:widowControl w:val="0"/>
        <w:tabs>
          <w:tab w:val="clear" w:pos="567"/>
        </w:tabs>
        <w:spacing w:line="240" w:lineRule="auto"/>
        <w:rPr>
          <w:color w:val="000000"/>
          <w:szCs w:val="22"/>
        </w:rPr>
      </w:pPr>
    </w:p>
    <w:p w14:paraId="1B680A8E" w14:textId="77777777" w:rsidR="00633C4F" w:rsidRPr="00654EF1" w:rsidRDefault="00633C4F" w:rsidP="001D5C8C">
      <w:pPr>
        <w:widowControl w:val="0"/>
        <w:tabs>
          <w:tab w:val="clear" w:pos="567"/>
        </w:tabs>
        <w:spacing w:line="240" w:lineRule="auto"/>
        <w:rPr>
          <w:color w:val="000000"/>
          <w:szCs w:val="22"/>
        </w:rPr>
      </w:pPr>
    </w:p>
    <w:p w14:paraId="1B680A8F" w14:textId="77777777" w:rsidR="00633C4F" w:rsidRDefault="00633C4F" w:rsidP="001D5C8C">
      <w:pPr>
        <w:widowControl w:val="0"/>
        <w:tabs>
          <w:tab w:val="clear" w:pos="567"/>
        </w:tabs>
        <w:spacing w:line="240" w:lineRule="auto"/>
        <w:rPr>
          <w:color w:val="000000"/>
          <w:szCs w:val="22"/>
        </w:rPr>
      </w:pPr>
    </w:p>
    <w:p w14:paraId="1B680A90" w14:textId="77777777" w:rsidR="005E7BE5" w:rsidRPr="00654EF1" w:rsidRDefault="005E7BE5" w:rsidP="001D5C8C">
      <w:pPr>
        <w:widowControl w:val="0"/>
        <w:tabs>
          <w:tab w:val="clear" w:pos="567"/>
        </w:tabs>
        <w:spacing w:line="240" w:lineRule="auto"/>
        <w:rPr>
          <w:color w:val="000000"/>
          <w:szCs w:val="22"/>
        </w:rPr>
      </w:pPr>
    </w:p>
    <w:p w14:paraId="1B680A91" w14:textId="77777777" w:rsidR="00633C4F" w:rsidRPr="00654EF1" w:rsidRDefault="00633C4F" w:rsidP="001D5C8C">
      <w:pPr>
        <w:widowControl w:val="0"/>
        <w:tabs>
          <w:tab w:val="clear" w:pos="567"/>
        </w:tabs>
        <w:spacing w:line="240" w:lineRule="auto"/>
        <w:jc w:val="center"/>
        <w:rPr>
          <w:color w:val="000000"/>
          <w:szCs w:val="22"/>
        </w:rPr>
      </w:pPr>
      <w:r w:rsidRPr="00654EF1">
        <w:rPr>
          <w:b/>
          <w:color w:val="000000"/>
          <w:szCs w:val="22"/>
        </w:rPr>
        <w:t>A. LABELLING</w:t>
      </w:r>
    </w:p>
    <w:p w14:paraId="1B680A92" w14:textId="77777777" w:rsidR="00633C4F" w:rsidRPr="00654EF1" w:rsidRDefault="00633C4F" w:rsidP="001D5C8C">
      <w:pPr>
        <w:widowControl w:val="0"/>
        <w:tabs>
          <w:tab w:val="clear" w:pos="567"/>
        </w:tabs>
        <w:spacing w:line="240" w:lineRule="auto"/>
        <w:rPr>
          <w:color w:val="000000"/>
          <w:szCs w:val="22"/>
        </w:rPr>
      </w:pPr>
      <w:r w:rsidRPr="00654EF1">
        <w:rPr>
          <w:color w:val="000000"/>
          <w:szCs w:val="22"/>
        </w:rPr>
        <w:br w:type="page"/>
      </w:r>
    </w:p>
    <w:p w14:paraId="1B680B0F" w14:textId="77777777" w:rsidR="005E7BE5" w:rsidRPr="005E7BE5" w:rsidRDefault="005E7BE5" w:rsidP="005E7BE5">
      <w:pPr>
        <w:widowControl w:val="0"/>
        <w:tabs>
          <w:tab w:val="clear" w:pos="567"/>
        </w:tabs>
        <w:spacing w:line="240" w:lineRule="auto"/>
        <w:rPr>
          <w:color w:val="000000"/>
          <w:szCs w:val="22"/>
        </w:rPr>
      </w:pPr>
    </w:p>
    <w:p w14:paraId="1B680B1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54EF1">
        <w:rPr>
          <w:b/>
          <w:color w:val="000000"/>
          <w:szCs w:val="22"/>
        </w:rPr>
        <w:t xml:space="preserve">PARTICULARS TO APPEAR ON THE OUTER PACKAGING </w:t>
      </w:r>
    </w:p>
    <w:p w14:paraId="1B680B11"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rPr>
      </w:pPr>
    </w:p>
    <w:p w14:paraId="1B680B12"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CARTON</w:t>
      </w:r>
    </w:p>
    <w:p w14:paraId="1B680B13" w14:textId="77777777" w:rsidR="00633C4F" w:rsidRPr="00654EF1" w:rsidRDefault="00633C4F" w:rsidP="001D5C8C">
      <w:pPr>
        <w:widowControl w:val="0"/>
        <w:tabs>
          <w:tab w:val="clear" w:pos="567"/>
        </w:tabs>
        <w:spacing w:line="240" w:lineRule="auto"/>
        <w:rPr>
          <w:color w:val="000000"/>
          <w:szCs w:val="22"/>
        </w:rPr>
      </w:pPr>
    </w:p>
    <w:p w14:paraId="1B680B14" w14:textId="77777777" w:rsidR="00633C4F" w:rsidRPr="00654EF1" w:rsidRDefault="00633C4F" w:rsidP="001D5C8C">
      <w:pPr>
        <w:widowControl w:val="0"/>
        <w:tabs>
          <w:tab w:val="clear" w:pos="567"/>
        </w:tabs>
        <w:spacing w:line="240" w:lineRule="auto"/>
        <w:rPr>
          <w:color w:val="000000"/>
          <w:szCs w:val="22"/>
        </w:rPr>
      </w:pPr>
    </w:p>
    <w:p w14:paraId="1B680B1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B16" w14:textId="77777777" w:rsidR="00633C4F" w:rsidRPr="00654EF1" w:rsidRDefault="00633C4F" w:rsidP="001D5C8C">
      <w:pPr>
        <w:widowControl w:val="0"/>
        <w:tabs>
          <w:tab w:val="clear" w:pos="567"/>
        </w:tabs>
        <w:spacing w:line="240" w:lineRule="auto"/>
        <w:rPr>
          <w:color w:val="000000"/>
          <w:szCs w:val="22"/>
        </w:rPr>
      </w:pPr>
    </w:p>
    <w:p w14:paraId="1B680B17" w14:textId="77777777" w:rsidR="00633C4F" w:rsidRPr="00654EF1" w:rsidRDefault="00633C4F" w:rsidP="001D5C8C">
      <w:pPr>
        <w:widowControl w:val="0"/>
        <w:tabs>
          <w:tab w:val="clear" w:pos="567"/>
        </w:tabs>
        <w:spacing w:line="240" w:lineRule="auto"/>
        <w:rPr>
          <w:color w:val="000000"/>
          <w:szCs w:val="22"/>
        </w:rPr>
      </w:pPr>
      <w:r w:rsidRPr="00654EF1">
        <w:rPr>
          <w:color w:val="000000"/>
          <w:szCs w:val="22"/>
        </w:rPr>
        <w:t>G</w:t>
      </w:r>
      <w:r w:rsidR="00765B18" w:rsidRPr="00654EF1">
        <w:rPr>
          <w:color w:val="000000"/>
          <w:szCs w:val="22"/>
        </w:rPr>
        <w:t>livec</w:t>
      </w:r>
      <w:r w:rsidRPr="00654EF1">
        <w:rPr>
          <w:color w:val="000000"/>
          <w:szCs w:val="22"/>
        </w:rPr>
        <w:t xml:space="preserve"> 100</w:t>
      </w:r>
      <w:r w:rsidR="002D524A" w:rsidRPr="00654EF1">
        <w:rPr>
          <w:color w:val="000000"/>
          <w:szCs w:val="22"/>
        </w:rPr>
        <w:t> mg</w:t>
      </w:r>
      <w:r w:rsidRPr="00654EF1">
        <w:rPr>
          <w:color w:val="000000"/>
          <w:szCs w:val="22"/>
        </w:rPr>
        <w:t xml:space="preserve"> </w:t>
      </w:r>
      <w:r w:rsidR="00765B18" w:rsidRPr="00654EF1">
        <w:rPr>
          <w:color w:val="000000"/>
          <w:szCs w:val="22"/>
        </w:rPr>
        <w:t xml:space="preserve">hard </w:t>
      </w:r>
      <w:r w:rsidRPr="00654EF1">
        <w:rPr>
          <w:color w:val="000000"/>
          <w:szCs w:val="22"/>
        </w:rPr>
        <w:t>capsules</w:t>
      </w:r>
    </w:p>
    <w:p w14:paraId="1B680B18" w14:textId="77777777" w:rsidR="00633C4F" w:rsidRPr="00654EF1" w:rsidRDefault="00AB244E" w:rsidP="001D5C8C">
      <w:pPr>
        <w:widowControl w:val="0"/>
        <w:tabs>
          <w:tab w:val="clear" w:pos="567"/>
        </w:tabs>
        <w:spacing w:line="240" w:lineRule="auto"/>
        <w:rPr>
          <w:color w:val="000000"/>
          <w:szCs w:val="22"/>
        </w:rPr>
      </w:pPr>
      <w:r w:rsidRPr="00654EF1">
        <w:rPr>
          <w:color w:val="000000"/>
          <w:szCs w:val="22"/>
        </w:rPr>
        <w:t>i</w:t>
      </w:r>
      <w:r w:rsidR="00633C4F" w:rsidRPr="00654EF1">
        <w:rPr>
          <w:color w:val="000000"/>
          <w:szCs w:val="22"/>
        </w:rPr>
        <w:t>matinib</w:t>
      </w:r>
    </w:p>
    <w:p w14:paraId="1B680B19" w14:textId="77777777" w:rsidR="00633C4F" w:rsidRPr="00654EF1" w:rsidRDefault="00633C4F" w:rsidP="001D5C8C">
      <w:pPr>
        <w:widowControl w:val="0"/>
        <w:tabs>
          <w:tab w:val="clear" w:pos="567"/>
        </w:tabs>
        <w:spacing w:line="240" w:lineRule="auto"/>
        <w:rPr>
          <w:color w:val="000000"/>
          <w:szCs w:val="22"/>
        </w:rPr>
      </w:pPr>
    </w:p>
    <w:p w14:paraId="1B680B1A" w14:textId="77777777" w:rsidR="00391FA4" w:rsidRPr="00654EF1" w:rsidRDefault="00391FA4" w:rsidP="001D5C8C">
      <w:pPr>
        <w:widowControl w:val="0"/>
        <w:tabs>
          <w:tab w:val="clear" w:pos="567"/>
        </w:tabs>
        <w:spacing w:line="240" w:lineRule="auto"/>
        <w:rPr>
          <w:color w:val="000000"/>
          <w:szCs w:val="22"/>
        </w:rPr>
      </w:pPr>
    </w:p>
    <w:p w14:paraId="1B680B1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STATEMENT OF ACTIVE SUBSTANCE(S)</w:t>
      </w:r>
    </w:p>
    <w:p w14:paraId="1B680B1C" w14:textId="77777777" w:rsidR="00633C4F" w:rsidRPr="00654EF1" w:rsidRDefault="00633C4F" w:rsidP="001D5C8C">
      <w:pPr>
        <w:widowControl w:val="0"/>
        <w:tabs>
          <w:tab w:val="clear" w:pos="567"/>
        </w:tabs>
        <w:spacing w:line="240" w:lineRule="auto"/>
        <w:rPr>
          <w:color w:val="000000"/>
          <w:szCs w:val="22"/>
        </w:rPr>
      </w:pPr>
    </w:p>
    <w:p w14:paraId="1B680B1D" w14:textId="77777777" w:rsidR="00C703BD" w:rsidRPr="00654EF1" w:rsidRDefault="00633C4F" w:rsidP="001D5C8C">
      <w:pPr>
        <w:pStyle w:val="Text"/>
        <w:widowControl w:val="0"/>
        <w:spacing w:before="0"/>
        <w:jc w:val="left"/>
        <w:rPr>
          <w:color w:val="000000"/>
          <w:sz w:val="22"/>
          <w:szCs w:val="22"/>
          <w:lang w:val="en-GB"/>
        </w:rPr>
      </w:pPr>
      <w:r w:rsidRPr="00654EF1">
        <w:rPr>
          <w:color w:val="000000"/>
          <w:sz w:val="22"/>
          <w:szCs w:val="22"/>
          <w:lang w:val="en-GB"/>
        </w:rPr>
        <w:t>Each capsule contains 100</w:t>
      </w:r>
      <w:r w:rsidR="002D524A" w:rsidRPr="00654EF1">
        <w:rPr>
          <w:color w:val="000000"/>
          <w:sz w:val="22"/>
          <w:szCs w:val="22"/>
          <w:lang w:val="en-GB"/>
        </w:rPr>
        <w:t> mg</w:t>
      </w:r>
      <w:r w:rsidRPr="00654EF1">
        <w:rPr>
          <w:color w:val="000000"/>
          <w:sz w:val="22"/>
          <w:szCs w:val="22"/>
          <w:lang w:val="en-GB"/>
        </w:rPr>
        <w:t xml:space="preserve"> of imatinib (as mesilate)</w:t>
      </w:r>
      <w:r w:rsidR="004E1888" w:rsidRPr="00654EF1">
        <w:rPr>
          <w:color w:val="000000"/>
          <w:sz w:val="22"/>
          <w:szCs w:val="22"/>
          <w:lang w:val="en-GB"/>
        </w:rPr>
        <w:t>.</w:t>
      </w:r>
    </w:p>
    <w:p w14:paraId="1B680B1E" w14:textId="77777777" w:rsidR="00633C4F" w:rsidRPr="00654EF1" w:rsidRDefault="00633C4F" w:rsidP="001D5C8C">
      <w:pPr>
        <w:widowControl w:val="0"/>
        <w:tabs>
          <w:tab w:val="clear" w:pos="567"/>
        </w:tabs>
        <w:spacing w:line="240" w:lineRule="auto"/>
        <w:rPr>
          <w:color w:val="000000"/>
          <w:szCs w:val="22"/>
        </w:rPr>
      </w:pPr>
    </w:p>
    <w:p w14:paraId="1B680B1F" w14:textId="77777777" w:rsidR="00391FA4" w:rsidRPr="00654EF1" w:rsidRDefault="00391FA4" w:rsidP="001D5C8C">
      <w:pPr>
        <w:widowControl w:val="0"/>
        <w:tabs>
          <w:tab w:val="clear" w:pos="567"/>
        </w:tabs>
        <w:spacing w:line="240" w:lineRule="auto"/>
        <w:rPr>
          <w:color w:val="000000"/>
          <w:szCs w:val="22"/>
        </w:rPr>
      </w:pPr>
    </w:p>
    <w:p w14:paraId="1B680B2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LIST OF EXCIPIENTS</w:t>
      </w:r>
    </w:p>
    <w:p w14:paraId="1B680B21" w14:textId="77777777" w:rsidR="00633C4F" w:rsidRPr="00654EF1" w:rsidRDefault="00633C4F" w:rsidP="001D5C8C">
      <w:pPr>
        <w:widowControl w:val="0"/>
        <w:tabs>
          <w:tab w:val="clear" w:pos="567"/>
        </w:tabs>
        <w:spacing w:line="240" w:lineRule="auto"/>
        <w:rPr>
          <w:color w:val="000000"/>
          <w:szCs w:val="22"/>
        </w:rPr>
      </w:pPr>
    </w:p>
    <w:p w14:paraId="1B680B22" w14:textId="77777777" w:rsidR="00633C4F" w:rsidRPr="00654EF1" w:rsidRDefault="00633C4F" w:rsidP="001D5C8C">
      <w:pPr>
        <w:widowControl w:val="0"/>
        <w:tabs>
          <w:tab w:val="clear" w:pos="567"/>
        </w:tabs>
        <w:spacing w:line="240" w:lineRule="auto"/>
        <w:rPr>
          <w:color w:val="000000"/>
          <w:szCs w:val="22"/>
        </w:rPr>
      </w:pPr>
    </w:p>
    <w:p w14:paraId="1B680B23"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 xml:space="preserve">PHARMACEUTICAL </w:t>
      </w:r>
      <w:smartTag w:uri="urn:schemas-microsoft-com:office:smarttags" w:element="stockticker">
        <w:r w:rsidRPr="00654EF1">
          <w:rPr>
            <w:b/>
            <w:color w:val="000000"/>
            <w:szCs w:val="22"/>
          </w:rPr>
          <w:t>FORM</w:t>
        </w:r>
      </w:smartTag>
      <w:r w:rsidRPr="00654EF1">
        <w:rPr>
          <w:b/>
          <w:color w:val="000000"/>
          <w:szCs w:val="22"/>
        </w:rPr>
        <w:t xml:space="preserve"> </w:t>
      </w:r>
      <w:smartTag w:uri="urn:schemas-microsoft-com:office:smarttags" w:element="stockticker">
        <w:r w:rsidRPr="00654EF1">
          <w:rPr>
            <w:b/>
            <w:color w:val="000000"/>
            <w:szCs w:val="22"/>
          </w:rPr>
          <w:t>AND</w:t>
        </w:r>
      </w:smartTag>
      <w:r w:rsidRPr="00654EF1">
        <w:rPr>
          <w:b/>
          <w:color w:val="000000"/>
          <w:szCs w:val="22"/>
        </w:rPr>
        <w:t xml:space="preserve"> CONTENTS</w:t>
      </w:r>
    </w:p>
    <w:p w14:paraId="1B680B24" w14:textId="77777777" w:rsidR="00633C4F" w:rsidRPr="00654EF1" w:rsidRDefault="00633C4F" w:rsidP="001D5C8C">
      <w:pPr>
        <w:widowControl w:val="0"/>
        <w:tabs>
          <w:tab w:val="clear" w:pos="567"/>
        </w:tabs>
        <w:spacing w:line="240" w:lineRule="auto"/>
        <w:rPr>
          <w:color w:val="000000"/>
          <w:szCs w:val="22"/>
        </w:rPr>
      </w:pPr>
    </w:p>
    <w:p w14:paraId="1B680B25" w14:textId="77777777" w:rsidR="00633C4F" w:rsidRPr="00654EF1" w:rsidRDefault="00633C4F" w:rsidP="001D5C8C">
      <w:pPr>
        <w:pStyle w:val="EndnoteText"/>
        <w:widowControl w:val="0"/>
        <w:rPr>
          <w:color w:val="000000"/>
          <w:szCs w:val="22"/>
        </w:rPr>
      </w:pPr>
      <w:r w:rsidRPr="00654EF1">
        <w:rPr>
          <w:color w:val="000000"/>
          <w:szCs w:val="22"/>
        </w:rPr>
        <w:t>24</w:t>
      </w:r>
      <w:r w:rsidR="00C703BD" w:rsidRPr="00654EF1">
        <w:rPr>
          <w:color w:val="000000"/>
          <w:szCs w:val="22"/>
        </w:rPr>
        <w:t> </w:t>
      </w:r>
      <w:r w:rsidR="00765B18" w:rsidRPr="00654EF1">
        <w:rPr>
          <w:color w:val="000000"/>
          <w:szCs w:val="22"/>
        </w:rPr>
        <w:t xml:space="preserve">hard </w:t>
      </w:r>
      <w:r w:rsidRPr="00654EF1">
        <w:rPr>
          <w:color w:val="000000"/>
          <w:szCs w:val="22"/>
        </w:rPr>
        <w:t>capsules</w:t>
      </w:r>
    </w:p>
    <w:p w14:paraId="1B680B26" w14:textId="77777777" w:rsidR="00633C4F" w:rsidRPr="00654EF1" w:rsidRDefault="00C703BD" w:rsidP="001D5C8C">
      <w:pPr>
        <w:widowControl w:val="0"/>
        <w:tabs>
          <w:tab w:val="clear" w:pos="567"/>
        </w:tabs>
        <w:spacing w:line="240" w:lineRule="auto"/>
        <w:rPr>
          <w:color w:val="000000"/>
          <w:szCs w:val="22"/>
          <w:shd w:val="clear" w:color="auto" w:fill="D9D9D9"/>
        </w:rPr>
      </w:pPr>
      <w:r w:rsidRPr="00654EF1">
        <w:rPr>
          <w:color w:val="000000"/>
          <w:szCs w:val="22"/>
          <w:shd w:val="clear" w:color="auto" w:fill="D9D9D9"/>
        </w:rPr>
        <w:t>48 </w:t>
      </w:r>
      <w:r w:rsidR="00765B18" w:rsidRPr="00654EF1">
        <w:rPr>
          <w:color w:val="000000"/>
          <w:szCs w:val="22"/>
          <w:shd w:val="clear" w:color="auto" w:fill="D9D9D9"/>
        </w:rPr>
        <w:t xml:space="preserve">hard </w:t>
      </w:r>
      <w:r w:rsidRPr="00654EF1">
        <w:rPr>
          <w:color w:val="000000"/>
          <w:szCs w:val="22"/>
          <w:shd w:val="clear" w:color="auto" w:fill="D9D9D9"/>
        </w:rPr>
        <w:t>capsules</w:t>
      </w:r>
    </w:p>
    <w:p w14:paraId="1B680B27" w14:textId="77777777" w:rsidR="00C703BD" w:rsidRPr="00654EF1" w:rsidRDefault="00C703BD" w:rsidP="001D5C8C">
      <w:pPr>
        <w:widowControl w:val="0"/>
        <w:tabs>
          <w:tab w:val="clear" w:pos="567"/>
        </w:tabs>
        <w:spacing w:line="240" w:lineRule="auto"/>
        <w:rPr>
          <w:color w:val="000000"/>
          <w:szCs w:val="22"/>
          <w:shd w:val="clear" w:color="auto" w:fill="D9D9D9"/>
        </w:rPr>
      </w:pPr>
      <w:r w:rsidRPr="00654EF1">
        <w:rPr>
          <w:color w:val="000000"/>
          <w:szCs w:val="22"/>
          <w:shd w:val="clear" w:color="auto" w:fill="D9D9D9"/>
        </w:rPr>
        <w:t>96 </w:t>
      </w:r>
      <w:r w:rsidR="00765B18" w:rsidRPr="00654EF1">
        <w:rPr>
          <w:color w:val="000000"/>
          <w:szCs w:val="22"/>
          <w:shd w:val="clear" w:color="auto" w:fill="D9D9D9"/>
        </w:rPr>
        <w:t xml:space="preserve">hard </w:t>
      </w:r>
      <w:r w:rsidRPr="00654EF1">
        <w:rPr>
          <w:color w:val="000000"/>
          <w:szCs w:val="22"/>
          <w:shd w:val="clear" w:color="auto" w:fill="D9D9D9"/>
        </w:rPr>
        <w:t>capsules</w:t>
      </w:r>
    </w:p>
    <w:p w14:paraId="1B680B28" w14:textId="77777777" w:rsidR="00C703BD" w:rsidRPr="00654EF1" w:rsidRDefault="00C703BD" w:rsidP="001D5C8C">
      <w:pPr>
        <w:widowControl w:val="0"/>
        <w:tabs>
          <w:tab w:val="clear" w:pos="567"/>
        </w:tabs>
        <w:spacing w:line="240" w:lineRule="auto"/>
        <w:rPr>
          <w:color w:val="000000"/>
          <w:szCs w:val="22"/>
          <w:shd w:val="clear" w:color="auto" w:fill="D9D9D9"/>
        </w:rPr>
      </w:pPr>
      <w:r w:rsidRPr="00654EF1">
        <w:rPr>
          <w:color w:val="000000"/>
          <w:szCs w:val="22"/>
          <w:shd w:val="clear" w:color="auto" w:fill="D9D9D9"/>
        </w:rPr>
        <w:t>120 </w:t>
      </w:r>
      <w:r w:rsidR="00765B18" w:rsidRPr="00654EF1">
        <w:rPr>
          <w:color w:val="000000"/>
          <w:szCs w:val="22"/>
          <w:shd w:val="clear" w:color="auto" w:fill="D9D9D9"/>
        </w:rPr>
        <w:t xml:space="preserve">hard </w:t>
      </w:r>
      <w:r w:rsidRPr="00654EF1">
        <w:rPr>
          <w:color w:val="000000"/>
          <w:szCs w:val="22"/>
          <w:shd w:val="clear" w:color="auto" w:fill="D9D9D9"/>
        </w:rPr>
        <w:t>capsules</w:t>
      </w:r>
    </w:p>
    <w:p w14:paraId="1B680B29" w14:textId="77777777" w:rsidR="00C703BD" w:rsidRPr="00654EF1" w:rsidRDefault="00C703BD" w:rsidP="001D5C8C">
      <w:pPr>
        <w:widowControl w:val="0"/>
        <w:tabs>
          <w:tab w:val="clear" w:pos="567"/>
        </w:tabs>
        <w:spacing w:line="240" w:lineRule="auto"/>
        <w:rPr>
          <w:color w:val="000000"/>
          <w:szCs w:val="22"/>
          <w:shd w:val="clear" w:color="auto" w:fill="D9D9D9"/>
        </w:rPr>
      </w:pPr>
      <w:r w:rsidRPr="00654EF1">
        <w:rPr>
          <w:color w:val="000000"/>
          <w:szCs w:val="22"/>
          <w:shd w:val="clear" w:color="auto" w:fill="D9D9D9"/>
        </w:rPr>
        <w:t>180 </w:t>
      </w:r>
      <w:r w:rsidR="00765B18" w:rsidRPr="00654EF1">
        <w:rPr>
          <w:color w:val="000000"/>
          <w:szCs w:val="22"/>
          <w:shd w:val="clear" w:color="auto" w:fill="D9D9D9"/>
        </w:rPr>
        <w:t xml:space="preserve">hard </w:t>
      </w:r>
      <w:r w:rsidRPr="00654EF1">
        <w:rPr>
          <w:color w:val="000000"/>
          <w:szCs w:val="22"/>
          <w:shd w:val="clear" w:color="auto" w:fill="D9D9D9"/>
        </w:rPr>
        <w:t>capsules</w:t>
      </w:r>
    </w:p>
    <w:p w14:paraId="1B680B2A" w14:textId="77777777" w:rsidR="00C703BD" w:rsidRPr="00654EF1" w:rsidRDefault="00C703BD" w:rsidP="001D5C8C">
      <w:pPr>
        <w:widowControl w:val="0"/>
        <w:tabs>
          <w:tab w:val="clear" w:pos="567"/>
        </w:tabs>
        <w:spacing w:line="240" w:lineRule="auto"/>
        <w:rPr>
          <w:color w:val="000000"/>
          <w:szCs w:val="22"/>
        </w:rPr>
      </w:pPr>
    </w:p>
    <w:p w14:paraId="1B680B2B" w14:textId="77777777" w:rsidR="00C703BD" w:rsidRPr="00654EF1" w:rsidRDefault="00C703BD" w:rsidP="001D5C8C">
      <w:pPr>
        <w:widowControl w:val="0"/>
        <w:tabs>
          <w:tab w:val="clear" w:pos="567"/>
        </w:tabs>
        <w:spacing w:line="240" w:lineRule="auto"/>
        <w:rPr>
          <w:color w:val="000000"/>
          <w:szCs w:val="22"/>
        </w:rPr>
      </w:pPr>
    </w:p>
    <w:p w14:paraId="1B680B2C"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5.</w:t>
      </w:r>
      <w:r w:rsidRPr="00654EF1">
        <w:rPr>
          <w:b/>
          <w:color w:val="000000"/>
          <w:szCs w:val="22"/>
        </w:rPr>
        <w:tab/>
        <w:t xml:space="preserve">METHOD </w:t>
      </w:r>
      <w:smartTag w:uri="urn:schemas-microsoft-com:office:smarttags" w:element="stockticker">
        <w:r w:rsidRPr="00654EF1">
          <w:rPr>
            <w:b/>
            <w:color w:val="000000"/>
            <w:szCs w:val="22"/>
          </w:rPr>
          <w:t>AND</w:t>
        </w:r>
      </w:smartTag>
      <w:r w:rsidRPr="00654EF1">
        <w:rPr>
          <w:b/>
          <w:color w:val="000000"/>
          <w:szCs w:val="22"/>
        </w:rPr>
        <w:t xml:space="preserve"> ROUTE(S) OF ADMINISTRATION</w:t>
      </w:r>
    </w:p>
    <w:p w14:paraId="1B680B2D" w14:textId="77777777" w:rsidR="00633C4F" w:rsidRPr="00654EF1" w:rsidRDefault="00633C4F" w:rsidP="001D5C8C">
      <w:pPr>
        <w:widowControl w:val="0"/>
        <w:tabs>
          <w:tab w:val="clear" w:pos="567"/>
        </w:tabs>
        <w:spacing w:line="240" w:lineRule="auto"/>
        <w:rPr>
          <w:color w:val="000000"/>
          <w:szCs w:val="22"/>
        </w:rPr>
      </w:pPr>
    </w:p>
    <w:p w14:paraId="1B680B2E" w14:textId="77777777" w:rsidR="00633C4F" w:rsidRPr="00654EF1" w:rsidRDefault="00633C4F" w:rsidP="001D5C8C">
      <w:pPr>
        <w:pStyle w:val="EndnoteText"/>
        <w:widowControl w:val="0"/>
        <w:tabs>
          <w:tab w:val="clear" w:pos="567"/>
        </w:tabs>
        <w:rPr>
          <w:color w:val="000000"/>
          <w:szCs w:val="22"/>
        </w:rPr>
      </w:pPr>
      <w:r w:rsidRPr="00654EF1">
        <w:rPr>
          <w:color w:val="000000"/>
          <w:szCs w:val="22"/>
        </w:rPr>
        <w:t>Oral use. Read the package leaflet before use.</w:t>
      </w:r>
    </w:p>
    <w:p w14:paraId="1B680B2F" w14:textId="77777777" w:rsidR="00633C4F" w:rsidRPr="00654EF1" w:rsidRDefault="00633C4F" w:rsidP="001D5C8C">
      <w:pPr>
        <w:widowControl w:val="0"/>
        <w:tabs>
          <w:tab w:val="clear" w:pos="567"/>
        </w:tabs>
        <w:spacing w:line="240" w:lineRule="auto"/>
        <w:rPr>
          <w:color w:val="000000"/>
          <w:szCs w:val="22"/>
        </w:rPr>
      </w:pPr>
    </w:p>
    <w:p w14:paraId="1B680B30" w14:textId="77777777" w:rsidR="00F428C6" w:rsidRPr="00654EF1" w:rsidRDefault="00F428C6" w:rsidP="001D5C8C">
      <w:pPr>
        <w:widowControl w:val="0"/>
        <w:tabs>
          <w:tab w:val="clear" w:pos="567"/>
        </w:tabs>
        <w:spacing w:line="240" w:lineRule="auto"/>
        <w:rPr>
          <w:color w:val="000000"/>
          <w:szCs w:val="22"/>
        </w:rPr>
      </w:pPr>
    </w:p>
    <w:p w14:paraId="1B680B31" w14:textId="77777777" w:rsidR="00F428C6" w:rsidRPr="00654EF1" w:rsidRDefault="00F428C6"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6.</w:t>
      </w:r>
      <w:r w:rsidRPr="00654EF1">
        <w:rPr>
          <w:b/>
          <w:color w:val="000000"/>
          <w:szCs w:val="22"/>
        </w:rPr>
        <w:tab/>
        <w:t>SPECIAL WARNING THAT THE MEDICINAL PRODUCT MUST BE STORED OUT OF THE SIGHT AND REACH OF CHILDREN</w:t>
      </w:r>
    </w:p>
    <w:p w14:paraId="1B680B32" w14:textId="77777777" w:rsidR="00F428C6" w:rsidRPr="00654EF1" w:rsidRDefault="00F428C6" w:rsidP="001D5C8C">
      <w:pPr>
        <w:widowControl w:val="0"/>
        <w:tabs>
          <w:tab w:val="clear" w:pos="567"/>
        </w:tabs>
        <w:spacing w:line="240" w:lineRule="auto"/>
        <w:rPr>
          <w:color w:val="000000"/>
          <w:szCs w:val="22"/>
        </w:rPr>
      </w:pPr>
    </w:p>
    <w:p w14:paraId="1B680B33" w14:textId="77777777" w:rsidR="00F428C6" w:rsidRPr="00654EF1" w:rsidRDefault="00F428C6" w:rsidP="001D5C8C">
      <w:pPr>
        <w:widowControl w:val="0"/>
        <w:tabs>
          <w:tab w:val="clear" w:pos="567"/>
        </w:tabs>
        <w:spacing w:line="240" w:lineRule="auto"/>
        <w:rPr>
          <w:color w:val="000000"/>
          <w:szCs w:val="22"/>
        </w:rPr>
      </w:pPr>
      <w:r w:rsidRPr="00654EF1">
        <w:rPr>
          <w:color w:val="000000"/>
          <w:szCs w:val="22"/>
        </w:rPr>
        <w:t>Keep out of the sight and reach of children.</w:t>
      </w:r>
    </w:p>
    <w:p w14:paraId="1B680B34" w14:textId="77777777" w:rsidR="00633C4F" w:rsidRPr="00654EF1" w:rsidRDefault="00633C4F" w:rsidP="001D5C8C">
      <w:pPr>
        <w:widowControl w:val="0"/>
        <w:tabs>
          <w:tab w:val="clear" w:pos="567"/>
        </w:tabs>
        <w:spacing w:line="240" w:lineRule="auto"/>
        <w:rPr>
          <w:color w:val="000000"/>
          <w:szCs w:val="22"/>
        </w:rPr>
      </w:pPr>
    </w:p>
    <w:p w14:paraId="1B680B35" w14:textId="77777777" w:rsidR="00391FA4" w:rsidRPr="00654EF1" w:rsidRDefault="00391FA4" w:rsidP="001D5C8C">
      <w:pPr>
        <w:widowControl w:val="0"/>
        <w:tabs>
          <w:tab w:val="clear" w:pos="567"/>
        </w:tabs>
        <w:spacing w:line="240" w:lineRule="auto"/>
        <w:rPr>
          <w:color w:val="000000"/>
          <w:szCs w:val="22"/>
        </w:rPr>
      </w:pPr>
    </w:p>
    <w:p w14:paraId="1B680B3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7.</w:t>
      </w:r>
      <w:r w:rsidRPr="00654EF1">
        <w:rPr>
          <w:b/>
          <w:color w:val="000000"/>
          <w:szCs w:val="22"/>
        </w:rPr>
        <w:tab/>
        <w:t>OTHER SPECIAL WARNING(S), IF NECESSARY</w:t>
      </w:r>
    </w:p>
    <w:p w14:paraId="1B680B37" w14:textId="77777777" w:rsidR="00633C4F" w:rsidRPr="00654EF1" w:rsidRDefault="00633C4F" w:rsidP="001D5C8C">
      <w:pPr>
        <w:widowControl w:val="0"/>
        <w:tabs>
          <w:tab w:val="clear" w:pos="567"/>
        </w:tabs>
        <w:spacing w:line="240" w:lineRule="auto"/>
        <w:rPr>
          <w:color w:val="000000"/>
          <w:szCs w:val="22"/>
        </w:rPr>
      </w:pPr>
    </w:p>
    <w:p w14:paraId="1B680B38" w14:textId="77777777" w:rsidR="00633C4F" w:rsidRPr="00654EF1" w:rsidRDefault="00633C4F" w:rsidP="001D5C8C">
      <w:pPr>
        <w:pStyle w:val="EndnoteText"/>
        <w:widowControl w:val="0"/>
        <w:tabs>
          <w:tab w:val="clear" w:pos="567"/>
        </w:tabs>
        <w:rPr>
          <w:color w:val="000000"/>
          <w:szCs w:val="22"/>
        </w:rPr>
      </w:pPr>
      <w:r w:rsidRPr="00654EF1">
        <w:rPr>
          <w:color w:val="000000"/>
          <w:szCs w:val="22"/>
        </w:rPr>
        <w:t>Use only as directed by a doctor</w:t>
      </w:r>
      <w:r w:rsidR="004E1888" w:rsidRPr="00654EF1">
        <w:rPr>
          <w:color w:val="000000"/>
          <w:szCs w:val="22"/>
        </w:rPr>
        <w:t>.</w:t>
      </w:r>
    </w:p>
    <w:p w14:paraId="1B680B39" w14:textId="77777777" w:rsidR="00633C4F" w:rsidRPr="00654EF1" w:rsidRDefault="00633C4F" w:rsidP="001D5C8C">
      <w:pPr>
        <w:widowControl w:val="0"/>
        <w:tabs>
          <w:tab w:val="clear" w:pos="567"/>
        </w:tabs>
        <w:spacing w:line="240" w:lineRule="auto"/>
        <w:rPr>
          <w:color w:val="000000"/>
          <w:szCs w:val="22"/>
        </w:rPr>
      </w:pPr>
    </w:p>
    <w:p w14:paraId="1B680B3A" w14:textId="77777777" w:rsidR="00391FA4" w:rsidRPr="00654EF1" w:rsidRDefault="00391FA4" w:rsidP="001D5C8C">
      <w:pPr>
        <w:widowControl w:val="0"/>
        <w:tabs>
          <w:tab w:val="clear" w:pos="567"/>
        </w:tabs>
        <w:spacing w:line="240" w:lineRule="auto"/>
        <w:rPr>
          <w:color w:val="000000"/>
          <w:szCs w:val="22"/>
        </w:rPr>
      </w:pPr>
    </w:p>
    <w:p w14:paraId="1B680B3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8.</w:t>
      </w:r>
      <w:r w:rsidRPr="00654EF1">
        <w:rPr>
          <w:b/>
          <w:color w:val="000000"/>
          <w:szCs w:val="22"/>
        </w:rPr>
        <w:tab/>
        <w:t>EXPIRY DATE</w:t>
      </w:r>
    </w:p>
    <w:p w14:paraId="1B680B3C" w14:textId="77777777" w:rsidR="00633C4F" w:rsidRPr="00654EF1" w:rsidRDefault="00633C4F" w:rsidP="001D5C8C">
      <w:pPr>
        <w:widowControl w:val="0"/>
        <w:tabs>
          <w:tab w:val="clear" w:pos="567"/>
        </w:tabs>
        <w:spacing w:line="240" w:lineRule="auto"/>
        <w:rPr>
          <w:color w:val="000000"/>
          <w:szCs w:val="22"/>
        </w:rPr>
      </w:pPr>
    </w:p>
    <w:p w14:paraId="1B680B3D" w14:textId="77777777" w:rsidR="00633C4F" w:rsidRPr="00654EF1" w:rsidRDefault="00633C4F" w:rsidP="001D5C8C">
      <w:pPr>
        <w:pStyle w:val="EndnoteText"/>
        <w:widowControl w:val="0"/>
        <w:tabs>
          <w:tab w:val="clear" w:pos="567"/>
        </w:tabs>
        <w:rPr>
          <w:color w:val="000000"/>
          <w:szCs w:val="22"/>
        </w:rPr>
      </w:pPr>
      <w:r w:rsidRPr="00654EF1">
        <w:rPr>
          <w:color w:val="000000"/>
          <w:szCs w:val="22"/>
        </w:rPr>
        <w:t>EXP</w:t>
      </w:r>
    </w:p>
    <w:p w14:paraId="1B680B3E" w14:textId="77777777" w:rsidR="00633C4F" w:rsidRPr="00654EF1" w:rsidRDefault="00633C4F" w:rsidP="001D5C8C">
      <w:pPr>
        <w:widowControl w:val="0"/>
        <w:tabs>
          <w:tab w:val="clear" w:pos="567"/>
        </w:tabs>
        <w:spacing w:line="240" w:lineRule="auto"/>
        <w:rPr>
          <w:color w:val="000000"/>
          <w:szCs w:val="22"/>
        </w:rPr>
      </w:pPr>
    </w:p>
    <w:p w14:paraId="1B680B3F" w14:textId="77777777" w:rsidR="00391FA4" w:rsidRPr="00654EF1" w:rsidRDefault="00391FA4" w:rsidP="001D5C8C">
      <w:pPr>
        <w:widowControl w:val="0"/>
        <w:tabs>
          <w:tab w:val="clear" w:pos="567"/>
        </w:tabs>
        <w:spacing w:line="240" w:lineRule="auto"/>
        <w:rPr>
          <w:color w:val="000000"/>
          <w:szCs w:val="22"/>
        </w:rPr>
      </w:pPr>
    </w:p>
    <w:p w14:paraId="1B680B40" w14:textId="77777777" w:rsidR="00C0396A" w:rsidRPr="00654EF1" w:rsidRDefault="00C0396A" w:rsidP="001D5C8C">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rPr>
      </w:pPr>
      <w:r w:rsidRPr="00654EF1">
        <w:rPr>
          <w:b/>
          <w:color w:val="000000"/>
          <w:szCs w:val="22"/>
        </w:rPr>
        <w:t>9.</w:t>
      </w:r>
      <w:r w:rsidRPr="00654EF1">
        <w:rPr>
          <w:b/>
          <w:color w:val="000000"/>
          <w:szCs w:val="22"/>
        </w:rPr>
        <w:tab/>
        <w:t>SPECIAL STORAGE CONDITIONS</w:t>
      </w:r>
    </w:p>
    <w:p w14:paraId="1B680B41" w14:textId="77777777" w:rsidR="00633C4F" w:rsidRPr="00654EF1" w:rsidRDefault="00633C4F" w:rsidP="001D5C8C">
      <w:pPr>
        <w:keepNext/>
        <w:widowControl w:val="0"/>
        <w:tabs>
          <w:tab w:val="clear" w:pos="567"/>
        </w:tabs>
        <w:spacing w:line="240" w:lineRule="auto"/>
        <w:rPr>
          <w:color w:val="000000"/>
          <w:szCs w:val="22"/>
        </w:rPr>
      </w:pPr>
    </w:p>
    <w:p w14:paraId="1B680B42" w14:textId="77777777" w:rsidR="00633C4F" w:rsidRPr="00654EF1" w:rsidRDefault="00633C4F" w:rsidP="001D5C8C">
      <w:pPr>
        <w:pStyle w:val="Text"/>
        <w:widowControl w:val="0"/>
        <w:spacing w:before="0"/>
        <w:rPr>
          <w:color w:val="000000"/>
          <w:sz w:val="22"/>
          <w:szCs w:val="22"/>
          <w:lang w:val="en-GB"/>
        </w:rPr>
      </w:pPr>
      <w:r w:rsidRPr="00654EF1">
        <w:rPr>
          <w:color w:val="000000"/>
          <w:sz w:val="22"/>
          <w:szCs w:val="22"/>
          <w:lang w:val="en-GB"/>
        </w:rPr>
        <w:t>Do not store above 30</w:t>
      </w:r>
      <w:r w:rsidR="00A36A10" w:rsidRPr="00654EF1">
        <w:rPr>
          <w:color w:val="000000"/>
          <w:sz w:val="22"/>
          <w:szCs w:val="22"/>
        </w:rPr>
        <w:sym w:font="Symbol" w:char="F0B0"/>
      </w:r>
      <w:r w:rsidRPr="00654EF1">
        <w:rPr>
          <w:color w:val="000000"/>
          <w:sz w:val="22"/>
          <w:szCs w:val="22"/>
          <w:lang w:val="en-GB"/>
        </w:rPr>
        <w:t>C.</w:t>
      </w:r>
      <w:r w:rsidR="00DE42B7" w:rsidRPr="00654EF1">
        <w:rPr>
          <w:color w:val="000000"/>
          <w:sz w:val="22"/>
          <w:szCs w:val="22"/>
          <w:lang w:val="en-GB"/>
        </w:rPr>
        <w:t xml:space="preserve"> </w:t>
      </w:r>
      <w:r w:rsidRPr="00654EF1">
        <w:rPr>
          <w:color w:val="000000"/>
          <w:sz w:val="22"/>
          <w:szCs w:val="22"/>
          <w:lang w:val="en-GB"/>
        </w:rPr>
        <w:t>Store in the original package</w:t>
      </w:r>
      <w:r w:rsidR="00765B18" w:rsidRPr="00654EF1">
        <w:rPr>
          <w:noProof/>
          <w:color w:val="000000"/>
          <w:sz w:val="22"/>
          <w:szCs w:val="22"/>
        </w:rPr>
        <w:t xml:space="preserve"> in order to protect from moisture</w:t>
      </w:r>
      <w:r w:rsidRPr="00654EF1">
        <w:rPr>
          <w:color w:val="000000"/>
          <w:sz w:val="22"/>
          <w:szCs w:val="22"/>
          <w:lang w:val="en-GB"/>
        </w:rPr>
        <w:t>.</w:t>
      </w:r>
    </w:p>
    <w:p w14:paraId="1B680B43" w14:textId="77777777" w:rsidR="00633C4F" w:rsidRPr="00654EF1" w:rsidRDefault="00633C4F" w:rsidP="001D5C8C">
      <w:pPr>
        <w:widowControl w:val="0"/>
        <w:tabs>
          <w:tab w:val="clear" w:pos="567"/>
        </w:tabs>
        <w:spacing w:line="240" w:lineRule="auto"/>
        <w:rPr>
          <w:color w:val="000000"/>
          <w:szCs w:val="22"/>
        </w:rPr>
      </w:pPr>
    </w:p>
    <w:p w14:paraId="1B680B44" w14:textId="77777777" w:rsidR="00391FA4" w:rsidRPr="00654EF1" w:rsidRDefault="00391FA4" w:rsidP="001D5C8C">
      <w:pPr>
        <w:widowControl w:val="0"/>
        <w:tabs>
          <w:tab w:val="clear" w:pos="567"/>
        </w:tabs>
        <w:spacing w:line="240" w:lineRule="auto"/>
        <w:rPr>
          <w:color w:val="000000"/>
          <w:szCs w:val="22"/>
        </w:rPr>
      </w:pPr>
    </w:p>
    <w:p w14:paraId="1B680B4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lastRenderedPageBreak/>
        <w:t>10.</w:t>
      </w:r>
      <w:r w:rsidRPr="00654EF1">
        <w:rPr>
          <w:b/>
          <w:color w:val="000000"/>
          <w:szCs w:val="22"/>
        </w:rPr>
        <w:tab/>
        <w:t>SPECIAL PRECAUTIONS FOR DISPOSAL OF UNUSED MEDICINAL PRODUCTS OR WASTE MATERIALS DERIVED FROM SUCH MEDICINAL PRODUCTS, IF APPROPRIATE</w:t>
      </w:r>
    </w:p>
    <w:p w14:paraId="1B680B46" w14:textId="77777777" w:rsidR="00633C4F" w:rsidRPr="00654EF1" w:rsidRDefault="00633C4F" w:rsidP="001D5C8C">
      <w:pPr>
        <w:widowControl w:val="0"/>
        <w:tabs>
          <w:tab w:val="clear" w:pos="567"/>
        </w:tabs>
        <w:spacing w:line="240" w:lineRule="auto"/>
        <w:rPr>
          <w:color w:val="000000"/>
          <w:szCs w:val="22"/>
        </w:rPr>
      </w:pPr>
    </w:p>
    <w:p w14:paraId="1B680B47" w14:textId="77777777" w:rsidR="00633C4F" w:rsidRPr="00654EF1" w:rsidRDefault="00633C4F" w:rsidP="001D5C8C">
      <w:pPr>
        <w:widowControl w:val="0"/>
        <w:tabs>
          <w:tab w:val="clear" w:pos="567"/>
        </w:tabs>
        <w:spacing w:line="240" w:lineRule="auto"/>
        <w:rPr>
          <w:color w:val="000000"/>
          <w:szCs w:val="22"/>
        </w:rPr>
      </w:pPr>
    </w:p>
    <w:p w14:paraId="1B680B48"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11.</w:t>
      </w:r>
      <w:r w:rsidRPr="00654EF1">
        <w:rPr>
          <w:b/>
          <w:color w:val="000000"/>
          <w:szCs w:val="22"/>
        </w:rPr>
        <w:tab/>
        <w:t xml:space="preserve">NAME </w:t>
      </w:r>
      <w:smartTag w:uri="urn:schemas-microsoft-com:office:smarttags" w:element="stockticker">
        <w:r w:rsidRPr="00654EF1">
          <w:rPr>
            <w:b/>
            <w:color w:val="000000"/>
            <w:szCs w:val="22"/>
          </w:rPr>
          <w:t>AND</w:t>
        </w:r>
      </w:smartTag>
      <w:r w:rsidRPr="00654EF1">
        <w:rPr>
          <w:b/>
          <w:color w:val="000000"/>
          <w:szCs w:val="22"/>
        </w:rPr>
        <w:t xml:space="preserve"> ADDRESS OF THE MARKETING AUTHORISATION HOLDER</w:t>
      </w:r>
    </w:p>
    <w:p w14:paraId="1B680B49" w14:textId="77777777" w:rsidR="00633C4F" w:rsidRPr="00654EF1" w:rsidRDefault="00633C4F" w:rsidP="001D5C8C">
      <w:pPr>
        <w:widowControl w:val="0"/>
        <w:tabs>
          <w:tab w:val="clear" w:pos="567"/>
        </w:tabs>
        <w:spacing w:line="240" w:lineRule="auto"/>
        <w:rPr>
          <w:color w:val="000000"/>
          <w:szCs w:val="22"/>
        </w:rPr>
      </w:pPr>
    </w:p>
    <w:p w14:paraId="1B680B4A"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B4B" w14:textId="77777777" w:rsidR="005716CE" w:rsidRPr="00654EF1" w:rsidRDefault="005716CE" w:rsidP="001D5C8C">
      <w:pPr>
        <w:keepNext/>
        <w:widowControl w:val="0"/>
        <w:spacing w:line="240" w:lineRule="auto"/>
        <w:rPr>
          <w:color w:val="000000"/>
        </w:rPr>
      </w:pPr>
      <w:r w:rsidRPr="00654EF1">
        <w:rPr>
          <w:color w:val="000000"/>
        </w:rPr>
        <w:t>Vista Building</w:t>
      </w:r>
    </w:p>
    <w:p w14:paraId="1B680B4C"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B4D" w14:textId="77777777" w:rsidR="005716CE" w:rsidRPr="00654EF1" w:rsidRDefault="005716CE" w:rsidP="001D5C8C">
      <w:pPr>
        <w:keepNext/>
        <w:widowControl w:val="0"/>
        <w:spacing w:line="240" w:lineRule="auto"/>
        <w:rPr>
          <w:color w:val="000000"/>
        </w:rPr>
      </w:pPr>
      <w:r w:rsidRPr="00654EF1">
        <w:rPr>
          <w:color w:val="000000"/>
        </w:rPr>
        <w:t>Dublin 4</w:t>
      </w:r>
    </w:p>
    <w:p w14:paraId="1B680B4E" w14:textId="77777777" w:rsidR="005716CE" w:rsidRPr="00654EF1" w:rsidRDefault="005716CE" w:rsidP="001D5C8C">
      <w:pPr>
        <w:spacing w:line="240" w:lineRule="auto"/>
        <w:rPr>
          <w:color w:val="000000"/>
        </w:rPr>
      </w:pPr>
      <w:r w:rsidRPr="00654EF1">
        <w:rPr>
          <w:color w:val="000000"/>
        </w:rPr>
        <w:t>Ireland</w:t>
      </w:r>
    </w:p>
    <w:p w14:paraId="1B680B4F" w14:textId="77777777" w:rsidR="00633C4F" w:rsidRPr="00654EF1" w:rsidRDefault="00633C4F" w:rsidP="001D5C8C">
      <w:pPr>
        <w:widowControl w:val="0"/>
        <w:tabs>
          <w:tab w:val="clear" w:pos="567"/>
        </w:tabs>
        <w:spacing w:line="240" w:lineRule="auto"/>
        <w:rPr>
          <w:color w:val="000000"/>
          <w:szCs w:val="22"/>
        </w:rPr>
      </w:pPr>
    </w:p>
    <w:p w14:paraId="1B680B50" w14:textId="77777777" w:rsidR="00391FA4" w:rsidRPr="00654EF1" w:rsidRDefault="00391FA4" w:rsidP="001D5C8C">
      <w:pPr>
        <w:widowControl w:val="0"/>
        <w:tabs>
          <w:tab w:val="clear" w:pos="567"/>
        </w:tabs>
        <w:spacing w:line="240" w:lineRule="auto"/>
        <w:rPr>
          <w:color w:val="000000"/>
          <w:szCs w:val="22"/>
        </w:rPr>
      </w:pPr>
    </w:p>
    <w:p w14:paraId="1B680B51"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n-US"/>
        </w:rPr>
      </w:pPr>
      <w:r w:rsidRPr="00654EF1">
        <w:rPr>
          <w:b/>
          <w:color w:val="000000"/>
          <w:szCs w:val="22"/>
          <w:lang w:val="en-US"/>
        </w:rPr>
        <w:t>12.</w:t>
      </w:r>
      <w:r w:rsidRPr="00654EF1">
        <w:rPr>
          <w:b/>
          <w:color w:val="000000"/>
          <w:szCs w:val="22"/>
          <w:lang w:val="en-US"/>
        </w:rPr>
        <w:tab/>
        <w:t>MARKETING AUTHORISATION NUMBER(S)</w:t>
      </w:r>
    </w:p>
    <w:p w14:paraId="1B680B52" w14:textId="77777777" w:rsidR="00633C4F" w:rsidRPr="00654EF1" w:rsidRDefault="00633C4F" w:rsidP="001D5C8C">
      <w:pPr>
        <w:widowControl w:val="0"/>
        <w:tabs>
          <w:tab w:val="clear" w:pos="567"/>
        </w:tabs>
        <w:spacing w:line="240" w:lineRule="auto"/>
        <w:rPr>
          <w:color w:val="000000"/>
          <w:szCs w:val="22"/>
          <w:lang w:val="en-US"/>
        </w:rPr>
      </w:pPr>
    </w:p>
    <w:p w14:paraId="1B680B53" w14:textId="77777777" w:rsidR="00C703BD" w:rsidRPr="00654EF1" w:rsidRDefault="00633C4F" w:rsidP="001D5C8C">
      <w:pPr>
        <w:pStyle w:val="EndnoteText"/>
        <w:widowControl w:val="0"/>
        <w:tabs>
          <w:tab w:val="clear" w:pos="567"/>
          <w:tab w:val="left" w:pos="2268"/>
        </w:tabs>
        <w:rPr>
          <w:color w:val="000000"/>
          <w:szCs w:val="22"/>
          <w:shd w:val="clear" w:color="auto" w:fill="D9D9D9"/>
          <w:lang w:val="fr-FR"/>
        </w:rPr>
      </w:pPr>
      <w:r w:rsidRPr="00654EF1">
        <w:rPr>
          <w:color w:val="000000"/>
          <w:szCs w:val="22"/>
          <w:lang w:val="fr-FR"/>
        </w:rPr>
        <w:t>EU/1/01/198/002</w:t>
      </w:r>
      <w:r w:rsidR="00C703BD" w:rsidRPr="00654EF1">
        <w:rPr>
          <w:color w:val="000000"/>
          <w:szCs w:val="22"/>
          <w:lang w:val="fr-FR"/>
        </w:rPr>
        <w:tab/>
      </w:r>
      <w:r w:rsidR="00C703BD" w:rsidRPr="00654EF1">
        <w:rPr>
          <w:color w:val="000000"/>
          <w:szCs w:val="22"/>
          <w:shd w:val="clear" w:color="auto" w:fill="D9D9D9"/>
          <w:lang w:val="fr-FR"/>
        </w:rPr>
        <w:t>24 capsules</w:t>
      </w:r>
    </w:p>
    <w:p w14:paraId="1B680B54" w14:textId="77777777" w:rsidR="00C703BD" w:rsidRPr="00654EF1" w:rsidRDefault="00C703BD" w:rsidP="001D5C8C">
      <w:pPr>
        <w:widowControl w:val="0"/>
        <w:tabs>
          <w:tab w:val="clear" w:pos="567"/>
          <w:tab w:val="left" w:pos="2268"/>
        </w:tabs>
        <w:spacing w:line="240" w:lineRule="auto"/>
        <w:rPr>
          <w:color w:val="000000"/>
          <w:szCs w:val="22"/>
          <w:shd w:val="clear" w:color="auto" w:fill="D9D9D9"/>
          <w:lang w:val="fr-FR"/>
        </w:rPr>
      </w:pPr>
      <w:r w:rsidRPr="00654EF1">
        <w:rPr>
          <w:color w:val="000000"/>
          <w:szCs w:val="22"/>
          <w:shd w:val="clear" w:color="auto" w:fill="D9D9D9"/>
          <w:lang w:val="fr-FR"/>
        </w:rPr>
        <w:t>EU/1/01/198/003</w:t>
      </w:r>
      <w:r w:rsidRPr="00654EF1">
        <w:rPr>
          <w:color w:val="000000"/>
          <w:szCs w:val="22"/>
          <w:shd w:val="clear" w:color="auto" w:fill="D9D9D9"/>
          <w:lang w:val="fr-FR"/>
        </w:rPr>
        <w:tab/>
        <w:t>48 capsules</w:t>
      </w:r>
    </w:p>
    <w:p w14:paraId="1B680B55" w14:textId="77777777" w:rsidR="00C703BD" w:rsidRPr="00654EF1" w:rsidRDefault="00C703BD" w:rsidP="001D5C8C">
      <w:pPr>
        <w:widowControl w:val="0"/>
        <w:tabs>
          <w:tab w:val="clear" w:pos="567"/>
          <w:tab w:val="left" w:pos="2268"/>
        </w:tabs>
        <w:spacing w:line="240" w:lineRule="auto"/>
        <w:rPr>
          <w:color w:val="000000"/>
          <w:szCs w:val="22"/>
          <w:shd w:val="clear" w:color="auto" w:fill="D9D9D9"/>
          <w:lang w:val="fr-FR"/>
        </w:rPr>
      </w:pPr>
      <w:r w:rsidRPr="00654EF1">
        <w:rPr>
          <w:color w:val="000000"/>
          <w:szCs w:val="22"/>
          <w:shd w:val="clear" w:color="auto" w:fill="D9D9D9"/>
          <w:lang w:val="fr-FR"/>
        </w:rPr>
        <w:t>EU/1/01/198/004</w:t>
      </w:r>
      <w:r w:rsidRPr="00654EF1">
        <w:rPr>
          <w:color w:val="000000"/>
          <w:szCs w:val="22"/>
          <w:shd w:val="clear" w:color="auto" w:fill="D9D9D9"/>
          <w:lang w:val="fr-FR"/>
        </w:rPr>
        <w:tab/>
        <w:t>96 capsules</w:t>
      </w:r>
    </w:p>
    <w:p w14:paraId="1B680B56" w14:textId="77777777" w:rsidR="00C703BD" w:rsidRPr="00654EF1" w:rsidRDefault="00C703BD" w:rsidP="001D5C8C">
      <w:pPr>
        <w:widowControl w:val="0"/>
        <w:tabs>
          <w:tab w:val="clear" w:pos="567"/>
          <w:tab w:val="left" w:pos="2268"/>
        </w:tabs>
        <w:spacing w:line="240" w:lineRule="auto"/>
        <w:rPr>
          <w:color w:val="000000"/>
          <w:szCs w:val="22"/>
          <w:shd w:val="clear" w:color="auto" w:fill="D9D9D9"/>
          <w:lang w:val="fr-FR"/>
        </w:rPr>
      </w:pPr>
      <w:r w:rsidRPr="00654EF1">
        <w:rPr>
          <w:color w:val="000000"/>
          <w:szCs w:val="22"/>
          <w:shd w:val="clear" w:color="auto" w:fill="D9D9D9"/>
          <w:lang w:val="fr-FR"/>
        </w:rPr>
        <w:t>EU/1/01/198/005</w:t>
      </w:r>
      <w:r w:rsidRPr="00654EF1">
        <w:rPr>
          <w:color w:val="000000"/>
          <w:szCs w:val="22"/>
          <w:shd w:val="clear" w:color="auto" w:fill="D9D9D9"/>
          <w:lang w:val="fr-FR"/>
        </w:rPr>
        <w:tab/>
        <w:t>120 capsules</w:t>
      </w:r>
    </w:p>
    <w:p w14:paraId="1B680B57" w14:textId="77777777" w:rsidR="00633C4F" w:rsidRPr="00654EF1" w:rsidRDefault="00C703BD" w:rsidP="001D5C8C">
      <w:pPr>
        <w:widowControl w:val="0"/>
        <w:tabs>
          <w:tab w:val="clear" w:pos="567"/>
          <w:tab w:val="left" w:pos="2268"/>
        </w:tabs>
        <w:spacing w:line="240" w:lineRule="auto"/>
        <w:rPr>
          <w:color w:val="000000"/>
          <w:szCs w:val="22"/>
          <w:shd w:val="clear" w:color="auto" w:fill="D9D9D9"/>
          <w:lang w:val="fr-FR"/>
        </w:rPr>
      </w:pPr>
      <w:r w:rsidRPr="00654EF1">
        <w:rPr>
          <w:color w:val="000000"/>
          <w:szCs w:val="22"/>
          <w:shd w:val="clear" w:color="auto" w:fill="D9D9D9"/>
          <w:lang w:val="fr-FR"/>
        </w:rPr>
        <w:t>EU/1/01/198/006</w:t>
      </w:r>
      <w:r w:rsidRPr="00654EF1">
        <w:rPr>
          <w:color w:val="000000"/>
          <w:szCs w:val="22"/>
          <w:shd w:val="clear" w:color="auto" w:fill="D9D9D9"/>
          <w:lang w:val="fr-FR"/>
        </w:rPr>
        <w:tab/>
        <w:t>180 capsules</w:t>
      </w:r>
    </w:p>
    <w:p w14:paraId="1B680B58" w14:textId="77777777" w:rsidR="00C703BD" w:rsidRPr="00654EF1" w:rsidRDefault="00C703BD" w:rsidP="001D5C8C">
      <w:pPr>
        <w:widowControl w:val="0"/>
        <w:tabs>
          <w:tab w:val="clear" w:pos="567"/>
        </w:tabs>
        <w:spacing w:line="240" w:lineRule="auto"/>
        <w:rPr>
          <w:color w:val="000000"/>
          <w:szCs w:val="22"/>
          <w:lang w:val="fr-FR"/>
        </w:rPr>
      </w:pPr>
    </w:p>
    <w:p w14:paraId="1B680B59" w14:textId="77777777" w:rsidR="00C703BD" w:rsidRPr="00654EF1" w:rsidRDefault="00C703BD" w:rsidP="001D5C8C">
      <w:pPr>
        <w:widowControl w:val="0"/>
        <w:tabs>
          <w:tab w:val="clear" w:pos="567"/>
        </w:tabs>
        <w:spacing w:line="240" w:lineRule="auto"/>
        <w:rPr>
          <w:color w:val="000000"/>
          <w:szCs w:val="22"/>
          <w:lang w:val="fr-FR"/>
        </w:rPr>
      </w:pPr>
    </w:p>
    <w:p w14:paraId="1B680B5A"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fr-CH"/>
        </w:rPr>
      </w:pPr>
      <w:r w:rsidRPr="00654EF1">
        <w:rPr>
          <w:b/>
          <w:color w:val="000000"/>
          <w:szCs w:val="22"/>
          <w:lang w:val="fr-CH"/>
        </w:rPr>
        <w:t>13.</w:t>
      </w:r>
      <w:r w:rsidRPr="00654EF1">
        <w:rPr>
          <w:b/>
          <w:color w:val="000000"/>
          <w:szCs w:val="22"/>
          <w:lang w:val="fr-CH"/>
        </w:rPr>
        <w:tab/>
        <w:t>BATCH NUMBER</w:t>
      </w:r>
    </w:p>
    <w:p w14:paraId="1B680B5B" w14:textId="77777777" w:rsidR="00633C4F" w:rsidRPr="00654EF1" w:rsidRDefault="00633C4F" w:rsidP="001D5C8C">
      <w:pPr>
        <w:widowControl w:val="0"/>
        <w:tabs>
          <w:tab w:val="clear" w:pos="567"/>
        </w:tabs>
        <w:spacing w:line="240" w:lineRule="auto"/>
        <w:rPr>
          <w:color w:val="000000"/>
          <w:szCs w:val="22"/>
          <w:lang w:val="fr-CH"/>
        </w:rPr>
      </w:pPr>
    </w:p>
    <w:p w14:paraId="1B680B5C" w14:textId="77777777" w:rsidR="00633C4F" w:rsidRPr="00654EF1" w:rsidRDefault="00633C4F" w:rsidP="001D5C8C">
      <w:pPr>
        <w:widowControl w:val="0"/>
        <w:tabs>
          <w:tab w:val="clear" w:pos="567"/>
        </w:tabs>
        <w:spacing w:line="240" w:lineRule="auto"/>
        <w:rPr>
          <w:color w:val="000000"/>
          <w:szCs w:val="22"/>
        </w:rPr>
      </w:pPr>
      <w:r w:rsidRPr="00654EF1">
        <w:rPr>
          <w:color w:val="000000"/>
          <w:szCs w:val="22"/>
        </w:rPr>
        <w:t>Lot</w:t>
      </w:r>
    </w:p>
    <w:p w14:paraId="1B680B5D" w14:textId="77777777" w:rsidR="00633C4F" w:rsidRPr="00654EF1" w:rsidRDefault="00633C4F" w:rsidP="001D5C8C">
      <w:pPr>
        <w:widowControl w:val="0"/>
        <w:tabs>
          <w:tab w:val="clear" w:pos="567"/>
        </w:tabs>
        <w:spacing w:line="240" w:lineRule="auto"/>
        <w:rPr>
          <w:color w:val="000000"/>
          <w:szCs w:val="22"/>
        </w:rPr>
      </w:pPr>
    </w:p>
    <w:p w14:paraId="1B680B5E" w14:textId="77777777" w:rsidR="00391FA4" w:rsidRPr="00654EF1" w:rsidRDefault="00391FA4" w:rsidP="001D5C8C">
      <w:pPr>
        <w:widowControl w:val="0"/>
        <w:tabs>
          <w:tab w:val="clear" w:pos="567"/>
        </w:tabs>
        <w:spacing w:line="240" w:lineRule="auto"/>
        <w:rPr>
          <w:color w:val="000000"/>
          <w:szCs w:val="22"/>
        </w:rPr>
      </w:pPr>
    </w:p>
    <w:p w14:paraId="1B680B5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14.</w:t>
      </w:r>
      <w:r w:rsidRPr="00654EF1">
        <w:rPr>
          <w:b/>
          <w:color w:val="000000"/>
          <w:szCs w:val="22"/>
        </w:rPr>
        <w:tab/>
        <w:t>GENERAL CLASSIFICATION FOR SUPPLY</w:t>
      </w:r>
    </w:p>
    <w:p w14:paraId="1B680B60" w14:textId="77777777" w:rsidR="00633C4F" w:rsidRPr="00654EF1" w:rsidRDefault="00633C4F" w:rsidP="001D5C8C">
      <w:pPr>
        <w:widowControl w:val="0"/>
        <w:tabs>
          <w:tab w:val="clear" w:pos="567"/>
        </w:tabs>
        <w:spacing w:line="240" w:lineRule="auto"/>
        <w:rPr>
          <w:color w:val="000000"/>
          <w:szCs w:val="22"/>
        </w:rPr>
      </w:pPr>
    </w:p>
    <w:p w14:paraId="1B680B61" w14:textId="77777777" w:rsidR="00391FA4" w:rsidRPr="00654EF1" w:rsidRDefault="00391FA4" w:rsidP="001D5C8C">
      <w:pPr>
        <w:widowControl w:val="0"/>
        <w:tabs>
          <w:tab w:val="clear" w:pos="567"/>
        </w:tabs>
        <w:spacing w:line="240" w:lineRule="auto"/>
        <w:rPr>
          <w:color w:val="000000"/>
          <w:szCs w:val="22"/>
        </w:rPr>
      </w:pPr>
    </w:p>
    <w:p w14:paraId="1B680B62"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15.</w:t>
      </w:r>
      <w:r w:rsidRPr="00654EF1">
        <w:rPr>
          <w:b/>
          <w:color w:val="000000"/>
          <w:szCs w:val="22"/>
        </w:rPr>
        <w:tab/>
        <w:t>INSTRUCTIONS ON USE</w:t>
      </w:r>
    </w:p>
    <w:p w14:paraId="1B680B63" w14:textId="77777777" w:rsidR="004E1888" w:rsidRPr="00654EF1" w:rsidRDefault="004E1888" w:rsidP="001D5C8C">
      <w:pPr>
        <w:widowControl w:val="0"/>
        <w:tabs>
          <w:tab w:val="clear" w:pos="567"/>
        </w:tabs>
        <w:spacing w:line="240" w:lineRule="auto"/>
        <w:rPr>
          <w:color w:val="000000"/>
          <w:szCs w:val="22"/>
        </w:rPr>
      </w:pPr>
    </w:p>
    <w:p w14:paraId="1B680B64" w14:textId="77777777" w:rsidR="004E1888" w:rsidRPr="00654EF1" w:rsidRDefault="004E1888" w:rsidP="001D5C8C">
      <w:pPr>
        <w:widowControl w:val="0"/>
        <w:tabs>
          <w:tab w:val="clear" w:pos="567"/>
        </w:tabs>
        <w:spacing w:line="240" w:lineRule="auto"/>
        <w:rPr>
          <w:color w:val="000000"/>
          <w:szCs w:val="22"/>
        </w:rPr>
      </w:pPr>
    </w:p>
    <w:p w14:paraId="1B680B6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fr-CH"/>
        </w:rPr>
      </w:pPr>
      <w:r w:rsidRPr="00654EF1">
        <w:rPr>
          <w:b/>
          <w:color w:val="000000"/>
          <w:szCs w:val="22"/>
          <w:lang w:val="fr-CH"/>
        </w:rPr>
        <w:t>16.</w:t>
      </w:r>
      <w:r w:rsidRPr="00654EF1">
        <w:rPr>
          <w:b/>
          <w:color w:val="000000"/>
          <w:szCs w:val="22"/>
          <w:lang w:val="fr-CH"/>
        </w:rPr>
        <w:tab/>
        <w:t>INFORMATION IN BRAILLE</w:t>
      </w:r>
    </w:p>
    <w:p w14:paraId="1B680B66" w14:textId="77777777" w:rsidR="004E1888" w:rsidRPr="00654EF1" w:rsidRDefault="004E1888" w:rsidP="001D5C8C">
      <w:pPr>
        <w:widowControl w:val="0"/>
        <w:tabs>
          <w:tab w:val="clear" w:pos="567"/>
        </w:tabs>
        <w:spacing w:line="240" w:lineRule="auto"/>
        <w:rPr>
          <w:color w:val="000000"/>
          <w:szCs w:val="22"/>
          <w:u w:val="single"/>
          <w:lang w:val="fr-CH"/>
        </w:rPr>
      </w:pPr>
    </w:p>
    <w:p w14:paraId="1B680B67" w14:textId="77777777" w:rsidR="00633C4F" w:rsidRPr="00654EF1" w:rsidRDefault="004E1888" w:rsidP="001D5C8C">
      <w:pPr>
        <w:widowControl w:val="0"/>
        <w:tabs>
          <w:tab w:val="clear" w:pos="567"/>
        </w:tabs>
        <w:spacing w:line="240" w:lineRule="auto"/>
        <w:rPr>
          <w:color w:val="000000"/>
          <w:szCs w:val="22"/>
          <w:lang w:val="fr-CH"/>
        </w:rPr>
      </w:pPr>
      <w:r w:rsidRPr="00654EF1">
        <w:rPr>
          <w:color w:val="000000"/>
          <w:szCs w:val="22"/>
          <w:lang w:val="fr-CH"/>
        </w:rPr>
        <w:t>Glivec 100 mg</w:t>
      </w:r>
    </w:p>
    <w:p w14:paraId="1B680B68" w14:textId="77777777" w:rsidR="00DE25B9" w:rsidRPr="00654EF1" w:rsidRDefault="00DE25B9" w:rsidP="001D5C8C">
      <w:pPr>
        <w:widowControl w:val="0"/>
        <w:tabs>
          <w:tab w:val="clear" w:pos="567"/>
        </w:tabs>
        <w:spacing w:line="240" w:lineRule="auto"/>
        <w:rPr>
          <w:color w:val="000000"/>
          <w:szCs w:val="22"/>
          <w:u w:val="single"/>
          <w:lang w:val="fr-CH"/>
        </w:rPr>
      </w:pPr>
    </w:p>
    <w:p w14:paraId="1B680B69" w14:textId="77777777" w:rsidR="00DE25B9" w:rsidRPr="00654EF1" w:rsidRDefault="00DE25B9" w:rsidP="001D5C8C">
      <w:pPr>
        <w:widowControl w:val="0"/>
        <w:tabs>
          <w:tab w:val="clear" w:pos="567"/>
        </w:tabs>
        <w:spacing w:line="240" w:lineRule="auto"/>
        <w:rPr>
          <w:color w:val="000000"/>
          <w:szCs w:val="22"/>
          <w:u w:val="single"/>
          <w:lang w:val="fr-CH"/>
        </w:rPr>
      </w:pPr>
    </w:p>
    <w:p w14:paraId="1B680B6A" w14:textId="77777777" w:rsidR="00DE25B9" w:rsidRPr="00654EF1"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lang w:val="fr-CH"/>
        </w:rPr>
      </w:pPr>
      <w:r w:rsidRPr="00654EF1">
        <w:rPr>
          <w:b/>
          <w:noProof/>
          <w:lang w:val="fr-CH"/>
        </w:rPr>
        <w:t>17.</w:t>
      </w:r>
      <w:r w:rsidRPr="00654EF1">
        <w:rPr>
          <w:b/>
          <w:noProof/>
          <w:lang w:val="fr-CH"/>
        </w:rPr>
        <w:tab/>
        <w:t>UNIQUE IDENTIFIER – 2D BARCODE</w:t>
      </w:r>
    </w:p>
    <w:p w14:paraId="1B680B6B" w14:textId="77777777" w:rsidR="00DE25B9" w:rsidRPr="00654EF1" w:rsidRDefault="00DE25B9" w:rsidP="001D5C8C">
      <w:pPr>
        <w:widowControl w:val="0"/>
        <w:tabs>
          <w:tab w:val="clear" w:pos="567"/>
        </w:tabs>
        <w:spacing w:line="240" w:lineRule="auto"/>
        <w:rPr>
          <w:noProof/>
          <w:lang w:val="fr-CH"/>
        </w:rPr>
      </w:pPr>
    </w:p>
    <w:p w14:paraId="1B680B6C" w14:textId="77777777" w:rsidR="00DE25B9" w:rsidRPr="00654EF1" w:rsidRDefault="00DE25B9" w:rsidP="001D5C8C">
      <w:pPr>
        <w:widowControl w:val="0"/>
        <w:tabs>
          <w:tab w:val="clear" w:pos="567"/>
        </w:tabs>
        <w:spacing w:line="240" w:lineRule="auto"/>
        <w:rPr>
          <w:noProof/>
          <w:szCs w:val="22"/>
          <w:shd w:val="pct15" w:color="auto" w:fill="auto"/>
        </w:rPr>
      </w:pPr>
      <w:r w:rsidRPr="00654EF1">
        <w:rPr>
          <w:noProof/>
          <w:szCs w:val="22"/>
          <w:shd w:val="pct15" w:color="auto" w:fill="auto"/>
        </w:rPr>
        <w:t>2D barcode carrying the unique identifier included.</w:t>
      </w:r>
    </w:p>
    <w:p w14:paraId="1B680B6D" w14:textId="77777777" w:rsidR="00DE25B9" w:rsidRPr="00654EF1" w:rsidRDefault="00DE25B9" w:rsidP="001D5C8C">
      <w:pPr>
        <w:widowControl w:val="0"/>
        <w:tabs>
          <w:tab w:val="clear" w:pos="567"/>
        </w:tabs>
        <w:spacing w:line="240" w:lineRule="auto"/>
        <w:rPr>
          <w:noProof/>
          <w:szCs w:val="22"/>
          <w:shd w:val="clear" w:color="auto" w:fill="CCCCCC"/>
        </w:rPr>
      </w:pPr>
    </w:p>
    <w:p w14:paraId="1B680B6E" w14:textId="77777777" w:rsidR="00DE25B9" w:rsidRPr="00654EF1" w:rsidRDefault="00DE25B9" w:rsidP="001D5C8C">
      <w:pPr>
        <w:widowControl w:val="0"/>
        <w:tabs>
          <w:tab w:val="clear" w:pos="567"/>
        </w:tabs>
        <w:spacing w:line="240" w:lineRule="auto"/>
        <w:rPr>
          <w:noProof/>
        </w:rPr>
      </w:pPr>
    </w:p>
    <w:p w14:paraId="1B680B6F" w14:textId="77777777" w:rsidR="00DE25B9" w:rsidRPr="00654EF1"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54EF1">
        <w:rPr>
          <w:b/>
          <w:noProof/>
        </w:rPr>
        <w:t>18.</w:t>
      </w:r>
      <w:r w:rsidRPr="00654EF1">
        <w:rPr>
          <w:b/>
          <w:noProof/>
        </w:rPr>
        <w:tab/>
        <w:t>UNIQUE IDENTIFIER - HUMAN READABLE DATA</w:t>
      </w:r>
    </w:p>
    <w:p w14:paraId="1B680B70" w14:textId="77777777" w:rsidR="00DE25B9" w:rsidRPr="00654EF1" w:rsidRDefault="00DE25B9" w:rsidP="001D5C8C">
      <w:pPr>
        <w:widowControl w:val="0"/>
        <w:tabs>
          <w:tab w:val="clear" w:pos="567"/>
        </w:tabs>
        <w:spacing w:line="240" w:lineRule="auto"/>
        <w:rPr>
          <w:noProof/>
        </w:rPr>
      </w:pPr>
    </w:p>
    <w:p w14:paraId="1B680B71" w14:textId="77777777" w:rsidR="00DE25B9" w:rsidRPr="00654EF1" w:rsidRDefault="00DE25B9" w:rsidP="001D5C8C">
      <w:pPr>
        <w:widowControl w:val="0"/>
        <w:tabs>
          <w:tab w:val="clear" w:pos="567"/>
        </w:tabs>
        <w:spacing w:line="240" w:lineRule="auto"/>
        <w:rPr>
          <w:szCs w:val="22"/>
        </w:rPr>
      </w:pPr>
      <w:r w:rsidRPr="00654EF1">
        <w:rPr>
          <w:szCs w:val="22"/>
        </w:rPr>
        <w:t>PC:</w:t>
      </w:r>
    </w:p>
    <w:p w14:paraId="1B680B72" w14:textId="77777777" w:rsidR="00DE25B9" w:rsidRPr="00654EF1" w:rsidRDefault="00DE25B9" w:rsidP="001D5C8C">
      <w:pPr>
        <w:widowControl w:val="0"/>
        <w:tabs>
          <w:tab w:val="clear" w:pos="567"/>
        </w:tabs>
        <w:spacing w:line="240" w:lineRule="auto"/>
        <w:rPr>
          <w:szCs w:val="22"/>
        </w:rPr>
      </w:pPr>
      <w:r w:rsidRPr="00654EF1">
        <w:rPr>
          <w:szCs w:val="22"/>
        </w:rPr>
        <w:t>SN:</w:t>
      </w:r>
    </w:p>
    <w:p w14:paraId="1B680B73" w14:textId="77777777" w:rsidR="00DE25B9" w:rsidRPr="00654EF1" w:rsidRDefault="00DE25B9" w:rsidP="001D5C8C">
      <w:pPr>
        <w:widowControl w:val="0"/>
        <w:tabs>
          <w:tab w:val="clear" w:pos="567"/>
        </w:tabs>
        <w:spacing w:line="240" w:lineRule="auto"/>
        <w:rPr>
          <w:szCs w:val="22"/>
        </w:rPr>
      </w:pPr>
      <w:r w:rsidRPr="00654EF1">
        <w:rPr>
          <w:szCs w:val="22"/>
        </w:rPr>
        <w:t>NN:</w:t>
      </w:r>
    </w:p>
    <w:p w14:paraId="1B680B74" w14:textId="77777777" w:rsidR="00633C4F" w:rsidRPr="00654EF1" w:rsidRDefault="00633C4F" w:rsidP="001D5C8C">
      <w:pPr>
        <w:widowControl w:val="0"/>
        <w:tabs>
          <w:tab w:val="clear" w:pos="567"/>
        </w:tabs>
        <w:spacing w:line="240" w:lineRule="auto"/>
        <w:rPr>
          <w:i/>
          <w:color w:val="000000"/>
          <w:szCs w:val="22"/>
        </w:rPr>
      </w:pPr>
      <w:r w:rsidRPr="00654EF1">
        <w:rPr>
          <w:b/>
          <w:color w:val="000000"/>
          <w:szCs w:val="22"/>
          <w:u w:val="single"/>
        </w:rPr>
        <w:br w:type="page"/>
      </w:r>
    </w:p>
    <w:p w14:paraId="1B680B75" w14:textId="77777777" w:rsidR="005E7BE5" w:rsidRPr="005E7BE5" w:rsidRDefault="005E7BE5" w:rsidP="005E7BE5">
      <w:pPr>
        <w:widowControl w:val="0"/>
        <w:tabs>
          <w:tab w:val="clear" w:pos="567"/>
        </w:tabs>
        <w:spacing w:line="240" w:lineRule="auto"/>
        <w:rPr>
          <w:color w:val="000000"/>
          <w:szCs w:val="22"/>
        </w:rPr>
      </w:pPr>
    </w:p>
    <w:p w14:paraId="1B680B7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54EF1">
        <w:rPr>
          <w:b/>
          <w:color w:val="000000"/>
          <w:szCs w:val="22"/>
        </w:rPr>
        <w:t>MINIMUM PARTICULARS TO APPEAR ON BLISTERS OR STRIPS</w:t>
      </w:r>
    </w:p>
    <w:p w14:paraId="1B680B77"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rPr>
      </w:pPr>
    </w:p>
    <w:p w14:paraId="1B680B78"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54EF1">
        <w:rPr>
          <w:b/>
          <w:color w:val="000000"/>
          <w:szCs w:val="22"/>
        </w:rPr>
        <w:t>BLISTERS</w:t>
      </w:r>
    </w:p>
    <w:p w14:paraId="1B680B79" w14:textId="77777777" w:rsidR="00633C4F" w:rsidRPr="00654EF1" w:rsidRDefault="00633C4F" w:rsidP="001D5C8C">
      <w:pPr>
        <w:widowControl w:val="0"/>
        <w:tabs>
          <w:tab w:val="clear" w:pos="567"/>
        </w:tabs>
        <w:spacing w:line="240" w:lineRule="auto"/>
        <w:rPr>
          <w:color w:val="000000"/>
          <w:szCs w:val="22"/>
        </w:rPr>
      </w:pPr>
    </w:p>
    <w:p w14:paraId="1B680B7A" w14:textId="77777777" w:rsidR="00633C4F" w:rsidRPr="00654EF1" w:rsidRDefault="00633C4F" w:rsidP="001D5C8C">
      <w:pPr>
        <w:widowControl w:val="0"/>
        <w:tabs>
          <w:tab w:val="clear" w:pos="567"/>
        </w:tabs>
        <w:spacing w:line="240" w:lineRule="auto"/>
        <w:rPr>
          <w:color w:val="000000"/>
          <w:szCs w:val="22"/>
        </w:rPr>
      </w:pPr>
    </w:p>
    <w:p w14:paraId="1B680B7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B7C" w14:textId="77777777" w:rsidR="00633C4F" w:rsidRPr="00654EF1" w:rsidRDefault="00633C4F" w:rsidP="001D5C8C">
      <w:pPr>
        <w:widowControl w:val="0"/>
        <w:tabs>
          <w:tab w:val="clear" w:pos="567"/>
        </w:tabs>
        <w:spacing w:line="240" w:lineRule="auto"/>
        <w:ind w:left="567" w:hanging="567"/>
        <w:rPr>
          <w:color w:val="000000"/>
          <w:szCs w:val="22"/>
        </w:rPr>
      </w:pPr>
    </w:p>
    <w:p w14:paraId="1B680B7D" w14:textId="77777777" w:rsidR="00633C4F" w:rsidRPr="00654EF1" w:rsidRDefault="00633C4F" w:rsidP="001D5C8C">
      <w:pPr>
        <w:widowControl w:val="0"/>
        <w:tabs>
          <w:tab w:val="clear" w:pos="567"/>
        </w:tabs>
        <w:spacing w:line="240" w:lineRule="auto"/>
        <w:ind w:left="567" w:hanging="567"/>
        <w:rPr>
          <w:color w:val="000000"/>
          <w:szCs w:val="22"/>
        </w:rPr>
      </w:pPr>
      <w:r w:rsidRPr="00654EF1">
        <w:rPr>
          <w:color w:val="000000"/>
          <w:szCs w:val="22"/>
        </w:rPr>
        <w:t>G</w:t>
      </w:r>
      <w:r w:rsidR="007E1D1E" w:rsidRPr="00654EF1">
        <w:rPr>
          <w:color w:val="000000"/>
          <w:szCs w:val="22"/>
        </w:rPr>
        <w:t>livec</w:t>
      </w:r>
      <w:r w:rsidRPr="00654EF1">
        <w:rPr>
          <w:color w:val="000000"/>
          <w:szCs w:val="22"/>
        </w:rPr>
        <w:t xml:space="preserve"> 100</w:t>
      </w:r>
      <w:r w:rsidR="002D524A" w:rsidRPr="00654EF1">
        <w:rPr>
          <w:color w:val="000000"/>
          <w:szCs w:val="22"/>
        </w:rPr>
        <w:t> mg</w:t>
      </w:r>
      <w:r w:rsidRPr="00654EF1">
        <w:rPr>
          <w:color w:val="000000"/>
          <w:szCs w:val="22"/>
        </w:rPr>
        <w:t xml:space="preserve"> capsules</w:t>
      </w:r>
    </w:p>
    <w:p w14:paraId="1B680B7E" w14:textId="77777777" w:rsidR="00633C4F" w:rsidRPr="00654EF1" w:rsidRDefault="00AB244E" w:rsidP="001D5C8C">
      <w:pPr>
        <w:widowControl w:val="0"/>
        <w:tabs>
          <w:tab w:val="clear" w:pos="567"/>
        </w:tabs>
        <w:spacing w:line="240" w:lineRule="auto"/>
        <w:ind w:left="567" w:hanging="567"/>
        <w:rPr>
          <w:color w:val="000000"/>
          <w:szCs w:val="22"/>
        </w:rPr>
      </w:pPr>
      <w:r w:rsidRPr="00654EF1">
        <w:rPr>
          <w:color w:val="000000"/>
          <w:szCs w:val="22"/>
        </w:rPr>
        <w:t>i</w:t>
      </w:r>
      <w:r w:rsidR="00633C4F" w:rsidRPr="00654EF1">
        <w:rPr>
          <w:color w:val="000000"/>
          <w:szCs w:val="22"/>
        </w:rPr>
        <w:t>matinib</w:t>
      </w:r>
    </w:p>
    <w:p w14:paraId="1B680B7F" w14:textId="77777777" w:rsidR="00633C4F" w:rsidRPr="00654EF1" w:rsidRDefault="00633C4F" w:rsidP="001D5C8C">
      <w:pPr>
        <w:widowControl w:val="0"/>
        <w:tabs>
          <w:tab w:val="clear" w:pos="567"/>
        </w:tabs>
        <w:spacing w:line="240" w:lineRule="auto"/>
        <w:rPr>
          <w:color w:val="000000"/>
          <w:szCs w:val="22"/>
        </w:rPr>
      </w:pPr>
    </w:p>
    <w:p w14:paraId="1B680B80" w14:textId="77777777" w:rsidR="00391FA4" w:rsidRPr="00654EF1" w:rsidRDefault="00391FA4" w:rsidP="001D5C8C">
      <w:pPr>
        <w:widowControl w:val="0"/>
        <w:tabs>
          <w:tab w:val="clear" w:pos="567"/>
        </w:tabs>
        <w:spacing w:line="240" w:lineRule="auto"/>
        <w:rPr>
          <w:color w:val="000000"/>
          <w:szCs w:val="22"/>
        </w:rPr>
      </w:pPr>
    </w:p>
    <w:p w14:paraId="1B680B81"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NAME OF THE MARKETING AUTHORISATION HOLDER</w:t>
      </w:r>
    </w:p>
    <w:p w14:paraId="1B680B82" w14:textId="77777777" w:rsidR="00633C4F" w:rsidRPr="00654EF1" w:rsidRDefault="00633C4F" w:rsidP="001D5C8C">
      <w:pPr>
        <w:widowControl w:val="0"/>
        <w:tabs>
          <w:tab w:val="clear" w:pos="567"/>
        </w:tabs>
        <w:spacing w:line="240" w:lineRule="auto"/>
        <w:rPr>
          <w:color w:val="000000"/>
          <w:szCs w:val="22"/>
        </w:rPr>
      </w:pPr>
    </w:p>
    <w:p w14:paraId="1B680B83" w14:textId="77777777" w:rsidR="00633C4F" w:rsidRPr="00654EF1" w:rsidRDefault="00633C4F" w:rsidP="001D5C8C">
      <w:pPr>
        <w:widowControl w:val="0"/>
        <w:tabs>
          <w:tab w:val="clear" w:pos="567"/>
        </w:tabs>
        <w:spacing w:line="240" w:lineRule="auto"/>
        <w:rPr>
          <w:color w:val="000000"/>
          <w:szCs w:val="22"/>
        </w:rPr>
      </w:pPr>
      <w:r w:rsidRPr="00654EF1">
        <w:rPr>
          <w:color w:val="000000"/>
          <w:szCs w:val="22"/>
        </w:rPr>
        <w:t>Novartis Europharm Limited</w:t>
      </w:r>
    </w:p>
    <w:p w14:paraId="1B680B84" w14:textId="77777777" w:rsidR="00633C4F" w:rsidRPr="00654EF1" w:rsidRDefault="00633C4F" w:rsidP="001D5C8C">
      <w:pPr>
        <w:widowControl w:val="0"/>
        <w:tabs>
          <w:tab w:val="clear" w:pos="567"/>
        </w:tabs>
        <w:spacing w:line="240" w:lineRule="auto"/>
        <w:rPr>
          <w:color w:val="000000"/>
          <w:szCs w:val="22"/>
        </w:rPr>
      </w:pPr>
    </w:p>
    <w:p w14:paraId="1B680B85" w14:textId="77777777" w:rsidR="00391FA4" w:rsidRPr="00654EF1" w:rsidRDefault="00391FA4" w:rsidP="001D5C8C">
      <w:pPr>
        <w:widowControl w:val="0"/>
        <w:tabs>
          <w:tab w:val="clear" w:pos="567"/>
        </w:tabs>
        <w:spacing w:line="240" w:lineRule="auto"/>
        <w:rPr>
          <w:color w:val="000000"/>
          <w:szCs w:val="22"/>
        </w:rPr>
      </w:pPr>
    </w:p>
    <w:p w14:paraId="1B680B8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EXPIRY DATE</w:t>
      </w:r>
    </w:p>
    <w:p w14:paraId="1B680B87" w14:textId="77777777" w:rsidR="00633C4F" w:rsidRPr="00654EF1" w:rsidRDefault="00633C4F" w:rsidP="001D5C8C">
      <w:pPr>
        <w:widowControl w:val="0"/>
        <w:tabs>
          <w:tab w:val="clear" w:pos="567"/>
        </w:tabs>
        <w:spacing w:line="240" w:lineRule="auto"/>
        <w:rPr>
          <w:color w:val="000000"/>
          <w:szCs w:val="22"/>
        </w:rPr>
      </w:pPr>
    </w:p>
    <w:p w14:paraId="1B680B88" w14:textId="77777777" w:rsidR="00633C4F" w:rsidRPr="00654EF1" w:rsidRDefault="00633C4F" w:rsidP="001D5C8C">
      <w:pPr>
        <w:pStyle w:val="EndnoteText"/>
        <w:widowControl w:val="0"/>
        <w:tabs>
          <w:tab w:val="clear" w:pos="567"/>
        </w:tabs>
        <w:rPr>
          <w:color w:val="000000"/>
          <w:szCs w:val="22"/>
        </w:rPr>
      </w:pPr>
      <w:r w:rsidRPr="00654EF1">
        <w:rPr>
          <w:color w:val="000000"/>
          <w:szCs w:val="22"/>
        </w:rPr>
        <w:t>EXP</w:t>
      </w:r>
    </w:p>
    <w:p w14:paraId="1B680B89" w14:textId="77777777" w:rsidR="00633C4F" w:rsidRPr="00654EF1" w:rsidRDefault="00633C4F" w:rsidP="001D5C8C">
      <w:pPr>
        <w:widowControl w:val="0"/>
        <w:tabs>
          <w:tab w:val="clear" w:pos="567"/>
        </w:tabs>
        <w:spacing w:line="240" w:lineRule="auto"/>
        <w:rPr>
          <w:color w:val="000000"/>
          <w:szCs w:val="22"/>
        </w:rPr>
      </w:pPr>
    </w:p>
    <w:p w14:paraId="1B680B8A" w14:textId="77777777" w:rsidR="00391FA4" w:rsidRPr="00654EF1" w:rsidRDefault="00391FA4" w:rsidP="001D5C8C">
      <w:pPr>
        <w:widowControl w:val="0"/>
        <w:tabs>
          <w:tab w:val="clear" w:pos="567"/>
        </w:tabs>
        <w:spacing w:line="240" w:lineRule="auto"/>
        <w:rPr>
          <w:color w:val="000000"/>
          <w:szCs w:val="22"/>
        </w:rPr>
      </w:pPr>
    </w:p>
    <w:p w14:paraId="1B680B8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BATCH NUMBER</w:t>
      </w:r>
    </w:p>
    <w:p w14:paraId="1B680B8C" w14:textId="77777777" w:rsidR="00633C4F" w:rsidRPr="00654EF1" w:rsidRDefault="00633C4F" w:rsidP="001D5C8C">
      <w:pPr>
        <w:widowControl w:val="0"/>
        <w:tabs>
          <w:tab w:val="clear" w:pos="567"/>
        </w:tabs>
        <w:spacing w:line="240" w:lineRule="auto"/>
        <w:rPr>
          <w:color w:val="000000"/>
          <w:szCs w:val="22"/>
        </w:rPr>
      </w:pPr>
    </w:p>
    <w:p w14:paraId="1B680B8D" w14:textId="77777777" w:rsidR="00155EF9" w:rsidRPr="00654EF1" w:rsidRDefault="00633C4F" w:rsidP="001D5C8C">
      <w:pPr>
        <w:widowControl w:val="0"/>
        <w:tabs>
          <w:tab w:val="clear" w:pos="567"/>
        </w:tabs>
        <w:spacing w:line="240" w:lineRule="auto"/>
        <w:rPr>
          <w:color w:val="000000"/>
          <w:szCs w:val="22"/>
        </w:rPr>
      </w:pPr>
      <w:r w:rsidRPr="00654EF1">
        <w:rPr>
          <w:color w:val="000000"/>
          <w:szCs w:val="22"/>
        </w:rPr>
        <w:t>Lot</w:t>
      </w:r>
    </w:p>
    <w:p w14:paraId="1B680B8E" w14:textId="77777777" w:rsidR="00155EF9" w:rsidRPr="00654EF1" w:rsidRDefault="00155EF9" w:rsidP="001D5C8C">
      <w:pPr>
        <w:widowControl w:val="0"/>
        <w:tabs>
          <w:tab w:val="clear" w:pos="567"/>
        </w:tabs>
        <w:spacing w:line="240" w:lineRule="auto"/>
        <w:rPr>
          <w:color w:val="000000"/>
          <w:szCs w:val="22"/>
        </w:rPr>
      </w:pPr>
    </w:p>
    <w:p w14:paraId="1B680B8F" w14:textId="77777777" w:rsidR="00155EF9" w:rsidRPr="00654EF1" w:rsidRDefault="00155EF9" w:rsidP="001D5C8C">
      <w:pPr>
        <w:widowControl w:val="0"/>
        <w:tabs>
          <w:tab w:val="clear" w:pos="567"/>
        </w:tabs>
        <w:spacing w:line="240" w:lineRule="auto"/>
        <w:rPr>
          <w:color w:val="000000"/>
          <w:szCs w:val="22"/>
        </w:rPr>
      </w:pPr>
    </w:p>
    <w:p w14:paraId="1B680B9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54EF1">
        <w:rPr>
          <w:b/>
          <w:noProof/>
          <w:color w:val="000000"/>
        </w:rPr>
        <w:t>5.</w:t>
      </w:r>
      <w:r w:rsidRPr="00654EF1">
        <w:rPr>
          <w:b/>
          <w:noProof/>
          <w:color w:val="000000"/>
        </w:rPr>
        <w:tab/>
        <w:t>OTHER</w:t>
      </w:r>
    </w:p>
    <w:p w14:paraId="1B680B91" w14:textId="77777777" w:rsidR="00633C4F" w:rsidRPr="00654EF1" w:rsidRDefault="00633C4F" w:rsidP="001D5C8C">
      <w:pPr>
        <w:widowControl w:val="0"/>
        <w:tabs>
          <w:tab w:val="clear" w:pos="567"/>
        </w:tabs>
        <w:spacing w:line="240" w:lineRule="auto"/>
        <w:rPr>
          <w:color w:val="000000"/>
          <w:szCs w:val="22"/>
        </w:rPr>
      </w:pPr>
    </w:p>
    <w:p w14:paraId="1B680B92" w14:textId="77777777" w:rsidR="006237AB" w:rsidRPr="00654EF1" w:rsidRDefault="00633C4F" w:rsidP="001D5C8C">
      <w:pPr>
        <w:widowControl w:val="0"/>
        <w:spacing w:line="240" w:lineRule="auto"/>
        <w:rPr>
          <w:color w:val="000000"/>
          <w:szCs w:val="22"/>
        </w:rPr>
      </w:pPr>
      <w:r w:rsidRPr="00654EF1">
        <w:rPr>
          <w:color w:val="000000"/>
          <w:szCs w:val="22"/>
        </w:rPr>
        <w:br w:type="page"/>
      </w:r>
    </w:p>
    <w:p w14:paraId="1B680B93" w14:textId="77777777" w:rsidR="005E7BE5" w:rsidRPr="005E7BE5" w:rsidRDefault="005E7BE5" w:rsidP="005E7BE5">
      <w:pPr>
        <w:widowControl w:val="0"/>
        <w:spacing w:line="240" w:lineRule="auto"/>
        <w:rPr>
          <w:color w:val="000000"/>
          <w:szCs w:val="22"/>
        </w:rPr>
      </w:pPr>
    </w:p>
    <w:p w14:paraId="1B680B9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PARTICULARS TO APPEAR ON THE OUTER PACKAGING</w:t>
      </w:r>
    </w:p>
    <w:p w14:paraId="1B680B9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p>
    <w:p w14:paraId="1B680B9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CARTON</w:t>
      </w:r>
    </w:p>
    <w:p w14:paraId="1B680B97" w14:textId="77777777" w:rsidR="006237AB" w:rsidRPr="00654EF1" w:rsidRDefault="006237AB" w:rsidP="001D5C8C">
      <w:pPr>
        <w:widowControl w:val="0"/>
        <w:spacing w:line="240" w:lineRule="auto"/>
        <w:rPr>
          <w:color w:val="000000"/>
          <w:szCs w:val="22"/>
        </w:rPr>
      </w:pPr>
    </w:p>
    <w:p w14:paraId="1B680B98" w14:textId="77777777" w:rsidR="001B0362" w:rsidRPr="00654EF1" w:rsidRDefault="001B0362" w:rsidP="001D5C8C">
      <w:pPr>
        <w:widowControl w:val="0"/>
        <w:spacing w:line="240" w:lineRule="auto"/>
        <w:rPr>
          <w:color w:val="000000"/>
          <w:szCs w:val="22"/>
        </w:rPr>
      </w:pPr>
    </w:p>
    <w:p w14:paraId="1B680B99"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B9A" w14:textId="77777777" w:rsidR="006237AB" w:rsidRPr="00654EF1" w:rsidRDefault="006237AB" w:rsidP="001D5C8C">
      <w:pPr>
        <w:widowControl w:val="0"/>
        <w:spacing w:line="240" w:lineRule="auto"/>
        <w:rPr>
          <w:color w:val="000000"/>
          <w:szCs w:val="22"/>
        </w:rPr>
      </w:pPr>
    </w:p>
    <w:p w14:paraId="1B680B9B" w14:textId="77777777" w:rsidR="006237AB" w:rsidRPr="00654EF1" w:rsidRDefault="006237AB" w:rsidP="001D5C8C">
      <w:pPr>
        <w:widowControl w:val="0"/>
        <w:spacing w:line="240" w:lineRule="auto"/>
        <w:rPr>
          <w:color w:val="000000"/>
          <w:szCs w:val="22"/>
        </w:rPr>
      </w:pPr>
      <w:r w:rsidRPr="00654EF1">
        <w:rPr>
          <w:color w:val="000000"/>
          <w:szCs w:val="22"/>
        </w:rPr>
        <w:t>G</w:t>
      </w:r>
      <w:r w:rsidR="007E1D1E" w:rsidRPr="00654EF1">
        <w:rPr>
          <w:color w:val="000000"/>
          <w:szCs w:val="22"/>
        </w:rPr>
        <w:t>livec</w:t>
      </w:r>
      <w:r w:rsidRPr="00654EF1">
        <w:rPr>
          <w:color w:val="000000"/>
          <w:szCs w:val="22"/>
        </w:rPr>
        <w:t xml:space="preserve"> 100</w:t>
      </w:r>
      <w:r w:rsidR="002D524A" w:rsidRPr="00654EF1">
        <w:rPr>
          <w:color w:val="000000"/>
          <w:szCs w:val="22"/>
        </w:rPr>
        <w:t> mg</w:t>
      </w:r>
      <w:r w:rsidRPr="00654EF1">
        <w:rPr>
          <w:color w:val="000000"/>
          <w:szCs w:val="22"/>
        </w:rPr>
        <w:t xml:space="preserve"> film-coated tablets</w:t>
      </w:r>
    </w:p>
    <w:p w14:paraId="1B680B9C" w14:textId="77777777" w:rsidR="006237AB" w:rsidRPr="00654EF1" w:rsidRDefault="00AB244E" w:rsidP="001D5C8C">
      <w:pPr>
        <w:widowControl w:val="0"/>
        <w:spacing w:line="240" w:lineRule="auto"/>
        <w:rPr>
          <w:color w:val="000000"/>
          <w:szCs w:val="22"/>
        </w:rPr>
      </w:pPr>
      <w:r w:rsidRPr="00654EF1">
        <w:rPr>
          <w:color w:val="000000"/>
          <w:szCs w:val="22"/>
        </w:rPr>
        <w:t>i</w:t>
      </w:r>
      <w:r w:rsidR="006237AB" w:rsidRPr="00654EF1">
        <w:rPr>
          <w:color w:val="000000"/>
          <w:szCs w:val="22"/>
        </w:rPr>
        <w:t>matinib</w:t>
      </w:r>
    </w:p>
    <w:p w14:paraId="1B680B9D" w14:textId="77777777" w:rsidR="006237AB" w:rsidRPr="00654EF1" w:rsidRDefault="006237AB" w:rsidP="001D5C8C">
      <w:pPr>
        <w:widowControl w:val="0"/>
        <w:spacing w:line="240" w:lineRule="auto"/>
        <w:rPr>
          <w:color w:val="000000"/>
          <w:szCs w:val="22"/>
        </w:rPr>
      </w:pPr>
    </w:p>
    <w:p w14:paraId="1B680B9E" w14:textId="77777777" w:rsidR="001B0362" w:rsidRPr="00654EF1" w:rsidRDefault="001B0362" w:rsidP="001D5C8C">
      <w:pPr>
        <w:widowControl w:val="0"/>
        <w:spacing w:line="240" w:lineRule="auto"/>
        <w:rPr>
          <w:color w:val="000000"/>
          <w:szCs w:val="22"/>
        </w:rPr>
      </w:pPr>
    </w:p>
    <w:p w14:paraId="1B680B9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STATEMENT OF ACTIVE SUBSTANCE(S)</w:t>
      </w:r>
    </w:p>
    <w:p w14:paraId="1B680BA0" w14:textId="77777777" w:rsidR="006237AB" w:rsidRPr="00654EF1" w:rsidRDefault="006237AB" w:rsidP="001D5C8C">
      <w:pPr>
        <w:widowControl w:val="0"/>
        <w:spacing w:line="240" w:lineRule="auto"/>
        <w:rPr>
          <w:color w:val="000000"/>
          <w:szCs w:val="22"/>
        </w:rPr>
      </w:pPr>
    </w:p>
    <w:p w14:paraId="1B680BA1" w14:textId="77777777" w:rsidR="006237AB" w:rsidRPr="00654EF1" w:rsidRDefault="006237AB" w:rsidP="001D5C8C">
      <w:pPr>
        <w:widowControl w:val="0"/>
        <w:spacing w:line="240" w:lineRule="auto"/>
        <w:rPr>
          <w:color w:val="000000"/>
          <w:szCs w:val="22"/>
        </w:rPr>
      </w:pPr>
      <w:r w:rsidRPr="00654EF1">
        <w:rPr>
          <w:color w:val="000000"/>
          <w:szCs w:val="22"/>
        </w:rPr>
        <w:t>Each film-coated tablet contains 100</w:t>
      </w:r>
      <w:r w:rsidR="002D524A" w:rsidRPr="00654EF1">
        <w:rPr>
          <w:color w:val="000000"/>
          <w:szCs w:val="22"/>
        </w:rPr>
        <w:t> mg</w:t>
      </w:r>
      <w:r w:rsidRPr="00654EF1">
        <w:rPr>
          <w:color w:val="000000"/>
          <w:szCs w:val="22"/>
        </w:rPr>
        <w:t xml:space="preserve"> imatinib (as mesilate)</w:t>
      </w:r>
      <w:r w:rsidR="004E1888" w:rsidRPr="00654EF1">
        <w:rPr>
          <w:color w:val="000000"/>
          <w:szCs w:val="22"/>
        </w:rPr>
        <w:t>.</w:t>
      </w:r>
    </w:p>
    <w:p w14:paraId="1B680BA2" w14:textId="77777777" w:rsidR="006237AB" w:rsidRPr="00654EF1" w:rsidRDefault="006237AB" w:rsidP="001D5C8C">
      <w:pPr>
        <w:widowControl w:val="0"/>
        <w:spacing w:line="240" w:lineRule="auto"/>
        <w:rPr>
          <w:color w:val="000000"/>
          <w:szCs w:val="22"/>
        </w:rPr>
      </w:pPr>
    </w:p>
    <w:p w14:paraId="1B680BA3" w14:textId="77777777" w:rsidR="001B0362" w:rsidRPr="00654EF1" w:rsidRDefault="001B0362" w:rsidP="001D5C8C">
      <w:pPr>
        <w:widowControl w:val="0"/>
        <w:spacing w:line="240" w:lineRule="auto"/>
        <w:rPr>
          <w:color w:val="000000"/>
          <w:szCs w:val="22"/>
        </w:rPr>
      </w:pPr>
    </w:p>
    <w:p w14:paraId="1B680BA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LIST OF EXCIPIENTS</w:t>
      </w:r>
    </w:p>
    <w:p w14:paraId="1B680BA5" w14:textId="77777777" w:rsidR="006237AB" w:rsidRPr="00654EF1" w:rsidRDefault="006237AB" w:rsidP="001D5C8C">
      <w:pPr>
        <w:widowControl w:val="0"/>
        <w:spacing w:line="240" w:lineRule="auto"/>
        <w:rPr>
          <w:color w:val="000000"/>
          <w:szCs w:val="22"/>
        </w:rPr>
      </w:pPr>
    </w:p>
    <w:p w14:paraId="1B680BA6" w14:textId="77777777" w:rsidR="006237AB" w:rsidRPr="00654EF1" w:rsidRDefault="006237AB" w:rsidP="001D5C8C">
      <w:pPr>
        <w:widowControl w:val="0"/>
        <w:spacing w:line="240" w:lineRule="auto"/>
        <w:rPr>
          <w:color w:val="000000"/>
          <w:szCs w:val="22"/>
        </w:rPr>
      </w:pPr>
    </w:p>
    <w:p w14:paraId="1B680BA7"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 xml:space="preserve">PHARMACEUTICAL </w:t>
      </w:r>
      <w:smartTag w:uri="urn:schemas-microsoft-com:office:smarttags" w:element="stockticker">
        <w:r w:rsidRPr="00654EF1">
          <w:rPr>
            <w:b/>
            <w:color w:val="000000"/>
            <w:szCs w:val="22"/>
          </w:rPr>
          <w:t>FORM</w:t>
        </w:r>
      </w:smartTag>
      <w:r w:rsidRPr="00654EF1">
        <w:rPr>
          <w:b/>
          <w:color w:val="000000"/>
          <w:szCs w:val="22"/>
        </w:rPr>
        <w:t xml:space="preserve"> </w:t>
      </w:r>
      <w:smartTag w:uri="urn:schemas-microsoft-com:office:smarttags" w:element="stockticker">
        <w:r w:rsidRPr="00654EF1">
          <w:rPr>
            <w:b/>
            <w:color w:val="000000"/>
            <w:szCs w:val="22"/>
          </w:rPr>
          <w:t>AND</w:t>
        </w:r>
      </w:smartTag>
      <w:r w:rsidRPr="00654EF1">
        <w:rPr>
          <w:b/>
          <w:color w:val="000000"/>
          <w:szCs w:val="22"/>
        </w:rPr>
        <w:t xml:space="preserve"> CONTENTS</w:t>
      </w:r>
    </w:p>
    <w:p w14:paraId="1B680BA8" w14:textId="77777777" w:rsidR="006237AB" w:rsidRPr="00654EF1" w:rsidRDefault="006237AB" w:rsidP="001D5C8C">
      <w:pPr>
        <w:widowControl w:val="0"/>
        <w:spacing w:line="240" w:lineRule="auto"/>
        <w:rPr>
          <w:color w:val="000000"/>
          <w:szCs w:val="22"/>
        </w:rPr>
      </w:pPr>
    </w:p>
    <w:p w14:paraId="1B680BA9" w14:textId="77777777" w:rsidR="006237AB" w:rsidRPr="00654EF1" w:rsidRDefault="006237AB" w:rsidP="001D5C8C">
      <w:pPr>
        <w:pStyle w:val="EndnoteText"/>
        <w:widowControl w:val="0"/>
        <w:rPr>
          <w:color w:val="000000"/>
          <w:szCs w:val="22"/>
        </w:rPr>
      </w:pPr>
      <w:r w:rsidRPr="006E0EF5">
        <w:rPr>
          <w:color w:val="000000"/>
          <w:szCs w:val="22"/>
        </w:rPr>
        <w:t>20</w:t>
      </w:r>
      <w:r w:rsidR="001B0362" w:rsidRPr="006E0EF5">
        <w:rPr>
          <w:color w:val="000000"/>
          <w:szCs w:val="22"/>
        </w:rPr>
        <w:t> </w:t>
      </w:r>
      <w:r w:rsidRPr="006E0EF5">
        <w:rPr>
          <w:color w:val="000000"/>
          <w:szCs w:val="22"/>
        </w:rPr>
        <w:t>film-coated tablets</w:t>
      </w:r>
    </w:p>
    <w:p w14:paraId="1B680BAA" w14:textId="77777777" w:rsidR="006237AB" w:rsidRPr="00654EF1" w:rsidRDefault="001B0362" w:rsidP="001D5C8C">
      <w:pPr>
        <w:widowControl w:val="0"/>
        <w:spacing w:line="240" w:lineRule="auto"/>
        <w:rPr>
          <w:color w:val="000000"/>
          <w:szCs w:val="22"/>
          <w:shd w:val="clear" w:color="auto" w:fill="D9D9D9"/>
        </w:rPr>
      </w:pPr>
      <w:r w:rsidRPr="00654EF1">
        <w:rPr>
          <w:color w:val="000000"/>
          <w:szCs w:val="22"/>
          <w:shd w:val="clear" w:color="auto" w:fill="D9D9D9"/>
        </w:rPr>
        <w:t>60 film-coated tablets</w:t>
      </w:r>
    </w:p>
    <w:p w14:paraId="1B680BAB" w14:textId="77777777" w:rsidR="001B0362" w:rsidRPr="00654EF1" w:rsidRDefault="001B0362" w:rsidP="001D5C8C">
      <w:pPr>
        <w:widowControl w:val="0"/>
        <w:spacing w:line="240" w:lineRule="auto"/>
        <w:rPr>
          <w:color w:val="000000"/>
          <w:szCs w:val="22"/>
          <w:shd w:val="clear" w:color="auto" w:fill="D9D9D9"/>
        </w:rPr>
      </w:pPr>
      <w:r w:rsidRPr="00654EF1">
        <w:rPr>
          <w:color w:val="000000"/>
          <w:szCs w:val="22"/>
          <w:shd w:val="clear" w:color="auto" w:fill="D9D9D9"/>
        </w:rPr>
        <w:t>120 film-coated tablets</w:t>
      </w:r>
    </w:p>
    <w:p w14:paraId="1B680BAC" w14:textId="77777777" w:rsidR="001B0362" w:rsidRPr="00654EF1" w:rsidRDefault="001B0362" w:rsidP="001D5C8C">
      <w:pPr>
        <w:widowControl w:val="0"/>
        <w:spacing w:line="240" w:lineRule="auto"/>
        <w:rPr>
          <w:color w:val="000000"/>
          <w:szCs w:val="22"/>
          <w:shd w:val="clear" w:color="auto" w:fill="D9D9D9"/>
        </w:rPr>
      </w:pPr>
      <w:r w:rsidRPr="00654EF1">
        <w:rPr>
          <w:color w:val="000000"/>
          <w:szCs w:val="22"/>
          <w:shd w:val="clear" w:color="auto" w:fill="D9D9D9"/>
        </w:rPr>
        <w:t>180 film-coated tablets</w:t>
      </w:r>
    </w:p>
    <w:p w14:paraId="1B680BAD" w14:textId="77777777" w:rsidR="001B0362" w:rsidRPr="00654EF1" w:rsidRDefault="001B0362" w:rsidP="001D5C8C">
      <w:pPr>
        <w:widowControl w:val="0"/>
        <w:spacing w:line="240" w:lineRule="auto"/>
        <w:rPr>
          <w:color w:val="000000"/>
          <w:szCs w:val="22"/>
        </w:rPr>
      </w:pPr>
    </w:p>
    <w:p w14:paraId="1B680BAE" w14:textId="77777777" w:rsidR="001B0362" w:rsidRPr="00654EF1" w:rsidRDefault="001B0362" w:rsidP="001D5C8C">
      <w:pPr>
        <w:widowControl w:val="0"/>
        <w:spacing w:line="240" w:lineRule="auto"/>
        <w:rPr>
          <w:color w:val="000000"/>
          <w:szCs w:val="22"/>
        </w:rPr>
      </w:pPr>
    </w:p>
    <w:p w14:paraId="1B680BA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5.</w:t>
      </w:r>
      <w:r w:rsidRPr="00654EF1">
        <w:rPr>
          <w:b/>
          <w:color w:val="000000"/>
          <w:szCs w:val="22"/>
        </w:rPr>
        <w:tab/>
        <w:t xml:space="preserve">METHOD </w:t>
      </w:r>
      <w:smartTag w:uri="urn:schemas-microsoft-com:office:smarttags" w:element="stockticker">
        <w:r w:rsidRPr="00654EF1">
          <w:rPr>
            <w:b/>
            <w:color w:val="000000"/>
            <w:szCs w:val="22"/>
          </w:rPr>
          <w:t>AND</w:t>
        </w:r>
      </w:smartTag>
      <w:r w:rsidRPr="00654EF1">
        <w:rPr>
          <w:b/>
          <w:color w:val="000000"/>
          <w:szCs w:val="22"/>
        </w:rPr>
        <w:t xml:space="preserve"> ROUTE(S) OF ADMINISTRATION</w:t>
      </w:r>
    </w:p>
    <w:p w14:paraId="1B680BB0" w14:textId="77777777" w:rsidR="006237AB" w:rsidRPr="00654EF1" w:rsidRDefault="006237AB" w:rsidP="001D5C8C">
      <w:pPr>
        <w:widowControl w:val="0"/>
        <w:spacing w:line="240" w:lineRule="auto"/>
        <w:rPr>
          <w:color w:val="000000"/>
          <w:szCs w:val="22"/>
        </w:rPr>
      </w:pPr>
    </w:p>
    <w:p w14:paraId="1B680BB1"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Oral use. Read the package leaflet before use.</w:t>
      </w:r>
    </w:p>
    <w:p w14:paraId="1B680BB2" w14:textId="77777777" w:rsidR="006237AB" w:rsidRPr="00654EF1" w:rsidRDefault="006237AB" w:rsidP="001D5C8C">
      <w:pPr>
        <w:widowControl w:val="0"/>
        <w:spacing w:line="240" w:lineRule="auto"/>
        <w:rPr>
          <w:color w:val="000000"/>
          <w:szCs w:val="22"/>
        </w:rPr>
      </w:pPr>
    </w:p>
    <w:p w14:paraId="1B680BB3" w14:textId="77777777" w:rsidR="00F428C6" w:rsidRPr="00654EF1" w:rsidRDefault="00F428C6" w:rsidP="001D5C8C">
      <w:pPr>
        <w:widowControl w:val="0"/>
        <w:tabs>
          <w:tab w:val="clear" w:pos="567"/>
        </w:tabs>
        <w:spacing w:line="240" w:lineRule="auto"/>
        <w:rPr>
          <w:color w:val="000000"/>
          <w:szCs w:val="22"/>
        </w:rPr>
      </w:pPr>
    </w:p>
    <w:p w14:paraId="1B680BB4" w14:textId="77777777" w:rsidR="00F428C6" w:rsidRPr="00654EF1" w:rsidRDefault="00F428C6"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6.</w:t>
      </w:r>
      <w:r w:rsidRPr="00654EF1">
        <w:rPr>
          <w:b/>
          <w:color w:val="000000"/>
          <w:szCs w:val="22"/>
        </w:rPr>
        <w:tab/>
        <w:t>SPECIAL WARNING THAT THE MEDICINAL PRODUCT MUST BE STORED OUT OF THE SIGHT AND REACH OF CHILDREN</w:t>
      </w:r>
    </w:p>
    <w:p w14:paraId="1B680BB5" w14:textId="77777777" w:rsidR="00F428C6" w:rsidRPr="00654EF1" w:rsidRDefault="00F428C6" w:rsidP="001D5C8C">
      <w:pPr>
        <w:widowControl w:val="0"/>
        <w:tabs>
          <w:tab w:val="clear" w:pos="567"/>
        </w:tabs>
        <w:spacing w:line="240" w:lineRule="auto"/>
        <w:rPr>
          <w:color w:val="000000"/>
          <w:szCs w:val="22"/>
        </w:rPr>
      </w:pPr>
    </w:p>
    <w:p w14:paraId="1B680BB6" w14:textId="77777777" w:rsidR="00F428C6" w:rsidRPr="00654EF1" w:rsidRDefault="00F428C6" w:rsidP="001D5C8C">
      <w:pPr>
        <w:widowControl w:val="0"/>
        <w:tabs>
          <w:tab w:val="clear" w:pos="567"/>
        </w:tabs>
        <w:spacing w:line="240" w:lineRule="auto"/>
        <w:rPr>
          <w:color w:val="000000"/>
          <w:szCs w:val="22"/>
        </w:rPr>
      </w:pPr>
      <w:r w:rsidRPr="00654EF1">
        <w:rPr>
          <w:color w:val="000000"/>
          <w:szCs w:val="22"/>
        </w:rPr>
        <w:t>Keep out of the sight and reach of children.</w:t>
      </w:r>
    </w:p>
    <w:p w14:paraId="1B680BB7" w14:textId="77777777" w:rsidR="006237AB" w:rsidRPr="00654EF1" w:rsidRDefault="006237AB" w:rsidP="001D5C8C">
      <w:pPr>
        <w:widowControl w:val="0"/>
        <w:spacing w:line="240" w:lineRule="auto"/>
        <w:rPr>
          <w:color w:val="000000"/>
          <w:szCs w:val="22"/>
        </w:rPr>
      </w:pPr>
    </w:p>
    <w:p w14:paraId="1B680BB8" w14:textId="77777777" w:rsidR="001B0362" w:rsidRPr="00654EF1" w:rsidRDefault="001B0362" w:rsidP="001D5C8C">
      <w:pPr>
        <w:widowControl w:val="0"/>
        <w:spacing w:line="240" w:lineRule="auto"/>
        <w:rPr>
          <w:color w:val="000000"/>
          <w:szCs w:val="22"/>
        </w:rPr>
      </w:pPr>
    </w:p>
    <w:p w14:paraId="1B680BB9"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7.</w:t>
      </w:r>
      <w:r w:rsidRPr="00654EF1">
        <w:rPr>
          <w:b/>
          <w:color w:val="000000"/>
          <w:szCs w:val="22"/>
        </w:rPr>
        <w:tab/>
        <w:t>OTHER SPECIAL WARNING(S), IF NECESSARY</w:t>
      </w:r>
    </w:p>
    <w:p w14:paraId="1B680BBA" w14:textId="77777777" w:rsidR="006237AB" w:rsidRPr="00654EF1" w:rsidRDefault="006237AB" w:rsidP="001D5C8C">
      <w:pPr>
        <w:widowControl w:val="0"/>
        <w:spacing w:line="240" w:lineRule="auto"/>
        <w:rPr>
          <w:color w:val="000000"/>
          <w:szCs w:val="22"/>
        </w:rPr>
      </w:pPr>
    </w:p>
    <w:p w14:paraId="1B680BBB"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Use only as directed by a doctor</w:t>
      </w:r>
      <w:r w:rsidR="004E1888" w:rsidRPr="00654EF1">
        <w:rPr>
          <w:color w:val="000000"/>
          <w:szCs w:val="22"/>
        </w:rPr>
        <w:t>.</w:t>
      </w:r>
    </w:p>
    <w:p w14:paraId="1B680BBC" w14:textId="77777777" w:rsidR="006237AB" w:rsidRPr="00654EF1" w:rsidRDefault="006237AB" w:rsidP="001D5C8C">
      <w:pPr>
        <w:widowControl w:val="0"/>
        <w:spacing w:line="240" w:lineRule="auto"/>
        <w:rPr>
          <w:color w:val="000000"/>
          <w:szCs w:val="22"/>
        </w:rPr>
      </w:pPr>
    </w:p>
    <w:p w14:paraId="1B680BBD" w14:textId="77777777" w:rsidR="001B0362" w:rsidRPr="00654EF1" w:rsidRDefault="001B0362" w:rsidP="001D5C8C">
      <w:pPr>
        <w:widowControl w:val="0"/>
        <w:spacing w:line="240" w:lineRule="auto"/>
        <w:rPr>
          <w:color w:val="000000"/>
          <w:szCs w:val="22"/>
        </w:rPr>
      </w:pPr>
    </w:p>
    <w:p w14:paraId="1B680BBE"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8.</w:t>
      </w:r>
      <w:r w:rsidRPr="00654EF1">
        <w:rPr>
          <w:b/>
          <w:color w:val="000000"/>
          <w:szCs w:val="22"/>
        </w:rPr>
        <w:tab/>
        <w:t>EXPIRY DATE</w:t>
      </w:r>
    </w:p>
    <w:p w14:paraId="1B680BBF" w14:textId="77777777" w:rsidR="006237AB" w:rsidRPr="00654EF1" w:rsidRDefault="006237AB" w:rsidP="001D5C8C">
      <w:pPr>
        <w:widowControl w:val="0"/>
        <w:spacing w:line="240" w:lineRule="auto"/>
        <w:rPr>
          <w:color w:val="000000"/>
          <w:szCs w:val="22"/>
        </w:rPr>
      </w:pPr>
    </w:p>
    <w:p w14:paraId="1B680BC0"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EXP</w:t>
      </w:r>
    </w:p>
    <w:p w14:paraId="1B680BC1" w14:textId="77777777" w:rsidR="006237AB" w:rsidRPr="00654EF1" w:rsidRDefault="006237AB" w:rsidP="001D5C8C">
      <w:pPr>
        <w:widowControl w:val="0"/>
        <w:spacing w:line="240" w:lineRule="auto"/>
        <w:rPr>
          <w:color w:val="000000"/>
          <w:szCs w:val="22"/>
        </w:rPr>
      </w:pPr>
    </w:p>
    <w:p w14:paraId="1B680BC2" w14:textId="77777777" w:rsidR="001B0362" w:rsidRPr="00654EF1" w:rsidRDefault="001B0362" w:rsidP="001D5C8C">
      <w:pPr>
        <w:widowControl w:val="0"/>
        <w:spacing w:line="240" w:lineRule="auto"/>
        <w:rPr>
          <w:color w:val="000000"/>
          <w:szCs w:val="22"/>
        </w:rPr>
      </w:pPr>
    </w:p>
    <w:p w14:paraId="1B680BC3" w14:textId="77777777" w:rsidR="00C0396A" w:rsidRPr="00654EF1" w:rsidRDefault="00C0396A" w:rsidP="001D5C8C">
      <w:pPr>
        <w:keepNext/>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color w:val="000000"/>
          <w:szCs w:val="22"/>
        </w:rPr>
      </w:pPr>
      <w:r w:rsidRPr="00654EF1">
        <w:rPr>
          <w:b/>
          <w:color w:val="000000"/>
          <w:szCs w:val="22"/>
        </w:rPr>
        <w:t>9.</w:t>
      </w:r>
      <w:r w:rsidRPr="00654EF1">
        <w:rPr>
          <w:b/>
          <w:color w:val="000000"/>
          <w:szCs w:val="22"/>
        </w:rPr>
        <w:tab/>
        <w:t>SPECIAL STORAGE CONDITIONS</w:t>
      </w:r>
    </w:p>
    <w:p w14:paraId="1B680BC4" w14:textId="77777777" w:rsidR="006237AB" w:rsidRPr="00654EF1" w:rsidRDefault="006237AB" w:rsidP="001D5C8C">
      <w:pPr>
        <w:keepNext/>
        <w:widowControl w:val="0"/>
        <w:spacing w:line="240" w:lineRule="auto"/>
        <w:rPr>
          <w:color w:val="000000"/>
          <w:szCs w:val="22"/>
        </w:rPr>
      </w:pPr>
    </w:p>
    <w:p w14:paraId="1B680BC5" w14:textId="77777777" w:rsidR="00C703BD" w:rsidRPr="00654EF1" w:rsidRDefault="006237AB" w:rsidP="001D5C8C">
      <w:pPr>
        <w:widowControl w:val="0"/>
        <w:spacing w:line="240" w:lineRule="auto"/>
        <w:rPr>
          <w:color w:val="000000"/>
          <w:szCs w:val="22"/>
        </w:rPr>
      </w:pPr>
      <w:r w:rsidRPr="00654EF1">
        <w:rPr>
          <w:color w:val="000000"/>
          <w:szCs w:val="22"/>
        </w:rPr>
        <w:t>Do not store above 30</w:t>
      </w:r>
      <w:r w:rsidR="00A36A10" w:rsidRPr="00654EF1">
        <w:rPr>
          <w:color w:val="000000"/>
          <w:szCs w:val="22"/>
        </w:rPr>
        <w:sym w:font="Symbol" w:char="F0B0"/>
      </w:r>
      <w:r w:rsidRPr="00654EF1">
        <w:rPr>
          <w:color w:val="000000"/>
          <w:szCs w:val="22"/>
        </w:rPr>
        <w:t>C.</w:t>
      </w:r>
      <w:r w:rsidR="00D51040" w:rsidRPr="00654EF1">
        <w:rPr>
          <w:color w:val="000000"/>
          <w:szCs w:val="22"/>
        </w:rPr>
        <w:t xml:space="preserve"> </w:t>
      </w:r>
      <w:r w:rsidRPr="00654EF1">
        <w:rPr>
          <w:color w:val="000000"/>
          <w:szCs w:val="22"/>
        </w:rPr>
        <w:t>Store in the original package in order to protect from moisture.</w:t>
      </w:r>
    </w:p>
    <w:p w14:paraId="1B680BC6" w14:textId="77777777" w:rsidR="006237AB" w:rsidRPr="00654EF1" w:rsidRDefault="006237AB" w:rsidP="001D5C8C">
      <w:pPr>
        <w:widowControl w:val="0"/>
        <w:spacing w:line="240" w:lineRule="auto"/>
        <w:rPr>
          <w:color w:val="000000"/>
          <w:szCs w:val="22"/>
        </w:rPr>
      </w:pPr>
    </w:p>
    <w:p w14:paraId="1B680BC7" w14:textId="77777777" w:rsidR="001B0362" w:rsidRPr="00654EF1" w:rsidRDefault="001B0362" w:rsidP="001D5C8C">
      <w:pPr>
        <w:widowControl w:val="0"/>
        <w:spacing w:line="240" w:lineRule="auto"/>
        <w:rPr>
          <w:color w:val="000000"/>
          <w:szCs w:val="22"/>
        </w:rPr>
      </w:pPr>
    </w:p>
    <w:p w14:paraId="1B680BC8" w14:textId="77777777" w:rsidR="00C0396A" w:rsidRPr="00654EF1" w:rsidRDefault="00C0396A" w:rsidP="005E7BE5">
      <w:pPr>
        <w:keepNext/>
        <w:keepLines/>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lastRenderedPageBreak/>
        <w:t>10.</w:t>
      </w:r>
      <w:r w:rsidRPr="00654EF1">
        <w:rPr>
          <w:b/>
          <w:color w:val="000000"/>
          <w:szCs w:val="22"/>
        </w:rPr>
        <w:tab/>
        <w:t>SPECIAL PRECAUTIONS FOR DISPOSAL OF UNUSED MEDICINAL PRODUCTS OR WASTE MATERIALS DERIVED FROM SUCH MEDICINAL PRODUCTS, IF APPROPRIATE</w:t>
      </w:r>
    </w:p>
    <w:p w14:paraId="1B680BC9" w14:textId="77777777" w:rsidR="006237AB" w:rsidRPr="00654EF1" w:rsidRDefault="006237AB" w:rsidP="001D5C8C">
      <w:pPr>
        <w:widowControl w:val="0"/>
        <w:spacing w:line="240" w:lineRule="auto"/>
        <w:rPr>
          <w:color w:val="000000"/>
          <w:szCs w:val="22"/>
        </w:rPr>
      </w:pPr>
    </w:p>
    <w:p w14:paraId="1B680BCA" w14:textId="77777777" w:rsidR="006237AB" w:rsidRPr="00654EF1" w:rsidRDefault="006237AB" w:rsidP="001D5C8C">
      <w:pPr>
        <w:widowControl w:val="0"/>
        <w:spacing w:line="240" w:lineRule="auto"/>
        <w:rPr>
          <w:color w:val="000000"/>
          <w:szCs w:val="22"/>
        </w:rPr>
      </w:pPr>
    </w:p>
    <w:p w14:paraId="1B680BC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11.</w:t>
      </w:r>
      <w:r w:rsidRPr="00654EF1">
        <w:rPr>
          <w:b/>
          <w:color w:val="000000"/>
          <w:szCs w:val="22"/>
        </w:rPr>
        <w:tab/>
        <w:t xml:space="preserve">NAME </w:t>
      </w:r>
      <w:smartTag w:uri="urn:schemas-microsoft-com:office:smarttags" w:element="stockticker">
        <w:r w:rsidRPr="00654EF1">
          <w:rPr>
            <w:b/>
            <w:color w:val="000000"/>
            <w:szCs w:val="22"/>
          </w:rPr>
          <w:t>AND</w:t>
        </w:r>
      </w:smartTag>
      <w:r w:rsidRPr="00654EF1">
        <w:rPr>
          <w:b/>
          <w:color w:val="000000"/>
          <w:szCs w:val="22"/>
        </w:rPr>
        <w:t xml:space="preserve"> ADDRESS OF THE MARKETING AUTHORISATION HOLDER</w:t>
      </w:r>
    </w:p>
    <w:p w14:paraId="1B680BCC" w14:textId="77777777" w:rsidR="006237AB" w:rsidRPr="00654EF1" w:rsidRDefault="006237AB" w:rsidP="001D5C8C">
      <w:pPr>
        <w:widowControl w:val="0"/>
        <w:spacing w:line="240" w:lineRule="auto"/>
        <w:rPr>
          <w:color w:val="000000"/>
          <w:szCs w:val="22"/>
        </w:rPr>
      </w:pPr>
    </w:p>
    <w:p w14:paraId="1B680BCD"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BCE" w14:textId="77777777" w:rsidR="005716CE" w:rsidRPr="00654EF1" w:rsidRDefault="005716CE" w:rsidP="001D5C8C">
      <w:pPr>
        <w:keepNext/>
        <w:widowControl w:val="0"/>
        <w:spacing w:line="240" w:lineRule="auto"/>
        <w:rPr>
          <w:color w:val="000000"/>
        </w:rPr>
      </w:pPr>
      <w:r w:rsidRPr="00654EF1">
        <w:rPr>
          <w:color w:val="000000"/>
        </w:rPr>
        <w:t>Vista Building</w:t>
      </w:r>
    </w:p>
    <w:p w14:paraId="1B680BCF"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BD0" w14:textId="77777777" w:rsidR="005716CE" w:rsidRPr="00654EF1" w:rsidRDefault="005716CE" w:rsidP="001D5C8C">
      <w:pPr>
        <w:keepNext/>
        <w:widowControl w:val="0"/>
        <w:spacing w:line="240" w:lineRule="auto"/>
        <w:rPr>
          <w:color w:val="000000"/>
        </w:rPr>
      </w:pPr>
      <w:r w:rsidRPr="00654EF1">
        <w:rPr>
          <w:color w:val="000000"/>
        </w:rPr>
        <w:t>Dublin 4</w:t>
      </w:r>
    </w:p>
    <w:p w14:paraId="1B680BD1" w14:textId="77777777" w:rsidR="005716CE" w:rsidRPr="00654EF1" w:rsidRDefault="005716CE" w:rsidP="001D5C8C">
      <w:pPr>
        <w:spacing w:line="240" w:lineRule="auto"/>
        <w:rPr>
          <w:color w:val="000000"/>
        </w:rPr>
      </w:pPr>
      <w:r w:rsidRPr="00654EF1">
        <w:rPr>
          <w:color w:val="000000"/>
        </w:rPr>
        <w:t>Ireland</w:t>
      </w:r>
    </w:p>
    <w:p w14:paraId="1B680BD2" w14:textId="77777777" w:rsidR="006237AB" w:rsidRPr="00654EF1" w:rsidRDefault="006237AB" w:rsidP="001D5C8C">
      <w:pPr>
        <w:widowControl w:val="0"/>
        <w:spacing w:line="240" w:lineRule="auto"/>
        <w:rPr>
          <w:color w:val="000000"/>
          <w:szCs w:val="22"/>
        </w:rPr>
      </w:pPr>
    </w:p>
    <w:p w14:paraId="1B680BD3" w14:textId="77777777" w:rsidR="001B0362" w:rsidRPr="00654EF1" w:rsidRDefault="001B0362" w:rsidP="001D5C8C">
      <w:pPr>
        <w:widowControl w:val="0"/>
        <w:spacing w:line="240" w:lineRule="auto"/>
        <w:rPr>
          <w:color w:val="000000"/>
          <w:szCs w:val="22"/>
        </w:rPr>
      </w:pPr>
    </w:p>
    <w:p w14:paraId="1B680BD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12.</w:t>
      </w:r>
      <w:r w:rsidRPr="00654EF1">
        <w:rPr>
          <w:b/>
          <w:color w:val="000000"/>
          <w:szCs w:val="22"/>
        </w:rPr>
        <w:tab/>
        <w:t>MARKETING AUTHORISATION NUMBER(S)</w:t>
      </w:r>
    </w:p>
    <w:p w14:paraId="1B680BD5" w14:textId="77777777" w:rsidR="006237AB" w:rsidRPr="00654EF1" w:rsidRDefault="006237AB" w:rsidP="001D5C8C">
      <w:pPr>
        <w:widowControl w:val="0"/>
        <w:spacing w:line="240" w:lineRule="auto"/>
        <w:rPr>
          <w:color w:val="000000"/>
          <w:szCs w:val="22"/>
        </w:rPr>
      </w:pPr>
    </w:p>
    <w:p w14:paraId="1B680BD6" w14:textId="77777777" w:rsidR="006237AB" w:rsidRPr="00011E43" w:rsidRDefault="006237AB" w:rsidP="001D5C8C">
      <w:pPr>
        <w:pStyle w:val="EndnoteText"/>
        <w:widowControl w:val="0"/>
        <w:tabs>
          <w:tab w:val="clear" w:pos="567"/>
          <w:tab w:val="left" w:pos="2268"/>
        </w:tabs>
        <w:rPr>
          <w:color w:val="000000"/>
          <w:szCs w:val="22"/>
          <w:shd w:val="clear" w:color="auto" w:fill="D9D9D9"/>
        </w:rPr>
      </w:pPr>
      <w:r w:rsidRPr="00011E43">
        <w:rPr>
          <w:color w:val="000000"/>
          <w:szCs w:val="22"/>
        </w:rPr>
        <w:t>EU/1/01/198/007</w:t>
      </w:r>
      <w:r w:rsidR="001B0362" w:rsidRPr="00011E43">
        <w:rPr>
          <w:color w:val="000000"/>
          <w:szCs w:val="22"/>
        </w:rPr>
        <w:tab/>
      </w:r>
      <w:r w:rsidR="00D51040" w:rsidRPr="00011E43">
        <w:rPr>
          <w:color w:val="000000"/>
          <w:szCs w:val="22"/>
          <w:shd w:val="clear" w:color="auto" w:fill="D9D9D9"/>
        </w:rPr>
        <w:t>20 </w:t>
      </w:r>
      <w:r w:rsidR="001B0362" w:rsidRPr="00011E43">
        <w:rPr>
          <w:color w:val="000000"/>
          <w:szCs w:val="22"/>
          <w:shd w:val="clear" w:color="auto" w:fill="D9D9D9"/>
        </w:rPr>
        <w:t>tablets</w:t>
      </w:r>
      <w:r w:rsidR="00752F25" w:rsidRPr="00011E43">
        <w:rPr>
          <w:color w:val="000000"/>
          <w:szCs w:val="22"/>
          <w:shd w:val="clear" w:color="auto" w:fill="D9D9D9"/>
        </w:rPr>
        <w:t xml:space="preserve"> (PVC/alu blisters)</w:t>
      </w:r>
    </w:p>
    <w:p w14:paraId="1B680BD7" w14:textId="77777777" w:rsidR="006237AB" w:rsidRPr="00011E43" w:rsidRDefault="001B0362" w:rsidP="001D5C8C">
      <w:pPr>
        <w:widowControl w:val="0"/>
        <w:tabs>
          <w:tab w:val="clear" w:pos="567"/>
          <w:tab w:val="left" w:pos="2268"/>
        </w:tabs>
        <w:spacing w:line="240" w:lineRule="auto"/>
        <w:rPr>
          <w:color w:val="000000"/>
          <w:szCs w:val="22"/>
          <w:shd w:val="clear" w:color="auto" w:fill="D9D9D9"/>
        </w:rPr>
      </w:pPr>
      <w:r w:rsidRPr="00011E43">
        <w:rPr>
          <w:color w:val="000000"/>
          <w:szCs w:val="22"/>
          <w:shd w:val="clear" w:color="auto" w:fill="D9D9D9"/>
        </w:rPr>
        <w:t>EU/1/01/198/008</w:t>
      </w:r>
      <w:r w:rsidRPr="00011E43">
        <w:rPr>
          <w:color w:val="000000"/>
          <w:szCs w:val="22"/>
          <w:shd w:val="clear" w:color="auto" w:fill="D9D9D9"/>
        </w:rPr>
        <w:tab/>
        <w:t>6</w:t>
      </w:r>
      <w:r w:rsidR="00D51040" w:rsidRPr="00011E43">
        <w:rPr>
          <w:color w:val="000000"/>
          <w:szCs w:val="22"/>
          <w:shd w:val="clear" w:color="auto" w:fill="D9D9D9"/>
        </w:rPr>
        <w:t>0 </w:t>
      </w:r>
      <w:r w:rsidRPr="00011E43">
        <w:rPr>
          <w:color w:val="000000"/>
          <w:szCs w:val="22"/>
          <w:shd w:val="clear" w:color="auto" w:fill="D9D9D9"/>
        </w:rPr>
        <w:t>tablets</w:t>
      </w:r>
      <w:r w:rsidR="00752F25" w:rsidRPr="00011E43">
        <w:rPr>
          <w:color w:val="000000"/>
          <w:szCs w:val="22"/>
          <w:shd w:val="clear" w:color="auto" w:fill="D9D9D9"/>
        </w:rPr>
        <w:t xml:space="preserve"> (PVC/alu blisters)</w:t>
      </w:r>
    </w:p>
    <w:p w14:paraId="1B680BD8" w14:textId="77777777" w:rsidR="001B0362" w:rsidRPr="00011E43" w:rsidRDefault="001B0362" w:rsidP="001D5C8C">
      <w:pPr>
        <w:widowControl w:val="0"/>
        <w:tabs>
          <w:tab w:val="clear" w:pos="567"/>
          <w:tab w:val="left" w:pos="2268"/>
        </w:tabs>
        <w:spacing w:line="240" w:lineRule="auto"/>
        <w:rPr>
          <w:color w:val="000000"/>
          <w:szCs w:val="22"/>
          <w:shd w:val="clear" w:color="auto" w:fill="D9D9D9"/>
        </w:rPr>
      </w:pPr>
      <w:r w:rsidRPr="00011E43">
        <w:rPr>
          <w:color w:val="000000"/>
          <w:szCs w:val="22"/>
          <w:shd w:val="clear" w:color="auto" w:fill="D9D9D9"/>
        </w:rPr>
        <w:t>EU/1/01/198/011</w:t>
      </w:r>
      <w:r w:rsidRPr="00011E43">
        <w:rPr>
          <w:color w:val="000000"/>
          <w:szCs w:val="22"/>
          <w:shd w:val="clear" w:color="auto" w:fill="D9D9D9"/>
        </w:rPr>
        <w:tab/>
      </w:r>
      <w:r w:rsidR="00D51040" w:rsidRPr="00011E43">
        <w:rPr>
          <w:color w:val="000000"/>
          <w:szCs w:val="22"/>
          <w:shd w:val="clear" w:color="auto" w:fill="D9D9D9"/>
        </w:rPr>
        <w:t>120 </w:t>
      </w:r>
      <w:r w:rsidRPr="00011E43">
        <w:rPr>
          <w:color w:val="000000"/>
          <w:szCs w:val="22"/>
          <w:shd w:val="clear" w:color="auto" w:fill="D9D9D9"/>
        </w:rPr>
        <w:t>tablets</w:t>
      </w:r>
      <w:r w:rsidR="00752F25" w:rsidRPr="00011E43">
        <w:rPr>
          <w:color w:val="000000"/>
          <w:szCs w:val="22"/>
          <w:shd w:val="clear" w:color="auto" w:fill="D9D9D9"/>
        </w:rPr>
        <w:t xml:space="preserve"> (PVC/alu blisters)</w:t>
      </w:r>
    </w:p>
    <w:p w14:paraId="1B680BD9" w14:textId="77777777" w:rsidR="001B0362" w:rsidRPr="00011E43" w:rsidRDefault="001B0362" w:rsidP="001D5C8C">
      <w:pPr>
        <w:widowControl w:val="0"/>
        <w:tabs>
          <w:tab w:val="clear" w:pos="567"/>
          <w:tab w:val="left" w:pos="2268"/>
        </w:tabs>
        <w:spacing w:line="240" w:lineRule="auto"/>
        <w:rPr>
          <w:color w:val="000000"/>
          <w:szCs w:val="22"/>
          <w:shd w:val="clear" w:color="auto" w:fill="D9D9D9"/>
        </w:rPr>
      </w:pPr>
      <w:r w:rsidRPr="00011E43">
        <w:rPr>
          <w:color w:val="000000"/>
          <w:szCs w:val="22"/>
          <w:shd w:val="clear" w:color="auto" w:fill="D9D9D9"/>
        </w:rPr>
        <w:t>EU/1/01/198/012</w:t>
      </w:r>
      <w:r w:rsidRPr="00011E43">
        <w:rPr>
          <w:color w:val="000000"/>
          <w:szCs w:val="22"/>
          <w:shd w:val="clear" w:color="auto" w:fill="D9D9D9"/>
        </w:rPr>
        <w:tab/>
      </w:r>
      <w:r w:rsidR="00D51040" w:rsidRPr="00011E43">
        <w:rPr>
          <w:color w:val="000000"/>
          <w:szCs w:val="22"/>
          <w:shd w:val="clear" w:color="auto" w:fill="D9D9D9"/>
        </w:rPr>
        <w:t>180 </w:t>
      </w:r>
      <w:r w:rsidRPr="00011E43">
        <w:rPr>
          <w:color w:val="000000"/>
          <w:szCs w:val="22"/>
          <w:shd w:val="clear" w:color="auto" w:fill="D9D9D9"/>
        </w:rPr>
        <w:t>tablets</w:t>
      </w:r>
      <w:r w:rsidR="00752F25" w:rsidRPr="00011E43">
        <w:rPr>
          <w:color w:val="000000"/>
          <w:szCs w:val="22"/>
          <w:shd w:val="clear" w:color="auto" w:fill="D9D9D9"/>
        </w:rPr>
        <w:t xml:space="preserve"> (PVC/alu blisters)</w:t>
      </w:r>
    </w:p>
    <w:p w14:paraId="1B680BDA" w14:textId="77777777" w:rsidR="00752F25" w:rsidRPr="00011E43" w:rsidRDefault="00752F25" w:rsidP="001D5C8C">
      <w:pPr>
        <w:widowControl w:val="0"/>
        <w:spacing w:line="240" w:lineRule="auto"/>
        <w:ind w:left="2268" w:hanging="2268"/>
        <w:rPr>
          <w:color w:val="000000"/>
          <w:szCs w:val="22"/>
          <w:shd w:val="clear" w:color="auto" w:fill="D9D9D9"/>
        </w:rPr>
      </w:pPr>
      <w:r w:rsidRPr="00011E43">
        <w:rPr>
          <w:color w:val="000000"/>
          <w:szCs w:val="22"/>
          <w:shd w:val="clear" w:color="auto" w:fill="D9D9D9"/>
        </w:rPr>
        <w:t>EU/1/01/198/0</w:t>
      </w:r>
      <w:r w:rsidR="00F03236" w:rsidRPr="00011E43">
        <w:rPr>
          <w:color w:val="000000"/>
          <w:szCs w:val="22"/>
          <w:shd w:val="clear" w:color="auto" w:fill="D9D9D9"/>
        </w:rPr>
        <w:t>14</w:t>
      </w:r>
      <w:r w:rsidRPr="00011E43">
        <w:rPr>
          <w:color w:val="000000"/>
          <w:szCs w:val="22"/>
          <w:shd w:val="clear" w:color="auto" w:fill="D9D9D9"/>
        </w:rPr>
        <w:tab/>
      </w:r>
      <w:r w:rsidR="00F03236" w:rsidRPr="00011E43">
        <w:rPr>
          <w:color w:val="000000"/>
          <w:szCs w:val="22"/>
          <w:shd w:val="clear" w:color="auto" w:fill="D9D9D9"/>
        </w:rPr>
        <w:t>6</w:t>
      </w:r>
      <w:r w:rsidRPr="00011E43">
        <w:rPr>
          <w:color w:val="000000"/>
          <w:szCs w:val="22"/>
          <w:shd w:val="clear" w:color="auto" w:fill="D9D9D9"/>
        </w:rPr>
        <w:t>0 tablets (PVDC/alu blisters)</w:t>
      </w:r>
    </w:p>
    <w:p w14:paraId="1B680BDB" w14:textId="77777777" w:rsidR="00752F25" w:rsidRPr="00011E43" w:rsidRDefault="00752F25" w:rsidP="001D5C8C">
      <w:pPr>
        <w:widowControl w:val="0"/>
        <w:spacing w:line="240" w:lineRule="auto"/>
        <w:ind w:left="2268" w:hanging="2268"/>
        <w:rPr>
          <w:color w:val="000000"/>
          <w:szCs w:val="22"/>
          <w:shd w:val="clear" w:color="auto" w:fill="D9D9D9"/>
        </w:rPr>
      </w:pPr>
      <w:r w:rsidRPr="00011E43">
        <w:rPr>
          <w:color w:val="000000"/>
          <w:szCs w:val="22"/>
          <w:shd w:val="clear" w:color="auto" w:fill="D9D9D9"/>
        </w:rPr>
        <w:t>EU/1/01/198/01</w:t>
      </w:r>
      <w:r w:rsidR="00F03236" w:rsidRPr="00011E43">
        <w:rPr>
          <w:color w:val="000000"/>
          <w:szCs w:val="22"/>
          <w:shd w:val="clear" w:color="auto" w:fill="D9D9D9"/>
        </w:rPr>
        <w:t>5</w:t>
      </w:r>
      <w:r w:rsidRPr="00011E43">
        <w:rPr>
          <w:color w:val="000000"/>
          <w:szCs w:val="22"/>
          <w:shd w:val="clear" w:color="auto" w:fill="D9D9D9"/>
        </w:rPr>
        <w:tab/>
        <w:t>1</w:t>
      </w:r>
      <w:r w:rsidR="00F03236" w:rsidRPr="00011E43">
        <w:rPr>
          <w:color w:val="000000"/>
          <w:szCs w:val="22"/>
          <w:shd w:val="clear" w:color="auto" w:fill="D9D9D9"/>
        </w:rPr>
        <w:t>2</w:t>
      </w:r>
      <w:r w:rsidRPr="00011E43">
        <w:rPr>
          <w:color w:val="000000"/>
          <w:szCs w:val="22"/>
          <w:shd w:val="clear" w:color="auto" w:fill="D9D9D9"/>
        </w:rPr>
        <w:t>0 tablets (PVDC/alu blisters)</w:t>
      </w:r>
    </w:p>
    <w:p w14:paraId="1B680BDC" w14:textId="77777777" w:rsidR="00721F27" w:rsidRPr="00801D10" w:rsidRDefault="00721F27" w:rsidP="001D5C8C">
      <w:pPr>
        <w:widowControl w:val="0"/>
        <w:spacing w:line="240" w:lineRule="auto"/>
        <w:ind w:left="2268" w:hanging="2268"/>
        <w:rPr>
          <w:color w:val="000000"/>
          <w:szCs w:val="22"/>
          <w:shd w:val="clear" w:color="auto" w:fill="D9D9D9"/>
          <w:lang w:val="en-US"/>
        </w:rPr>
      </w:pPr>
      <w:r w:rsidRPr="00801D10">
        <w:rPr>
          <w:color w:val="000000"/>
          <w:szCs w:val="22"/>
          <w:shd w:val="clear" w:color="auto" w:fill="D9D9D9"/>
          <w:lang w:val="en-US"/>
        </w:rPr>
        <w:t>EU/1/01/198/01</w:t>
      </w:r>
      <w:r w:rsidR="00F03236" w:rsidRPr="00801D10">
        <w:rPr>
          <w:color w:val="000000"/>
          <w:szCs w:val="22"/>
          <w:shd w:val="clear" w:color="auto" w:fill="D9D9D9"/>
          <w:lang w:val="en-US"/>
        </w:rPr>
        <w:t>6</w:t>
      </w:r>
      <w:r w:rsidRPr="00801D10">
        <w:rPr>
          <w:color w:val="000000"/>
          <w:szCs w:val="22"/>
          <w:shd w:val="clear" w:color="auto" w:fill="D9D9D9"/>
          <w:lang w:val="en-US"/>
        </w:rPr>
        <w:tab/>
      </w:r>
      <w:r w:rsidR="00F03236" w:rsidRPr="00801D10">
        <w:rPr>
          <w:color w:val="000000"/>
          <w:szCs w:val="22"/>
          <w:shd w:val="clear" w:color="auto" w:fill="D9D9D9"/>
          <w:lang w:val="en-US"/>
        </w:rPr>
        <w:t>18</w:t>
      </w:r>
      <w:r w:rsidRPr="00801D10">
        <w:rPr>
          <w:color w:val="000000"/>
          <w:szCs w:val="22"/>
          <w:shd w:val="clear" w:color="auto" w:fill="D9D9D9"/>
          <w:lang w:val="en-US"/>
        </w:rPr>
        <w:t>0</w:t>
      </w:r>
      <w:r w:rsidR="006E0EF5" w:rsidRPr="00801D10">
        <w:rPr>
          <w:color w:val="000000"/>
          <w:szCs w:val="22"/>
          <w:shd w:val="clear" w:color="auto" w:fill="D9D9D9"/>
          <w:lang w:val="en-US"/>
        </w:rPr>
        <w:t> </w:t>
      </w:r>
      <w:r w:rsidRPr="00801D10">
        <w:rPr>
          <w:color w:val="000000"/>
          <w:szCs w:val="22"/>
          <w:shd w:val="clear" w:color="auto" w:fill="D9D9D9"/>
          <w:lang w:val="en-US"/>
        </w:rPr>
        <w:t>tablets (PVDC/alu blisters)</w:t>
      </w:r>
    </w:p>
    <w:p w14:paraId="1B680BDD" w14:textId="77777777" w:rsidR="001B0362" w:rsidRPr="00801D10" w:rsidRDefault="001B0362" w:rsidP="001D5C8C">
      <w:pPr>
        <w:widowControl w:val="0"/>
        <w:spacing w:line="240" w:lineRule="auto"/>
        <w:rPr>
          <w:color w:val="000000"/>
          <w:szCs w:val="22"/>
          <w:lang w:val="en-US"/>
        </w:rPr>
      </w:pPr>
    </w:p>
    <w:p w14:paraId="1B680BDE" w14:textId="77777777" w:rsidR="001B0362" w:rsidRPr="00801D10" w:rsidRDefault="001B0362" w:rsidP="001D5C8C">
      <w:pPr>
        <w:widowControl w:val="0"/>
        <w:spacing w:line="240" w:lineRule="auto"/>
        <w:rPr>
          <w:color w:val="000000"/>
          <w:szCs w:val="22"/>
          <w:lang w:val="en-US"/>
        </w:rPr>
      </w:pPr>
    </w:p>
    <w:p w14:paraId="1B680BD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13.</w:t>
      </w:r>
      <w:r w:rsidRPr="00654EF1">
        <w:rPr>
          <w:b/>
          <w:color w:val="000000"/>
          <w:szCs w:val="22"/>
        </w:rPr>
        <w:tab/>
        <w:t>BATCH NUMBER</w:t>
      </w:r>
    </w:p>
    <w:p w14:paraId="1B680BE0" w14:textId="77777777" w:rsidR="006237AB" w:rsidRPr="00654EF1" w:rsidRDefault="006237AB" w:rsidP="001D5C8C">
      <w:pPr>
        <w:widowControl w:val="0"/>
        <w:spacing w:line="240" w:lineRule="auto"/>
        <w:rPr>
          <w:color w:val="000000"/>
          <w:szCs w:val="22"/>
        </w:rPr>
      </w:pPr>
    </w:p>
    <w:p w14:paraId="1B680BE1" w14:textId="77777777" w:rsidR="006237AB" w:rsidRPr="00654EF1" w:rsidRDefault="006237AB" w:rsidP="001D5C8C">
      <w:pPr>
        <w:widowControl w:val="0"/>
        <w:spacing w:line="240" w:lineRule="auto"/>
        <w:rPr>
          <w:color w:val="000000"/>
          <w:szCs w:val="22"/>
        </w:rPr>
      </w:pPr>
      <w:r w:rsidRPr="00654EF1">
        <w:rPr>
          <w:color w:val="000000"/>
          <w:szCs w:val="22"/>
        </w:rPr>
        <w:t>Lot</w:t>
      </w:r>
    </w:p>
    <w:p w14:paraId="1B680BE2" w14:textId="77777777" w:rsidR="006237AB" w:rsidRPr="00654EF1" w:rsidRDefault="006237AB" w:rsidP="001D5C8C">
      <w:pPr>
        <w:widowControl w:val="0"/>
        <w:spacing w:line="240" w:lineRule="auto"/>
        <w:rPr>
          <w:color w:val="000000"/>
          <w:szCs w:val="22"/>
        </w:rPr>
      </w:pPr>
    </w:p>
    <w:p w14:paraId="1B680BE3" w14:textId="77777777" w:rsidR="001B0362" w:rsidRPr="00654EF1" w:rsidRDefault="001B0362" w:rsidP="001D5C8C">
      <w:pPr>
        <w:widowControl w:val="0"/>
        <w:spacing w:line="240" w:lineRule="auto"/>
        <w:rPr>
          <w:color w:val="000000"/>
          <w:szCs w:val="22"/>
        </w:rPr>
      </w:pPr>
    </w:p>
    <w:p w14:paraId="1B680BE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14.</w:t>
      </w:r>
      <w:r w:rsidRPr="00654EF1">
        <w:rPr>
          <w:b/>
          <w:color w:val="000000"/>
          <w:szCs w:val="22"/>
        </w:rPr>
        <w:tab/>
        <w:t>GENERAL CLASSIFICATION FOR SUPPLY</w:t>
      </w:r>
    </w:p>
    <w:p w14:paraId="1B680BE5" w14:textId="77777777" w:rsidR="006237AB" w:rsidRPr="00654EF1" w:rsidRDefault="006237AB" w:rsidP="001D5C8C">
      <w:pPr>
        <w:widowControl w:val="0"/>
        <w:spacing w:line="240" w:lineRule="auto"/>
        <w:rPr>
          <w:color w:val="000000"/>
          <w:szCs w:val="22"/>
        </w:rPr>
      </w:pPr>
    </w:p>
    <w:p w14:paraId="1B680BE6" w14:textId="77777777" w:rsidR="001B0362" w:rsidRPr="00654EF1" w:rsidRDefault="001B0362" w:rsidP="001D5C8C">
      <w:pPr>
        <w:widowControl w:val="0"/>
        <w:spacing w:line="240" w:lineRule="auto"/>
        <w:rPr>
          <w:color w:val="000000"/>
          <w:szCs w:val="22"/>
        </w:rPr>
      </w:pPr>
    </w:p>
    <w:p w14:paraId="1B680BE7"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15.</w:t>
      </w:r>
      <w:r w:rsidRPr="00654EF1">
        <w:rPr>
          <w:b/>
          <w:color w:val="000000"/>
          <w:szCs w:val="22"/>
        </w:rPr>
        <w:tab/>
        <w:t>INSTRUCTIONS ON USE</w:t>
      </w:r>
    </w:p>
    <w:p w14:paraId="1B680BE8" w14:textId="77777777" w:rsidR="00AB40A2" w:rsidRPr="00654EF1" w:rsidRDefault="00AB40A2" w:rsidP="001D5C8C">
      <w:pPr>
        <w:widowControl w:val="0"/>
        <w:spacing w:line="240" w:lineRule="auto"/>
        <w:rPr>
          <w:color w:val="000000"/>
          <w:szCs w:val="22"/>
        </w:rPr>
      </w:pPr>
    </w:p>
    <w:p w14:paraId="1B680BE9" w14:textId="77777777" w:rsidR="00AB40A2" w:rsidRPr="00654EF1" w:rsidRDefault="00AB40A2" w:rsidP="001D5C8C">
      <w:pPr>
        <w:widowControl w:val="0"/>
        <w:spacing w:line="240" w:lineRule="auto"/>
        <w:rPr>
          <w:color w:val="000000"/>
          <w:szCs w:val="22"/>
        </w:rPr>
      </w:pPr>
    </w:p>
    <w:p w14:paraId="1B680BEA" w14:textId="77777777" w:rsidR="00C0396A" w:rsidRPr="00011E43"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011E43">
        <w:rPr>
          <w:b/>
          <w:color w:val="000000"/>
          <w:szCs w:val="22"/>
        </w:rPr>
        <w:t>16.</w:t>
      </w:r>
      <w:r w:rsidRPr="00011E43">
        <w:rPr>
          <w:b/>
          <w:color w:val="000000"/>
          <w:szCs w:val="22"/>
        </w:rPr>
        <w:tab/>
        <w:t>INFORMATION IN BRAILLE</w:t>
      </w:r>
    </w:p>
    <w:p w14:paraId="1B680BEB" w14:textId="77777777" w:rsidR="00AB40A2" w:rsidRPr="00011E43" w:rsidRDefault="00AB40A2" w:rsidP="001D5C8C">
      <w:pPr>
        <w:widowControl w:val="0"/>
        <w:spacing w:line="240" w:lineRule="auto"/>
        <w:rPr>
          <w:color w:val="000000"/>
          <w:szCs w:val="22"/>
        </w:rPr>
      </w:pPr>
    </w:p>
    <w:p w14:paraId="1B680BEC" w14:textId="77777777" w:rsidR="00AB40A2" w:rsidRPr="00011E43" w:rsidRDefault="00AB40A2" w:rsidP="001D5C8C">
      <w:pPr>
        <w:widowControl w:val="0"/>
        <w:spacing w:line="240" w:lineRule="auto"/>
        <w:rPr>
          <w:color w:val="000000"/>
          <w:szCs w:val="22"/>
        </w:rPr>
      </w:pPr>
      <w:r w:rsidRPr="00011E43">
        <w:rPr>
          <w:color w:val="000000"/>
          <w:szCs w:val="22"/>
        </w:rPr>
        <w:t>Glivec 100 mg</w:t>
      </w:r>
    </w:p>
    <w:p w14:paraId="1B680BED" w14:textId="77777777" w:rsidR="00DE25B9" w:rsidRPr="00011E43" w:rsidRDefault="00DE25B9" w:rsidP="001D5C8C">
      <w:pPr>
        <w:widowControl w:val="0"/>
        <w:spacing w:line="240" w:lineRule="auto"/>
        <w:rPr>
          <w:color w:val="000000"/>
          <w:szCs w:val="22"/>
        </w:rPr>
      </w:pPr>
    </w:p>
    <w:p w14:paraId="1B680BEE" w14:textId="77777777" w:rsidR="00DE25B9" w:rsidRPr="00011E43" w:rsidRDefault="00DE25B9" w:rsidP="001D5C8C">
      <w:pPr>
        <w:widowControl w:val="0"/>
        <w:spacing w:line="240" w:lineRule="auto"/>
        <w:rPr>
          <w:color w:val="000000"/>
          <w:szCs w:val="22"/>
        </w:rPr>
      </w:pPr>
    </w:p>
    <w:p w14:paraId="1B680BEF" w14:textId="77777777" w:rsidR="00DE25B9" w:rsidRPr="00011E43"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011E43">
        <w:rPr>
          <w:b/>
          <w:noProof/>
        </w:rPr>
        <w:t>17.</w:t>
      </w:r>
      <w:r w:rsidRPr="00011E43">
        <w:rPr>
          <w:b/>
          <w:noProof/>
        </w:rPr>
        <w:tab/>
        <w:t>UNIQUE IDENTIFIER – 2D BARCODE</w:t>
      </w:r>
    </w:p>
    <w:p w14:paraId="1B680BF0" w14:textId="77777777" w:rsidR="00DE25B9" w:rsidRPr="00011E43" w:rsidRDefault="00DE25B9" w:rsidP="001D5C8C">
      <w:pPr>
        <w:widowControl w:val="0"/>
        <w:tabs>
          <w:tab w:val="clear" w:pos="567"/>
        </w:tabs>
        <w:spacing w:line="240" w:lineRule="auto"/>
        <w:rPr>
          <w:noProof/>
        </w:rPr>
      </w:pPr>
    </w:p>
    <w:p w14:paraId="1B680BF1" w14:textId="77777777" w:rsidR="00DE25B9" w:rsidRPr="00654EF1" w:rsidRDefault="00DE25B9" w:rsidP="001D5C8C">
      <w:pPr>
        <w:widowControl w:val="0"/>
        <w:tabs>
          <w:tab w:val="clear" w:pos="567"/>
        </w:tabs>
        <w:spacing w:line="240" w:lineRule="auto"/>
        <w:rPr>
          <w:noProof/>
          <w:szCs w:val="22"/>
          <w:shd w:val="pct15" w:color="auto" w:fill="auto"/>
        </w:rPr>
      </w:pPr>
      <w:r w:rsidRPr="00654EF1">
        <w:rPr>
          <w:noProof/>
          <w:szCs w:val="22"/>
          <w:shd w:val="pct15" w:color="auto" w:fill="auto"/>
        </w:rPr>
        <w:t>2D barcode carrying the unique identifier included.</w:t>
      </w:r>
    </w:p>
    <w:p w14:paraId="1B680BF2" w14:textId="77777777" w:rsidR="00DE25B9" w:rsidRPr="00654EF1" w:rsidRDefault="00DE25B9" w:rsidP="001D5C8C">
      <w:pPr>
        <w:widowControl w:val="0"/>
        <w:tabs>
          <w:tab w:val="clear" w:pos="567"/>
        </w:tabs>
        <w:spacing w:line="240" w:lineRule="auto"/>
        <w:rPr>
          <w:noProof/>
          <w:szCs w:val="22"/>
          <w:shd w:val="clear" w:color="auto" w:fill="CCCCCC"/>
        </w:rPr>
      </w:pPr>
    </w:p>
    <w:p w14:paraId="1B680BF3" w14:textId="77777777" w:rsidR="00DE25B9" w:rsidRPr="00654EF1" w:rsidRDefault="00DE25B9" w:rsidP="001D5C8C">
      <w:pPr>
        <w:widowControl w:val="0"/>
        <w:tabs>
          <w:tab w:val="clear" w:pos="567"/>
        </w:tabs>
        <w:spacing w:line="240" w:lineRule="auto"/>
        <w:rPr>
          <w:noProof/>
        </w:rPr>
      </w:pPr>
    </w:p>
    <w:p w14:paraId="1B680BF4" w14:textId="77777777" w:rsidR="00DE25B9" w:rsidRPr="00654EF1"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54EF1">
        <w:rPr>
          <w:b/>
          <w:noProof/>
        </w:rPr>
        <w:t>18.</w:t>
      </w:r>
      <w:r w:rsidRPr="00654EF1">
        <w:rPr>
          <w:b/>
          <w:noProof/>
        </w:rPr>
        <w:tab/>
        <w:t>UNIQUE IDENTIFIER - HUMAN READABLE DATA</w:t>
      </w:r>
    </w:p>
    <w:p w14:paraId="1B680BF5" w14:textId="77777777" w:rsidR="00DE25B9" w:rsidRPr="00654EF1" w:rsidRDefault="00DE25B9" w:rsidP="001D5C8C">
      <w:pPr>
        <w:widowControl w:val="0"/>
        <w:tabs>
          <w:tab w:val="clear" w:pos="567"/>
        </w:tabs>
        <w:spacing w:line="240" w:lineRule="auto"/>
        <w:rPr>
          <w:noProof/>
        </w:rPr>
      </w:pPr>
    </w:p>
    <w:p w14:paraId="1B680BF6" w14:textId="77777777" w:rsidR="00DE25B9" w:rsidRPr="00654EF1" w:rsidRDefault="00DE25B9" w:rsidP="001D5C8C">
      <w:pPr>
        <w:widowControl w:val="0"/>
        <w:tabs>
          <w:tab w:val="clear" w:pos="567"/>
        </w:tabs>
        <w:spacing w:line="240" w:lineRule="auto"/>
        <w:rPr>
          <w:szCs w:val="22"/>
        </w:rPr>
      </w:pPr>
      <w:r w:rsidRPr="00654EF1">
        <w:rPr>
          <w:szCs w:val="22"/>
        </w:rPr>
        <w:t>PC:</w:t>
      </w:r>
    </w:p>
    <w:p w14:paraId="1B680BF7" w14:textId="77777777" w:rsidR="00DE25B9" w:rsidRPr="00654EF1" w:rsidRDefault="00DE25B9" w:rsidP="001D5C8C">
      <w:pPr>
        <w:widowControl w:val="0"/>
        <w:tabs>
          <w:tab w:val="clear" w:pos="567"/>
        </w:tabs>
        <w:spacing w:line="240" w:lineRule="auto"/>
        <w:rPr>
          <w:szCs w:val="22"/>
        </w:rPr>
      </w:pPr>
      <w:r w:rsidRPr="00654EF1">
        <w:rPr>
          <w:szCs w:val="22"/>
        </w:rPr>
        <w:t>SN:</w:t>
      </w:r>
    </w:p>
    <w:p w14:paraId="1B680BF8" w14:textId="77777777" w:rsidR="00DE25B9" w:rsidRPr="00654EF1" w:rsidRDefault="00DE25B9" w:rsidP="001D5C8C">
      <w:pPr>
        <w:widowControl w:val="0"/>
        <w:tabs>
          <w:tab w:val="clear" w:pos="567"/>
        </w:tabs>
        <w:spacing w:line="240" w:lineRule="auto"/>
        <w:rPr>
          <w:szCs w:val="22"/>
        </w:rPr>
      </w:pPr>
      <w:r w:rsidRPr="00654EF1">
        <w:rPr>
          <w:szCs w:val="22"/>
        </w:rPr>
        <w:t>NN:</w:t>
      </w:r>
    </w:p>
    <w:p w14:paraId="1B680BF9" w14:textId="77777777" w:rsidR="006237AB" w:rsidRPr="00654EF1" w:rsidRDefault="006237AB" w:rsidP="001D5C8C">
      <w:pPr>
        <w:widowControl w:val="0"/>
        <w:spacing w:line="240" w:lineRule="auto"/>
        <w:rPr>
          <w:color w:val="000000"/>
          <w:szCs w:val="22"/>
        </w:rPr>
      </w:pPr>
      <w:r w:rsidRPr="00654EF1">
        <w:rPr>
          <w:b/>
          <w:color w:val="000000"/>
          <w:szCs w:val="22"/>
          <w:u w:val="single"/>
        </w:rPr>
        <w:br w:type="page"/>
      </w:r>
    </w:p>
    <w:p w14:paraId="1B680BFA" w14:textId="77777777" w:rsidR="005E7BE5" w:rsidRPr="005E7BE5" w:rsidRDefault="005E7BE5" w:rsidP="005E7BE5">
      <w:pPr>
        <w:widowControl w:val="0"/>
        <w:spacing w:line="240" w:lineRule="auto"/>
        <w:rPr>
          <w:color w:val="000000"/>
          <w:szCs w:val="22"/>
        </w:rPr>
      </w:pPr>
    </w:p>
    <w:p w14:paraId="1B680BF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MINIMUM PARTICULARS TO APPEAR ON BLISTERS OR STRIPS</w:t>
      </w:r>
    </w:p>
    <w:p w14:paraId="1B680BFC"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p>
    <w:p w14:paraId="1B680BFD"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BLISTERS</w:t>
      </w:r>
    </w:p>
    <w:p w14:paraId="1B680BFE" w14:textId="77777777" w:rsidR="006237AB" w:rsidRPr="00654EF1" w:rsidRDefault="006237AB" w:rsidP="001D5C8C">
      <w:pPr>
        <w:widowControl w:val="0"/>
        <w:spacing w:line="240" w:lineRule="auto"/>
        <w:rPr>
          <w:color w:val="000000"/>
          <w:szCs w:val="22"/>
        </w:rPr>
      </w:pPr>
    </w:p>
    <w:p w14:paraId="1B680BFF" w14:textId="77777777" w:rsidR="006237AB" w:rsidRPr="00654EF1" w:rsidRDefault="006237AB" w:rsidP="001D5C8C">
      <w:pPr>
        <w:widowControl w:val="0"/>
        <w:spacing w:line="240" w:lineRule="auto"/>
        <w:rPr>
          <w:color w:val="000000"/>
          <w:szCs w:val="22"/>
        </w:rPr>
      </w:pPr>
    </w:p>
    <w:p w14:paraId="1B680C0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C01" w14:textId="77777777" w:rsidR="006237AB" w:rsidRPr="00654EF1" w:rsidRDefault="006237AB" w:rsidP="001D5C8C">
      <w:pPr>
        <w:widowControl w:val="0"/>
        <w:spacing w:line="240" w:lineRule="auto"/>
        <w:ind w:left="567" w:hanging="567"/>
        <w:rPr>
          <w:color w:val="000000"/>
          <w:szCs w:val="22"/>
        </w:rPr>
      </w:pPr>
    </w:p>
    <w:p w14:paraId="1B680C02" w14:textId="77777777" w:rsidR="006237AB" w:rsidRPr="00654EF1" w:rsidRDefault="006237AB" w:rsidP="001D5C8C">
      <w:pPr>
        <w:widowControl w:val="0"/>
        <w:spacing w:line="240" w:lineRule="auto"/>
        <w:rPr>
          <w:color w:val="000000"/>
          <w:szCs w:val="22"/>
        </w:rPr>
      </w:pPr>
      <w:r w:rsidRPr="00654EF1">
        <w:rPr>
          <w:color w:val="000000"/>
          <w:szCs w:val="22"/>
        </w:rPr>
        <w:t>G</w:t>
      </w:r>
      <w:r w:rsidR="007E1D1E" w:rsidRPr="00654EF1">
        <w:rPr>
          <w:color w:val="000000"/>
          <w:szCs w:val="22"/>
        </w:rPr>
        <w:t>livec</w:t>
      </w:r>
      <w:r w:rsidRPr="00654EF1">
        <w:rPr>
          <w:color w:val="000000"/>
          <w:szCs w:val="22"/>
        </w:rPr>
        <w:t xml:space="preserve"> 100</w:t>
      </w:r>
      <w:r w:rsidR="002D524A" w:rsidRPr="00654EF1">
        <w:rPr>
          <w:color w:val="000000"/>
          <w:szCs w:val="22"/>
        </w:rPr>
        <w:t> mg</w:t>
      </w:r>
      <w:r w:rsidRPr="00654EF1">
        <w:rPr>
          <w:color w:val="000000"/>
          <w:szCs w:val="22"/>
        </w:rPr>
        <w:t xml:space="preserve"> tablets</w:t>
      </w:r>
    </w:p>
    <w:p w14:paraId="1B680C03" w14:textId="77777777" w:rsidR="006237AB" w:rsidRPr="00654EF1" w:rsidRDefault="00AB244E" w:rsidP="001D5C8C">
      <w:pPr>
        <w:widowControl w:val="0"/>
        <w:spacing w:line="240" w:lineRule="auto"/>
        <w:rPr>
          <w:color w:val="000000"/>
          <w:szCs w:val="22"/>
        </w:rPr>
      </w:pPr>
      <w:r w:rsidRPr="00654EF1">
        <w:rPr>
          <w:color w:val="000000"/>
          <w:szCs w:val="22"/>
        </w:rPr>
        <w:t>i</w:t>
      </w:r>
      <w:r w:rsidR="006237AB" w:rsidRPr="00654EF1">
        <w:rPr>
          <w:color w:val="000000"/>
          <w:szCs w:val="22"/>
        </w:rPr>
        <w:t>matinib</w:t>
      </w:r>
    </w:p>
    <w:p w14:paraId="1B680C04" w14:textId="77777777" w:rsidR="006237AB" w:rsidRPr="00654EF1" w:rsidRDefault="006237AB" w:rsidP="001D5C8C">
      <w:pPr>
        <w:widowControl w:val="0"/>
        <w:spacing w:line="240" w:lineRule="auto"/>
        <w:rPr>
          <w:color w:val="000000"/>
          <w:szCs w:val="22"/>
        </w:rPr>
      </w:pPr>
    </w:p>
    <w:p w14:paraId="1B680C05" w14:textId="77777777" w:rsidR="001B0362" w:rsidRPr="00654EF1" w:rsidRDefault="001B0362" w:rsidP="001D5C8C">
      <w:pPr>
        <w:widowControl w:val="0"/>
        <w:spacing w:line="240" w:lineRule="auto"/>
        <w:rPr>
          <w:color w:val="000000"/>
          <w:szCs w:val="22"/>
        </w:rPr>
      </w:pPr>
    </w:p>
    <w:p w14:paraId="1B680C0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NAME OF THE MARKETING AUTHORISATION HOLDER</w:t>
      </w:r>
    </w:p>
    <w:p w14:paraId="1B680C07" w14:textId="77777777" w:rsidR="006237AB" w:rsidRPr="00654EF1" w:rsidRDefault="006237AB" w:rsidP="001D5C8C">
      <w:pPr>
        <w:widowControl w:val="0"/>
        <w:spacing w:line="240" w:lineRule="auto"/>
        <w:rPr>
          <w:color w:val="000000"/>
          <w:szCs w:val="22"/>
        </w:rPr>
      </w:pPr>
    </w:p>
    <w:p w14:paraId="1B680C08" w14:textId="77777777" w:rsidR="006237AB" w:rsidRPr="00654EF1" w:rsidRDefault="006237AB" w:rsidP="001D5C8C">
      <w:pPr>
        <w:widowControl w:val="0"/>
        <w:spacing w:line="240" w:lineRule="auto"/>
        <w:rPr>
          <w:color w:val="000000"/>
          <w:szCs w:val="22"/>
        </w:rPr>
      </w:pPr>
      <w:r w:rsidRPr="00654EF1">
        <w:rPr>
          <w:color w:val="000000"/>
          <w:szCs w:val="22"/>
        </w:rPr>
        <w:t>Novartis Europharm Limited</w:t>
      </w:r>
    </w:p>
    <w:p w14:paraId="1B680C09" w14:textId="77777777" w:rsidR="006237AB" w:rsidRPr="00654EF1" w:rsidRDefault="006237AB" w:rsidP="001D5C8C">
      <w:pPr>
        <w:widowControl w:val="0"/>
        <w:spacing w:line="240" w:lineRule="auto"/>
        <w:rPr>
          <w:color w:val="000000"/>
          <w:szCs w:val="22"/>
        </w:rPr>
      </w:pPr>
    </w:p>
    <w:p w14:paraId="1B680C0A" w14:textId="77777777" w:rsidR="001B0362" w:rsidRPr="00654EF1" w:rsidRDefault="001B0362" w:rsidP="001D5C8C">
      <w:pPr>
        <w:widowControl w:val="0"/>
        <w:spacing w:line="240" w:lineRule="auto"/>
        <w:rPr>
          <w:color w:val="000000"/>
          <w:szCs w:val="22"/>
        </w:rPr>
      </w:pPr>
    </w:p>
    <w:p w14:paraId="1B680C0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EXPIRY DATE</w:t>
      </w:r>
    </w:p>
    <w:p w14:paraId="1B680C0C" w14:textId="77777777" w:rsidR="006237AB" w:rsidRPr="00654EF1" w:rsidRDefault="006237AB" w:rsidP="001D5C8C">
      <w:pPr>
        <w:widowControl w:val="0"/>
        <w:spacing w:line="240" w:lineRule="auto"/>
        <w:rPr>
          <w:color w:val="000000"/>
          <w:szCs w:val="22"/>
        </w:rPr>
      </w:pPr>
    </w:p>
    <w:p w14:paraId="1B680C0D"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EXP</w:t>
      </w:r>
    </w:p>
    <w:p w14:paraId="1B680C0E" w14:textId="77777777" w:rsidR="006237AB" w:rsidRPr="00654EF1" w:rsidRDefault="006237AB" w:rsidP="001D5C8C">
      <w:pPr>
        <w:widowControl w:val="0"/>
        <w:spacing w:line="240" w:lineRule="auto"/>
        <w:rPr>
          <w:color w:val="000000"/>
          <w:szCs w:val="22"/>
        </w:rPr>
      </w:pPr>
    </w:p>
    <w:p w14:paraId="1B680C0F" w14:textId="77777777" w:rsidR="001B0362" w:rsidRPr="00654EF1" w:rsidRDefault="001B0362" w:rsidP="001D5C8C">
      <w:pPr>
        <w:widowControl w:val="0"/>
        <w:spacing w:line="240" w:lineRule="auto"/>
        <w:rPr>
          <w:color w:val="000000"/>
          <w:szCs w:val="22"/>
        </w:rPr>
      </w:pPr>
    </w:p>
    <w:p w14:paraId="1B680C1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BATCH NUMBER</w:t>
      </w:r>
    </w:p>
    <w:p w14:paraId="1B680C11" w14:textId="77777777" w:rsidR="006237AB" w:rsidRPr="00654EF1" w:rsidRDefault="006237AB" w:rsidP="001D5C8C">
      <w:pPr>
        <w:widowControl w:val="0"/>
        <w:spacing w:line="240" w:lineRule="auto"/>
        <w:rPr>
          <w:color w:val="000000"/>
          <w:szCs w:val="22"/>
        </w:rPr>
      </w:pPr>
    </w:p>
    <w:p w14:paraId="1B680C12" w14:textId="77777777" w:rsidR="00155EF9" w:rsidRPr="00654EF1" w:rsidRDefault="006237AB" w:rsidP="001D5C8C">
      <w:pPr>
        <w:widowControl w:val="0"/>
        <w:tabs>
          <w:tab w:val="clear" w:pos="567"/>
        </w:tabs>
        <w:spacing w:line="240" w:lineRule="auto"/>
        <w:rPr>
          <w:color w:val="000000"/>
          <w:szCs w:val="22"/>
        </w:rPr>
      </w:pPr>
      <w:r w:rsidRPr="00654EF1">
        <w:rPr>
          <w:color w:val="000000"/>
          <w:szCs w:val="22"/>
        </w:rPr>
        <w:t>Lot</w:t>
      </w:r>
    </w:p>
    <w:p w14:paraId="1B680C13" w14:textId="77777777" w:rsidR="00155EF9" w:rsidRPr="00654EF1" w:rsidRDefault="00155EF9" w:rsidP="001D5C8C">
      <w:pPr>
        <w:widowControl w:val="0"/>
        <w:tabs>
          <w:tab w:val="clear" w:pos="567"/>
        </w:tabs>
        <w:spacing w:line="240" w:lineRule="auto"/>
        <w:rPr>
          <w:color w:val="000000"/>
          <w:szCs w:val="22"/>
        </w:rPr>
      </w:pPr>
    </w:p>
    <w:p w14:paraId="1B680C14" w14:textId="77777777" w:rsidR="00155EF9" w:rsidRPr="00654EF1" w:rsidRDefault="00155EF9" w:rsidP="001D5C8C">
      <w:pPr>
        <w:widowControl w:val="0"/>
        <w:tabs>
          <w:tab w:val="clear" w:pos="567"/>
        </w:tabs>
        <w:spacing w:line="240" w:lineRule="auto"/>
        <w:rPr>
          <w:color w:val="000000"/>
          <w:szCs w:val="22"/>
        </w:rPr>
      </w:pPr>
    </w:p>
    <w:p w14:paraId="1B680C1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54EF1">
        <w:rPr>
          <w:b/>
          <w:noProof/>
          <w:color w:val="000000"/>
        </w:rPr>
        <w:t>5.</w:t>
      </w:r>
      <w:r w:rsidRPr="00654EF1">
        <w:rPr>
          <w:b/>
          <w:noProof/>
          <w:color w:val="000000"/>
        </w:rPr>
        <w:tab/>
        <w:t>OTHER</w:t>
      </w:r>
    </w:p>
    <w:p w14:paraId="1B680C16" w14:textId="77777777" w:rsidR="006237AB" w:rsidRPr="00654EF1" w:rsidRDefault="006237AB" w:rsidP="001D5C8C">
      <w:pPr>
        <w:widowControl w:val="0"/>
        <w:spacing w:line="240" w:lineRule="auto"/>
        <w:rPr>
          <w:color w:val="000000"/>
          <w:szCs w:val="22"/>
        </w:rPr>
      </w:pPr>
    </w:p>
    <w:p w14:paraId="1B680C17" w14:textId="77777777" w:rsidR="006237AB" w:rsidRPr="00654EF1" w:rsidRDefault="006237AB" w:rsidP="001D5C8C">
      <w:pPr>
        <w:widowControl w:val="0"/>
        <w:spacing w:line="240" w:lineRule="auto"/>
        <w:rPr>
          <w:color w:val="000000"/>
          <w:szCs w:val="22"/>
        </w:rPr>
      </w:pPr>
      <w:r w:rsidRPr="00654EF1">
        <w:rPr>
          <w:b/>
          <w:color w:val="000000"/>
          <w:szCs w:val="22"/>
        </w:rPr>
        <w:br w:type="page"/>
      </w:r>
    </w:p>
    <w:p w14:paraId="1B680C18" w14:textId="77777777" w:rsidR="005E7BE5" w:rsidRPr="005E7BE5" w:rsidRDefault="005E7BE5" w:rsidP="005E7BE5">
      <w:pPr>
        <w:widowControl w:val="0"/>
        <w:spacing w:line="240" w:lineRule="auto"/>
        <w:rPr>
          <w:color w:val="000000"/>
          <w:szCs w:val="22"/>
        </w:rPr>
      </w:pPr>
    </w:p>
    <w:p w14:paraId="1B680C19"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PARTICULARS TO APPEAR ON THE OUTER PACKAGING</w:t>
      </w:r>
    </w:p>
    <w:p w14:paraId="1B680C1A"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p>
    <w:p w14:paraId="1B680C1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CARTON</w:t>
      </w:r>
    </w:p>
    <w:p w14:paraId="1B680C1C" w14:textId="77777777" w:rsidR="006237AB" w:rsidRPr="00654EF1" w:rsidRDefault="006237AB" w:rsidP="001D5C8C">
      <w:pPr>
        <w:widowControl w:val="0"/>
        <w:spacing w:line="240" w:lineRule="auto"/>
        <w:rPr>
          <w:color w:val="000000"/>
          <w:szCs w:val="22"/>
        </w:rPr>
      </w:pPr>
    </w:p>
    <w:p w14:paraId="1B680C1D" w14:textId="77777777" w:rsidR="006237AB" w:rsidRPr="00654EF1" w:rsidRDefault="006237AB" w:rsidP="001D5C8C">
      <w:pPr>
        <w:widowControl w:val="0"/>
        <w:spacing w:line="240" w:lineRule="auto"/>
        <w:rPr>
          <w:color w:val="000000"/>
          <w:szCs w:val="22"/>
        </w:rPr>
      </w:pPr>
    </w:p>
    <w:p w14:paraId="1B680C1E"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C1F" w14:textId="77777777" w:rsidR="006237AB" w:rsidRPr="00654EF1" w:rsidRDefault="006237AB" w:rsidP="001D5C8C">
      <w:pPr>
        <w:widowControl w:val="0"/>
        <w:spacing w:line="240" w:lineRule="auto"/>
        <w:rPr>
          <w:color w:val="000000"/>
          <w:szCs w:val="22"/>
        </w:rPr>
      </w:pPr>
    </w:p>
    <w:p w14:paraId="1B680C20" w14:textId="77777777" w:rsidR="006237AB" w:rsidRPr="00654EF1" w:rsidRDefault="006237AB" w:rsidP="001D5C8C">
      <w:pPr>
        <w:widowControl w:val="0"/>
        <w:spacing w:line="240" w:lineRule="auto"/>
        <w:rPr>
          <w:color w:val="000000"/>
          <w:szCs w:val="22"/>
        </w:rPr>
      </w:pPr>
      <w:r w:rsidRPr="00654EF1">
        <w:rPr>
          <w:color w:val="000000"/>
          <w:szCs w:val="22"/>
        </w:rPr>
        <w:t>G</w:t>
      </w:r>
      <w:r w:rsidR="007E1D1E" w:rsidRPr="00654EF1">
        <w:rPr>
          <w:color w:val="000000"/>
          <w:szCs w:val="22"/>
        </w:rPr>
        <w:t>livec</w:t>
      </w:r>
      <w:r w:rsidRPr="00654EF1">
        <w:rPr>
          <w:color w:val="000000"/>
          <w:szCs w:val="22"/>
        </w:rPr>
        <w:t xml:space="preserve"> 400</w:t>
      </w:r>
      <w:r w:rsidR="002D524A" w:rsidRPr="00654EF1">
        <w:rPr>
          <w:color w:val="000000"/>
          <w:szCs w:val="22"/>
        </w:rPr>
        <w:t> mg</w:t>
      </w:r>
      <w:r w:rsidRPr="00654EF1">
        <w:rPr>
          <w:color w:val="000000"/>
          <w:szCs w:val="22"/>
        </w:rPr>
        <w:t xml:space="preserve"> film-coated tablets</w:t>
      </w:r>
    </w:p>
    <w:p w14:paraId="1B680C21" w14:textId="77777777" w:rsidR="006237AB" w:rsidRPr="00654EF1" w:rsidRDefault="00AB244E" w:rsidP="001D5C8C">
      <w:pPr>
        <w:widowControl w:val="0"/>
        <w:spacing w:line="240" w:lineRule="auto"/>
        <w:rPr>
          <w:color w:val="000000"/>
          <w:szCs w:val="22"/>
        </w:rPr>
      </w:pPr>
      <w:r w:rsidRPr="00654EF1">
        <w:rPr>
          <w:color w:val="000000"/>
          <w:szCs w:val="22"/>
        </w:rPr>
        <w:t>i</w:t>
      </w:r>
      <w:r w:rsidR="006237AB" w:rsidRPr="00654EF1">
        <w:rPr>
          <w:color w:val="000000"/>
          <w:szCs w:val="22"/>
        </w:rPr>
        <w:t>matinib</w:t>
      </w:r>
    </w:p>
    <w:p w14:paraId="1B680C22" w14:textId="77777777" w:rsidR="006237AB" w:rsidRPr="00654EF1" w:rsidRDefault="006237AB" w:rsidP="001D5C8C">
      <w:pPr>
        <w:widowControl w:val="0"/>
        <w:spacing w:line="240" w:lineRule="auto"/>
        <w:rPr>
          <w:color w:val="000000"/>
          <w:szCs w:val="22"/>
        </w:rPr>
      </w:pPr>
    </w:p>
    <w:p w14:paraId="1B680C23" w14:textId="77777777" w:rsidR="001B0362" w:rsidRPr="00654EF1" w:rsidRDefault="001B0362" w:rsidP="001D5C8C">
      <w:pPr>
        <w:widowControl w:val="0"/>
        <w:spacing w:line="240" w:lineRule="auto"/>
        <w:rPr>
          <w:color w:val="000000"/>
          <w:szCs w:val="22"/>
        </w:rPr>
      </w:pPr>
    </w:p>
    <w:p w14:paraId="1B680C2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STATEMENT OF ACTIVE SUBSTANCE(S)</w:t>
      </w:r>
    </w:p>
    <w:p w14:paraId="1B680C25" w14:textId="77777777" w:rsidR="006237AB" w:rsidRPr="00654EF1" w:rsidRDefault="006237AB" w:rsidP="001D5C8C">
      <w:pPr>
        <w:widowControl w:val="0"/>
        <w:spacing w:line="240" w:lineRule="auto"/>
        <w:rPr>
          <w:color w:val="000000"/>
          <w:szCs w:val="22"/>
        </w:rPr>
      </w:pPr>
    </w:p>
    <w:p w14:paraId="1B680C26" w14:textId="77777777" w:rsidR="00C703BD" w:rsidRPr="00654EF1" w:rsidRDefault="006237AB" w:rsidP="001D5C8C">
      <w:pPr>
        <w:widowControl w:val="0"/>
        <w:spacing w:line="240" w:lineRule="auto"/>
        <w:rPr>
          <w:color w:val="000000"/>
          <w:szCs w:val="22"/>
        </w:rPr>
      </w:pPr>
      <w:r w:rsidRPr="00654EF1">
        <w:rPr>
          <w:color w:val="000000"/>
          <w:szCs w:val="22"/>
        </w:rPr>
        <w:t>Each film-coated tablet contains 400</w:t>
      </w:r>
      <w:r w:rsidR="002D524A" w:rsidRPr="00654EF1">
        <w:rPr>
          <w:color w:val="000000"/>
          <w:szCs w:val="22"/>
        </w:rPr>
        <w:t> mg</w:t>
      </w:r>
      <w:r w:rsidRPr="00654EF1">
        <w:rPr>
          <w:color w:val="000000"/>
          <w:szCs w:val="22"/>
        </w:rPr>
        <w:t xml:space="preserve"> of imatinib (as mesilate)</w:t>
      </w:r>
      <w:r w:rsidR="00AB40A2" w:rsidRPr="00654EF1">
        <w:rPr>
          <w:color w:val="000000"/>
          <w:szCs w:val="22"/>
        </w:rPr>
        <w:t>.</w:t>
      </w:r>
    </w:p>
    <w:p w14:paraId="1B680C27" w14:textId="77777777" w:rsidR="006237AB" w:rsidRPr="00654EF1" w:rsidRDefault="006237AB" w:rsidP="001D5C8C">
      <w:pPr>
        <w:widowControl w:val="0"/>
        <w:spacing w:line="240" w:lineRule="auto"/>
        <w:rPr>
          <w:color w:val="000000"/>
          <w:szCs w:val="22"/>
        </w:rPr>
      </w:pPr>
    </w:p>
    <w:p w14:paraId="1B680C28" w14:textId="77777777" w:rsidR="001B0362" w:rsidRPr="00654EF1" w:rsidRDefault="001B0362" w:rsidP="001D5C8C">
      <w:pPr>
        <w:widowControl w:val="0"/>
        <w:spacing w:line="240" w:lineRule="auto"/>
        <w:rPr>
          <w:color w:val="000000"/>
          <w:szCs w:val="22"/>
        </w:rPr>
      </w:pPr>
    </w:p>
    <w:p w14:paraId="1B680C29"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LIST OF EXCIPIENTS</w:t>
      </w:r>
    </w:p>
    <w:p w14:paraId="1B680C2A" w14:textId="77777777" w:rsidR="006237AB" w:rsidRPr="00654EF1" w:rsidRDefault="006237AB" w:rsidP="001D5C8C">
      <w:pPr>
        <w:widowControl w:val="0"/>
        <w:spacing w:line="240" w:lineRule="auto"/>
        <w:rPr>
          <w:color w:val="000000"/>
          <w:szCs w:val="22"/>
        </w:rPr>
      </w:pPr>
    </w:p>
    <w:p w14:paraId="1B680C2B" w14:textId="77777777" w:rsidR="006237AB" w:rsidRPr="00654EF1" w:rsidRDefault="006237AB" w:rsidP="001D5C8C">
      <w:pPr>
        <w:widowControl w:val="0"/>
        <w:spacing w:line="240" w:lineRule="auto"/>
        <w:rPr>
          <w:color w:val="000000"/>
          <w:szCs w:val="22"/>
        </w:rPr>
      </w:pPr>
    </w:p>
    <w:p w14:paraId="1B680C2C"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 xml:space="preserve">PHARMACEUTICAL </w:t>
      </w:r>
      <w:smartTag w:uri="urn:schemas-microsoft-com:office:smarttags" w:element="stockticker">
        <w:r w:rsidRPr="00654EF1">
          <w:rPr>
            <w:b/>
            <w:color w:val="000000"/>
            <w:szCs w:val="22"/>
          </w:rPr>
          <w:t>FORM</w:t>
        </w:r>
      </w:smartTag>
      <w:r w:rsidRPr="00654EF1">
        <w:rPr>
          <w:b/>
          <w:color w:val="000000"/>
          <w:szCs w:val="22"/>
        </w:rPr>
        <w:t xml:space="preserve"> </w:t>
      </w:r>
      <w:smartTag w:uri="urn:schemas-microsoft-com:office:smarttags" w:element="stockticker">
        <w:r w:rsidRPr="00654EF1">
          <w:rPr>
            <w:b/>
            <w:color w:val="000000"/>
            <w:szCs w:val="22"/>
          </w:rPr>
          <w:t>AND</w:t>
        </w:r>
      </w:smartTag>
      <w:r w:rsidRPr="00654EF1">
        <w:rPr>
          <w:b/>
          <w:color w:val="000000"/>
          <w:szCs w:val="22"/>
        </w:rPr>
        <w:t xml:space="preserve"> CONTENTS</w:t>
      </w:r>
    </w:p>
    <w:p w14:paraId="1B680C2D" w14:textId="77777777" w:rsidR="006237AB" w:rsidRPr="00654EF1" w:rsidRDefault="006237AB" w:rsidP="001D5C8C">
      <w:pPr>
        <w:widowControl w:val="0"/>
        <w:spacing w:line="240" w:lineRule="auto"/>
        <w:rPr>
          <w:color w:val="000000"/>
          <w:szCs w:val="22"/>
        </w:rPr>
      </w:pPr>
    </w:p>
    <w:p w14:paraId="1B680C2E" w14:textId="77777777" w:rsidR="006237AB" w:rsidRPr="00654EF1" w:rsidRDefault="006237AB" w:rsidP="001D5C8C">
      <w:pPr>
        <w:pStyle w:val="EndnoteText"/>
        <w:widowControl w:val="0"/>
        <w:rPr>
          <w:color w:val="000000"/>
          <w:szCs w:val="22"/>
        </w:rPr>
      </w:pPr>
      <w:r w:rsidRPr="00654EF1">
        <w:rPr>
          <w:color w:val="000000"/>
          <w:szCs w:val="22"/>
        </w:rPr>
        <w:t>10</w:t>
      </w:r>
      <w:r w:rsidR="001B0362" w:rsidRPr="00654EF1">
        <w:rPr>
          <w:color w:val="000000"/>
          <w:szCs w:val="22"/>
        </w:rPr>
        <w:t> </w:t>
      </w:r>
      <w:r w:rsidRPr="00654EF1">
        <w:rPr>
          <w:color w:val="000000"/>
          <w:szCs w:val="22"/>
        </w:rPr>
        <w:t>film-coated tablets</w:t>
      </w:r>
    </w:p>
    <w:p w14:paraId="1B680C2F" w14:textId="77777777" w:rsidR="001B0362" w:rsidRPr="00654EF1" w:rsidRDefault="001B0362" w:rsidP="001D5C8C">
      <w:pPr>
        <w:pStyle w:val="EndnoteText"/>
        <w:widowControl w:val="0"/>
        <w:rPr>
          <w:color w:val="000000"/>
          <w:szCs w:val="22"/>
          <w:shd w:val="clear" w:color="auto" w:fill="D9D9D9"/>
        </w:rPr>
      </w:pPr>
      <w:r w:rsidRPr="00654EF1">
        <w:rPr>
          <w:color w:val="000000"/>
          <w:szCs w:val="22"/>
          <w:shd w:val="clear" w:color="auto" w:fill="D9D9D9"/>
        </w:rPr>
        <w:t>30 film-coated tablets</w:t>
      </w:r>
    </w:p>
    <w:p w14:paraId="1B680C30" w14:textId="77777777" w:rsidR="001B0362" w:rsidRPr="00654EF1" w:rsidRDefault="001B0362" w:rsidP="001D5C8C">
      <w:pPr>
        <w:pStyle w:val="EndnoteText"/>
        <w:widowControl w:val="0"/>
        <w:rPr>
          <w:color w:val="000000"/>
          <w:szCs w:val="22"/>
          <w:shd w:val="clear" w:color="auto" w:fill="D9D9D9"/>
        </w:rPr>
      </w:pPr>
      <w:r w:rsidRPr="00654EF1">
        <w:rPr>
          <w:color w:val="000000"/>
          <w:szCs w:val="22"/>
          <w:shd w:val="clear" w:color="auto" w:fill="D9D9D9"/>
        </w:rPr>
        <w:t>90 film-coated tablets</w:t>
      </w:r>
    </w:p>
    <w:p w14:paraId="1B680C31" w14:textId="77777777" w:rsidR="006237AB" w:rsidRPr="00654EF1" w:rsidRDefault="006237AB" w:rsidP="001D5C8C">
      <w:pPr>
        <w:widowControl w:val="0"/>
        <w:spacing w:line="240" w:lineRule="auto"/>
        <w:rPr>
          <w:color w:val="000000"/>
          <w:szCs w:val="22"/>
        </w:rPr>
      </w:pPr>
    </w:p>
    <w:p w14:paraId="1B680C32" w14:textId="77777777" w:rsidR="001B0362" w:rsidRPr="00654EF1" w:rsidRDefault="001B0362" w:rsidP="001D5C8C">
      <w:pPr>
        <w:widowControl w:val="0"/>
        <w:spacing w:line="240" w:lineRule="auto"/>
        <w:rPr>
          <w:color w:val="000000"/>
          <w:szCs w:val="22"/>
        </w:rPr>
      </w:pPr>
    </w:p>
    <w:p w14:paraId="1B680C33"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5.</w:t>
      </w:r>
      <w:r w:rsidRPr="00654EF1">
        <w:rPr>
          <w:b/>
          <w:color w:val="000000"/>
          <w:szCs w:val="22"/>
        </w:rPr>
        <w:tab/>
        <w:t xml:space="preserve">METHOD </w:t>
      </w:r>
      <w:smartTag w:uri="urn:schemas-microsoft-com:office:smarttags" w:element="stockticker">
        <w:r w:rsidRPr="00654EF1">
          <w:rPr>
            <w:b/>
            <w:color w:val="000000"/>
            <w:szCs w:val="22"/>
          </w:rPr>
          <w:t>AND</w:t>
        </w:r>
      </w:smartTag>
      <w:r w:rsidRPr="00654EF1">
        <w:rPr>
          <w:b/>
          <w:color w:val="000000"/>
          <w:szCs w:val="22"/>
        </w:rPr>
        <w:t xml:space="preserve"> ROUTE(S) OF ADMINISTRATION</w:t>
      </w:r>
    </w:p>
    <w:p w14:paraId="1B680C34" w14:textId="77777777" w:rsidR="006237AB" w:rsidRPr="00654EF1" w:rsidRDefault="006237AB" w:rsidP="001D5C8C">
      <w:pPr>
        <w:widowControl w:val="0"/>
        <w:spacing w:line="240" w:lineRule="auto"/>
        <w:rPr>
          <w:color w:val="000000"/>
          <w:szCs w:val="22"/>
        </w:rPr>
      </w:pPr>
    </w:p>
    <w:p w14:paraId="1B680C35"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Oral use. Read the package leaflet before use.</w:t>
      </w:r>
    </w:p>
    <w:p w14:paraId="1B680C36" w14:textId="77777777" w:rsidR="006237AB" w:rsidRPr="00654EF1" w:rsidRDefault="006237AB" w:rsidP="001D5C8C">
      <w:pPr>
        <w:widowControl w:val="0"/>
        <w:spacing w:line="240" w:lineRule="auto"/>
        <w:rPr>
          <w:color w:val="000000"/>
          <w:szCs w:val="22"/>
        </w:rPr>
      </w:pPr>
    </w:p>
    <w:p w14:paraId="1B680C37" w14:textId="77777777" w:rsidR="00F428C6" w:rsidRPr="00654EF1" w:rsidRDefault="00F428C6" w:rsidP="001D5C8C">
      <w:pPr>
        <w:widowControl w:val="0"/>
        <w:tabs>
          <w:tab w:val="clear" w:pos="567"/>
        </w:tabs>
        <w:spacing w:line="240" w:lineRule="auto"/>
        <w:rPr>
          <w:color w:val="000000"/>
          <w:szCs w:val="22"/>
        </w:rPr>
      </w:pPr>
    </w:p>
    <w:p w14:paraId="1B680C38" w14:textId="77777777" w:rsidR="00F428C6" w:rsidRPr="00654EF1" w:rsidRDefault="00F428C6"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654EF1">
        <w:rPr>
          <w:b/>
          <w:color w:val="000000"/>
          <w:szCs w:val="22"/>
        </w:rPr>
        <w:t>6.</w:t>
      </w:r>
      <w:r w:rsidRPr="00654EF1">
        <w:rPr>
          <w:b/>
          <w:color w:val="000000"/>
          <w:szCs w:val="22"/>
        </w:rPr>
        <w:tab/>
        <w:t>SPECIAL WARNING THAT THE MEDICINAL PRODUCT MUST BE STORED OUT OF THE SIGHT AND REACH OF CHILDREN</w:t>
      </w:r>
    </w:p>
    <w:p w14:paraId="1B680C39" w14:textId="77777777" w:rsidR="00F428C6" w:rsidRPr="00654EF1" w:rsidRDefault="00F428C6" w:rsidP="001D5C8C">
      <w:pPr>
        <w:widowControl w:val="0"/>
        <w:tabs>
          <w:tab w:val="clear" w:pos="567"/>
        </w:tabs>
        <w:spacing w:line="240" w:lineRule="auto"/>
        <w:rPr>
          <w:color w:val="000000"/>
          <w:szCs w:val="22"/>
        </w:rPr>
      </w:pPr>
    </w:p>
    <w:p w14:paraId="1B680C3A" w14:textId="77777777" w:rsidR="00F428C6" w:rsidRPr="00654EF1" w:rsidRDefault="00F428C6" w:rsidP="001D5C8C">
      <w:pPr>
        <w:widowControl w:val="0"/>
        <w:tabs>
          <w:tab w:val="clear" w:pos="567"/>
        </w:tabs>
        <w:spacing w:line="240" w:lineRule="auto"/>
        <w:rPr>
          <w:color w:val="000000"/>
          <w:szCs w:val="22"/>
        </w:rPr>
      </w:pPr>
      <w:r w:rsidRPr="00654EF1">
        <w:rPr>
          <w:color w:val="000000"/>
          <w:szCs w:val="22"/>
        </w:rPr>
        <w:t>Keep out of the sight and reach of children.</w:t>
      </w:r>
    </w:p>
    <w:p w14:paraId="1B680C3B" w14:textId="77777777" w:rsidR="006237AB" w:rsidRPr="00654EF1" w:rsidRDefault="006237AB" w:rsidP="001D5C8C">
      <w:pPr>
        <w:widowControl w:val="0"/>
        <w:spacing w:line="240" w:lineRule="auto"/>
        <w:rPr>
          <w:color w:val="000000"/>
          <w:szCs w:val="22"/>
        </w:rPr>
      </w:pPr>
    </w:p>
    <w:p w14:paraId="1B680C3C" w14:textId="77777777" w:rsidR="001B0362" w:rsidRPr="00654EF1" w:rsidRDefault="001B0362" w:rsidP="001D5C8C">
      <w:pPr>
        <w:widowControl w:val="0"/>
        <w:spacing w:line="240" w:lineRule="auto"/>
        <w:rPr>
          <w:color w:val="000000"/>
          <w:szCs w:val="22"/>
        </w:rPr>
      </w:pPr>
    </w:p>
    <w:p w14:paraId="1B680C3D"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7.</w:t>
      </w:r>
      <w:r w:rsidRPr="00654EF1">
        <w:rPr>
          <w:b/>
          <w:color w:val="000000"/>
          <w:szCs w:val="22"/>
        </w:rPr>
        <w:tab/>
        <w:t>OTHER SPECIAL WARNING(S), IF NECESSARY</w:t>
      </w:r>
    </w:p>
    <w:p w14:paraId="1B680C3E" w14:textId="77777777" w:rsidR="006237AB" w:rsidRPr="00654EF1" w:rsidRDefault="006237AB" w:rsidP="001D5C8C">
      <w:pPr>
        <w:widowControl w:val="0"/>
        <w:spacing w:line="240" w:lineRule="auto"/>
        <w:rPr>
          <w:color w:val="000000"/>
          <w:szCs w:val="22"/>
        </w:rPr>
      </w:pPr>
    </w:p>
    <w:p w14:paraId="1B680C3F"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Use only as directed by a doctor</w:t>
      </w:r>
      <w:r w:rsidR="00AB40A2" w:rsidRPr="00654EF1">
        <w:rPr>
          <w:color w:val="000000"/>
          <w:szCs w:val="22"/>
        </w:rPr>
        <w:t>.</w:t>
      </w:r>
    </w:p>
    <w:p w14:paraId="1B680C40" w14:textId="77777777" w:rsidR="006237AB" w:rsidRPr="00654EF1" w:rsidRDefault="006237AB" w:rsidP="001D5C8C">
      <w:pPr>
        <w:widowControl w:val="0"/>
        <w:spacing w:line="240" w:lineRule="auto"/>
        <w:rPr>
          <w:color w:val="000000"/>
          <w:szCs w:val="22"/>
        </w:rPr>
      </w:pPr>
    </w:p>
    <w:p w14:paraId="1B680C41" w14:textId="77777777" w:rsidR="001B0362" w:rsidRPr="00654EF1" w:rsidRDefault="001B0362" w:rsidP="001D5C8C">
      <w:pPr>
        <w:widowControl w:val="0"/>
        <w:spacing w:line="240" w:lineRule="auto"/>
        <w:rPr>
          <w:color w:val="000000"/>
          <w:szCs w:val="22"/>
        </w:rPr>
      </w:pPr>
    </w:p>
    <w:p w14:paraId="1B680C42"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8.</w:t>
      </w:r>
      <w:r w:rsidRPr="00654EF1">
        <w:rPr>
          <w:b/>
          <w:color w:val="000000"/>
          <w:szCs w:val="22"/>
        </w:rPr>
        <w:tab/>
        <w:t>EXPIRY DATE</w:t>
      </w:r>
    </w:p>
    <w:p w14:paraId="1B680C43" w14:textId="77777777" w:rsidR="006237AB" w:rsidRPr="00654EF1" w:rsidRDefault="006237AB" w:rsidP="001D5C8C">
      <w:pPr>
        <w:widowControl w:val="0"/>
        <w:spacing w:line="240" w:lineRule="auto"/>
        <w:rPr>
          <w:color w:val="000000"/>
          <w:szCs w:val="22"/>
        </w:rPr>
      </w:pPr>
    </w:p>
    <w:p w14:paraId="1B680C44"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EXP</w:t>
      </w:r>
    </w:p>
    <w:p w14:paraId="1B680C45" w14:textId="77777777" w:rsidR="006237AB" w:rsidRPr="00654EF1" w:rsidRDefault="006237AB" w:rsidP="001D5C8C">
      <w:pPr>
        <w:widowControl w:val="0"/>
        <w:spacing w:line="240" w:lineRule="auto"/>
        <w:rPr>
          <w:color w:val="000000"/>
          <w:szCs w:val="22"/>
        </w:rPr>
      </w:pPr>
    </w:p>
    <w:p w14:paraId="1B680C46" w14:textId="77777777" w:rsidR="001B0362" w:rsidRPr="00654EF1" w:rsidRDefault="001B0362" w:rsidP="001D5C8C">
      <w:pPr>
        <w:widowControl w:val="0"/>
        <w:spacing w:line="240" w:lineRule="auto"/>
        <w:rPr>
          <w:color w:val="000000"/>
          <w:szCs w:val="22"/>
        </w:rPr>
      </w:pPr>
    </w:p>
    <w:p w14:paraId="1B680C47"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color w:val="000000"/>
          <w:szCs w:val="22"/>
        </w:rPr>
      </w:pPr>
      <w:r w:rsidRPr="00654EF1">
        <w:rPr>
          <w:b/>
          <w:color w:val="000000"/>
          <w:szCs w:val="22"/>
        </w:rPr>
        <w:t>9.</w:t>
      </w:r>
      <w:r w:rsidRPr="00654EF1">
        <w:rPr>
          <w:b/>
          <w:color w:val="000000"/>
          <w:szCs w:val="22"/>
        </w:rPr>
        <w:tab/>
        <w:t>SPECIAL STORAGE CONDITIONS</w:t>
      </w:r>
    </w:p>
    <w:p w14:paraId="1B680C48" w14:textId="77777777" w:rsidR="006237AB" w:rsidRPr="00654EF1" w:rsidRDefault="006237AB" w:rsidP="001D5C8C">
      <w:pPr>
        <w:widowControl w:val="0"/>
        <w:spacing w:line="240" w:lineRule="auto"/>
        <w:rPr>
          <w:color w:val="000000"/>
          <w:szCs w:val="22"/>
        </w:rPr>
      </w:pPr>
    </w:p>
    <w:p w14:paraId="1B680C49" w14:textId="77777777" w:rsidR="00C703BD" w:rsidRPr="00654EF1" w:rsidRDefault="006237AB" w:rsidP="001D5C8C">
      <w:pPr>
        <w:pStyle w:val="EndnoteText"/>
        <w:widowControl w:val="0"/>
        <w:tabs>
          <w:tab w:val="clear" w:pos="567"/>
        </w:tabs>
        <w:rPr>
          <w:color w:val="000000"/>
          <w:szCs w:val="22"/>
        </w:rPr>
      </w:pPr>
      <w:r w:rsidRPr="00654EF1">
        <w:rPr>
          <w:color w:val="000000"/>
          <w:szCs w:val="22"/>
        </w:rPr>
        <w:t>Do not store above 30</w:t>
      </w:r>
      <w:r w:rsidR="00A36A10" w:rsidRPr="00654EF1">
        <w:rPr>
          <w:color w:val="000000"/>
          <w:szCs w:val="22"/>
        </w:rPr>
        <w:sym w:font="Symbol" w:char="F0B0"/>
      </w:r>
      <w:r w:rsidRPr="00654EF1">
        <w:rPr>
          <w:color w:val="000000"/>
          <w:szCs w:val="22"/>
        </w:rPr>
        <w:t>C. Store in the original package in order to protect from moisture.</w:t>
      </w:r>
    </w:p>
    <w:p w14:paraId="1B680C4A" w14:textId="77777777" w:rsidR="006237AB" w:rsidRPr="00654EF1" w:rsidRDefault="006237AB" w:rsidP="001D5C8C">
      <w:pPr>
        <w:widowControl w:val="0"/>
        <w:spacing w:line="240" w:lineRule="auto"/>
        <w:rPr>
          <w:color w:val="000000"/>
          <w:szCs w:val="22"/>
        </w:rPr>
      </w:pPr>
    </w:p>
    <w:p w14:paraId="1B680C4B" w14:textId="77777777" w:rsidR="001B0362" w:rsidRPr="00654EF1" w:rsidRDefault="001B0362" w:rsidP="001D5C8C">
      <w:pPr>
        <w:widowControl w:val="0"/>
        <w:spacing w:line="240" w:lineRule="auto"/>
        <w:rPr>
          <w:color w:val="000000"/>
          <w:szCs w:val="22"/>
        </w:rPr>
      </w:pPr>
    </w:p>
    <w:p w14:paraId="1B680C4C" w14:textId="77777777" w:rsidR="00C0396A" w:rsidRPr="00654EF1" w:rsidRDefault="00C0396A" w:rsidP="001D5C8C">
      <w:pPr>
        <w:keepLines/>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lastRenderedPageBreak/>
        <w:t>10.</w:t>
      </w:r>
      <w:r w:rsidRPr="00654EF1">
        <w:rPr>
          <w:b/>
          <w:color w:val="000000"/>
          <w:szCs w:val="22"/>
        </w:rPr>
        <w:tab/>
        <w:t>SPECIAL PRECAUTIONS FOR DISPOSAL OF UNUSED MEDICINAL PRODUCTS OR WASTE MATERIALS DERIVED FROM SUCH MEDICINAL PRODUCTS, IF APPROPRIATE</w:t>
      </w:r>
    </w:p>
    <w:p w14:paraId="1B680C4D" w14:textId="77777777" w:rsidR="006237AB" w:rsidRPr="00654EF1" w:rsidRDefault="006237AB" w:rsidP="001D5C8C">
      <w:pPr>
        <w:keepLines/>
        <w:widowControl w:val="0"/>
        <w:spacing w:line="240" w:lineRule="auto"/>
        <w:rPr>
          <w:color w:val="000000"/>
          <w:szCs w:val="22"/>
        </w:rPr>
      </w:pPr>
    </w:p>
    <w:p w14:paraId="1B680C4E" w14:textId="77777777" w:rsidR="006237AB" w:rsidRPr="00654EF1" w:rsidRDefault="006237AB" w:rsidP="001D5C8C">
      <w:pPr>
        <w:widowControl w:val="0"/>
        <w:spacing w:line="240" w:lineRule="auto"/>
        <w:rPr>
          <w:color w:val="000000"/>
          <w:szCs w:val="22"/>
        </w:rPr>
      </w:pPr>
    </w:p>
    <w:p w14:paraId="1B680C4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11.</w:t>
      </w:r>
      <w:r w:rsidRPr="00654EF1">
        <w:rPr>
          <w:b/>
          <w:color w:val="000000"/>
          <w:szCs w:val="22"/>
        </w:rPr>
        <w:tab/>
        <w:t xml:space="preserve">NAME </w:t>
      </w:r>
      <w:smartTag w:uri="urn:schemas-microsoft-com:office:smarttags" w:element="stockticker">
        <w:r w:rsidRPr="00654EF1">
          <w:rPr>
            <w:b/>
            <w:color w:val="000000"/>
            <w:szCs w:val="22"/>
          </w:rPr>
          <w:t>AND</w:t>
        </w:r>
      </w:smartTag>
      <w:r w:rsidRPr="00654EF1">
        <w:rPr>
          <w:b/>
          <w:color w:val="000000"/>
          <w:szCs w:val="22"/>
        </w:rPr>
        <w:t xml:space="preserve"> ADDRESS OF THE MARKETING AUTHORISATION HOLDER</w:t>
      </w:r>
    </w:p>
    <w:p w14:paraId="1B680C50" w14:textId="77777777" w:rsidR="006237AB" w:rsidRPr="00654EF1" w:rsidRDefault="006237AB" w:rsidP="001D5C8C">
      <w:pPr>
        <w:widowControl w:val="0"/>
        <w:spacing w:line="240" w:lineRule="auto"/>
        <w:rPr>
          <w:color w:val="000000"/>
          <w:szCs w:val="22"/>
        </w:rPr>
      </w:pPr>
    </w:p>
    <w:p w14:paraId="1B680C51"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C52" w14:textId="77777777" w:rsidR="005716CE" w:rsidRPr="00654EF1" w:rsidRDefault="005716CE" w:rsidP="001D5C8C">
      <w:pPr>
        <w:keepNext/>
        <w:widowControl w:val="0"/>
        <w:spacing w:line="240" w:lineRule="auto"/>
        <w:rPr>
          <w:color w:val="000000"/>
        </w:rPr>
      </w:pPr>
      <w:r w:rsidRPr="00654EF1">
        <w:rPr>
          <w:color w:val="000000"/>
        </w:rPr>
        <w:t>Vista Building</w:t>
      </w:r>
    </w:p>
    <w:p w14:paraId="1B680C53"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C54" w14:textId="77777777" w:rsidR="005716CE" w:rsidRPr="00654EF1" w:rsidRDefault="005716CE" w:rsidP="001D5C8C">
      <w:pPr>
        <w:keepNext/>
        <w:widowControl w:val="0"/>
        <w:spacing w:line="240" w:lineRule="auto"/>
        <w:rPr>
          <w:color w:val="000000"/>
        </w:rPr>
      </w:pPr>
      <w:r w:rsidRPr="00654EF1">
        <w:rPr>
          <w:color w:val="000000"/>
        </w:rPr>
        <w:t>Dublin 4</w:t>
      </w:r>
    </w:p>
    <w:p w14:paraId="1B680C55" w14:textId="77777777" w:rsidR="005716CE" w:rsidRPr="00654EF1" w:rsidRDefault="005716CE" w:rsidP="001D5C8C">
      <w:pPr>
        <w:spacing w:line="240" w:lineRule="auto"/>
        <w:rPr>
          <w:color w:val="000000"/>
        </w:rPr>
      </w:pPr>
      <w:r w:rsidRPr="00654EF1">
        <w:rPr>
          <w:color w:val="000000"/>
        </w:rPr>
        <w:t>Ireland</w:t>
      </w:r>
    </w:p>
    <w:p w14:paraId="1B680C56" w14:textId="77777777" w:rsidR="006237AB" w:rsidRPr="00654EF1" w:rsidRDefault="006237AB" w:rsidP="001D5C8C">
      <w:pPr>
        <w:widowControl w:val="0"/>
        <w:spacing w:line="240" w:lineRule="auto"/>
        <w:rPr>
          <w:color w:val="000000"/>
          <w:szCs w:val="22"/>
        </w:rPr>
      </w:pPr>
    </w:p>
    <w:p w14:paraId="1B680C57" w14:textId="77777777" w:rsidR="001B0362" w:rsidRPr="00654EF1" w:rsidRDefault="001B0362" w:rsidP="001D5C8C">
      <w:pPr>
        <w:widowControl w:val="0"/>
        <w:spacing w:line="240" w:lineRule="auto"/>
        <w:rPr>
          <w:color w:val="000000"/>
          <w:szCs w:val="22"/>
        </w:rPr>
      </w:pPr>
    </w:p>
    <w:p w14:paraId="1B680C58"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12.</w:t>
      </w:r>
      <w:r w:rsidRPr="00654EF1">
        <w:rPr>
          <w:b/>
          <w:color w:val="000000"/>
          <w:szCs w:val="22"/>
        </w:rPr>
        <w:tab/>
        <w:t>MARKETING AUTHORISATION NUMBER(S)</w:t>
      </w:r>
    </w:p>
    <w:p w14:paraId="1B680C59" w14:textId="77777777" w:rsidR="006237AB" w:rsidRPr="00654EF1" w:rsidRDefault="006237AB" w:rsidP="001D5C8C">
      <w:pPr>
        <w:widowControl w:val="0"/>
        <w:spacing w:line="240" w:lineRule="auto"/>
        <w:rPr>
          <w:color w:val="000000"/>
          <w:szCs w:val="22"/>
        </w:rPr>
      </w:pPr>
    </w:p>
    <w:p w14:paraId="1B680C5A" w14:textId="77777777" w:rsidR="001B0362" w:rsidRPr="00011E43" w:rsidRDefault="006237AB" w:rsidP="001D5C8C">
      <w:pPr>
        <w:pStyle w:val="EndnoteText"/>
        <w:widowControl w:val="0"/>
        <w:tabs>
          <w:tab w:val="clear" w:pos="567"/>
          <w:tab w:val="left" w:pos="2268"/>
        </w:tabs>
        <w:rPr>
          <w:color w:val="000000"/>
          <w:szCs w:val="22"/>
          <w:shd w:val="clear" w:color="auto" w:fill="D9D9D9"/>
        </w:rPr>
      </w:pPr>
      <w:r w:rsidRPr="00011E43">
        <w:rPr>
          <w:color w:val="000000"/>
          <w:szCs w:val="22"/>
        </w:rPr>
        <w:t>EU/1/01/198/009</w:t>
      </w:r>
      <w:r w:rsidR="001B0362" w:rsidRPr="00011E43">
        <w:rPr>
          <w:color w:val="000000"/>
          <w:szCs w:val="22"/>
        </w:rPr>
        <w:tab/>
      </w:r>
      <w:r w:rsidR="00D51040" w:rsidRPr="00011E43">
        <w:rPr>
          <w:color w:val="000000"/>
          <w:szCs w:val="22"/>
          <w:shd w:val="clear" w:color="auto" w:fill="D9D9D9"/>
        </w:rPr>
        <w:t>10 </w:t>
      </w:r>
      <w:r w:rsidR="001B0362" w:rsidRPr="00011E43">
        <w:rPr>
          <w:color w:val="000000"/>
          <w:szCs w:val="22"/>
          <w:shd w:val="clear" w:color="auto" w:fill="D9D9D9"/>
        </w:rPr>
        <w:t>tablets</w:t>
      </w:r>
    </w:p>
    <w:p w14:paraId="1B680C5B" w14:textId="77777777" w:rsidR="001B0362" w:rsidRPr="00011E43" w:rsidRDefault="001B0362" w:rsidP="001D5C8C">
      <w:pPr>
        <w:pStyle w:val="EndnoteText"/>
        <w:widowControl w:val="0"/>
        <w:tabs>
          <w:tab w:val="clear" w:pos="567"/>
          <w:tab w:val="left" w:pos="2268"/>
        </w:tabs>
        <w:rPr>
          <w:color w:val="000000"/>
          <w:szCs w:val="22"/>
          <w:shd w:val="clear" w:color="auto" w:fill="D9D9D9"/>
        </w:rPr>
      </w:pPr>
      <w:r w:rsidRPr="00011E43">
        <w:rPr>
          <w:color w:val="000000"/>
          <w:szCs w:val="22"/>
          <w:shd w:val="clear" w:color="auto" w:fill="D9D9D9"/>
        </w:rPr>
        <w:t>EU/1/01/198/010</w:t>
      </w:r>
      <w:r w:rsidRPr="00011E43">
        <w:rPr>
          <w:color w:val="000000"/>
          <w:szCs w:val="22"/>
          <w:shd w:val="clear" w:color="auto" w:fill="D9D9D9"/>
        </w:rPr>
        <w:tab/>
      </w:r>
      <w:r w:rsidR="00D51040" w:rsidRPr="00011E43">
        <w:rPr>
          <w:color w:val="000000"/>
          <w:szCs w:val="22"/>
          <w:shd w:val="clear" w:color="auto" w:fill="D9D9D9"/>
        </w:rPr>
        <w:t>30 </w:t>
      </w:r>
      <w:r w:rsidRPr="00011E43">
        <w:rPr>
          <w:color w:val="000000"/>
          <w:szCs w:val="22"/>
          <w:shd w:val="clear" w:color="auto" w:fill="D9D9D9"/>
        </w:rPr>
        <w:t>tablets</w:t>
      </w:r>
    </w:p>
    <w:p w14:paraId="1B680C5C" w14:textId="77777777" w:rsidR="001B0362" w:rsidRPr="00011E43" w:rsidRDefault="001B0362" w:rsidP="001D5C8C">
      <w:pPr>
        <w:pStyle w:val="EndnoteText"/>
        <w:widowControl w:val="0"/>
        <w:tabs>
          <w:tab w:val="clear" w:pos="567"/>
          <w:tab w:val="left" w:pos="2268"/>
        </w:tabs>
        <w:rPr>
          <w:color w:val="000000"/>
          <w:szCs w:val="22"/>
          <w:shd w:val="clear" w:color="auto" w:fill="D9D9D9"/>
        </w:rPr>
      </w:pPr>
      <w:r w:rsidRPr="00011E43">
        <w:rPr>
          <w:color w:val="000000"/>
          <w:szCs w:val="22"/>
          <w:shd w:val="clear" w:color="auto" w:fill="D9D9D9"/>
        </w:rPr>
        <w:t>EU/1/01/198/013</w:t>
      </w:r>
      <w:r w:rsidRPr="00011E43">
        <w:rPr>
          <w:color w:val="000000"/>
          <w:szCs w:val="22"/>
          <w:shd w:val="clear" w:color="auto" w:fill="D9D9D9"/>
        </w:rPr>
        <w:tab/>
      </w:r>
      <w:r w:rsidR="00D51040" w:rsidRPr="00011E43">
        <w:rPr>
          <w:color w:val="000000"/>
          <w:szCs w:val="22"/>
          <w:shd w:val="clear" w:color="auto" w:fill="D9D9D9"/>
        </w:rPr>
        <w:t>90 </w:t>
      </w:r>
      <w:r w:rsidRPr="00011E43">
        <w:rPr>
          <w:color w:val="000000"/>
          <w:szCs w:val="22"/>
          <w:shd w:val="clear" w:color="auto" w:fill="D9D9D9"/>
        </w:rPr>
        <w:t>tablets</w:t>
      </w:r>
    </w:p>
    <w:p w14:paraId="1B680C5D" w14:textId="77777777" w:rsidR="006237AB" w:rsidRPr="00011E43" w:rsidRDefault="006237AB" w:rsidP="001D5C8C">
      <w:pPr>
        <w:widowControl w:val="0"/>
        <w:spacing w:line="240" w:lineRule="auto"/>
        <w:rPr>
          <w:color w:val="000000"/>
          <w:szCs w:val="22"/>
        </w:rPr>
      </w:pPr>
    </w:p>
    <w:p w14:paraId="1B680C5E" w14:textId="77777777" w:rsidR="006237AB" w:rsidRPr="00011E43" w:rsidRDefault="006237AB" w:rsidP="001D5C8C">
      <w:pPr>
        <w:widowControl w:val="0"/>
        <w:spacing w:line="240" w:lineRule="auto"/>
        <w:rPr>
          <w:color w:val="000000"/>
          <w:szCs w:val="22"/>
        </w:rPr>
      </w:pPr>
    </w:p>
    <w:p w14:paraId="1B680C5F"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en-US"/>
        </w:rPr>
      </w:pPr>
      <w:r w:rsidRPr="00654EF1">
        <w:rPr>
          <w:b/>
          <w:color w:val="000000"/>
          <w:szCs w:val="22"/>
          <w:lang w:val="en-US"/>
        </w:rPr>
        <w:t>13.</w:t>
      </w:r>
      <w:r w:rsidRPr="00654EF1">
        <w:rPr>
          <w:b/>
          <w:color w:val="000000"/>
          <w:szCs w:val="22"/>
          <w:lang w:val="en-US"/>
        </w:rPr>
        <w:tab/>
        <w:t>BATCH NUMBER</w:t>
      </w:r>
    </w:p>
    <w:p w14:paraId="1B680C60" w14:textId="77777777" w:rsidR="006237AB" w:rsidRPr="00654EF1" w:rsidRDefault="006237AB" w:rsidP="001D5C8C">
      <w:pPr>
        <w:widowControl w:val="0"/>
        <w:spacing w:line="240" w:lineRule="auto"/>
        <w:rPr>
          <w:color w:val="000000"/>
          <w:szCs w:val="22"/>
          <w:lang w:val="en-US"/>
        </w:rPr>
      </w:pPr>
    </w:p>
    <w:p w14:paraId="1B680C61" w14:textId="77777777" w:rsidR="006237AB" w:rsidRPr="00654EF1" w:rsidRDefault="006237AB" w:rsidP="001D5C8C">
      <w:pPr>
        <w:widowControl w:val="0"/>
        <w:spacing w:line="240" w:lineRule="auto"/>
        <w:rPr>
          <w:color w:val="000000"/>
          <w:szCs w:val="22"/>
        </w:rPr>
      </w:pPr>
      <w:r w:rsidRPr="00654EF1">
        <w:rPr>
          <w:color w:val="000000"/>
          <w:szCs w:val="22"/>
        </w:rPr>
        <w:t>Lot</w:t>
      </w:r>
    </w:p>
    <w:p w14:paraId="1B680C62" w14:textId="77777777" w:rsidR="006237AB" w:rsidRPr="00654EF1" w:rsidRDefault="006237AB" w:rsidP="001D5C8C">
      <w:pPr>
        <w:widowControl w:val="0"/>
        <w:spacing w:line="240" w:lineRule="auto"/>
        <w:rPr>
          <w:color w:val="000000"/>
          <w:szCs w:val="22"/>
        </w:rPr>
      </w:pPr>
    </w:p>
    <w:p w14:paraId="1B680C63" w14:textId="77777777" w:rsidR="001B0362" w:rsidRPr="00654EF1" w:rsidRDefault="001B0362" w:rsidP="001D5C8C">
      <w:pPr>
        <w:widowControl w:val="0"/>
        <w:spacing w:line="240" w:lineRule="auto"/>
        <w:rPr>
          <w:color w:val="000000"/>
          <w:szCs w:val="22"/>
        </w:rPr>
      </w:pPr>
    </w:p>
    <w:p w14:paraId="1B680C64"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14.</w:t>
      </w:r>
      <w:r w:rsidRPr="00654EF1">
        <w:rPr>
          <w:b/>
          <w:color w:val="000000"/>
          <w:szCs w:val="22"/>
        </w:rPr>
        <w:tab/>
        <w:t>GENERAL CLASSIFICATION FOR SUPPLY</w:t>
      </w:r>
    </w:p>
    <w:p w14:paraId="1B680C65" w14:textId="77777777" w:rsidR="006237AB" w:rsidRPr="00654EF1" w:rsidRDefault="006237AB" w:rsidP="001D5C8C">
      <w:pPr>
        <w:widowControl w:val="0"/>
        <w:spacing w:line="240" w:lineRule="auto"/>
        <w:rPr>
          <w:color w:val="000000"/>
          <w:szCs w:val="22"/>
        </w:rPr>
      </w:pPr>
    </w:p>
    <w:p w14:paraId="1B680C66" w14:textId="77777777" w:rsidR="001B0362" w:rsidRPr="00654EF1" w:rsidRDefault="001B0362" w:rsidP="001D5C8C">
      <w:pPr>
        <w:widowControl w:val="0"/>
        <w:spacing w:line="240" w:lineRule="auto"/>
        <w:rPr>
          <w:color w:val="000000"/>
          <w:szCs w:val="22"/>
        </w:rPr>
      </w:pPr>
    </w:p>
    <w:p w14:paraId="1B680C67"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15.</w:t>
      </w:r>
      <w:r w:rsidRPr="00654EF1">
        <w:rPr>
          <w:b/>
          <w:color w:val="000000"/>
          <w:szCs w:val="22"/>
        </w:rPr>
        <w:tab/>
        <w:t>INSTRUCTIONS ON USE</w:t>
      </w:r>
    </w:p>
    <w:p w14:paraId="1B680C68" w14:textId="77777777" w:rsidR="00AB40A2" w:rsidRPr="00654EF1" w:rsidRDefault="00AB40A2" w:rsidP="001D5C8C">
      <w:pPr>
        <w:widowControl w:val="0"/>
        <w:spacing w:line="240" w:lineRule="auto"/>
        <w:rPr>
          <w:color w:val="000000"/>
          <w:szCs w:val="22"/>
        </w:rPr>
      </w:pPr>
    </w:p>
    <w:p w14:paraId="1B680C69" w14:textId="77777777" w:rsidR="00AB40A2" w:rsidRPr="00654EF1" w:rsidRDefault="00AB40A2" w:rsidP="001D5C8C">
      <w:pPr>
        <w:widowControl w:val="0"/>
        <w:spacing w:line="240" w:lineRule="auto"/>
        <w:rPr>
          <w:color w:val="000000"/>
          <w:szCs w:val="22"/>
        </w:rPr>
      </w:pPr>
    </w:p>
    <w:p w14:paraId="1B680C6A"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16.</w:t>
      </w:r>
      <w:r w:rsidRPr="00654EF1">
        <w:rPr>
          <w:b/>
          <w:color w:val="000000"/>
          <w:szCs w:val="22"/>
        </w:rPr>
        <w:tab/>
        <w:t>INFORMATION IN BRAILLE</w:t>
      </w:r>
    </w:p>
    <w:p w14:paraId="1B680C6B" w14:textId="77777777" w:rsidR="00AB40A2" w:rsidRPr="00654EF1" w:rsidRDefault="00AB40A2" w:rsidP="001D5C8C">
      <w:pPr>
        <w:widowControl w:val="0"/>
        <w:spacing w:line="240" w:lineRule="auto"/>
        <w:rPr>
          <w:color w:val="000000"/>
          <w:szCs w:val="22"/>
        </w:rPr>
      </w:pPr>
    </w:p>
    <w:p w14:paraId="1B680C6C" w14:textId="77777777" w:rsidR="00AB40A2" w:rsidRPr="00654EF1" w:rsidRDefault="00AB40A2" w:rsidP="001D5C8C">
      <w:pPr>
        <w:widowControl w:val="0"/>
        <w:spacing w:line="240" w:lineRule="auto"/>
        <w:rPr>
          <w:color w:val="000000"/>
          <w:szCs w:val="22"/>
        </w:rPr>
      </w:pPr>
      <w:r w:rsidRPr="00654EF1">
        <w:rPr>
          <w:color w:val="000000"/>
          <w:szCs w:val="22"/>
        </w:rPr>
        <w:t>Glivec 400 mg</w:t>
      </w:r>
    </w:p>
    <w:p w14:paraId="1B680C6D" w14:textId="77777777" w:rsidR="00AB40A2" w:rsidRPr="00654EF1" w:rsidRDefault="00AB40A2" w:rsidP="001D5C8C">
      <w:pPr>
        <w:widowControl w:val="0"/>
        <w:spacing w:line="240" w:lineRule="auto"/>
        <w:rPr>
          <w:color w:val="000000"/>
          <w:szCs w:val="22"/>
        </w:rPr>
      </w:pPr>
    </w:p>
    <w:p w14:paraId="1B680C6E" w14:textId="77777777" w:rsidR="00AB40A2" w:rsidRPr="00654EF1" w:rsidRDefault="00AB40A2" w:rsidP="001D5C8C">
      <w:pPr>
        <w:widowControl w:val="0"/>
        <w:spacing w:line="240" w:lineRule="auto"/>
        <w:rPr>
          <w:color w:val="000000"/>
          <w:szCs w:val="22"/>
        </w:rPr>
      </w:pPr>
    </w:p>
    <w:p w14:paraId="1B680C6F" w14:textId="77777777" w:rsidR="00DE25B9" w:rsidRPr="00654EF1"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54EF1">
        <w:rPr>
          <w:b/>
          <w:noProof/>
        </w:rPr>
        <w:t>17.</w:t>
      </w:r>
      <w:r w:rsidRPr="00654EF1">
        <w:rPr>
          <w:b/>
          <w:noProof/>
        </w:rPr>
        <w:tab/>
        <w:t>UNIQUE IDENTIFIER – 2D BARCODE</w:t>
      </w:r>
    </w:p>
    <w:p w14:paraId="1B680C70" w14:textId="77777777" w:rsidR="00DE25B9" w:rsidRPr="00654EF1" w:rsidRDefault="00DE25B9" w:rsidP="001D5C8C">
      <w:pPr>
        <w:widowControl w:val="0"/>
        <w:tabs>
          <w:tab w:val="clear" w:pos="567"/>
        </w:tabs>
        <w:spacing w:line="240" w:lineRule="auto"/>
        <w:rPr>
          <w:noProof/>
        </w:rPr>
      </w:pPr>
    </w:p>
    <w:p w14:paraId="1B680C71" w14:textId="77777777" w:rsidR="00DE25B9" w:rsidRPr="00654EF1" w:rsidRDefault="00DE25B9" w:rsidP="001D5C8C">
      <w:pPr>
        <w:widowControl w:val="0"/>
        <w:tabs>
          <w:tab w:val="clear" w:pos="567"/>
        </w:tabs>
        <w:spacing w:line="240" w:lineRule="auto"/>
        <w:rPr>
          <w:noProof/>
          <w:szCs w:val="22"/>
          <w:shd w:val="pct15" w:color="auto" w:fill="auto"/>
        </w:rPr>
      </w:pPr>
      <w:r w:rsidRPr="00654EF1">
        <w:rPr>
          <w:noProof/>
          <w:szCs w:val="22"/>
          <w:shd w:val="pct15" w:color="auto" w:fill="auto"/>
        </w:rPr>
        <w:t>2D barcode carrying the unique identifier included.</w:t>
      </w:r>
    </w:p>
    <w:p w14:paraId="1B680C72" w14:textId="77777777" w:rsidR="00DE25B9" w:rsidRPr="00654EF1" w:rsidRDefault="00DE25B9" w:rsidP="001D5C8C">
      <w:pPr>
        <w:widowControl w:val="0"/>
        <w:tabs>
          <w:tab w:val="clear" w:pos="567"/>
        </w:tabs>
        <w:spacing w:line="240" w:lineRule="auto"/>
        <w:rPr>
          <w:noProof/>
          <w:szCs w:val="22"/>
          <w:shd w:val="clear" w:color="auto" w:fill="CCCCCC"/>
        </w:rPr>
      </w:pPr>
    </w:p>
    <w:p w14:paraId="1B680C73" w14:textId="77777777" w:rsidR="00DE25B9" w:rsidRPr="00654EF1" w:rsidRDefault="00DE25B9" w:rsidP="001D5C8C">
      <w:pPr>
        <w:widowControl w:val="0"/>
        <w:tabs>
          <w:tab w:val="clear" w:pos="567"/>
        </w:tabs>
        <w:spacing w:line="240" w:lineRule="auto"/>
        <w:rPr>
          <w:noProof/>
        </w:rPr>
      </w:pPr>
    </w:p>
    <w:p w14:paraId="1B680C74" w14:textId="77777777" w:rsidR="00DE25B9" w:rsidRPr="00654EF1" w:rsidRDefault="00DE25B9" w:rsidP="001D5C8C">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54EF1">
        <w:rPr>
          <w:b/>
          <w:noProof/>
        </w:rPr>
        <w:t>18.</w:t>
      </w:r>
      <w:r w:rsidRPr="00654EF1">
        <w:rPr>
          <w:b/>
          <w:noProof/>
        </w:rPr>
        <w:tab/>
        <w:t>UNIQUE IDENTIFIER - HUMAN READABLE DATA</w:t>
      </w:r>
    </w:p>
    <w:p w14:paraId="1B680C75" w14:textId="77777777" w:rsidR="00DE25B9" w:rsidRPr="00654EF1" w:rsidRDefault="00DE25B9" w:rsidP="001D5C8C">
      <w:pPr>
        <w:widowControl w:val="0"/>
        <w:tabs>
          <w:tab w:val="clear" w:pos="567"/>
        </w:tabs>
        <w:spacing w:line="240" w:lineRule="auto"/>
        <w:rPr>
          <w:noProof/>
        </w:rPr>
      </w:pPr>
    </w:p>
    <w:p w14:paraId="1B680C76" w14:textId="77777777" w:rsidR="00DE25B9" w:rsidRPr="00654EF1" w:rsidRDefault="00DE25B9" w:rsidP="001D5C8C">
      <w:pPr>
        <w:widowControl w:val="0"/>
        <w:tabs>
          <w:tab w:val="clear" w:pos="567"/>
        </w:tabs>
        <w:spacing w:line="240" w:lineRule="auto"/>
        <w:rPr>
          <w:szCs w:val="22"/>
        </w:rPr>
      </w:pPr>
      <w:r w:rsidRPr="00654EF1">
        <w:rPr>
          <w:szCs w:val="22"/>
        </w:rPr>
        <w:t>PC:</w:t>
      </w:r>
    </w:p>
    <w:p w14:paraId="1B680C77" w14:textId="77777777" w:rsidR="00DE25B9" w:rsidRPr="00654EF1" w:rsidRDefault="00DE25B9" w:rsidP="001D5C8C">
      <w:pPr>
        <w:widowControl w:val="0"/>
        <w:tabs>
          <w:tab w:val="clear" w:pos="567"/>
        </w:tabs>
        <w:spacing w:line="240" w:lineRule="auto"/>
        <w:rPr>
          <w:szCs w:val="22"/>
        </w:rPr>
      </w:pPr>
      <w:r w:rsidRPr="00654EF1">
        <w:rPr>
          <w:szCs w:val="22"/>
        </w:rPr>
        <w:t>SN:</w:t>
      </w:r>
    </w:p>
    <w:p w14:paraId="1B680C78" w14:textId="77777777" w:rsidR="00DE25B9" w:rsidRPr="00654EF1" w:rsidRDefault="00DE25B9" w:rsidP="001D5C8C">
      <w:pPr>
        <w:widowControl w:val="0"/>
        <w:tabs>
          <w:tab w:val="clear" w:pos="567"/>
        </w:tabs>
        <w:spacing w:line="240" w:lineRule="auto"/>
        <w:rPr>
          <w:szCs w:val="22"/>
        </w:rPr>
      </w:pPr>
      <w:r w:rsidRPr="00654EF1">
        <w:rPr>
          <w:szCs w:val="22"/>
        </w:rPr>
        <w:t>NN:</w:t>
      </w:r>
    </w:p>
    <w:p w14:paraId="1B680C79" w14:textId="77777777" w:rsidR="006237AB" w:rsidRPr="00654EF1" w:rsidRDefault="006237AB" w:rsidP="001D5C8C">
      <w:pPr>
        <w:widowControl w:val="0"/>
        <w:spacing w:line="240" w:lineRule="auto"/>
        <w:rPr>
          <w:color w:val="000000"/>
          <w:szCs w:val="22"/>
        </w:rPr>
      </w:pPr>
      <w:r w:rsidRPr="00654EF1">
        <w:rPr>
          <w:b/>
          <w:color w:val="000000"/>
          <w:szCs w:val="22"/>
          <w:u w:val="single"/>
        </w:rPr>
        <w:br w:type="page"/>
      </w:r>
    </w:p>
    <w:p w14:paraId="1B680C7A" w14:textId="77777777" w:rsidR="005E7BE5" w:rsidRPr="005E7BE5" w:rsidRDefault="005E7BE5" w:rsidP="005E7BE5">
      <w:pPr>
        <w:widowControl w:val="0"/>
        <w:spacing w:line="240" w:lineRule="auto"/>
        <w:rPr>
          <w:color w:val="000000"/>
          <w:szCs w:val="22"/>
        </w:rPr>
      </w:pPr>
    </w:p>
    <w:p w14:paraId="1B680C7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MINIMUM PARTICULARS TO APPEAR ON BLISTERS OR STRIPS</w:t>
      </w:r>
    </w:p>
    <w:p w14:paraId="1B680C7C"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p>
    <w:p w14:paraId="1B680C7D"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654EF1">
        <w:rPr>
          <w:b/>
          <w:color w:val="000000"/>
          <w:szCs w:val="22"/>
        </w:rPr>
        <w:t>BLISTERS</w:t>
      </w:r>
    </w:p>
    <w:p w14:paraId="1B680C7E" w14:textId="77777777" w:rsidR="006237AB" w:rsidRPr="00654EF1" w:rsidRDefault="006237AB" w:rsidP="001D5C8C">
      <w:pPr>
        <w:widowControl w:val="0"/>
        <w:spacing w:line="240" w:lineRule="auto"/>
        <w:rPr>
          <w:color w:val="000000"/>
          <w:szCs w:val="22"/>
        </w:rPr>
      </w:pPr>
    </w:p>
    <w:p w14:paraId="1B680C7F" w14:textId="77777777" w:rsidR="006237AB" w:rsidRPr="00654EF1" w:rsidRDefault="006237AB" w:rsidP="001D5C8C">
      <w:pPr>
        <w:widowControl w:val="0"/>
        <w:spacing w:line="240" w:lineRule="auto"/>
        <w:rPr>
          <w:color w:val="000000"/>
          <w:szCs w:val="22"/>
        </w:rPr>
      </w:pPr>
    </w:p>
    <w:p w14:paraId="1B680C8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1.</w:t>
      </w:r>
      <w:r w:rsidRPr="00654EF1">
        <w:rPr>
          <w:b/>
          <w:color w:val="000000"/>
          <w:szCs w:val="22"/>
        </w:rPr>
        <w:tab/>
        <w:t>NAME OF THE MEDICINAL PRODUCT</w:t>
      </w:r>
    </w:p>
    <w:p w14:paraId="1B680C81" w14:textId="77777777" w:rsidR="006237AB" w:rsidRPr="00654EF1" w:rsidRDefault="006237AB" w:rsidP="001D5C8C">
      <w:pPr>
        <w:widowControl w:val="0"/>
        <w:spacing w:line="240" w:lineRule="auto"/>
        <w:ind w:left="567" w:hanging="567"/>
        <w:rPr>
          <w:color w:val="000000"/>
          <w:szCs w:val="22"/>
        </w:rPr>
      </w:pPr>
    </w:p>
    <w:p w14:paraId="1B680C82" w14:textId="77777777" w:rsidR="006237AB" w:rsidRPr="00654EF1" w:rsidRDefault="006237AB" w:rsidP="001D5C8C">
      <w:pPr>
        <w:widowControl w:val="0"/>
        <w:spacing w:line="240" w:lineRule="auto"/>
        <w:ind w:left="567" w:hanging="567"/>
        <w:rPr>
          <w:color w:val="000000"/>
          <w:szCs w:val="22"/>
        </w:rPr>
      </w:pPr>
      <w:r w:rsidRPr="00654EF1">
        <w:rPr>
          <w:color w:val="000000"/>
          <w:szCs w:val="22"/>
        </w:rPr>
        <w:t>G</w:t>
      </w:r>
      <w:r w:rsidR="007E1D1E" w:rsidRPr="00654EF1">
        <w:rPr>
          <w:color w:val="000000"/>
          <w:szCs w:val="22"/>
        </w:rPr>
        <w:t>livec</w:t>
      </w:r>
      <w:r w:rsidRPr="00654EF1">
        <w:rPr>
          <w:color w:val="000000"/>
          <w:szCs w:val="22"/>
        </w:rPr>
        <w:t xml:space="preserve"> 400</w:t>
      </w:r>
      <w:r w:rsidR="002D524A" w:rsidRPr="00654EF1">
        <w:rPr>
          <w:color w:val="000000"/>
          <w:szCs w:val="22"/>
        </w:rPr>
        <w:t> mg</w:t>
      </w:r>
      <w:r w:rsidRPr="00654EF1">
        <w:rPr>
          <w:color w:val="000000"/>
          <w:szCs w:val="22"/>
        </w:rPr>
        <w:t xml:space="preserve"> tablets</w:t>
      </w:r>
    </w:p>
    <w:p w14:paraId="1B680C83" w14:textId="77777777" w:rsidR="006237AB" w:rsidRPr="00654EF1" w:rsidRDefault="00AB244E" w:rsidP="001D5C8C">
      <w:pPr>
        <w:widowControl w:val="0"/>
        <w:spacing w:line="240" w:lineRule="auto"/>
        <w:ind w:left="567" w:hanging="567"/>
        <w:rPr>
          <w:color w:val="000000"/>
          <w:szCs w:val="22"/>
        </w:rPr>
      </w:pPr>
      <w:r w:rsidRPr="00654EF1">
        <w:rPr>
          <w:color w:val="000000"/>
          <w:szCs w:val="22"/>
        </w:rPr>
        <w:t>i</w:t>
      </w:r>
      <w:r w:rsidR="006237AB" w:rsidRPr="00654EF1">
        <w:rPr>
          <w:color w:val="000000"/>
          <w:szCs w:val="22"/>
        </w:rPr>
        <w:t>matinib</w:t>
      </w:r>
    </w:p>
    <w:p w14:paraId="1B680C84" w14:textId="77777777" w:rsidR="006237AB" w:rsidRPr="00654EF1" w:rsidRDefault="006237AB" w:rsidP="001D5C8C">
      <w:pPr>
        <w:widowControl w:val="0"/>
        <w:spacing w:line="240" w:lineRule="auto"/>
        <w:rPr>
          <w:color w:val="000000"/>
          <w:szCs w:val="22"/>
        </w:rPr>
      </w:pPr>
    </w:p>
    <w:p w14:paraId="1B680C85" w14:textId="77777777" w:rsidR="001B0362" w:rsidRPr="00654EF1" w:rsidRDefault="001B0362" w:rsidP="001D5C8C">
      <w:pPr>
        <w:widowControl w:val="0"/>
        <w:spacing w:line="240" w:lineRule="auto"/>
        <w:rPr>
          <w:color w:val="000000"/>
          <w:szCs w:val="22"/>
        </w:rPr>
      </w:pPr>
    </w:p>
    <w:p w14:paraId="1B680C86"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2.</w:t>
      </w:r>
      <w:r w:rsidRPr="00654EF1">
        <w:rPr>
          <w:b/>
          <w:color w:val="000000"/>
          <w:szCs w:val="22"/>
        </w:rPr>
        <w:tab/>
        <w:t>NAME OF THE MARKETING AUTHORISATION HOLDER</w:t>
      </w:r>
    </w:p>
    <w:p w14:paraId="1B680C87" w14:textId="77777777" w:rsidR="006237AB" w:rsidRPr="00654EF1" w:rsidRDefault="006237AB" w:rsidP="001D5C8C">
      <w:pPr>
        <w:widowControl w:val="0"/>
        <w:spacing w:line="240" w:lineRule="auto"/>
        <w:rPr>
          <w:color w:val="000000"/>
          <w:szCs w:val="22"/>
        </w:rPr>
      </w:pPr>
    </w:p>
    <w:p w14:paraId="1B680C88" w14:textId="77777777" w:rsidR="006237AB" w:rsidRPr="00654EF1" w:rsidRDefault="006237AB" w:rsidP="001D5C8C">
      <w:pPr>
        <w:widowControl w:val="0"/>
        <w:spacing w:line="240" w:lineRule="auto"/>
        <w:rPr>
          <w:color w:val="000000"/>
          <w:szCs w:val="22"/>
        </w:rPr>
      </w:pPr>
      <w:r w:rsidRPr="00654EF1">
        <w:rPr>
          <w:color w:val="000000"/>
          <w:szCs w:val="22"/>
        </w:rPr>
        <w:t>Novartis Europharm Limited</w:t>
      </w:r>
    </w:p>
    <w:p w14:paraId="1B680C89" w14:textId="77777777" w:rsidR="006237AB" w:rsidRPr="00654EF1" w:rsidRDefault="006237AB" w:rsidP="001D5C8C">
      <w:pPr>
        <w:widowControl w:val="0"/>
        <w:spacing w:line="240" w:lineRule="auto"/>
        <w:rPr>
          <w:color w:val="000000"/>
          <w:szCs w:val="22"/>
        </w:rPr>
      </w:pPr>
    </w:p>
    <w:p w14:paraId="1B680C8A" w14:textId="77777777" w:rsidR="001B0362" w:rsidRPr="00654EF1" w:rsidRDefault="001B0362" w:rsidP="001D5C8C">
      <w:pPr>
        <w:widowControl w:val="0"/>
        <w:spacing w:line="240" w:lineRule="auto"/>
        <w:rPr>
          <w:color w:val="000000"/>
          <w:szCs w:val="22"/>
        </w:rPr>
      </w:pPr>
    </w:p>
    <w:p w14:paraId="1B680C8B"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3.</w:t>
      </w:r>
      <w:r w:rsidRPr="00654EF1">
        <w:rPr>
          <w:b/>
          <w:color w:val="000000"/>
          <w:szCs w:val="22"/>
        </w:rPr>
        <w:tab/>
        <w:t>EXPIRY DATE</w:t>
      </w:r>
    </w:p>
    <w:p w14:paraId="1B680C8C" w14:textId="77777777" w:rsidR="006237AB" w:rsidRPr="00654EF1" w:rsidRDefault="006237AB" w:rsidP="001D5C8C">
      <w:pPr>
        <w:widowControl w:val="0"/>
        <w:spacing w:line="240" w:lineRule="auto"/>
        <w:rPr>
          <w:color w:val="000000"/>
          <w:szCs w:val="22"/>
        </w:rPr>
      </w:pPr>
    </w:p>
    <w:p w14:paraId="1B680C8D" w14:textId="77777777" w:rsidR="006237AB" w:rsidRPr="00654EF1" w:rsidRDefault="006237AB" w:rsidP="001D5C8C">
      <w:pPr>
        <w:pStyle w:val="EndnoteText"/>
        <w:widowControl w:val="0"/>
        <w:tabs>
          <w:tab w:val="clear" w:pos="567"/>
        </w:tabs>
        <w:rPr>
          <w:color w:val="000000"/>
          <w:szCs w:val="22"/>
        </w:rPr>
      </w:pPr>
      <w:r w:rsidRPr="00654EF1">
        <w:rPr>
          <w:color w:val="000000"/>
          <w:szCs w:val="22"/>
        </w:rPr>
        <w:t>EXP</w:t>
      </w:r>
    </w:p>
    <w:p w14:paraId="1B680C8E" w14:textId="77777777" w:rsidR="006237AB" w:rsidRPr="00654EF1" w:rsidRDefault="006237AB" w:rsidP="001D5C8C">
      <w:pPr>
        <w:widowControl w:val="0"/>
        <w:spacing w:line="240" w:lineRule="auto"/>
        <w:rPr>
          <w:color w:val="000000"/>
          <w:szCs w:val="22"/>
        </w:rPr>
      </w:pPr>
    </w:p>
    <w:p w14:paraId="1B680C8F" w14:textId="77777777" w:rsidR="001B0362" w:rsidRPr="00654EF1" w:rsidRDefault="001B0362" w:rsidP="001D5C8C">
      <w:pPr>
        <w:widowControl w:val="0"/>
        <w:spacing w:line="240" w:lineRule="auto"/>
        <w:rPr>
          <w:color w:val="000000"/>
          <w:szCs w:val="22"/>
        </w:rPr>
      </w:pPr>
    </w:p>
    <w:p w14:paraId="1B680C90"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rPr>
      </w:pPr>
      <w:r w:rsidRPr="00654EF1">
        <w:rPr>
          <w:b/>
          <w:color w:val="000000"/>
          <w:szCs w:val="22"/>
        </w:rPr>
        <w:t>4.</w:t>
      </w:r>
      <w:r w:rsidRPr="00654EF1">
        <w:rPr>
          <w:b/>
          <w:color w:val="000000"/>
          <w:szCs w:val="22"/>
        </w:rPr>
        <w:tab/>
        <w:t>BATCH NUMBER</w:t>
      </w:r>
    </w:p>
    <w:p w14:paraId="1B680C91" w14:textId="77777777" w:rsidR="006237AB" w:rsidRPr="00654EF1" w:rsidRDefault="006237AB" w:rsidP="001D5C8C">
      <w:pPr>
        <w:widowControl w:val="0"/>
        <w:spacing w:line="240" w:lineRule="auto"/>
        <w:rPr>
          <w:color w:val="000000"/>
          <w:szCs w:val="22"/>
        </w:rPr>
      </w:pPr>
    </w:p>
    <w:p w14:paraId="1B680C92" w14:textId="77777777" w:rsidR="00155EF9" w:rsidRPr="00654EF1" w:rsidRDefault="006237AB" w:rsidP="001D5C8C">
      <w:pPr>
        <w:widowControl w:val="0"/>
        <w:tabs>
          <w:tab w:val="clear" w:pos="567"/>
        </w:tabs>
        <w:spacing w:line="240" w:lineRule="auto"/>
        <w:rPr>
          <w:color w:val="000000"/>
          <w:szCs w:val="22"/>
        </w:rPr>
      </w:pPr>
      <w:r w:rsidRPr="00654EF1">
        <w:rPr>
          <w:color w:val="000000"/>
          <w:szCs w:val="22"/>
        </w:rPr>
        <w:t>Lot</w:t>
      </w:r>
    </w:p>
    <w:p w14:paraId="1B680C93" w14:textId="77777777" w:rsidR="00155EF9" w:rsidRPr="00654EF1" w:rsidRDefault="00155EF9" w:rsidP="001D5C8C">
      <w:pPr>
        <w:widowControl w:val="0"/>
        <w:tabs>
          <w:tab w:val="clear" w:pos="567"/>
        </w:tabs>
        <w:spacing w:line="240" w:lineRule="auto"/>
        <w:rPr>
          <w:color w:val="000000"/>
          <w:szCs w:val="22"/>
        </w:rPr>
      </w:pPr>
    </w:p>
    <w:p w14:paraId="1B680C94" w14:textId="77777777" w:rsidR="00155EF9" w:rsidRPr="00654EF1" w:rsidRDefault="00155EF9" w:rsidP="001D5C8C">
      <w:pPr>
        <w:widowControl w:val="0"/>
        <w:tabs>
          <w:tab w:val="clear" w:pos="567"/>
        </w:tabs>
        <w:spacing w:line="240" w:lineRule="auto"/>
        <w:rPr>
          <w:color w:val="000000"/>
          <w:szCs w:val="22"/>
        </w:rPr>
      </w:pPr>
    </w:p>
    <w:p w14:paraId="1B680C95" w14:textId="77777777" w:rsidR="00C0396A" w:rsidRPr="00654EF1" w:rsidRDefault="00C0396A" w:rsidP="001D5C8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54EF1">
        <w:rPr>
          <w:b/>
          <w:noProof/>
          <w:color w:val="000000"/>
        </w:rPr>
        <w:t>5.</w:t>
      </w:r>
      <w:r w:rsidRPr="00654EF1">
        <w:rPr>
          <w:b/>
          <w:noProof/>
          <w:color w:val="000000"/>
        </w:rPr>
        <w:tab/>
        <w:t>OTHER</w:t>
      </w:r>
    </w:p>
    <w:p w14:paraId="1B680C96" w14:textId="77777777" w:rsidR="006237AB" w:rsidRPr="00654EF1" w:rsidRDefault="006237AB" w:rsidP="001D5C8C">
      <w:pPr>
        <w:widowControl w:val="0"/>
        <w:spacing w:line="240" w:lineRule="auto"/>
        <w:rPr>
          <w:color w:val="000000"/>
          <w:szCs w:val="22"/>
        </w:rPr>
      </w:pPr>
    </w:p>
    <w:p w14:paraId="1B680C97" w14:textId="77777777" w:rsidR="00BB30F2" w:rsidRPr="00654EF1" w:rsidRDefault="006237AB" w:rsidP="001D5C8C">
      <w:pPr>
        <w:pStyle w:val="EndnoteText"/>
        <w:widowControl w:val="0"/>
        <w:tabs>
          <w:tab w:val="clear" w:pos="567"/>
        </w:tabs>
        <w:rPr>
          <w:color w:val="000000"/>
          <w:szCs w:val="22"/>
        </w:rPr>
      </w:pPr>
      <w:r w:rsidRPr="00654EF1">
        <w:rPr>
          <w:b/>
          <w:color w:val="000000"/>
          <w:szCs w:val="22"/>
        </w:rPr>
        <w:br w:type="page"/>
      </w:r>
    </w:p>
    <w:p w14:paraId="1B680C98" w14:textId="77777777" w:rsidR="00BB30F2" w:rsidRPr="00654EF1" w:rsidRDefault="00BB30F2" w:rsidP="001D5C8C">
      <w:pPr>
        <w:widowControl w:val="0"/>
        <w:tabs>
          <w:tab w:val="clear" w:pos="567"/>
        </w:tabs>
        <w:spacing w:line="240" w:lineRule="auto"/>
        <w:rPr>
          <w:color w:val="000000"/>
          <w:szCs w:val="22"/>
        </w:rPr>
      </w:pPr>
    </w:p>
    <w:p w14:paraId="1B680C99" w14:textId="77777777" w:rsidR="00BB30F2" w:rsidRPr="00654EF1" w:rsidRDefault="00BB30F2" w:rsidP="001D5C8C">
      <w:pPr>
        <w:widowControl w:val="0"/>
        <w:tabs>
          <w:tab w:val="clear" w:pos="567"/>
        </w:tabs>
        <w:spacing w:line="240" w:lineRule="auto"/>
        <w:rPr>
          <w:color w:val="000000"/>
          <w:szCs w:val="22"/>
        </w:rPr>
      </w:pPr>
    </w:p>
    <w:p w14:paraId="1B680C9A" w14:textId="77777777" w:rsidR="00BB30F2" w:rsidRPr="00654EF1" w:rsidRDefault="00BB30F2" w:rsidP="001D5C8C">
      <w:pPr>
        <w:widowControl w:val="0"/>
        <w:tabs>
          <w:tab w:val="clear" w:pos="567"/>
        </w:tabs>
        <w:spacing w:line="240" w:lineRule="auto"/>
        <w:rPr>
          <w:color w:val="000000"/>
          <w:szCs w:val="22"/>
        </w:rPr>
      </w:pPr>
    </w:p>
    <w:p w14:paraId="1B680C9B" w14:textId="77777777" w:rsidR="00BB30F2" w:rsidRPr="00654EF1" w:rsidRDefault="00BB30F2" w:rsidP="001D5C8C">
      <w:pPr>
        <w:widowControl w:val="0"/>
        <w:tabs>
          <w:tab w:val="clear" w:pos="567"/>
        </w:tabs>
        <w:spacing w:line="240" w:lineRule="auto"/>
        <w:rPr>
          <w:color w:val="000000"/>
          <w:szCs w:val="22"/>
        </w:rPr>
      </w:pPr>
    </w:p>
    <w:p w14:paraId="1B680C9C" w14:textId="77777777" w:rsidR="00BB30F2" w:rsidRPr="00654EF1" w:rsidRDefault="00BB30F2" w:rsidP="001D5C8C">
      <w:pPr>
        <w:widowControl w:val="0"/>
        <w:tabs>
          <w:tab w:val="clear" w:pos="567"/>
        </w:tabs>
        <w:spacing w:line="240" w:lineRule="auto"/>
        <w:rPr>
          <w:color w:val="000000"/>
          <w:szCs w:val="22"/>
        </w:rPr>
      </w:pPr>
    </w:p>
    <w:p w14:paraId="1B680C9D" w14:textId="77777777" w:rsidR="00BB30F2" w:rsidRPr="00654EF1" w:rsidRDefault="00BB30F2" w:rsidP="001D5C8C">
      <w:pPr>
        <w:widowControl w:val="0"/>
        <w:tabs>
          <w:tab w:val="clear" w:pos="567"/>
        </w:tabs>
        <w:spacing w:line="240" w:lineRule="auto"/>
        <w:rPr>
          <w:color w:val="000000"/>
          <w:szCs w:val="22"/>
        </w:rPr>
      </w:pPr>
    </w:p>
    <w:p w14:paraId="1B680C9E" w14:textId="77777777" w:rsidR="00BB30F2" w:rsidRPr="00654EF1" w:rsidRDefault="00BB30F2" w:rsidP="001D5C8C">
      <w:pPr>
        <w:widowControl w:val="0"/>
        <w:tabs>
          <w:tab w:val="clear" w:pos="567"/>
        </w:tabs>
        <w:spacing w:line="240" w:lineRule="auto"/>
        <w:rPr>
          <w:color w:val="000000"/>
          <w:szCs w:val="22"/>
        </w:rPr>
      </w:pPr>
    </w:p>
    <w:p w14:paraId="1B680C9F" w14:textId="77777777" w:rsidR="00BB30F2" w:rsidRPr="00654EF1" w:rsidRDefault="00BB30F2" w:rsidP="001D5C8C">
      <w:pPr>
        <w:widowControl w:val="0"/>
        <w:tabs>
          <w:tab w:val="clear" w:pos="567"/>
        </w:tabs>
        <w:spacing w:line="240" w:lineRule="auto"/>
        <w:rPr>
          <w:color w:val="000000"/>
          <w:szCs w:val="22"/>
        </w:rPr>
      </w:pPr>
    </w:p>
    <w:p w14:paraId="1B680CA0" w14:textId="77777777" w:rsidR="00BB30F2" w:rsidRPr="00654EF1" w:rsidRDefault="00BB30F2" w:rsidP="001D5C8C">
      <w:pPr>
        <w:widowControl w:val="0"/>
        <w:tabs>
          <w:tab w:val="clear" w:pos="567"/>
        </w:tabs>
        <w:spacing w:line="240" w:lineRule="auto"/>
        <w:rPr>
          <w:color w:val="000000"/>
          <w:szCs w:val="22"/>
        </w:rPr>
      </w:pPr>
    </w:p>
    <w:p w14:paraId="1B680CA1" w14:textId="77777777" w:rsidR="00BB30F2" w:rsidRPr="00654EF1" w:rsidRDefault="00BB30F2" w:rsidP="001D5C8C">
      <w:pPr>
        <w:widowControl w:val="0"/>
        <w:tabs>
          <w:tab w:val="clear" w:pos="567"/>
        </w:tabs>
        <w:spacing w:line="240" w:lineRule="auto"/>
        <w:rPr>
          <w:color w:val="000000"/>
          <w:szCs w:val="22"/>
        </w:rPr>
      </w:pPr>
    </w:p>
    <w:p w14:paraId="1B680CA2" w14:textId="77777777" w:rsidR="00BB30F2" w:rsidRPr="00654EF1" w:rsidRDefault="00BB30F2" w:rsidP="001D5C8C">
      <w:pPr>
        <w:widowControl w:val="0"/>
        <w:tabs>
          <w:tab w:val="clear" w:pos="567"/>
        </w:tabs>
        <w:spacing w:line="240" w:lineRule="auto"/>
        <w:rPr>
          <w:color w:val="000000"/>
          <w:szCs w:val="22"/>
        </w:rPr>
      </w:pPr>
    </w:p>
    <w:p w14:paraId="1B680CA3" w14:textId="77777777" w:rsidR="00BB30F2" w:rsidRPr="00654EF1" w:rsidRDefault="00BB30F2" w:rsidP="001D5C8C">
      <w:pPr>
        <w:widowControl w:val="0"/>
        <w:tabs>
          <w:tab w:val="clear" w:pos="567"/>
        </w:tabs>
        <w:spacing w:line="240" w:lineRule="auto"/>
        <w:rPr>
          <w:color w:val="000000"/>
          <w:szCs w:val="22"/>
        </w:rPr>
      </w:pPr>
    </w:p>
    <w:p w14:paraId="1B680CA4" w14:textId="77777777" w:rsidR="00BB30F2" w:rsidRPr="00654EF1" w:rsidRDefault="00BB30F2" w:rsidP="001D5C8C">
      <w:pPr>
        <w:widowControl w:val="0"/>
        <w:tabs>
          <w:tab w:val="clear" w:pos="567"/>
        </w:tabs>
        <w:spacing w:line="240" w:lineRule="auto"/>
        <w:rPr>
          <w:color w:val="000000"/>
          <w:szCs w:val="22"/>
        </w:rPr>
      </w:pPr>
    </w:p>
    <w:p w14:paraId="1B680CA5" w14:textId="77777777" w:rsidR="00BB30F2" w:rsidRPr="00654EF1" w:rsidRDefault="00BB30F2" w:rsidP="001D5C8C">
      <w:pPr>
        <w:widowControl w:val="0"/>
        <w:tabs>
          <w:tab w:val="clear" w:pos="567"/>
        </w:tabs>
        <w:spacing w:line="240" w:lineRule="auto"/>
        <w:rPr>
          <w:color w:val="000000"/>
          <w:szCs w:val="22"/>
        </w:rPr>
      </w:pPr>
    </w:p>
    <w:p w14:paraId="1B680CA6" w14:textId="77777777" w:rsidR="00BB30F2" w:rsidRPr="00654EF1" w:rsidRDefault="00BB30F2" w:rsidP="001D5C8C">
      <w:pPr>
        <w:widowControl w:val="0"/>
        <w:tabs>
          <w:tab w:val="clear" w:pos="567"/>
        </w:tabs>
        <w:spacing w:line="240" w:lineRule="auto"/>
        <w:rPr>
          <w:color w:val="000000"/>
          <w:szCs w:val="22"/>
        </w:rPr>
      </w:pPr>
    </w:p>
    <w:p w14:paraId="1B680CA7" w14:textId="77777777" w:rsidR="00BB30F2" w:rsidRPr="00654EF1" w:rsidRDefault="00BB30F2" w:rsidP="001D5C8C">
      <w:pPr>
        <w:widowControl w:val="0"/>
        <w:tabs>
          <w:tab w:val="clear" w:pos="567"/>
        </w:tabs>
        <w:spacing w:line="240" w:lineRule="auto"/>
        <w:rPr>
          <w:color w:val="000000"/>
          <w:szCs w:val="22"/>
        </w:rPr>
      </w:pPr>
    </w:p>
    <w:p w14:paraId="1B680CA8" w14:textId="77777777" w:rsidR="00BB30F2" w:rsidRPr="00654EF1" w:rsidRDefault="00BB30F2" w:rsidP="001D5C8C">
      <w:pPr>
        <w:widowControl w:val="0"/>
        <w:tabs>
          <w:tab w:val="clear" w:pos="567"/>
        </w:tabs>
        <w:spacing w:line="240" w:lineRule="auto"/>
        <w:rPr>
          <w:color w:val="000000"/>
          <w:szCs w:val="22"/>
        </w:rPr>
      </w:pPr>
    </w:p>
    <w:p w14:paraId="1B680CA9" w14:textId="77777777" w:rsidR="00BB30F2" w:rsidRPr="00654EF1" w:rsidRDefault="00BB30F2" w:rsidP="001D5C8C">
      <w:pPr>
        <w:widowControl w:val="0"/>
        <w:tabs>
          <w:tab w:val="clear" w:pos="567"/>
        </w:tabs>
        <w:spacing w:line="240" w:lineRule="auto"/>
        <w:rPr>
          <w:color w:val="000000"/>
          <w:szCs w:val="22"/>
        </w:rPr>
      </w:pPr>
    </w:p>
    <w:p w14:paraId="1B680CAA" w14:textId="77777777" w:rsidR="00BB30F2" w:rsidRPr="00654EF1" w:rsidRDefault="00BB30F2" w:rsidP="001D5C8C">
      <w:pPr>
        <w:widowControl w:val="0"/>
        <w:tabs>
          <w:tab w:val="clear" w:pos="567"/>
        </w:tabs>
        <w:spacing w:line="240" w:lineRule="auto"/>
        <w:rPr>
          <w:color w:val="000000"/>
          <w:szCs w:val="22"/>
        </w:rPr>
      </w:pPr>
    </w:p>
    <w:p w14:paraId="1B680CAB" w14:textId="77777777" w:rsidR="00BB30F2" w:rsidRPr="00654EF1" w:rsidRDefault="00BB30F2" w:rsidP="001D5C8C">
      <w:pPr>
        <w:widowControl w:val="0"/>
        <w:tabs>
          <w:tab w:val="clear" w:pos="567"/>
        </w:tabs>
        <w:spacing w:line="240" w:lineRule="auto"/>
        <w:rPr>
          <w:color w:val="000000"/>
          <w:szCs w:val="22"/>
        </w:rPr>
      </w:pPr>
    </w:p>
    <w:p w14:paraId="1B680CAC" w14:textId="77777777" w:rsidR="00BB30F2" w:rsidRPr="00654EF1" w:rsidRDefault="00BB30F2" w:rsidP="001D5C8C">
      <w:pPr>
        <w:widowControl w:val="0"/>
        <w:tabs>
          <w:tab w:val="clear" w:pos="567"/>
        </w:tabs>
        <w:spacing w:line="240" w:lineRule="auto"/>
        <w:rPr>
          <w:color w:val="000000"/>
          <w:szCs w:val="22"/>
        </w:rPr>
      </w:pPr>
    </w:p>
    <w:p w14:paraId="1B680CAD" w14:textId="77777777" w:rsidR="00BB30F2" w:rsidRDefault="00BB30F2" w:rsidP="001D5C8C">
      <w:pPr>
        <w:widowControl w:val="0"/>
        <w:tabs>
          <w:tab w:val="clear" w:pos="567"/>
        </w:tabs>
        <w:spacing w:line="240" w:lineRule="auto"/>
        <w:rPr>
          <w:color w:val="000000"/>
          <w:szCs w:val="22"/>
        </w:rPr>
      </w:pPr>
    </w:p>
    <w:p w14:paraId="1B680CAE" w14:textId="77777777" w:rsidR="005E7BE5" w:rsidRPr="00654EF1" w:rsidRDefault="005E7BE5" w:rsidP="001D5C8C">
      <w:pPr>
        <w:widowControl w:val="0"/>
        <w:tabs>
          <w:tab w:val="clear" w:pos="567"/>
        </w:tabs>
        <w:spacing w:line="240" w:lineRule="auto"/>
        <w:rPr>
          <w:color w:val="000000"/>
          <w:szCs w:val="22"/>
        </w:rPr>
      </w:pPr>
    </w:p>
    <w:p w14:paraId="1B680CAF" w14:textId="77777777" w:rsidR="00BB30F2" w:rsidRPr="00654EF1" w:rsidRDefault="00BB30F2" w:rsidP="001D5C8C">
      <w:pPr>
        <w:widowControl w:val="0"/>
        <w:tabs>
          <w:tab w:val="clear" w:pos="567"/>
        </w:tabs>
        <w:spacing w:line="240" w:lineRule="auto"/>
        <w:jc w:val="center"/>
        <w:rPr>
          <w:color w:val="000000"/>
          <w:szCs w:val="22"/>
        </w:rPr>
      </w:pPr>
      <w:r w:rsidRPr="00654EF1">
        <w:rPr>
          <w:b/>
          <w:color w:val="000000"/>
          <w:szCs w:val="22"/>
        </w:rPr>
        <w:t>B. PACKAGE LEAFLET</w:t>
      </w:r>
    </w:p>
    <w:p w14:paraId="1B680E3A" w14:textId="3F0F6570" w:rsidR="004E4A30" w:rsidRPr="00654EF1" w:rsidRDefault="004E4A30" w:rsidP="008808E5">
      <w:pPr>
        <w:widowControl w:val="0"/>
        <w:tabs>
          <w:tab w:val="clear" w:pos="567"/>
        </w:tabs>
        <w:spacing w:line="240" w:lineRule="auto"/>
        <w:jc w:val="center"/>
        <w:rPr>
          <w:color w:val="000000"/>
          <w:szCs w:val="22"/>
        </w:rPr>
      </w:pPr>
    </w:p>
    <w:p w14:paraId="1B680E3B" w14:textId="24FF05B4" w:rsidR="00BB30F2" w:rsidRPr="00654EF1" w:rsidRDefault="00BB30F2">
      <w:pPr>
        <w:widowControl w:val="0"/>
        <w:tabs>
          <w:tab w:val="clear" w:pos="567"/>
        </w:tabs>
        <w:spacing w:line="240" w:lineRule="auto"/>
        <w:jc w:val="center"/>
        <w:rPr>
          <w:b/>
          <w:color w:val="000000"/>
          <w:szCs w:val="22"/>
        </w:rPr>
      </w:pPr>
      <w:r w:rsidRPr="00654EF1">
        <w:rPr>
          <w:color w:val="000000"/>
          <w:szCs w:val="22"/>
        </w:rPr>
        <w:br w:type="page"/>
      </w:r>
      <w:r w:rsidR="00F76DB2" w:rsidRPr="00654EF1">
        <w:rPr>
          <w:b/>
          <w:color w:val="000000"/>
          <w:szCs w:val="22"/>
        </w:rPr>
        <w:lastRenderedPageBreak/>
        <w:t>Package leaflet: Information for the user</w:t>
      </w:r>
    </w:p>
    <w:p w14:paraId="1B680E3C" w14:textId="77777777" w:rsidR="00BD7C09" w:rsidRPr="00654EF1" w:rsidRDefault="00BD7C09" w:rsidP="001D5C8C">
      <w:pPr>
        <w:widowControl w:val="0"/>
        <w:tabs>
          <w:tab w:val="clear" w:pos="567"/>
        </w:tabs>
        <w:spacing w:line="240" w:lineRule="auto"/>
        <w:jc w:val="center"/>
        <w:rPr>
          <w:color w:val="000000"/>
          <w:szCs w:val="22"/>
        </w:rPr>
      </w:pPr>
    </w:p>
    <w:p w14:paraId="1B680E3D" w14:textId="77777777" w:rsidR="00BD7C09" w:rsidRPr="00654EF1" w:rsidRDefault="00BD7C09" w:rsidP="001D5C8C">
      <w:pPr>
        <w:widowControl w:val="0"/>
        <w:tabs>
          <w:tab w:val="clear" w:pos="567"/>
        </w:tabs>
        <w:spacing w:line="240" w:lineRule="auto"/>
        <w:jc w:val="center"/>
        <w:rPr>
          <w:b/>
          <w:color w:val="000000"/>
          <w:szCs w:val="22"/>
        </w:rPr>
      </w:pPr>
      <w:r w:rsidRPr="00654EF1">
        <w:rPr>
          <w:b/>
          <w:color w:val="000000"/>
          <w:szCs w:val="22"/>
        </w:rPr>
        <w:t>Glivec 100 mg hard capsules</w:t>
      </w:r>
    </w:p>
    <w:p w14:paraId="1B680E3E" w14:textId="77777777" w:rsidR="00BD7C09" w:rsidRPr="00654EF1" w:rsidRDefault="00AB244E" w:rsidP="001D5C8C">
      <w:pPr>
        <w:widowControl w:val="0"/>
        <w:tabs>
          <w:tab w:val="clear" w:pos="567"/>
        </w:tabs>
        <w:spacing w:line="240" w:lineRule="auto"/>
        <w:jc w:val="center"/>
        <w:rPr>
          <w:color w:val="000000"/>
          <w:szCs w:val="22"/>
        </w:rPr>
      </w:pPr>
      <w:r w:rsidRPr="00654EF1">
        <w:rPr>
          <w:color w:val="000000"/>
          <w:szCs w:val="22"/>
        </w:rPr>
        <w:t>i</w:t>
      </w:r>
      <w:r w:rsidR="00BD7C09" w:rsidRPr="00654EF1">
        <w:rPr>
          <w:color w:val="000000"/>
          <w:szCs w:val="22"/>
        </w:rPr>
        <w:t>matinib</w:t>
      </w:r>
    </w:p>
    <w:p w14:paraId="1B680E3F" w14:textId="77777777" w:rsidR="006F3324" w:rsidRPr="00654EF1" w:rsidRDefault="006F3324" w:rsidP="001D5C8C">
      <w:pPr>
        <w:widowControl w:val="0"/>
        <w:numPr>
          <w:ilvl w:val="12"/>
          <w:numId w:val="0"/>
        </w:numPr>
        <w:tabs>
          <w:tab w:val="clear" w:pos="567"/>
        </w:tabs>
        <w:spacing w:line="240" w:lineRule="auto"/>
        <w:rPr>
          <w:noProof/>
          <w:szCs w:val="22"/>
        </w:rPr>
      </w:pPr>
    </w:p>
    <w:p w14:paraId="1B680E40" w14:textId="77777777" w:rsidR="006F3324" w:rsidRPr="00654EF1" w:rsidRDefault="002B04AE" w:rsidP="001D5C8C">
      <w:pPr>
        <w:widowControl w:val="0"/>
        <w:tabs>
          <w:tab w:val="clear" w:pos="567"/>
        </w:tabs>
        <w:suppressAutoHyphens/>
        <w:spacing w:line="240" w:lineRule="auto"/>
        <w:rPr>
          <w:szCs w:val="22"/>
        </w:rPr>
      </w:pPr>
      <w:r w:rsidRPr="00654EF1">
        <w:rPr>
          <w:noProof/>
          <w:lang w:eastAsia="en-GB"/>
        </w:rPr>
        <w:drawing>
          <wp:inline distT="0" distB="0" distL="0" distR="0" wp14:anchorId="1B681313" wp14:editId="1B681314">
            <wp:extent cx="198755" cy="174625"/>
            <wp:effectExtent l="0" t="0" r="0" b="0"/>
            <wp:docPr id="8"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F3324" w:rsidRPr="00654EF1">
        <w:rPr>
          <w:noProof/>
          <w:szCs w:val="24"/>
          <w:lang w:val="cs-CZ"/>
        </w:rPr>
        <w:t>T</w:t>
      </w:r>
      <w:r w:rsidR="006F3324" w:rsidRPr="00654EF1">
        <w:rPr>
          <w:szCs w:val="22"/>
        </w:rPr>
        <w:t>his medicine is subject to additional monitoring. This will allow quick identification of new safety information. You can help by reporting any side effects you may get. See the end of section 4 for how to report side effects</w:t>
      </w:r>
    </w:p>
    <w:p w14:paraId="1B680E41" w14:textId="77777777" w:rsidR="006F3324" w:rsidRPr="00654EF1" w:rsidRDefault="006F3324" w:rsidP="001D5C8C">
      <w:pPr>
        <w:widowControl w:val="0"/>
        <w:tabs>
          <w:tab w:val="clear" w:pos="567"/>
        </w:tabs>
        <w:suppressAutoHyphens/>
        <w:spacing w:line="240" w:lineRule="auto"/>
        <w:rPr>
          <w:noProof/>
          <w:szCs w:val="22"/>
        </w:rPr>
      </w:pPr>
    </w:p>
    <w:p w14:paraId="1B680E42" w14:textId="77777777" w:rsidR="00F76DB2" w:rsidRPr="00654EF1" w:rsidRDefault="00F76DB2" w:rsidP="001D5C8C">
      <w:pPr>
        <w:widowControl w:val="0"/>
        <w:tabs>
          <w:tab w:val="clear" w:pos="567"/>
        </w:tabs>
        <w:autoSpaceDE w:val="0"/>
        <w:autoSpaceDN w:val="0"/>
        <w:adjustRightInd w:val="0"/>
        <w:spacing w:line="240" w:lineRule="auto"/>
        <w:rPr>
          <w:color w:val="000000"/>
          <w:szCs w:val="22"/>
        </w:rPr>
      </w:pPr>
      <w:r w:rsidRPr="00654EF1">
        <w:rPr>
          <w:b/>
          <w:color w:val="000000"/>
          <w:szCs w:val="22"/>
        </w:rPr>
        <w:t>Read all of this leaflet carefully before you start taking this medicine because it contains important information for you.</w:t>
      </w:r>
    </w:p>
    <w:p w14:paraId="1B680E43" w14:textId="77777777" w:rsidR="00F76DB2" w:rsidRPr="00654EF1" w:rsidRDefault="00F76DB2"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Keep this leaflet. You may need to read it again.</w:t>
      </w:r>
    </w:p>
    <w:p w14:paraId="1B680E44" w14:textId="77777777" w:rsidR="00F76DB2" w:rsidRPr="00654EF1" w:rsidRDefault="00F76DB2"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If you have any further questions, ask your doctor, pharmacist or nurse.</w:t>
      </w:r>
    </w:p>
    <w:p w14:paraId="1B680E45" w14:textId="77777777" w:rsidR="00F76DB2" w:rsidRPr="00654EF1" w:rsidRDefault="00F76DB2"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This medicine has been prescribed for you only. Do not pass it on to others. It may harm them, even if their signs of illness are the same as yours.</w:t>
      </w:r>
    </w:p>
    <w:p w14:paraId="1B680E46" w14:textId="77777777" w:rsidR="00F76DB2" w:rsidRPr="00654EF1" w:rsidRDefault="00F76DB2"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If you get any side effects, talk to your doctor, pharmacist or nurse. This includes any possible side effects not listed in this leaflet.</w:t>
      </w:r>
      <w:r w:rsidR="00666171" w:rsidRPr="00654EF1">
        <w:rPr>
          <w:color w:val="000000"/>
          <w:szCs w:val="22"/>
        </w:rPr>
        <w:t xml:space="preserve"> See section 4.</w:t>
      </w:r>
    </w:p>
    <w:p w14:paraId="1B680E47"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48"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49" w14:textId="77777777" w:rsidR="00F76DB2" w:rsidRPr="00654EF1" w:rsidRDefault="00F76DB2"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What is in this leaflet</w:t>
      </w:r>
    </w:p>
    <w:p w14:paraId="1B680E4A" w14:textId="77777777" w:rsidR="00F76DB2" w:rsidRPr="00654EF1" w:rsidRDefault="00F76DB2"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1.</w:t>
      </w:r>
      <w:r w:rsidRPr="00654EF1">
        <w:rPr>
          <w:color w:val="000000"/>
          <w:szCs w:val="22"/>
        </w:rPr>
        <w:tab/>
        <w:t>What Glivec is and what it is used for</w:t>
      </w:r>
    </w:p>
    <w:p w14:paraId="1B680E4B" w14:textId="77777777" w:rsidR="00F76DB2" w:rsidRPr="00654EF1" w:rsidRDefault="00F76DB2"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2.</w:t>
      </w:r>
      <w:r w:rsidRPr="00654EF1">
        <w:rPr>
          <w:color w:val="000000"/>
          <w:szCs w:val="22"/>
        </w:rPr>
        <w:tab/>
        <w:t>What you need to know before you take Glivec</w:t>
      </w:r>
    </w:p>
    <w:p w14:paraId="1B680E4C" w14:textId="77777777" w:rsidR="00F76DB2" w:rsidRPr="00654EF1" w:rsidRDefault="00F76DB2"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3.</w:t>
      </w:r>
      <w:r w:rsidRPr="00654EF1">
        <w:rPr>
          <w:color w:val="000000"/>
          <w:szCs w:val="22"/>
        </w:rPr>
        <w:tab/>
        <w:t>How to take Glivec</w:t>
      </w:r>
    </w:p>
    <w:p w14:paraId="1B680E4D" w14:textId="77777777" w:rsidR="00F76DB2" w:rsidRPr="00654EF1" w:rsidRDefault="00F76DB2"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4.</w:t>
      </w:r>
      <w:r w:rsidRPr="00654EF1">
        <w:rPr>
          <w:color w:val="000000"/>
          <w:szCs w:val="22"/>
        </w:rPr>
        <w:tab/>
        <w:t>Possible side effects</w:t>
      </w:r>
    </w:p>
    <w:p w14:paraId="1B680E4E" w14:textId="77777777" w:rsidR="00F76DB2" w:rsidRPr="00654EF1" w:rsidRDefault="00F76DB2" w:rsidP="001D5C8C">
      <w:pPr>
        <w:widowControl w:val="0"/>
        <w:tabs>
          <w:tab w:val="clear" w:pos="567"/>
        </w:tabs>
        <w:spacing w:line="240" w:lineRule="auto"/>
        <w:ind w:left="567" w:right="-29" w:hanging="567"/>
        <w:rPr>
          <w:color w:val="000000"/>
          <w:szCs w:val="22"/>
        </w:rPr>
      </w:pPr>
      <w:r w:rsidRPr="00654EF1">
        <w:rPr>
          <w:color w:val="000000"/>
          <w:szCs w:val="22"/>
        </w:rPr>
        <w:t>5.</w:t>
      </w:r>
      <w:r w:rsidRPr="00654EF1">
        <w:rPr>
          <w:color w:val="000000"/>
          <w:szCs w:val="22"/>
        </w:rPr>
        <w:tab/>
        <w:t>How to store Glivec</w:t>
      </w:r>
    </w:p>
    <w:p w14:paraId="1B680E4F" w14:textId="77777777" w:rsidR="00F76DB2" w:rsidRPr="00654EF1" w:rsidRDefault="00F76DB2" w:rsidP="001D5C8C">
      <w:pPr>
        <w:widowControl w:val="0"/>
        <w:tabs>
          <w:tab w:val="clear" w:pos="567"/>
        </w:tabs>
        <w:spacing w:line="240" w:lineRule="auto"/>
        <w:ind w:left="567" w:right="-29" w:hanging="567"/>
        <w:rPr>
          <w:color w:val="000000"/>
          <w:szCs w:val="22"/>
        </w:rPr>
      </w:pPr>
      <w:r w:rsidRPr="00654EF1">
        <w:rPr>
          <w:color w:val="000000"/>
          <w:szCs w:val="22"/>
        </w:rPr>
        <w:t>6.</w:t>
      </w:r>
      <w:r w:rsidRPr="00654EF1">
        <w:rPr>
          <w:color w:val="000000"/>
          <w:szCs w:val="22"/>
        </w:rPr>
        <w:tab/>
        <w:t>Contents of the pack and other information</w:t>
      </w:r>
    </w:p>
    <w:p w14:paraId="1B680E50" w14:textId="77777777" w:rsidR="00F76DB2" w:rsidRPr="00654EF1" w:rsidRDefault="00F76DB2" w:rsidP="001D5C8C">
      <w:pPr>
        <w:widowControl w:val="0"/>
        <w:tabs>
          <w:tab w:val="clear" w:pos="567"/>
        </w:tabs>
        <w:spacing w:line="240" w:lineRule="auto"/>
        <w:ind w:right="-29"/>
        <w:rPr>
          <w:color w:val="000000"/>
          <w:szCs w:val="22"/>
        </w:rPr>
      </w:pPr>
    </w:p>
    <w:p w14:paraId="1B680E51" w14:textId="77777777" w:rsidR="00F76DB2" w:rsidRPr="00654EF1" w:rsidRDefault="00F76DB2" w:rsidP="001D5C8C">
      <w:pPr>
        <w:widowControl w:val="0"/>
        <w:tabs>
          <w:tab w:val="clear" w:pos="567"/>
        </w:tabs>
        <w:spacing w:line="240" w:lineRule="auto"/>
        <w:ind w:right="-29"/>
        <w:rPr>
          <w:color w:val="000000"/>
          <w:szCs w:val="22"/>
        </w:rPr>
      </w:pPr>
    </w:p>
    <w:p w14:paraId="1B680E52" w14:textId="77777777" w:rsidR="00F76DB2" w:rsidRPr="00654EF1" w:rsidRDefault="00F76DB2"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1.</w:t>
      </w:r>
      <w:r w:rsidRPr="00654EF1">
        <w:rPr>
          <w:b/>
          <w:color w:val="000000"/>
          <w:szCs w:val="22"/>
        </w:rPr>
        <w:tab/>
        <w:t>What Glivec is and what it is used for</w:t>
      </w:r>
    </w:p>
    <w:p w14:paraId="1B680E53" w14:textId="77777777" w:rsidR="00F76DB2" w:rsidRPr="00654EF1" w:rsidRDefault="00F76DB2" w:rsidP="001D5C8C">
      <w:pPr>
        <w:pStyle w:val="EndnoteText"/>
        <w:keepNext/>
        <w:widowControl w:val="0"/>
        <w:numPr>
          <w:ilvl w:val="12"/>
          <w:numId w:val="0"/>
        </w:numPr>
        <w:tabs>
          <w:tab w:val="clear" w:pos="567"/>
        </w:tabs>
        <w:rPr>
          <w:color w:val="000000"/>
          <w:szCs w:val="22"/>
        </w:rPr>
      </w:pPr>
    </w:p>
    <w:p w14:paraId="1B680E54"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Glivec is a medicine containing an active substance called imatinib. This medicine works by inhibiting the growth of abnormal cells in the diseases listed below. These include some types of cancer.</w:t>
      </w:r>
    </w:p>
    <w:p w14:paraId="1B680E55" w14:textId="77777777" w:rsidR="00F76DB2" w:rsidRPr="00654EF1" w:rsidRDefault="00F76DB2" w:rsidP="001D5C8C">
      <w:pPr>
        <w:pStyle w:val="Text"/>
        <w:widowControl w:val="0"/>
        <w:spacing w:before="0"/>
        <w:jc w:val="left"/>
        <w:rPr>
          <w:color w:val="000000"/>
          <w:sz w:val="22"/>
          <w:szCs w:val="22"/>
          <w:lang w:val="en-GB"/>
        </w:rPr>
      </w:pPr>
    </w:p>
    <w:p w14:paraId="1B680E56" w14:textId="77777777" w:rsidR="00F76DB2" w:rsidRPr="00654EF1" w:rsidRDefault="00F76DB2" w:rsidP="001D5C8C">
      <w:pPr>
        <w:pStyle w:val="Text"/>
        <w:keepNext/>
        <w:widowControl w:val="0"/>
        <w:spacing w:before="0"/>
        <w:jc w:val="left"/>
        <w:rPr>
          <w:b/>
          <w:bCs/>
          <w:color w:val="000000"/>
          <w:sz w:val="22"/>
          <w:szCs w:val="22"/>
          <w:lang w:val="en-GB"/>
        </w:rPr>
      </w:pPr>
      <w:r w:rsidRPr="00654EF1">
        <w:rPr>
          <w:b/>
          <w:bCs/>
          <w:color w:val="000000"/>
          <w:sz w:val="22"/>
          <w:szCs w:val="22"/>
          <w:lang w:val="en-GB"/>
        </w:rPr>
        <w:t>Glivec is a treatment for adults and children for:</w:t>
      </w:r>
    </w:p>
    <w:p w14:paraId="1B680E57" w14:textId="77777777" w:rsidR="00F76DB2" w:rsidRPr="00654EF1" w:rsidRDefault="00F76DB2" w:rsidP="001D5C8C">
      <w:pPr>
        <w:pStyle w:val="Text"/>
        <w:keepNext/>
        <w:widowControl w:val="0"/>
        <w:spacing w:before="0"/>
        <w:jc w:val="left"/>
        <w:rPr>
          <w:color w:val="000000"/>
          <w:sz w:val="22"/>
          <w:szCs w:val="22"/>
          <w:lang w:val="en-GB"/>
        </w:rPr>
      </w:pPr>
    </w:p>
    <w:p w14:paraId="1B680E58" w14:textId="77777777" w:rsidR="00F76DB2" w:rsidRPr="00654EF1" w:rsidRDefault="00F76DB2" w:rsidP="001D5C8C">
      <w:pPr>
        <w:pStyle w:val="Text"/>
        <w:widowControl w:val="0"/>
        <w:numPr>
          <w:ilvl w:val="0"/>
          <w:numId w:val="14"/>
        </w:numPr>
        <w:spacing w:before="0"/>
        <w:ind w:left="567" w:hanging="567"/>
        <w:jc w:val="left"/>
        <w:rPr>
          <w:color w:val="000000"/>
          <w:sz w:val="22"/>
          <w:szCs w:val="22"/>
          <w:lang w:val="en-GB"/>
        </w:rPr>
      </w:pPr>
      <w:r w:rsidRPr="00654EF1">
        <w:rPr>
          <w:b/>
          <w:bCs/>
          <w:color w:val="000000"/>
          <w:sz w:val="22"/>
          <w:szCs w:val="22"/>
          <w:lang w:val="en-GB"/>
        </w:rPr>
        <w:t>Chronic myeloid leukaemia (CML).</w:t>
      </w:r>
      <w:r w:rsidRPr="00654EF1">
        <w:rPr>
          <w:color w:val="000000"/>
          <w:sz w:val="22"/>
          <w:szCs w:val="22"/>
          <w:lang w:val="en-GB"/>
        </w:rPr>
        <w:t xml:space="preserve"> Leukaemia is a cancer of white blood cells. These white cells usually help the body to fight infection. Chronic myeloid leukaemia is a form of leukaemia in which certain abnormal white cells (named myeloid cells) start growing out of control.</w:t>
      </w:r>
    </w:p>
    <w:p w14:paraId="1B680E59" w14:textId="77777777" w:rsidR="007F35BE" w:rsidRPr="00654EF1" w:rsidRDefault="007F35BE" w:rsidP="001D5C8C">
      <w:pPr>
        <w:pStyle w:val="Text"/>
        <w:widowControl w:val="0"/>
        <w:numPr>
          <w:ilvl w:val="0"/>
          <w:numId w:val="14"/>
        </w:numPr>
        <w:spacing w:before="0"/>
        <w:ind w:left="567" w:hanging="567"/>
        <w:jc w:val="left"/>
        <w:rPr>
          <w:color w:val="000000"/>
          <w:sz w:val="22"/>
          <w:szCs w:val="22"/>
          <w:lang w:val="en-GB"/>
        </w:rPr>
      </w:pPr>
      <w:smartTag w:uri="urn:schemas-microsoft-com:office:smarttags" w:element="City">
        <w:smartTag w:uri="urn:schemas-microsoft-com:office:smarttags" w:element="place">
          <w:r w:rsidRPr="00654EF1">
            <w:rPr>
              <w:b/>
              <w:bCs/>
              <w:color w:val="000000"/>
              <w:sz w:val="22"/>
              <w:szCs w:val="22"/>
            </w:rPr>
            <w:t>Philadelphia</w:t>
          </w:r>
        </w:smartTag>
      </w:smartTag>
      <w:r w:rsidRPr="00654EF1">
        <w:rPr>
          <w:b/>
          <w:bCs/>
          <w:color w:val="000000"/>
          <w:sz w:val="22"/>
          <w:szCs w:val="22"/>
        </w:rPr>
        <w:t xml:space="preserve"> chromosome positive acute lymphoblastic leukaemia (Ph-positive </w:t>
      </w:r>
      <w:smartTag w:uri="urn:schemas-microsoft-com:office:smarttags" w:element="stockticker">
        <w:r w:rsidRPr="00654EF1">
          <w:rPr>
            <w:b/>
            <w:bCs/>
            <w:color w:val="000000"/>
            <w:sz w:val="22"/>
            <w:szCs w:val="22"/>
          </w:rPr>
          <w:t>ALL</w:t>
        </w:r>
      </w:smartTag>
      <w:r w:rsidRPr="00654EF1">
        <w:rPr>
          <w:b/>
          <w:bCs/>
          <w:color w:val="000000"/>
          <w:sz w:val="22"/>
          <w:szCs w:val="22"/>
        </w:rPr>
        <w:t>)</w:t>
      </w:r>
      <w:r w:rsidRPr="00654EF1">
        <w:rPr>
          <w:color w:val="000000"/>
          <w:sz w:val="22"/>
          <w:szCs w:val="22"/>
        </w:rPr>
        <w:t>. Leukaemia is a cancer of white blood cells. These white cells usually help the body to fight infection. Acute lymphoblastic leukaemia is a form of leukaemia in which certain abnormal white cells (named lymphoblasts) start growing out of control. Glivec inhibits the growth of these cells.</w:t>
      </w:r>
    </w:p>
    <w:p w14:paraId="1B680E5A" w14:textId="77777777" w:rsidR="00F76DB2" w:rsidRPr="00654EF1" w:rsidRDefault="00F76DB2" w:rsidP="001D5C8C">
      <w:pPr>
        <w:pStyle w:val="Text"/>
        <w:widowControl w:val="0"/>
        <w:spacing w:before="0"/>
        <w:jc w:val="left"/>
        <w:rPr>
          <w:color w:val="000000"/>
          <w:sz w:val="22"/>
          <w:szCs w:val="22"/>
          <w:lang w:val="en-GB"/>
        </w:rPr>
      </w:pPr>
    </w:p>
    <w:p w14:paraId="1B680E5B" w14:textId="77777777" w:rsidR="00F76DB2" w:rsidRPr="00654EF1" w:rsidRDefault="00F76DB2" w:rsidP="001D5C8C">
      <w:pPr>
        <w:pStyle w:val="Text"/>
        <w:keepNext/>
        <w:widowControl w:val="0"/>
        <w:spacing w:before="0"/>
        <w:jc w:val="left"/>
        <w:rPr>
          <w:b/>
          <w:bCs/>
          <w:color w:val="000000"/>
          <w:sz w:val="22"/>
          <w:szCs w:val="22"/>
          <w:lang w:val="en-GB"/>
        </w:rPr>
      </w:pPr>
      <w:r w:rsidRPr="00654EF1">
        <w:rPr>
          <w:b/>
          <w:bCs/>
          <w:color w:val="000000"/>
          <w:sz w:val="22"/>
          <w:szCs w:val="22"/>
          <w:lang w:val="en-GB"/>
        </w:rPr>
        <w:t>Glivec is also a treatment for adults for:</w:t>
      </w:r>
    </w:p>
    <w:p w14:paraId="1B680E5C" w14:textId="77777777" w:rsidR="00F76DB2" w:rsidRPr="00654EF1" w:rsidRDefault="00F76DB2" w:rsidP="001D5C8C">
      <w:pPr>
        <w:pStyle w:val="Text"/>
        <w:keepNext/>
        <w:widowControl w:val="0"/>
        <w:spacing w:before="0"/>
        <w:jc w:val="left"/>
        <w:rPr>
          <w:color w:val="000000"/>
          <w:sz w:val="22"/>
          <w:szCs w:val="22"/>
        </w:rPr>
      </w:pPr>
    </w:p>
    <w:p w14:paraId="1B680E5D" w14:textId="77777777" w:rsidR="00F76DB2" w:rsidRPr="00654EF1" w:rsidRDefault="00F76DB2" w:rsidP="001D5C8C">
      <w:pPr>
        <w:pStyle w:val="Listlevel1"/>
        <w:widowControl w:val="0"/>
        <w:numPr>
          <w:ilvl w:val="0"/>
          <w:numId w:val="14"/>
        </w:numPr>
        <w:spacing w:before="0" w:after="0"/>
        <w:ind w:left="567" w:hanging="567"/>
        <w:rPr>
          <w:color w:val="000000"/>
          <w:sz w:val="22"/>
          <w:szCs w:val="22"/>
          <w:lang w:val="en-GB"/>
        </w:rPr>
      </w:pPr>
      <w:r w:rsidRPr="00654EF1">
        <w:rPr>
          <w:b/>
          <w:bCs/>
          <w:color w:val="000000"/>
          <w:sz w:val="22"/>
          <w:szCs w:val="22"/>
          <w:lang w:val="en-GB"/>
        </w:rPr>
        <w:t>Myelodysplastic/myeloproliferative diseases (</w:t>
      </w:r>
      <w:smartTag w:uri="urn:schemas-microsoft-com:office:smarttags" w:element="stockticker">
        <w:r w:rsidRPr="00654EF1">
          <w:rPr>
            <w:b/>
            <w:bCs/>
            <w:color w:val="000000"/>
            <w:sz w:val="22"/>
            <w:szCs w:val="22"/>
            <w:lang w:val="en-GB"/>
          </w:rPr>
          <w:t>MDS</w:t>
        </w:r>
      </w:smartTag>
      <w:r w:rsidRPr="00654EF1">
        <w:rPr>
          <w:b/>
          <w:bCs/>
          <w:color w:val="000000"/>
          <w:sz w:val="22"/>
          <w:szCs w:val="22"/>
          <w:lang w:val="en-GB"/>
        </w:rPr>
        <w:t xml:space="preserve">/MPD). </w:t>
      </w:r>
      <w:r w:rsidRPr="00654EF1">
        <w:rPr>
          <w:color w:val="000000"/>
          <w:sz w:val="22"/>
          <w:szCs w:val="22"/>
          <w:lang w:val="en-GB"/>
        </w:rPr>
        <w:t>These are a group of blood diseases in which some blood cells start growing out of control. Glivec inhibits the growth of these cells in a certain subtype of these diseases.</w:t>
      </w:r>
    </w:p>
    <w:p w14:paraId="1B680E5E" w14:textId="77777777" w:rsidR="00F76DB2" w:rsidRPr="00654EF1" w:rsidRDefault="00F76DB2" w:rsidP="001D5C8C">
      <w:pPr>
        <w:pStyle w:val="Listlevel1"/>
        <w:widowControl w:val="0"/>
        <w:numPr>
          <w:ilvl w:val="0"/>
          <w:numId w:val="14"/>
        </w:numPr>
        <w:spacing w:before="0" w:after="0"/>
        <w:ind w:left="567" w:hanging="567"/>
        <w:rPr>
          <w:color w:val="000000"/>
          <w:sz w:val="22"/>
          <w:szCs w:val="22"/>
          <w:lang w:val="en-GB"/>
        </w:rPr>
      </w:pPr>
      <w:r w:rsidRPr="00654EF1">
        <w:rPr>
          <w:b/>
          <w:color w:val="000000"/>
          <w:sz w:val="22"/>
          <w:szCs w:val="22"/>
          <w:lang w:val="en-GB"/>
        </w:rPr>
        <w:t>Hypereosinophilic syndrome (HES) and/or chronic eosinophilic leukaemia (</w:t>
      </w:r>
      <w:smartTag w:uri="urn:schemas-microsoft-com:office:smarttags" w:element="stockticker">
        <w:r w:rsidRPr="00654EF1">
          <w:rPr>
            <w:b/>
            <w:color w:val="000000"/>
            <w:sz w:val="22"/>
            <w:szCs w:val="22"/>
            <w:lang w:val="en-GB"/>
          </w:rPr>
          <w:t>CEL</w:t>
        </w:r>
      </w:smartTag>
      <w:r w:rsidRPr="00654EF1">
        <w:rPr>
          <w:b/>
          <w:color w:val="000000"/>
          <w:sz w:val="22"/>
          <w:szCs w:val="22"/>
          <w:lang w:val="en-GB"/>
        </w:rPr>
        <w:t>).</w:t>
      </w:r>
      <w:r w:rsidRPr="00654EF1">
        <w:rPr>
          <w:color w:val="000000"/>
          <w:sz w:val="22"/>
          <w:szCs w:val="22"/>
          <w:lang w:val="en-GB"/>
        </w:rPr>
        <w:t xml:space="preserve"> These are blood diseases in which some blood cells (named eosinophils) start growing out of control. Glivec inhibits the growth of these cells in a certain subtype of these diseases.</w:t>
      </w:r>
    </w:p>
    <w:p w14:paraId="1B680E5F" w14:textId="77777777" w:rsidR="00F76DB2" w:rsidRPr="00654EF1" w:rsidRDefault="00F76DB2" w:rsidP="001D5C8C">
      <w:pPr>
        <w:pStyle w:val="Text"/>
        <w:widowControl w:val="0"/>
        <w:numPr>
          <w:ilvl w:val="0"/>
          <w:numId w:val="14"/>
        </w:numPr>
        <w:spacing w:before="0"/>
        <w:ind w:left="567" w:hanging="567"/>
        <w:jc w:val="left"/>
        <w:rPr>
          <w:color w:val="000000"/>
          <w:sz w:val="22"/>
          <w:szCs w:val="22"/>
          <w:lang w:val="en-GB"/>
        </w:rPr>
      </w:pPr>
      <w:r w:rsidRPr="00654EF1">
        <w:rPr>
          <w:b/>
          <w:bCs/>
          <w:color w:val="000000"/>
          <w:sz w:val="22"/>
          <w:szCs w:val="22"/>
        </w:rPr>
        <w:t>Gastrointestinal stromal tumours (GIST).</w:t>
      </w:r>
      <w:r w:rsidRPr="00654EF1">
        <w:rPr>
          <w:color w:val="000000"/>
          <w:sz w:val="22"/>
          <w:szCs w:val="22"/>
        </w:rPr>
        <w:t xml:space="preserve"> </w:t>
      </w:r>
      <w:r w:rsidRPr="00654EF1">
        <w:rPr>
          <w:color w:val="000000"/>
          <w:sz w:val="22"/>
          <w:szCs w:val="22"/>
          <w:lang w:val="en-GB"/>
        </w:rPr>
        <w:t>GIST is a cancer of the stomach and bowels. It arises from uncontrolled cell growth of the supporting tissues of these organs.</w:t>
      </w:r>
    </w:p>
    <w:p w14:paraId="1B680E60" w14:textId="77777777" w:rsidR="00F76DB2" w:rsidRPr="00654EF1" w:rsidRDefault="00F76DB2" w:rsidP="001D5C8C">
      <w:pPr>
        <w:pStyle w:val="Text"/>
        <w:keepNext/>
        <w:widowControl w:val="0"/>
        <w:numPr>
          <w:ilvl w:val="0"/>
          <w:numId w:val="14"/>
        </w:numPr>
        <w:spacing w:before="0"/>
        <w:ind w:left="567" w:hanging="567"/>
        <w:jc w:val="left"/>
        <w:rPr>
          <w:color w:val="000000"/>
          <w:sz w:val="22"/>
          <w:szCs w:val="22"/>
          <w:lang w:val="en-GB"/>
        </w:rPr>
      </w:pPr>
      <w:r w:rsidRPr="00654EF1">
        <w:rPr>
          <w:b/>
          <w:bCs/>
          <w:color w:val="000000"/>
          <w:sz w:val="22"/>
          <w:szCs w:val="22"/>
          <w:lang w:val="en-GB"/>
        </w:rPr>
        <w:t>Dermatofibrosarcoma protuberans (DFSP).</w:t>
      </w:r>
      <w:r w:rsidRPr="00654EF1">
        <w:rPr>
          <w:color w:val="000000"/>
          <w:sz w:val="22"/>
          <w:szCs w:val="22"/>
          <w:lang w:val="en-GB"/>
        </w:rPr>
        <w:t xml:space="preserve"> DFSP is a cancer of the tissue beneath the skin in which some cells start growing out of control. Glivec inhibits the growth of these cells.</w:t>
      </w:r>
    </w:p>
    <w:p w14:paraId="1B680E61" w14:textId="77777777" w:rsidR="00F76DB2" w:rsidRPr="00654EF1" w:rsidRDefault="00F76DB2" w:rsidP="001D5C8C">
      <w:pPr>
        <w:pStyle w:val="Text"/>
        <w:widowControl w:val="0"/>
        <w:spacing w:before="0"/>
        <w:jc w:val="left"/>
        <w:rPr>
          <w:color w:val="000000"/>
          <w:lang w:val="en-GB"/>
        </w:rPr>
      </w:pPr>
      <w:r w:rsidRPr="00654EF1">
        <w:rPr>
          <w:color w:val="000000"/>
          <w:sz w:val="22"/>
          <w:szCs w:val="22"/>
          <w:lang w:val="en-GB"/>
        </w:rPr>
        <w:t>In the rest of this leaflet, we will use the abbreviations when talking about these diseases.</w:t>
      </w:r>
    </w:p>
    <w:p w14:paraId="1B680E62" w14:textId="77777777" w:rsidR="00F76DB2" w:rsidRPr="00654EF1" w:rsidRDefault="00F76DB2" w:rsidP="001D5C8C">
      <w:pPr>
        <w:pStyle w:val="Text"/>
        <w:widowControl w:val="0"/>
        <w:spacing w:before="0"/>
        <w:jc w:val="left"/>
        <w:rPr>
          <w:color w:val="000000"/>
          <w:sz w:val="22"/>
          <w:szCs w:val="22"/>
          <w:lang w:val="en-GB"/>
        </w:rPr>
      </w:pPr>
    </w:p>
    <w:p w14:paraId="1B680E63"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If you have any questions about how Glivec works or why this medicine has been prescribed for you, ask your doctor.</w:t>
      </w:r>
    </w:p>
    <w:p w14:paraId="1B680E64" w14:textId="77777777" w:rsidR="00F76DB2" w:rsidRPr="00654EF1" w:rsidRDefault="00F76DB2" w:rsidP="001D5C8C">
      <w:pPr>
        <w:pStyle w:val="EndnoteText"/>
        <w:widowControl w:val="0"/>
        <w:numPr>
          <w:ilvl w:val="12"/>
          <w:numId w:val="0"/>
        </w:numPr>
        <w:tabs>
          <w:tab w:val="clear" w:pos="567"/>
        </w:tabs>
        <w:rPr>
          <w:color w:val="000000"/>
          <w:szCs w:val="22"/>
        </w:rPr>
      </w:pPr>
    </w:p>
    <w:p w14:paraId="1B680E65" w14:textId="77777777" w:rsidR="00F76DB2" w:rsidRPr="00654EF1" w:rsidRDefault="00F76DB2" w:rsidP="001D5C8C">
      <w:pPr>
        <w:pStyle w:val="EndnoteText"/>
        <w:widowControl w:val="0"/>
        <w:numPr>
          <w:ilvl w:val="12"/>
          <w:numId w:val="0"/>
        </w:numPr>
        <w:tabs>
          <w:tab w:val="clear" w:pos="567"/>
        </w:tabs>
        <w:rPr>
          <w:color w:val="000000"/>
          <w:szCs w:val="22"/>
        </w:rPr>
      </w:pPr>
    </w:p>
    <w:p w14:paraId="1B680E66" w14:textId="77777777" w:rsidR="00F76DB2" w:rsidRPr="00654EF1" w:rsidRDefault="00F76DB2" w:rsidP="001D5C8C">
      <w:pPr>
        <w:keepNext/>
        <w:widowControl w:val="0"/>
        <w:numPr>
          <w:ilvl w:val="12"/>
          <w:numId w:val="0"/>
        </w:numPr>
        <w:tabs>
          <w:tab w:val="clear" w:pos="567"/>
        </w:tabs>
        <w:spacing w:line="240" w:lineRule="auto"/>
        <w:ind w:left="567" w:right="-2" w:hanging="567"/>
        <w:rPr>
          <w:b/>
          <w:color w:val="000000"/>
          <w:szCs w:val="22"/>
        </w:rPr>
      </w:pPr>
      <w:r w:rsidRPr="00654EF1">
        <w:rPr>
          <w:b/>
          <w:color w:val="000000"/>
          <w:szCs w:val="22"/>
        </w:rPr>
        <w:t>2.</w:t>
      </w:r>
      <w:r w:rsidRPr="00654EF1">
        <w:rPr>
          <w:b/>
          <w:color w:val="000000"/>
          <w:szCs w:val="22"/>
        </w:rPr>
        <w:tab/>
        <w:t>What you need to know before you take Glivec</w:t>
      </w:r>
    </w:p>
    <w:p w14:paraId="1B680E67" w14:textId="77777777" w:rsidR="00F76DB2" w:rsidRPr="00654EF1" w:rsidRDefault="00F76DB2" w:rsidP="001D5C8C">
      <w:pPr>
        <w:keepNext/>
        <w:widowControl w:val="0"/>
        <w:numPr>
          <w:ilvl w:val="12"/>
          <w:numId w:val="0"/>
        </w:numPr>
        <w:tabs>
          <w:tab w:val="clear" w:pos="567"/>
        </w:tabs>
        <w:spacing w:line="240" w:lineRule="auto"/>
        <w:ind w:left="567" w:right="-2" w:hanging="567"/>
        <w:rPr>
          <w:color w:val="000000"/>
          <w:szCs w:val="22"/>
        </w:rPr>
      </w:pPr>
    </w:p>
    <w:p w14:paraId="1B680E68"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 xml:space="preserve">Glivec will only be prescribed to you by a doctor with experience in medicines to treat </w:t>
      </w:r>
      <w:r w:rsidRPr="00654EF1">
        <w:rPr>
          <w:color w:val="000000"/>
          <w:sz w:val="22"/>
          <w:szCs w:val="22"/>
        </w:rPr>
        <w:t>blood cancers or solid tumours</w:t>
      </w:r>
      <w:r w:rsidRPr="00654EF1">
        <w:rPr>
          <w:color w:val="000000"/>
          <w:sz w:val="22"/>
          <w:szCs w:val="22"/>
          <w:lang w:val="en-GB"/>
        </w:rPr>
        <w:t>.</w:t>
      </w:r>
    </w:p>
    <w:p w14:paraId="1B680E69"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6A"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r w:rsidRPr="00654EF1">
        <w:rPr>
          <w:color w:val="000000"/>
          <w:szCs w:val="22"/>
        </w:rPr>
        <w:t>Follow all your doctor’s instructions carefully, even if they differ from the general information contained in this leaflet.</w:t>
      </w:r>
    </w:p>
    <w:p w14:paraId="1B680E6B"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6C" w14:textId="77777777" w:rsidR="00F76DB2" w:rsidRPr="00654EF1" w:rsidRDefault="00F76DB2" w:rsidP="001D5C8C">
      <w:pPr>
        <w:keepNext/>
        <w:widowControl w:val="0"/>
        <w:numPr>
          <w:ilvl w:val="12"/>
          <w:numId w:val="0"/>
        </w:numPr>
        <w:tabs>
          <w:tab w:val="clear" w:pos="567"/>
        </w:tabs>
        <w:spacing w:line="240" w:lineRule="auto"/>
        <w:rPr>
          <w:color w:val="000000"/>
          <w:szCs w:val="22"/>
        </w:rPr>
      </w:pPr>
      <w:r w:rsidRPr="00654EF1">
        <w:rPr>
          <w:b/>
          <w:color w:val="000000"/>
          <w:szCs w:val="22"/>
        </w:rPr>
        <w:t>Do not take Glivec:</w:t>
      </w:r>
    </w:p>
    <w:p w14:paraId="1B680E6D" w14:textId="77777777" w:rsidR="00F76DB2" w:rsidRPr="00654EF1" w:rsidRDefault="00F76DB2" w:rsidP="001D5C8C">
      <w:pPr>
        <w:keepNext/>
        <w:widowControl w:val="0"/>
        <w:numPr>
          <w:ilvl w:val="12"/>
          <w:numId w:val="0"/>
        </w:numPr>
        <w:tabs>
          <w:tab w:val="clear" w:pos="567"/>
        </w:tabs>
        <w:spacing w:line="240" w:lineRule="auto"/>
        <w:ind w:left="567" w:right="-2" w:hanging="567"/>
        <w:rPr>
          <w:color w:val="000000"/>
          <w:szCs w:val="22"/>
        </w:rPr>
      </w:pPr>
      <w:r w:rsidRPr="00654EF1">
        <w:rPr>
          <w:color w:val="000000"/>
          <w:szCs w:val="22"/>
        </w:rPr>
        <w:t>-</w:t>
      </w:r>
      <w:r w:rsidRPr="00654EF1">
        <w:rPr>
          <w:color w:val="000000"/>
          <w:szCs w:val="22"/>
        </w:rPr>
        <w:tab/>
        <w:t>if you are allergic to imatinib or any of the other ingredients of this medicine (listed in section 6).</w:t>
      </w:r>
    </w:p>
    <w:p w14:paraId="1B680E6E" w14:textId="77777777" w:rsidR="00F76DB2" w:rsidRPr="00654EF1" w:rsidRDefault="00F76DB2" w:rsidP="001D5C8C">
      <w:pPr>
        <w:widowControl w:val="0"/>
        <w:numPr>
          <w:ilvl w:val="12"/>
          <w:numId w:val="0"/>
        </w:numPr>
        <w:tabs>
          <w:tab w:val="clear" w:pos="567"/>
        </w:tabs>
        <w:spacing w:line="240" w:lineRule="auto"/>
        <w:ind w:left="567" w:right="-2" w:hanging="567"/>
        <w:rPr>
          <w:color w:val="000000"/>
          <w:szCs w:val="22"/>
        </w:rPr>
      </w:pPr>
      <w:r w:rsidRPr="00654EF1">
        <w:rPr>
          <w:color w:val="000000"/>
          <w:szCs w:val="22"/>
        </w:rPr>
        <w:t xml:space="preserve">If this applies to you, </w:t>
      </w:r>
      <w:r w:rsidRPr="00654EF1">
        <w:rPr>
          <w:b/>
          <w:color w:val="000000"/>
          <w:szCs w:val="22"/>
        </w:rPr>
        <w:t>tell your doctor without taking Glivec.</w:t>
      </w:r>
    </w:p>
    <w:p w14:paraId="1B680E6F" w14:textId="77777777" w:rsidR="00F76DB2" w:rsidRPr="00654EF1" w:rsidRDefault="00F76DB2" w:rsidP="001D5C8C">
      <w:pPr>
        <w:widowControl w:val="0"/>
        <w:numPr>
          <w:ilvl w:val="12"/>
          <w:numId w:val="0"/>
        </w:numPr>
        <w:tabs>
          <w:tab w:val="clear" w:pos="567"/>
        </w:tabs>
        <w:spacing w:line="240" w:lineRule="auto"/>
        <w:ind w:left="567" w:right="-2" w:hanging="567"/>
        <w:rPr>
          <w:color w:val="000000"/>
          <w:szCs w:val="22"/>
        </w:rPr>
      </w:pPr>
    </w:p>
    <w:p w14:paraId="1B680E70" w14:textId="77777777" w:rsidR="00F76DB2" w:rsidRPr="00654EF1" w:rsidRDefault="00F76DB2" w:rsidP="001D5C8C">
      <w:pPr>
        <w:widowControl w:val="0"/>
        <w:numPr>
          <w:ilvl w:val="12"/>
          <w:numId w:val="0"/>
        </w:numPr>
        <w:tabs>
          <w:tab w:val="clear" w:pos="567"/>
        </w:tabs>
        <w:spacing w:line="240" w:lineRule="auto"/>
        <w:ind w:left="567" w:right="-2" w:hanging="567"/>
        <w:rPr>
          <w:color w:val="000000"/>
          <w:szCs w:val="22"/>
        </w:rPr>
      </w:pPr>
      <w:r w:rsidRPr="00654EF1">
        <w:rPr>
          <w:color w:val="000000"/>
          <w:szCs w:val="22"/>
        </w:rPr>
        <w:t>If you think you may be allergic but are not sure, ask your doctor for advice.</w:t>
      </w:r>
    </w:p>
    <w:p w14:paraId="1B680E71"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72" w14:textId="77777777" w:rsidR="00F76DB2" w:rsidRPr="00654EF1" w:rsidRDefault="00F76DB2" w:rsidP="001D5C8C">
      <w:pPr>
        <w:keepNext/>
        <w:widowControl w:val="0"/>
        <w:numPr>
          <w:ilvl w:val="12"/>
          <w:numId w:val="0"/>
        </w:numPr>
        <w:tabs>
          <w:tab w:val="clear" w:pos="567"/>
        </w:tabs>
        <w:spacing w:line="240" w:lineRule="auto"/>
        <w:ind w:right="-2"/>
        <w:rPr>
          <w:b/>
          <w:color w:val="000000"/>
          <w:szCs w:val="22"/>
        </w:rPr>
      </w:pPr>
      <w:r w:rsidRPr="00654EF1">
        <w:rPr>
          <w:b/>
          <w:color w:val="000000"/>
          <w:szCs w:val="22"/>
        </w:rPr>
        <w:t>Warnings and precautions</w:t>
      </w:r>
    </w:p>
    <w:p w14:paraId="1B680E73" w14:textId="77777777" w:rsidR="00F76DB2" w:rsidRPr="00654EF1" w:rsidRDefault="00F76DB2" w:rsidP="001D5C8C">
      <w:pPr>
        <w:keepNext/>
        <w:widowControl w:val="0"/>
        <w:numPr>
          <w:ilvl w:val="12"/>
          <w:numId w:val="0"/>
        </w:numPr>
        <w:tabs>
          <w:tab w:val="clear" w:pos="567"/>
        </w:tabs>
        <w:spacing w:line="240" w:lineRule="auto"/>
        <w:ind w:right="-2"/>
        <w:rPr>
          <w:b/>
          <w:color w:val="000000"/>
          <w:szCs w:val="22"/>
        </w:rPr>
      </w:pPr>
      <w:r w:rsidRPr="00654EF1">
        <w:rPr>
          <w:color w:val="000000"/>
          <w:szCs w:val="22"/>
        </w:rPr>
        <w:t>Talk to your doctor before taking Glivec:</w:t>
      </w:r>
    </w:p>
    <w:p w14:paraId="1B680E74" w14:textId="77777777" w:rsidR="00F76DB2" w:rsidRPr="00654EF1" w:rsidRDefault="00F76DB2" w:rsidP="001D5C8C">
      <w:pPr>
        <w:keepNext/>
        <w:widowControl w:val="0"/>
        <w:numPr>
          <w:ilvl w:val="12"/>
          <w:numId w:val="0"/>
        </w:numPr>
        <w:tabs>
          <w:tab w:val="clear" w:pos="567"/>
        </w:tabs>
        <w:spacing w:line="240" w:lineRule="auto"/>
        <w:rPr>
          <w:color w:val="000000"/>
          <w:szCs w:val="22"/>
        </w:rPr>
      </w:pPr>
      <w:r w:rsidRPr="00654EF1">
        <w:rPr>
          <w:color w:val="000000"/>
          <w:szCs w:val="22"/>
        </w:rPr>
        <w:t>-</w:t>
      </w:r>
      <w:r w:rsidRPr="00654EF1">
        <w:rPr>
          <w:color w:val="000000"/>
          <w:szCs w:val="22"/>
        </w:rPr>
        <w:tab/>
        <w:t>if you have or have ever had a liver, kidney or heart problem.</w:t>
      </w:r>
    </w:p>
    <w:p w14:paraId="1B680E75" w14:textId="77777777" w:rsidR="00F76DB2" w:rsidRPr="00654EF1" w:rsidRDefault="00F76DB2" w:rsidP="001D5C8C">
      <w:pPr>
        <w:keepNext/>
        <w:widowControl w:val="0"/>
        <w:numPr>
          <w:ilvl w:val="12"/>
          <w:numId w:val="0"/>
        </w:numPr>
        <w:spacing w:line="240" w:lineRule="auto"/>
        <w:ind w:left="567" w:hanging="567"/>
        <w:rPr>
          <w:color w:val="000000"/>
          <w:szCs w:val="22"/>
        </w:rPr>
      </w:pPr>
      <w:r w:rsidRPr="00654EF1">
        <w:rPr>
          <w:color w:val="000000"/>
          <w:szCs w:val="22"/>
        </w:rPr>
        <w:t>-</w:t>
      </w:r>
      <w:r w:rsidRPr="00654EF1">
        <w:rPr>
          <w:color w:val="000000"/>
          <w:szCs w:val="22"/>
        </w:rPr>
        <w:tab/>
        <w:t>i</w:t>
      </w:r>
      <w:r w:rsidRPr="00654EF1">
        <w:rPr>
          <w:color w:val="000000"/>
          <w:spacing w:val="-2"/>
        </w:rPr>
        <w:t>f you are taking the medicine levothyroxine because your thyroid has been removed.</w:t>
      </w:r>
    </w:p>
    <w:p w14:paraId="1B680E76" w14:textId="77777777" w:rsidR="007B18B8" w:rsidRPr="00654EF1" w:rsidRDefault="007B18B8" w:rsidP="001D5C8C">
      <w:pPr>
        <w:keepNext/>
        <w:widowControl w:val="0"/>
        <w:numPr>
          <w:ilvl w:val="12"/>
          <w:numId w:val="0"/>
        </w:numPr>
        <w:spacing w:line="240" w:lineRule="auto"/>
        <w:ind w:left="567" w:hanging="567"/>
        <w:rPr>
          <w:color w:val="000000"/>
          <w:spacing w:val="-2"/>
        </w:rPr>
      </w:pPr>
      <w:r w:rsidRPr="00654EF1">
        <w:rPr>
          <w:color w:val="000000"/>
          <w:spacing w:val="-2"/>
        </w:rPr>
        <w:t>-</w:t>
      </w:r>
      <w:r w:rsidRPr="00654EF1">
        <w:rPr>
          <w:color w:val="000000"/>
          <w:spacing w:val="-2"/>
        </w:rPr>
        <w:tab/>
        <w:t>if you have ever had or might now have a hepatitis B infection. This is because Glivec could cause hepatitis B to become active again, which can be fatal in some cases. Patients will be carefully checked by their doctor for signs of this infection before treatment is started.</w:t>
      </w:r>
    </w:p>
    <w:p w14:paraId="1B680E77" w14:textId="77777777" w:rsidR="00D40523" w:rsidRPr="00654EF1" w:rsidRDefault="00D40523" w:rsidP="001D5C8C">
      <w:pPr>
        <w:keepNext/>
        <w:widowControl w:val="0"/>
        <w:numPr>
          <w:ilvl w:val="12"/>
          <w:numId w:val="0"/>
        </w:numPr>
        <w:spacing w:line="240" w:lineRule="auto"/>
        <w:ind w:left="567" w:hanging="567"/>
        <w:rPr>
          <w:color w:val="000000"/>
          <w:spacing w:val="-2"/>
        </w:rPr>
      </w:pPr>
      <w:r w:rsidRPr="00654EF1">
        <w:rPr>
          <w:color w:val="000000"/>
          <w:spacing w:val="-2"/>
        </w:rPr>
        <w:t>-</w:t>
      </w:r>
      <w:r w:rsidRPr="00654EF1">
        <w:rPr>
          <w:color w:val="000000"/>
          <w:spacing w:val="-2"/>
        </w:rPr>
        <w:tab/>
        <w:t>if you experience bruising, bleeding, fever, fatigue and confusion when taking Glivec, contact your doctor. This may be a sign of damage to blood vessels known as thrombotic microangiopathy (TMA).</w:t>
      </w:r>
    </w:p>
    <w:p w14:paraId="1B680E78" w14:textId="77777777" w:rsidR="00F76DB2" w:rsidRPr="00654EF1" w:rsidRDefault="00F76DB2" w:rsidP="001D5C8C">
      <w:pPr>
        <w:pStyle w:val="Text"/>
        <w:widowControl w:val="0"/>
        <w:spacing w:before="0"/>
        <w:rPr>
          <w:b/>
          <w:color w:val="000000"/>
          <w:sz w:val="22"/>
          <w:szCs w:val="22"/>
          <w:lang w:val="en-GB"/>
        </w:rPr>
      </w:pPr>
      <w:r w:rsidRPr="00654EF1">
        <w:rPr>
          <w:color w:val="000000"/>
          <w:sz w:val="22"/>
          <w:szCs w:val="22"/>
          <w:lang w:val="en-GB"/>
        </w:rPr>
        <w:t xml:space="preserve">If any of these apply to you, </w:t>
      </w:r>
      <w:r w:rsidRPr="00654EF1">
        <w:rPr>
          <w:b/>
          <w:color w:val="000000"/>
          <w:sz w:val="22"/>
          <w:szCs w:val="22"/>
          <w:lang w:val="en-GB"/>
        </w:rPr>
        <w:t>tell your doctor before taking Glivec.</w:t>
      </w:r>
    </w:p>
    <w:p w14:paraId="1B680E79" w14:textId="77777777" w:rsidR="00F76DB2" w:rsidRPr="00654EF1" w:rsidRDefault="00F76DB2" w:rsidP="001D5C8C">
      <w:pPr>
        <w:pStyle w:val="Text"/>
        <w:widowControl w:val="0"/>
        <w:spacing w:before="0"/>
        <w:jc w:val="left"/>
        <w:rPr>
          <w:color w:val="000000"/>
          <w:sz w:val="22"/>
          <w:szCs w:val="22"/>
          <w:lang w:val="en-GB"/>
        </w:rPr>
      </w:pPr>
    </w:p>
    <w:p w14:paraId="1B680E7A" w14:textId="77777777" w:rsidR="00DB4205" w:rsidRPr="00654EF1" w:rsidRDefault="00DB4205" w:rsidP="001D5C8C">
      <w:pPr>
        <w:pStyle w:val="Text"/>
        <w:widowControl w:val="0"/>
        <w:spacing w:before="0"/>
        <w:jc w:val="left"/>
        <w:rPr>
          <w:color w:val="000000"/>
          <w:sz w:val="22"/>
          <w:szCs w:val="22"/>
          <w:lang w:val="en-GB"/>
        </w:rPr>
      </w:pPr>
      <w:r w:rsidRPr="00654EF1">
        <w:rPr>
          <w:color w:val="000000"/>
          <w:sz w:val="22"/>
          <w:szCs w:val="22"/>
          <w:lang w:val="en-GB"/>
        </w:rPr>
        <w:t xml:space="preserve">You may become more sensitive to the sun while taking </w:t>
      </w:r>
      <w:r w:rsidR="0061458F" w:rsidRPr="00654EF1">
        <w:rPr>
          <w:color w:val="000000"/>
          <w:sz w:val="22"/>
          <w:szCs w:val="22"/>
          <w:lang w:val="en-GB"/>
        </w:rPr>
        <w:t>Glivec</w:t>
      </w:r>
      <w:r w:rsidRPr="00654EF1">
        <w:rPr>
          <w:color w:val="000000"/>
          <w:sz w:val="22"/>
          <w:szCs w:val="22"/>
          <w:lang w:val="en-GB"/>
        </w:rPr>
        <w:t>. It is important to cover sun</w:t>
      </w:r>
      <w:r w:rsidR="0061458F" w:rsidRPr="00654EF1">
        <w:rPr>
          <w:color w:val="000000"/>
          <w:sz w:val="22"/>
          <w:szCs w:val="22"/>
          <w:lang w:val="en-GB"/>
        </w:rPr>
        <w:t>-</w:t>
      </w:r>
      <w:r w:rsidRPr="00654EF1">
        <w:rPr>
          <w:color w:val="000000"/>
          <w:sz w:val="22"/>
          <w:szCs w:val="22"/>
          <w:lang w:val="en-GB"/>
        </w:rPr>
        <w:t>exposed areas of skin and use sunscreen with high sun protection factor (SPF). These precautions are also applicable to children.</w:t>
      </w:r>
    </w:p>
    <w:p w14:paraId="1B680E7B" w14:textId="77777777" w:rsidR="00DB4205" w:rsidRPr="00654EF1" w:rsidRDefault="00DB4205" w:rsidP="001D5C8C">
      <w:pPr>
        <w:pStyle w:val="Text"/>
        <w:widowControl w:val="0"/>
        <w:spacing w:before="0"/>
        <w:jc w:val="left"/>
        <w:rPr>
          <w:color w:val="000000"/>
          <w:sz w:val="22"/>
          <w:szCs w:val="22"/>
          <w:lang w:val="en-GB"/>
        </w:rPr>
      </w:pPr>
    </w:p>
    <w:p w14:paraId="1B680E7C" w14:textId="77777777" w:rsidR="00F76DB2" w:rsidRPr="00654EF1" w:rsidRDefault="00F76DB2" w:rsidP="001D5C8C">
      <w:pPr>
        <w:pStyle w:val="Text"/>
        <w:widowControl w:val="0"/>
        <w:spacing w:before="0"/>
        <w:jc w:val="left"/>
        <w:rPr>
          <w:color w:val="000000"/>
          <w:sz w:val="22"/>
          <w:szCs w:val="22"/>
          <w:lang w:val="en-GB"/>
        </w:rPr>
      </w:pPr>
      <w:r w:rsidRPr="00654EF1">
        <w:rPr>
          <w:b/>
          <w:color w:val="000000"/>
          <w:sz w:val="22"/>
          <w:szCs w:val="22"/>
          <w:lang w:val="en-GB"/>
        </w:rPr>
        <w:t>During treatment with Glivec, tell your doctor straight away</w:t>
      </w:r>
      <w:r w:rsidRPr="00654EF1">
        <w:rPr>
          <w:color w:val="000000"/>
          <w:sz w:val="22"/>
          <w:szCs w:val="22"/>
          <w:lang w:val="en-GB"/>
        </w:rPr>
        <w:t xml:space="preserve"> if you put on weight very quickly.</w:t>
      </w:r>
      <w:r w:rsidRPr="00654EF1" w:rsidDel="00F56C36">
        <w:rPr>
          <w:color w:val="000000"/>
          <w:sz w:val="22"/>
          <w:szCs w:val="22"/>
          <w:lang w:val="en-GB"/>
        </w:rPr>
        <w:t xml:space="preserve"> </w:t>
      </w:r>
      <w:r w:rsidRPr="00654EF1">
        <w:rPr>
          <w:color w:val="000000"/>
          <w:sz w:val="22"/>
          <w:szCs w:val="22"/>
          <w:lang w:val="en-GB"/>
        </w:rPr>
        <w:t>Glivec may cause your body to retain water (severe fluid retention).</w:t>
      </w:r>
    </w:p>
    <w:p w14:paraId="1B680E7D" w14:textId="77777777" w:rsidR="00F76DB2" w:rsidRPr="00654EF1" w:rsidRDefault="00F76DB2" w:rsidP="001D5C8C">
      <w:pPr>
        <w:pStyle w:val="Text"/>
        <w:widowControl w:val="0"/>
        <w:spacing w:before="0"/>
        <w:jc w:val="left"/>
        <w:rPr>
          <w:color w:val="000000"/>
          <w:sz w:val="22"/>
          <w:szCs w:val="22"/>
          <w:lang w:val="en-GB"/>
        </w:rPr>
      </w:pPr>
    </w:p>
    <w:p w14:paraId="1B680E7E"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While you are taking Glivec, your doctor will regularly check whether the medicine is working. You will also have blood tests and be weighed regularly.</w:t>
      </w:r>
    </w:p>
    <w:p w14:paraId="1B680E7F" w14:textId="77777777" w:rsidR="00F76DB2" w:rsidRPr="00654EF1" w:rsidRDefault="00F76DB2" w:rsidP="001D5C8C">
      <w:pPr>
        <w:pStyle w:val="EndnoteText"/>
        <w:widowControl w:val="0"/>
        <w:numPr>
          <w:ilvl w:val="12"/>
          <w:numId w:val="0"/>
        </w:numPr>
        <w:tabs>
          <w:tab w:val="clear" w:pos="567"/>
        </w:tabs>
        <w:rPr>
          <w:color w:val="000000"/>
          <w:szCs w:val="22"/>
        </w:rPr>
      </w:pPr>
    </w:p>
    <w:p w14:paraId="1B680E80" w14:textId="77777777" w:rsidR="00F76DB2" w:rsidRPr="00654EF1" w:rsidRDefault="00F76DB2" w:rsidP="001D5C8C">
      <w:pPr>
        <w:pStyle w:val="EndnoteText"/>
        <w:keepNext/>
        <w:widowControl w:val="0"/>
        <w:numPr>
          <w:ilvl w:val="12"/>
          <w:numId w:val="0"/>
        </w:numPr>
        <w:tabs>
          <w:tab w:val="clear" w:pos="567"/>
        </w:tabs>
        <w:rPr>
          <w:b/>
          <w:color w:val="000000"/>
          <w:szCs w:val="22"/>
        </w:rPr>
      </w:pPr>
      <w:r w:rsidRPr="00654EF1">
        <w:rPr>
          <w:b/>
          <w:color w:val="000000"/>
          <w:szCs w:val="22"/>
        </w:rPr>
        <w:t>Children and adolescents</w:t>
      </w:r>
    </w:p>
    <w:p w14:paraId="1B680E81" w14:textId="77777777" w:rsidR="00E0269A" w:rsidRPr="00654EF1" w:rsidRDefault="00E0269A" w:rsidP="001D5C8C">
      <w:pPr>
        <w:pStyle w:val="EndnoteText"/>
        <w:widowControl w:val="0"/>
        <w:numPr>
          <w:ilvl w:val="12"/>
          <w:numId w:val="0"/>
        </w:numPr>
        <w:tabs>
          <w:tab w:val="clear" w:pos="567"/>
        </w:tabs>
        <w:rPr>
          <w:color w:val="000000"/>
          <w:szCs w:val="22"/>
          <w:lang w:val="en-US"/>
        </w:rPr>
      </w:pPr>
      <w:r w:rsidRPr="00654EF1">
        <w:rPr>
          <w:color w:val="000000"/>
          <w:szCs w:val="22"/>
          <w:lang w:val="en-US"/>
        </w:rPr>
        <w:t>Glivec is also a treatment for children with CML. There is no experience in children with CML below 2 years of age. There is limited experience in children with Ph</w:t>
      </w:r>
      <w:r w:rsidRPr="00654EF1">
        <w:rPr>
          <w:color w:val="000000"/>
          <w:szCs w:val="22"/>
        </w:rPr>
        <w:t>-positive</w:t>
      </w:r>
      <w:r w:rsidRPr="00654EF1">
        <w:rPr>
          <w:color w:val="000000"/>
          <w:szCs w:val="22"/>
          <w:lang w:val="en-US"/>
        </w:rPr>
        <w:t xml:space="preserve"> ALL and very limited experience in children with MDS/MPD, DFSP, GIST and HES/CEL.</w:t>
      </w:r>
    </w:p>
    <w:p w14:paraId="1B680E82" w14:textId="77777777" w:rsidR="00F76DB2" w:rsidRPr="00654EF1" w:rsidRDefault="00F76DB2" w:rsidP="001D5C8C">
      <w:pPr>
        <w:pStyle w:val="EndnoteText"/>
        <w:widowControl w:val="0"/>
        <w:numPr>
          <w:ilvl w:val="12"/>
          <w:numId w:val="0"/>
        </w:numPr>
        <w:tabs>
          <w:tab w:val="clear" w:pos="567"/>
        </w:tabs>
        <w:rPr>
          <w:color w:val="000000"/>
          <w:szCs w:val="22"/>
          <w:lang w:val="en-US"/>
        </w:rPr>
      </w:pPr>
    </w:p>
    <w:p w14:paraId="1B680E83" w14:textId="77777777" w:rsidR="00F76DB2" w:rsidRPr="00654EF1" w:rsidRDefault="00F76DB2" w:rsidP="001D5C8C">
      <w:pPr>
        <w:pStyle w:val="EndnoteText"/>
        <w:widowControl w:val="0"/>
        <w:numPr>
          <w:ilvl w:val="12"/>
          <w:numId w:val="0"/>
        </w:numPr>
        <w:tabs>
          <w:tab w:val="clear" w:pos="567"/>
        </w:tabs>
        <w:rPr>
          <w:color w:val="000000"/>
          <w:szCs w:val="22"/>
          <w:lang w:val="en-US"/>
        </w:rPr>
      </w:pPr>
      <w:r w:rsidRPr="00654EF1">
        <w:rPr>
          <w:color w:val="000000"/>
          <w:szCs w:val="22"/>
        </w:rPr>
        <w:t>Some children and adolescents taking Glivec may have slower than normal growth. The doctor will monitor the growth at regular visits.</w:t>
      </w:r>
    </w:p>
    <w:p w14:paraId="1B680E84" w14:textId="77777777" w:rsidR="00F76DB2" w:rsidRPr="00654EF1" w:rsidRDefault="00F76DB2" w:rsidP="001D5C8C">
      <w:pPr>
        <w:pStyle w:val="EndnoteText"/>
        <w:widowControl w:val="0"/>
        <w:numPr>
          <w:ilvl w:val="12"/>
          <w:numId w:val="0"/>
        </w:numPr>
        <w:tabs>
          <w:tab w:val="clear" w:pos="567"/>
        </w:tabs>
        <w:rPr>
          <w:color w:val="000000"/>
          <w:szCs w:val="22"/>
          <w:lang w:val="en-US"/>
        </w:rPr>
      </w:pPr>
    </w:p>
    <w:p w14:paraId="1B680E85" w14:textId="77777777" w:rsidR="00F76DB2" w:rsidRPr="00654EF1" w:rsidRDefault="00F76DB2" w:rsidP="001D5C8C">
      <w:pPr>
        <w:keepNext/>
        <w:widowControl w:val="0"/>
        <w:numPr>
          <w:ilvl w:val="12"/>
          <w:numId w:val="0"/>
        </w:numPr>
        <w:tabs>
          <w:tab w:val="clear" w:pos="567"/>
        </w:tabs>
        <w:spacing w:line="240" w:lineRule="auto"/>
        <w:ind w:right="-2"/>
        <w:rPr>
          <w:b/>
          <w:color w:val="000000"/>
          <w:szCs w:val="22"/>
        </w:rPr>
      </w:pPr>
      <w:r w:rsidRPr="00654EF1">
        <w:rPr>
          <w:b/>
          <w:color w:val="000000"/>
          <w:szCs w:val="22"/>
        </w:rPr>
        <w:t>Other medicines and Glivec</w:t>
      </w:r>
    </w:p>
    <w:p w14:paraId="1B680E86"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r w:rsidRPr="00654EF1">
        <w:rPr>
          <w:color w:val="000000"/>
          <w:szCs w:val="22"/>
        </w:rPr>
        <w:t>Tell your doctor or pharmacist if you are taking, have recently taken or might take any other medicines, including medicines obtained without a prescription (such as paracetamol) and including herbal medicines (such as St. John’s Wort). Some medicines can interfere with the effect of Glivec when taken together. They may increase or decrease the effect of Glivec, either leading to increased side effects or making Glivec less effective. Glivec may do the same to some other medicines.</w:t>
      </w:r>
    </w:p>
    <w:p w14:paraId="1B680E87" w14:textId="77777777" w:rsidR="00FD232C" w:rsidRPr="00654EF1" w:rsidRDefault="00FD232C" w:rsidP="001D5C8C">
      <w:pPr>
        <w:widowControl w:val="0"/>
        <w:numPr>
          <w:ilvl w:val="12"/>
          <w:numId w:val="0"/>
        </w:numPr>
        <w:tabs>
          <w:tab w:val="clear" w:pos="567"/>
        </w:tabs>
        <w:spacing w:line="240" w:lineRule="auto"/>
        <w:ind w:right="-2"/>
        <w:rPr>
          <w:color w:val="000000"/>
          <w:szCs w:val="22"/>
        </w:rPr>
      </w:pPr>
    </w:p>
    <w:p w14:paraId="1B680E88" w14:textId="77777777" w:rsidR="00FD232C" w:rsidRPr="00654EF1" w:rsidRDefault="00FD232C" w:rsidP="001D5C8C">
      <w:pPr>
        <w:widowControl w:val="0"/>
        <w:numPr>
          <w:ilvl w:val="12"/>
          <w:numId w:val="0"/>
        </w:numPr>
        <w:tabs>
          <w:tab w:val="clear" w:pos="567"/>
        </w:tabs>
        <w:spacing w:line="240" w:lineRule="auto"/>
        <w:ind w:right="-2"/>
        <w:rPr>
          <w:color w:val="000000"/>
          <w:szCs w:val="22"/>
        </w:rPr>
      </w:pPr>
      <w:r w:rsidRPr="00654EF1">
        <w:rPr>
          <w:color w:val="000000"/>
          <w:szCs w:val="22"/>
        </w:rPr>
        <w:lastRenderedPageBreak/>
        <w:t>Tell your doctor if you are using medicines that prevent the formation of blood clots.</w:t>
      </w:r>
    </w:p>
    <w:p w14:paraId="1B680E89"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E8A" w14:textId="77777777" w:rsidR="00F76DB2" w:rsidRPr="00654EF1" w:rsidRDefault="00F76DB2" w:rsidP="001D5C8C">
      <w:pPr>
        <w:pStyle w:val="EndnoteText"/>
        <w:keepNext/>
        <w:widowControl w:val="0"/>
        <w:numPr>
          <w:ilvl w:val="12"/>
          <w:numId w:val="0"/>
        </w:numPr>
        <w:tabs>
          <w:tab w:val="clear" w:pos="567"/>
        </w:tabs>
        <w:rPr>
          <w:b/>
          <w:color w:val="000000"/>
          <w:szCs w:val="22"/>
        </w:rPr>
      </w:pPr>
      <w:r w:rsidRPr="00654EF1">
        <w:rPr>
          <w:b/>
          <w:color w:val="000000"/>
          <w:szCs w:val="22"/>
        </w:rPr>
        <w:t>Pregnancy, breast-feeding and fertility</w:t>
      </w:r>
    </w:p>
    <w:p w14:paraId="1B680E8B" w14:textId="77777777" w:rsidR="00F76DB2" w:rsidRPr="00654EF1" w:rsidRDefault="00F76DB2"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If you are pregnant or breast-feeding, think you may be pregnant or are planning to have a baby, ask your doctor for advice before taking this medicine.</w:t>
      </w:r>
    </w:p>
    <w:p w14:paraId="1B680E8C" w14:textId="77777777" w:rsidR="00F76DB2" w:rsidRPr="00654EF1" w:rsidRDefault="00F76DB2"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Glivec is not recommended</w:t>
      </w:r>
      <w:r w:rsidRPr="00654EF1" w:rsidDel="00D2235A">
        <w:rPr>
          <w:color w:val="000000"/>
          <w:szCs w:val="22"/>
        </w:rPr>
        <w:t xml:space="preserve"> </w:t>
      </w:r>
      <w:r w:rsidRPr="00654EF1">
        <w:rPr>
          <w:color w:val="000000"/>
          <w:szCs w:val="22"/>
        </w:rPr>
        <w:t>during pregnancy unless clearly necessary as it may harm your baby. Your doctor will discuss with you the possible risks of taking Glivec during pregnancy.</w:t>
      </w:r>
    </w:p>
    <w:p w14:paraId="1B680E8D" w14:textId="77777777" w:rsidR="00F76DB2" w:rsidRPr="00654EF1" w:rsidRDefault="00F76DB2"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Women who might become pregnant</w:t>
      </w:r>
      <w:r w:rsidRPr="00654EF1">
        <w:rPr>
          <w:b/>
          <w:color w:val="000000"/>
          <w:szCs w:val="22"/>
        </w:rPr>
        <w:t xml:space="preserve"> </w:t>
      </w:r>
      <w:r w:rsidRPr="00654EF1">
        <w:rPr>
          <w:color w:val="000000"/>
          <w:szCs w:val="22"/>
        </w:rPr>
        <w:t>are advised to use effective contraception during treatment</w:t>
      </w:r>
      <w:r w:rsidR="002E6D66" w:rsidRPr="002E6D66">
        <w:rPr>
          <w:color w:val="000000"/>
          <w:szCs w:val="22"/>
        </w:rPr>
        <w:t xml:space="preserve"> </w:t>
      </w:r>
      <w:r w:rsidR="002E6D66">
        <w:rPr>
          <w:color w:val="000000"/>
          <w:szCs w:val="22"/>
        </w:rPr>
        <w:t>and for 15 days after ending treatment</w:t>
      </w:r>
      <w:r w:rsidRPr="00654EF1">
        <w:rPr>
          <w:color w:val="000000"/>
          <w:szCs w:val="22"/>
        </w:rPr>
        <w:t>.</w:t>
      </w:r>
    </w:p>
    <w:p w14:paraId="1B680E8E" w14:textId="77777777" w:rsidR="00F76DB2" w:rsidRPr="00654EF1" w:rsidRDefault="00F76DB2" w:rsidP="001D5C8C">
      <w:pPr>
        <w:widowControl w:val="0"/>
        <w:numPr>
          <w:ilvl w:val="0"/>
          <w:numId w:val="15"/>
        </w:numPr>
        <w:tabs>
          <w:tab w:val="clear" w:pos="567"/>
        </w:tabs>
        <w:spacing w:line="240" w:lineRule="auto"/>
        <w:ind w:left="567" w:hanging="567"/>
        <w:rPr>
          <w:color w:val="000000"/>
          <w:szCs w:val="22"/>
        </w:rPr>
      </w:pPr>
      <w:r w:rsidRPr="00654EF1">
        <w:rPr>
          <w:bCs/>
          <w:color w:val="000000"/>
          <w:szCs w:val="22"/>
        </w:rPr>
        <w:t>Do not breast-feed</w:t>
      </w:r>
      <w:r w:rsidRPr="00654EF1">
        <w:rPr>
          <w:color w:val="000000"/>
          <w:szCs w:val="22"/>
        </w:rPr>
        <w:t xml:space="preserve"> during the treatment with Glivec</w:t>
      </w:r>
      <w:r w:rsidR="002E6D66" w:rsidRPr="002E6D66">
        <w:rPr>
          <w:color w:val="000000"/>
          <w:szCs w:val="22"/>
        </w:rPr>
        <w:t xml:space="preserve"> </w:t>
      </w:r>
      <w:r w:rsidR="002E6D66" w:rsidRPr="00A36160">
        <w:rPr>
          <w:color w:val="000000"/>
          <w:szCs w:val="22"/>
        </w:rPr>
        <w:t>and for 15</w:t>
      </w:r>
      <w:r w:rsidR="002E6D66">
        <w:rPr>
          <w:color w:val="000000"/>
          <w:szCs w:val="22"/>
        </w:rPr>
        <w:t> </w:t>
      </w:r>
      <w:r w:rsidR="002E6D66" w:rsidRPr="00A36160">
        <w:rPr>
          <w:color w:val="000000"/>
          <w:szCs w:val="22"/>
        </w:rPr>
        <w:t xml:space="preserve">days after </w:t>
      </w:r>
      <w:r w:rsidR="002E6D66">
        <w:rPr>
          <w:color w:val="000000"/>
          <w:szCs w:val="22"/>
        </w:rPr>
        <w:t>ending treatment</w:t>
      </w:r>
      <w:r w:rsidR="002E6D66" w:rsidRPr="00A36160">
        <w:rPr>
          <w:color w:val="000000"/>
          <w:szCs w:val="22"/>
        </w:rPr>
        <w:t>, as it may harm your baby</w:t>
      </w:r>
      <w:r w:rsidRPr="00654EF1">
        <w:rPr>
          <w:color w:val="000000"/>
          <w:szCs w:val="22"/>
        </w:rPr>
        <w:t>.</w:t>
      </w:r>
    </w:p>
    <w:p w14:paraId="1B680E8F" w14:textId="77777777" w:rsidR="00F76DB2" w:rsidRPr="00654EF1" w:rsidRDefault="00351A2B" w:rsidP="001D5C8C">
      <w:pPr>
        <w:widowControl w:val="0"/>
        <w:numPr>
          <w:ilvl w:val="0"/>
          <w:numId w:val="15"/>
        </w:numPr>
        <w:tabs>
          <w:tab w:val="clear" w:pos="567"/>
        </w:tabs>
        <w:spacing w:line="240" w:lineRule="auto"/>
        <w:ind w:left="567" w:hanging="567"/>
        <w:rPr>
          <w:color w:val="000000"/>
          <w:szCs w:val="22"/>
        </w:rPr>
      </w:pPr>
      <w:r w:rsidRPr="00654EF1">
        <w:t>Patients</w:t>
      </w:r>
      <w:r w:rsidR="00F76DB2" w:rsidRPr="00654EF1">
        <w:t xml:space="preserve"> who are concerned about their fertility while taking </w:t>
      </w:r>
      <w:r w:rsidR="00F76DB2" w:rsidRPr="00654EF1">
        <w:rPr>
          <w:color w:val="000000"/>
          <w:szCs w:val="24"/>
        </w:rPr>
        <w:t>Glivec</w:t>
      </w:r>
      <w:r w:rsidR="00F76DB2" w:rsidRPr="00654EF1">
        <w:t xml:space="preserve"> are advised to consult with their doctor.</w:t>
      </w:r>
    </w:p>
    <w:p w14:paraId="1B680E90" w14:textId="77777777" w:rsidR="00F76DB2" w:rsidRPr="00654EF1" w:rsidRDefault="00F76DB2" w:rsidP="001D5C8C">
      <w:pPr>
        <w:widowControl w:val="0"/>
        <w:numPr>
          <w:ilvl w:val="12"/>
          <w:numId w:val="0"/>
        </w:numPr>
        <w:tabs>
          <w:tab w:val="clear" w:pos="567"/>
        </w:tabs>
        <w:spacing w:line="240" w:lineRule="auto"/>
        <w:rPr>
          <w:color w:val="000000"/>
          <w:szCs w:val="22"/>
        </w:rPr>
      </w:pPr>
    </w:p>
    <w:p w14:paraId="1B680E91" w14:textId="77777777" w:rsidR="00F76DB2" w:rsidRPr="00654EF1" w:rsidRDefault="00F76DB2"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Driving and using machines</w:t>
      </w:r>
    </w:p>
    <w:p w14:paraId="1B680E92" w14:textId="77777777" w:rsidR="00F76DB2" w:rsidRPr="00654EF1" w:rsidRDefault="00F76DB2" w:rsidP="001D5C8C">
      <w:pPr>
        <w:widowControl w:val="0"/>
        <w:numPr>
          <w:ilvl w:val="12"/>
          <w:numId w:val="0"/>
        </w:numPr>
        <w:tabs>
          <w:tab w:val="clear" w:pos="567"/>
        </w:tabs>
        <w:spacing w:line="240" w:lineRule="auto"/>
        <w:ind w:right="-29"/>
        <w:rPr>
          <w:color w:val="000000"/>
          <w:szCs w:val="22"/>
        </w:rPr>
      </w:pPr>
      <w:r w:rsidRPr="00654EF1">
        <w:rPr>
          <w:color w:val="000000"/>
          <w:szCs w:val="22"/>
        </w:rPr>
        <w:t>You may feel dizzy or drowsy or get blurred vision while taking this medicine. If this happens, do not drive or use any tools or machines until you are feeling well again.</w:t>
      </w:r>
    </w:p>
    <w:p w14:paraId="1B680E93" w14:textId="77777777" w:rsidR="00F76DB2" w:rsidRPr="00654EF1" w:rsidRDefault="00F76DB2" w:rsidP="001D5C8C">
      <w:pPr>
        <w:pStyle w:val="EndnoteText"/>
        <w:widowControl w:val="0"/>
        <w:numPr>
          <w:ilvl w:val="12"/>
          <w:numId w:val="0"/>
        </w:numPr>
        <w:tabs>
          <w:tab w:val="clear" w:pos="567"/>
        </w:tabs>
        <w:rPr>
          <w:color w:val="000000"/>
          <w:szCs w:val="22"/>
        </w:rPr>
      </w:pPr>
    </w:p>
    <w:p w14:paraId="1B680E94" w14:textId="77777777" w:rsidR="00F76DB2" w:rsidRPr="00654EF1" w:rsidRDefault="00F76DB2" w:rsidP="001D5C8C">
      <w:pPr>
        <w:pStyle w:val="EndnoteText"/>
        <w:widowControl w:val="0"/>
        <w:numPr>
          <w:ilvl w:val="12"/>
          <w:numId w:val="0"/>
        </w:numPr>
        <w:tabs>
          <w:tab w:val="clear" w:pos="567"/>
        </w:tabs>
        <w:rPr>
          <w:color w:val="000000"/>
          <w:szCs w:val="22"/>
        </w:rPr>
      </w:pPr>
    </w:p>
    <w:p w14:paraId="1B680E95" w14:textId="77777777" w:rsidR="00BB30F2" w:rsidRPr="00654EF1" w:rsidRDefault="00BB30F2"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3.</w:t>
      </w:r>
      <w:r w:rsidRPr="00654EF1">
        <w:rPr>
          <w:b/>
          <w:color w:val="000000"/>
          <w:szCs w:val="22"/>
        </w:rPr>
        <w:tab/>
      </w:r>
      <w:r w:rsidR="00F76DB2" w:rsidRPr="00654EF1">
        <w:rPr>
          <w:b/>
          <w:color w:val="000000"/>
          <w:szCs w:val="22"/>
        </w:rPr>
        <w:t>How to take Glivec</w:t>
      </w:r>
    </w:p>
    <w:p w14:paraId="1B680E96" w14:textId="77777777" w:rsidR="00BB30F2" w:rsidRPr="00654EF1" w:rsidRDefault="00BB30F2" w:rsidP="001D5C8C">
      <w:pPr>
        <w:pStyle w:val="EndnoteText"/>
        <w:keepNext/>
        <w:widowControl w:val="0"/>
        <w:numPr>
          <w:ilvl w:val="12"/>
          <w:numId w:val="0"/>
        </w:numPr>
        <w:tabs>
          <w:tab w:val="clear" w:pos="567"/>
        </w:tabs>
        <w:rPr>
          <w:color w:val="000000"/>
          <w:szCs w:val="22"/>
        </w:rPr>
      </w:pPr>
    </w:p>
    <w:p w14:paraId="1B680E97" w14:textId="77777777" w:rsidR="00BB7BC6" w:rsidRPr="00654EF1" w:rsidRDefault="00BB7BC6" w:rsidP="001D5C8C">
      <w:pPr>
        <w:pStyle w:val="Text"/>
        <w:widowControl w:val="0"/>
        <w:spacing w:before="0"/>
        <w:jc w:val="left"/>
        <w:rPr>
          <w:rFonts w:cs="Helv"/>
          <w:color w:val="000000"/>
          <w:sz w:val="22"/>
          <w:szCs w:val="22"/>
          <w:lang w:bidi="th-TH"/>
        </w:rPr>
      </w:pPr>
      <w:r w:rsidRPr="00654EF1">
        <w:rPr>
          <w:rFonts w:cs="Helv"/>
          <w:color w:val="000000"/>
          <w:sz w:val="22"/>
          <w:szCs w:val="22"/>
          <w:lang w:bidi="th-TH"/>
        </w:rPr>
        <w:t>Your doctor has prescribed Glivec because you suffer from a serious condition. Glivec can help you to fight this condition.</w:t>
      </w:r>
    </w:p>
    <w:p w14:paraId="1B680E98" w14:textId="77777777" w:rsidR="00E40CF9" w:rsidRPr="00654EF1" w:rsidRDefault="00E40CF9" w:rsidP="001D5C8C">
      <w:pPr>
        <w:pStyle w:val="Text"/>
        <w:widowControl w:val="0"/>
        <w:spacing w:before="0"/>
        <w:jc w:val="left"/>
        <w:rPr>
          <w:rFonts w:cs="Helv"/>
          <w:color w:val="000000"/>
          <w:sz w:val="22"/>
          <w:szCs w:val="22"/>
          <w:lang w:bidi="th-TH"/>
        </w:rPr>
      </w:pPr>
    </w:p>
    <w:p w14:paraId="1B680E99" w14:textId="77777777" w:rsidR="00BB7BC6" w:rsidRPr="00654EF1" w:rsidRDefault="00BB7BC6" w:rsidP="001D5C8C">
      <w:pPr>
        <w:pStyle w:val="Text"/>
        <w:widowControl w:val="0"/>
        <w:spacing w:before="0"/>
        <w:jc w:val="left"/>
        <w:rPr>
          <w:color w:val="000000"/>
          <w:sz w:val="22"/>
          <w:szCs w:val="22"/>
          <w:lang w:val="en-GB"/>
        </w:rPr>
      </w:pPr>
      <w:r w:rsidRPr="00654EF1">
        <w:rPr>
          <w:rFonts w:cs="Helv"/>
          <w:color w:val="000000"/>
          <w:sz w:val="22"/>
          <w:szCs w:val="22"/>
          <w:lang w:bidi="th-TH"/>
        </w:rPr>
        <w:t xml:space="preserve">However, </w:t>
      </w:r>
      <w:r w:rsidRPr="00654EF1">
        <w:rPr>
          <w:color w:val="000000"/>
          <w:sz w:val="22"/>
          <w:szCs w:val="22"/>
          <w:lang w:val="en-GB"/>
        </w:rPr>
        <w:t xml:space="preserve">always take </w:t>
      </w:r>
      <w:r w:rsidR="00F76DB2" w:rsidRPr="00654EF1">
        <w:rPr>
          <w:color w:val="000000"/>
          <w:sz w:val="22"/>
          <w:szCs w:val="22"/>
          <w:lang w:val="en-GB"/>
        </w:rPr>
        <w:t>this medicine</w:t>
      </w:r>
      <w:r w:rsidRPr="00654EF1">
        <w:rPr>
          <w:color w:val="000000"/>
          <w:sz w:val="22"/>
          <w:szCs w:val="22"/>
          <w:lang w:val="en-GB"/>
        </w:rPr>
        <w:t xml:space="preserve"> exactly as your doctor </w:t>
      </w:r>
      <w:r w:rsidR="00F76DB2" w:rsidRPr="00654EF1">
        <w:rPr>
          <w:color w:val="000000"/>
          <w:sz w:val="22"/>
          <w:szCs w:val="22"/>
          <w:lang w:val="en-GB"/>
        </w:rPr>
        <w:t xml:space="preserve">or pharmacist </w:t>
      </w:r>
      <w:r w:rsidRPr="00654EF1">
        <w:rPr>
          <w:color w:val="000000"/>
          <w:sz w:val="22"/>
          <w:szCs w:val="22"/>
          <w:lang w:val="en-GB"/>
        </w:rPr>
        <w:t xml:space="preserve">has told you. </w:t>
      </w:r>
      <w:r w:rsidRPr="00654EF1">
        <w:rPr>
          <w:rFonts w:cs="Helv"/>
          <w:color w:val="000000"/>
          <w:sz w:val="22"/>
          <w:szCs w:val="22"/>
          <w:lang w:bidi="th-TH"/>
        </w:rPr>
        <w:t xml:space="preserve">It is important that you do this as long as your doctor </w:t>
      </w:r>
      <w:r w:rsidR="00F76DB2" w:rsidRPr="00654EF1">
        <w:rPr>
          <w:rFonts w:cs="Helv"/>
          <w:color w:val="000000"/>
          <w:sz w:val="22"/>
          <w:szCs w:val="22"/>
          <w:lang w:bidi="th-TH"/>
        </w:rPr>
        <w:t xml:space="preserve">or pharmacist </w:t>
      </w:r>
      <w:r w:rsidRPr="00654EF1">
        <w:rPr>
          <w:rFonts w:cs="Helv"/>
          <w:color w:val="000000"/>
          <w:sz w:val="22"/>
          <w:szCs w:val="22"/>
          <w:lang w:bidi="th-TH"/>
        </w:rPr>
        <w:t>tells you to</w:t>
      </w:r>
      <w:r w:rsidRPr="00654EF1">
        <w:rPr>
          <w:color w:val="000000"/>
          <w:sz w:val="22"/>
          <w:szCs w:val="22"/>
          <w:lang w:val="en-GB"/>
        </w:rPr>
        <w:t xml:space="preserve">. </w:t>
      </w:r>
      <w:r w:rsidR="00F76DB2" w:rsidRPr="00654EF1">
        <w:rPr>
          <w:color w:val="000000"/>
          <w:sz w:val="22"/>
          <w:szCs w:val="22"/>
          <w:lang w:val="en-GB"/>
        </w:rPr>
        <w:t>C</w:t>
      </w:r>
      <w:r w:rsidRPr="00654EF1">
        <w:rPr>
          <w:color w:val="000000"/>
          <w:sz w:val="22"/>
          <w:szCs w:val="22"/>
          <w:lang w:val="en-GB"/>
        </w:rPr>
        <w:t>heck with your doctor or pharmacist if you are not sure.</w:t>
      </w:r>
    </w:p>
    <w:p w14:paraId="1B680E9A" w14:textId="77777777" w:rsidR="00E40CF9" w:rsidRPr="00654EF1" w:rsidRDefault="00E40CF9" w:rsidP="001D5C8C">
      <w:pPr>
        <w:widowControl w:val="0"/>
        <w:tabs>
          <w:tab w:val="clear" w:pos="567"/>
        </w:tabs>
        <w:autoSpaceDE w:val="0"/>
        <w:autoSpaceDN w:val="0"/>
        <w:adjustRightInd w:val="0"/>
        <w:spacing w:line="240" w:lineRule="auto"/>
        <w:rPr>
          <w:rFonts w:cs="Helv"/>
          <w:color w:val="000000"/>
          <w:szCs w:val="22"/>
          <w:lang w:val="en-US" w:bidi="th-TH"/>
        </w:rPr>
      </w:pPr>
    </w:p>
    <w:p w14:paraId="1B680E9B" w14:textId="77777777" w:rsidR="00BB7BC6" w:rsidRPr="00654EF1" w:rsidRDefault="00BB7BC6" w:rsidP="001D5C8C">
      <w:pPr>
        <w:widowControl w:val="0"/>
        <w:tabs>
          <w:tab w:val="clear" w:pos="567"/>
        </w:tabs>
        <w:autoSpaceDE w:val="0"/>
        <w:autoSpaceDN w:val="0"/>
        <w:adjustRightInd w:val="0"/>
        <w:spacing w:line="240" w:lineRule="auto"/>
        <w:rPr>
          <w:rFonts w:cs="Helv"/>
          <w:color w:val="000000"/>
          <w:szCs w:val="22"/>
          <w:lang w:val="en-US" w:bidi="th-TH"/>
        </w:rPr>
      </w:pPr>
      <w:r w:rsidRPr="00654EF1">
        <w:rPr>
          <w:rFonts w:cs="Helv"/>
          <w:color w:val="000000"/>
          <w:szCs w:val="22"/>
          <w:lang w:val="en-US" w:bidi="th-TH"/>
        </w:rPr>
        <w:t>Do not stop taking Glivec unless your doctor tells you to. If you are not able to take the medicine as your doctor prescribed or you feel you do not need it anymore, contact your doctor straight away.</w:t>
      </w:r>
    </w:p>
    <w:p w14:paraId="1B680E9C" w14:textId="77777777" w:rsidR="00BB30F2" w:rsidRPr="00654EF1" w:rsidRDefault="00BB30F2" w:rsidP="001D5C8C">
      <w:pPr>
        <w:pStyle w:val="Text"/>
        <w:widowControl w:val="0"/>
        <w:spacing w:before="0"/>
        <w:jc w:val="left"/>
        <w:rPr>
          <w:color w:val="000000"/>
          <w:sz w:val="22"/>
          <w:szCs w:val="22"/>
        </w:rPr>
      </w:pPr>
    </w:p>
    <w:p w14:paraId="1B680E9D" w14:textId="77777777" w:rsidR="00BB30F2" w:rsidRPr="00654EF1" w:rsidRDefault="00BB30F2"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 xml:space="preserve">How much </w:t>
      </w:r>
      <w:r w:rsidR="00F76DB2" w:rsidRPr="00654EF1">
        <w:rPr>
          <w:rFonts w:ascii="Times New Roman" w:hAnsi="Times New Roman"/>
          <w:i w:val="0"/>
          <w:color w:val="000000"/>
          <w:sz w:val="22"/>
          <w:szCs w:val="22"/>
        </w:rPr>
        <w:t xml:space="preserve">Glivec </w:t>
      </w:r>
      <w:r w:rsidRPr="00654EF1">
        <w:rPr>
          <w:rFonts w:ascii="Times New Roman" w:hAnsi="Times New Roman"/>
          <w:i w:val="0"/>
          <w:color w:val="000000"/>
          <w:sz w:val="22"/>
          <w:szCs w:val="22"/>
        </w:rPr>
        <w:t>to take</w:t>
      </w:r>
    </w:p>
    <w:p w14:paraId="1B680E9E" w14:textId="77777777" w:rsidR="00A0171A" w:rsidRPr="00654EF1" w:rsidRDefault="00A0171A" w:rsidP="001D5C8C">
      <w:pPr>
        <w:pStyle w:val="Text"/>
        <w:keepNext/>
        <w:widowControl w:val="0"/>
        <w:spacing w:before="0"/>
        <w:jc w:val="left"/>
        <w:rPr>
          <w:color w:val="000000"/>
          <w:sz w:val="22"/>
          <w:szCs w:val="22"/>
          <w:lang w:val="en-GB"/>
        </w:rPr>
      </w:pPr>
    </w:p>
    <w:p w14:paraId="1B680E9F" w14:textId="77777777" w:rsidR="00BB30F2" w:rsidRPr="00654EF1" w:rsidRDefault="00E40CF9" w:rsidP="001D5C8C">
      <w:pPr>
        <w:pStyle w:val="Text"/>
        <w:keepNext/>
        <w:widowControl w:val="0"/>
        <w:spacing w:before="0"/>
        <w:jc w:val="left"/>
        <w:rPr>
          <w:color w:val="000000"/>
          <w:sz w:val="22"/>
          <w:szCs w:val="22"/>
          <w:lang w:val="en-GB"/>
        </w:rPr>
      </w:pPr>
      <w:r w:rsidRPr="00654EF1">
        <w:rPr>
          <w:b/>
          <w:bCs/>
          <w:color w:val="000000"/>
          <w:sz w:val="22"/>
          <w:szCs w:val="22"/>
          <w:lang w:val="en-GB"/>
        </w:rPr>
        <w:t>Use in a</w:t>
      </w:r>
      <w:r w:rsidR="00BB30F2" w:rsidRPr="00654EF1">
        <w:rPr>
          <w:b/>
          <w:bCs/>
          <w:color w:val="000000"/>
          <w:sz w:val="22"/>
          <w:szCs w:val="22"/>
          <w:lang w:val="en-GB"/>
        </w:rPr>
        <w:t>dults</w:t>
      </w:r>
    </w:p>
    <w:p w14:paraId="1B680EA0" w14:textId="77777777" w:rsidR="00BC1920" w:rsidRPr="00654EF1" w:rsidRDefault="00BB30F2" w:rsidP="001D5C8C">
      <w:pPr>
        <w:pStyle w:val="Text"/>
        <w:widowControl w:val="0"/>
        <w:spacing w:before="0"/>
        <w:jc w:val="left"/>
        <w:rPr>
          <w:color w:val="000000"/>
          <w:sz w:val="22"/>
          <w:szCs w:val="22"/>
          <w:lang w:val="en-GB"/>
        </w:rPr>
      </w:pPr>
      <w:r w:rsidRPr="00654EF1">
        <w:rPr>
          <w:color w:val="000000"/>
          <w:sz w:val="22"/>
          <w:szCs w:val="22"/>
          <w:lang w:val="en-GB"/>
        </w:rPr>
        <w:t xml:space="preserve">Your doctor will tell you </w:t>
      </w:r>
      <w:r w:rsidR="00A0171A" w:rsidRPr="00654EF1">
        <w:rPr>
          <w:color w:val="000000"/>
          <w:sz w:val="22"/>
          <w:szCs w:val="22"/>
          <w:lang w:val="en-GB"/>
        </w:rPr>
        <w:t xml:space="preserve">exactly </w:t>
      </w:r>
      <w:r w:rsidRPr="00654EF1">
        <w:rPr>
          <w:color w:val="000000"/>
          <w:sz w:val="22"/>
          <w:szCs w:val="22"/>
          <w:lang w:val="en-GB"/>
        </w:rPr>
        <w:t>how many capsules of Glivec to take.</w:t>
      </w:r>
    </w:p>
    <w:p w14:paraId="1B680EA1" w14:textId="77777777" w:rsidR="00B624B7" w:rsidRPr="00654EF1" w:rsidRDefault="00B624B7" w:rsidP="001D5C8C">
      <w:pPr>
        <w:pStyle w:val="Text"/>
        <w:widowControl w:val="0"/>
        <w:spacing w:before="0"/>
        <w:jc w:val="left"/>
        <w:rPr>
          <w:color w:val="000000"/>
          <w:sz w:val="22"/>
          <w:szCs w:val="22"/>
          <w:lang w:val="en-GB"/>
        </w:rPr>
      </w:pPr>
    </w:p>
    <w:p w14:paraId="1B680EA2" w14:textId="77777777" w:rsidR="00A0171A" w:rsidRPr="00654EF1" w:rsidRDefault="00BB30F2" w:rsidP="001D5C8C">
      <w:pPr>
        <w:pStyle w:val="Text"/>
        <w:keepNext/>
        <w:widowControl w:val="0"/>
        <w:numPr>
          <w:ilvl w:val="1"/>
          <w:numId w:val="9"/>
        </w:numPr>
        <w:tabs>
          <w:tab w:val="clear" w:pos="1440"/>
          <w:tab w:val="num" w:pos="567"/>
        </w:tabs>
        <w:spacing w:before="0"/>
        <w:ind w:left="567" w:hanging="567"/>
        <w:jc w:val="left"/>
        <w:rPr>
          <w:color w:val="000000"/>
          <w:sz w:val="22"/>
          <w:szCs w:val="22"/>
          <w:lang w:val="en-GB"/>
        </w:rPr>
      </w:pPr>
      <w:r w:rsidRPr="00654EF1">
        <w:rPr>
          <w:b/>
          <w:bCs/>
          <w:color w:val="000000"/>
          <w:sz w:val="22"/>
          <w:szCs w:val="22"/>
          <w:lang w:val="en-GB"/>
        </w:rPr>
        <w:t>If you are being treated for CML</w:t>
      </w:r>
      <w:r w:rsidR="00A0171A" w:rsidRPr="00654EF1">
        <w:rPr>
          <w:b/>
          <w:bCs/>
          <w:color w:val="000000"/>
          <w:sz w:val="22"/>
          <w:szCs w:val="22"/>
          <w:lang w:val="en-GB"/>
        </w:rPr>
        <w:t>:</w:t>
      </w:r>
    </w:p>
    <w:p w14:paraId="1B680EA3" w14:textId="77777777" w:rsidR="00B624B7" w:rsidRPr="00654EF1" w:rsidRDefault="00A0171A" w:rsidP="001D5C8C">
      <w:pPr>
        <w:pStyle w:val="Text"/>
        <w:keepNext/>
        <w:widowControl w:val="0"/>
        <w:spacing w:before="0"/>
        <w:ind w:left="567"/>
        <w:jc w:val="left"/>
        <w:rPr>
          <w:color w:val="000000"/>
          <w:sz w:val="22"/>
          <w:szCs w:val="22"/>
          <w:lang w:val="en-GB"/>
        </w:rPr>
      </w:pPr>
      <w:r w:rsidRPr="00654EF1">
        <w:rPr>
          <w:color w:val="000000"/>
          <w:sz w:val="22"/>
          <w:szCs w:val="22"/>
          <w:lang w:val="en-GB"/>
        </w:rPr>
        <w:t xml:space="preserve">Depending on your condition </w:t>
      </w:r>
      <w:r w:rsidR="00BB30F2" w:rsidRPr="00654EF1">
        <w:rPr>
          <w:color w:val="000000"/>
          <w:sz w:val="22"/>
          <w:szCs w:val="22"/>
          <w:lang w:val="en-GB"/>
        </w:rPr>
        <w:t>the usual starting dose is</w:t>
      </w:r>
      <w:r w:rsidRPr="00654EF1">
        <w:rPr>
          <w:color w:val="000000"/>
          <w:sz w:val="22"/>
          <w:szCs w:val="22"/>
          <w:lang w:val="en-GB"/>
        </w:rPr>
        <w:t xml:space="preserve"> either 400 mg or 600 mg</w:t>
      </w:r>
      <w:r w:rsidR="00B624B7" w:rsidRPr="00654EF1">
        <w:rPr>
          <w:color w:val="000000"/>
          <w:sz w:val="22"/>
          <w:szCs w:val="22"/>
          <w:lang w:val="en-GB"/>
        </w:rPr>
        <w:t>:</w:t>
      </w:r>
    </w:p>
    <w:p w14:paraId="1B680EA4" w14:textId="77777777" w:rsidR="00B624B7" w:rsidRPr="00654EF1" w:rsidRDefault="00B624B7" w:rsidP="001D5C8C">
      <w:pPr>
        <w:pStyle w:val="Listlevel2"/>
        <w:keepNext/>
        <w:widowControl w:val="0"/>
        <w:numPr>
          <w:ilvl w:val="0"/>
          <w:numId w:val="9"/>
        </w:numPr>
        <w:tabs>
          <w:tab w:val="clear" w:pos="576"/>
          <w:tab w:val="num" w:pos="1134"/>
        </w:tabs>
        <w:spacing w:before="0" w:after="0"/>
        <w:ind w:left="1134" w:hanging="573"/>
        <w:rPr>
          <w:color w:val="000000"/>
          <w:sz w:val="22"/>
          <w:szCs w:val="22"/>
        </w:rPr>
      </w:pPr>
      <w:r w:rsidRPr="00654EF1">
        <w:rPr>
          <w:b/>
          <w:bCs/>
          <w:color w:val="000000"/>
          <w:sz w:val="22"/>
          <w:szCs w:val="22"/>
        </w:rPr>
        <w:t>400 mg</w:t>
      </w:r>
      <w:r w:rsidRPr="00654EF1">
        <w:rPr>
          <w:color w:val="000000"/>
          <w:sz w:val="22"/>
          <w:szCs w:val="22"/>
        </w:rPr>
        <w:t xml:space="preserve"> to be taken as 4 capsules </w:t>
      </w:r>
      <w:r w:rsidRPr="00654EF1">
        <w:rPr>
          <w:b/>
          <w:bCs/>
          <w:color w:val="000000"/>
          <w:sz w:val="22"/>
          <w:szCs w:val="22"/>
        </w:rPr>
        <w:t>once</w:t>
      </w:r>
      <w:r w:rsidRPr="00654EF1">
        <w:rPr>
          <w:color w:val="000000"/>
          <w:sz w:val="22"/>
          <w:szCs w:val="22"/>
        </w:rPr>
        <w:t xml:space="preserve"> a day</w:t>
      </w:r>
      <w:r w:rsidR="00A0171A" w:rsidRPr="00654EF1">
        <w:rPr>
          <w:color w:val="000000"/>
          <w:sz w:val="22"/>
          <w:szCs w:val="22"/>
        </w:rPr>
        <w:t>.</w:t>
      </w:r>
    </w:p>
    <w:p w14:paraId="1B680EA5" w14:textId="77777777" w:rsidR="009D38D9" w:rsidRPr="00654EF1" w:rsidRDefault="00B624B7" w:rsidP="001D5C8C">
      <w:pPr>
        <w:pStyle w:val="Text"/>
        <w:widowControl w:val="0"/>
        <w:spacing w:before="0"/>
        <w:ind w:left="1134" w:hanging="567"/>
        <w:jc w:val="left"/>
        <w:rPr>
          <w:color w:val="000000"/>
          <w:sz w:val="22"/>
          <w:szCs w:val="22"/>
          <w:lang w:val="en-GB"/>
        </w:rPr>
      </w:pPr>
      <w:r w:rsidRPr="00654EF1">
        <w:rPr>
          <w:color w:val="000000"/>
          <w:sz w:val="22"/>
          <w:szCs w:val="22"/>
        </w:rPr>
        <w:t>-</w:t>
      </w:r>
      <w:r w:rsidRPr="00654EF1">
        <w:rPr>
          <w:color w:val="000000"/>
          <w:sz w:val="22"/>
          <w:szCs w:val="22"/>
        </w:rPr>
        <w:tab/>
      </w:r>
      <w:r w:rsidRPr="00654EF1">
        <w:rPr>
          <w:b/>
          <w:bCs/>
          <w:color w:val="000000"/>
          <w:sz w:val="22"/>
          <w:szCs w:val="22"/>
        </w:rPr>
        <w:t>600 mg</w:t>
      </w:r>
      <w:r w:rsidRPr="00654EF1">
        <w:rPr>
          <w:color w:val="000000"/>
          <w:sz w:val="22"/>
          <w:szCs w:val="22"/>
        </w:rPr>
        <w:t xml:space="preserve"> to be taken as 6 capsules </w:t>
      </w:r>
      <w:r w:rsidRPr="00654EF1">
        <w:rPr>
          <w:b/>
          <w:bCs/>
          <w:color w:val="000000"/>
          <w:sz w:val="22"/>
          <w:szCs w:val="22"/>
          <w:lang w:val="en-GB"/>
        </w:rPr>
        <w:t>once</w:t>
      </w:r>
      <w:r w:rsidRPr="00654EF1">
        <w:rPr>
          <w:color w:val="000000"/>
          <w:sz w:val="22"/>
          <w:szCs w:val="22"/>
          <w:lang w:val="en-GB"/>
        </w:rPr>
        <w:t xml:space="preserve"> a day</w:t>
      </w:r>
      <w:r w:rsidR="00BB30F2" w:rsidRPr="00654EF1">
        <w:rPr>
          <w:color w:val="000000"/>
          <w:sz w:val="22"/>
          <w:szCs w:val="22"/>
          <w:lang w:val="en-GB"/>
        </w:rPr>
        <w:t>.</w:t>
      </w:r>
    </w:p>
    <w:p w14:paraId="1B680EA6" w14:textId="77777777" w:rsidR="00B624B7" w:rsidRPr="00654EF1" w:rsidRDefault="00B624B7" w:rsidP="001D5C8C">
      <w:pPr>
        <w:pStyle w:val="Text"/>
        <w:widowControl w:val="0"/>
        <w:spacing w:before="0"/>
        <w:jc w:val="left"/>
        <w:rPr>
          <w:color w:val="000000"/>
          <w:sz w:val="22"/>
          <w:szCs w:val="22"/>
          <w:lang w:val="en-GB"/>
        </w:rPr>
      </w:pPr>
    </w:p>
    <w:p w14:paraId="1B680EA7" w14:textId="77777777" w:rsidR="00F32000" w:rsidRPr="00654EF1" w:rsidRDefault="00117190" w:rsidP="001D5C8C">
      <w:pPr>
        <w:pStyle w:val="Text"/>
        <w:keepNext/>
        <w:widowControl w:val="0"/>
        <w:numPr>
          <w:ilvl w:val="0"/>
          <w:numId w:val="29"/>
        </w:numPr>
        <w:tabs>
          <w:tab w:val="clear" w:pos="720"/>
          <w:tab w:val="num" w:pos="567"/>
        </w:tabs>
        <w:spacing w:before="0"/>
        <w:ind w:left="567" w:hanging="567"/>
        <w:jc w:val="left"/>
        <w:rPr>
          <w:color w:val="000000"/>
          <w:sz w:val="22"/>
          <w:szCs w:val="22"/>
          <w:lang w:val="en-GB"/>
        </w:rPr>
      </w:pPr>
      <w:r w:rsidRPr="00654EF1">
        <w:rPr>
          <w:b/>
          <w:bCs/>
          <w:color w:val="000000"/>
          <w:sz w:val="22"/>
          <w:szCs w:val="22"/>
          <w:lang w:val="en-GB"/>
        </w:rPr>
        <w:t>If you are being treated for GIST</w:t>
      </w:r>
      <w:r w:rsidR="00F32000" w:rsidRPr="00654EF1">
        <w:rPr>
          <w:b/>
          <w:bCs/>
          <w:color w:val="000000"/>
          <w:sz w:val="22"/>
          <w:szCs w:val="22"/>
          <w:lang w:val="en-GB"/>
        </w:rPr>
        <w:t>:</w:t>
      </w:r>
    </w:p>
    <w:p w14:paraId="1B680EA8" w14:textId="77777777" w:rsidR="00B624B7" w:rsidRPr="00654EF1" w:rsidRDefault="00F32000" w:rsidP="001D5C8C">
      <w:pPr>
        <w:pStyle w:val="Text"/>
        <w:widowControl w:val="0"/>
        <w:spacing w:before="0"/>
        <w:ind w:left="567"/>
        <w:jc w:val="left"/>
        <w:rPr>
          <w:color w:val="000000"/>
          <w:sz w:val="22"/>
          <w:szCs w:val="22"/>
          <w:lang w:val="en-GB"/>
        </w:rPr>
      </w:pPr>
      <w:r w:rsidRPr="00654EF1">
        <w:rPr>
          <w:color w:val="000000"/>
          <w:sz w:val="22"/>
          <w:szCs w:val="22"/>
          <w:lang w:val="en-GB"/>
        </w:rPr>
        <w:t>T</w:t>
      </w:r>
      <w:r w:rsidR="00117190" w:rsidRPr="00654EF1">
        <w:rPr>
          <w:color w:val="000000"/>
          <w:sz w:val="22"/>
          <w:szCs w:val="22"/>
          <w:lang w:val="en-GB"/>
        </w:rPr>
        <w:t xml:space="preserve">he starting dose is </w:t>
      </w:r>
      <w:r w:rsidR="00117190" w:rsidRPr="00654EF1">
        <w:rPr>
          <w:color w:val="000000"/>
          <w:sz w:val="22"/>
          <w:szCs w:val="22"/>
        </w:rPr>
        <w:t xml:space="preserve">400 mg, to be taken as 4 capsules </w:t>
      </w:r>
      <w:r w:rsidR="00117190" w:rsidRPr="00654EF1">
        <w:rPr>
          <w:b/>
          <w:bCs/>
          <w:color w:val="000000"/>
          <w:sz w:val="22"/>
          <w:szCs w:val="22"/>
          <w:lang w:val="en-GB"/>
        </w:rPr>
        <w:t>once</w:t>
      </w:r>
      <w:r w:rsidR="00117190" w:rsidRPr="00654EF1">
        <w:rPr>
          <w:color w:val="000000"/>
          <w:sz w:val="22"/>
          <w:szCs w:val="22"/>
          <w:lang w:val="en-GB"/>
        </w:rPr>
        <w:t xml:space="preserve"> a day.</w:t>
      </w:r>
    </w:p>
    <w:p w14:paraId="1B680EA9" w14:textId="77777777" w:rsidR="00B624B7" w:rsidRPr="00654EF1" w:rsidRDefault="00B624B7" w:rsidP="001D5C8C">
      <w:pPr>
        <w:pStyle w:val="Text"/>
        <w:widowControl w:val="0"/>
        <w:spacing w:before="0"/>
        <w:jc w:val="left"/>
        <w:rPr>
          <w:color w:val="000000"/>
          <w:sz w:val="22"/>
          <w:szCs w:val="22"/>
          <w:lang w:val="en-GB"/>
        </w:rPr>
      </w:pPr>
    </w:p>
    <w:p w14:paraId="1B680EAA" w14:textId="77777777" w:rsidR="00117190" w:rsidRPr="00654EF1" w:rsidRDefault="00F32000" w:rsidP="001D5C8C">
      <w:pPr>
        <w:pStyle w:val="Text"/>
        <w:widowControl w:val="0"/>
        <w:spacing w:before="0"/>
        <w:jc w:val="left"/>
        <w:rPr>
          <w:color w:val="000000"/>
          <w:sz w:val="22"/>
          <w:szCs w:val="22"/>
        </w:rPr>
      </w:pPr>
      <w:r w:rsidRPr="00654EF1">
        <w:rPr>
          <w:color w:val="000000"/>
          <w:sz w:val="22"/>
          <w:szCs w:val="22"/>
          <w:lang w:val="en-GB"/>
        </w:rPr>
        <w:t>For CML and GIST</w:t>
      </w:r>
      <w:r w:rsidR="00117190" w:rsidRPr="00654EF1">
        <w:rPr>
          <w:color w:val="000000"/>
          <w:sz w:val="22"/>
          <w:szCs w:val="22"/>
          <w:lang w:val="en-GB"/>
        </w:rPr>
        <w:t>, your doctor may prescribe a higher or lower dose</w:t>
      </w:r>
      <w:r w:rsidRPr="00654EF1">
        <w:rPr>
          <w:color w:val="000000"/>
          <w:sz w:val="22"/>
          <w:szCs w:val="22"/>
          <w:lang w:val="en-GB"/>
        </w:rPr>
        <w:t xml:space="preserve"> depending on how you respond to treatment</w:t>
      </w:r>
      <w:r w:rsidR="00117190" w:rsidRPr="00654EF1">
        <w:rPr>
          <w:color w:val="000000"/>
          <w:sz w:val="22"/>
          <w:szCs w:val="22"/>
          <w:lang w:val="en-GB"/>
        </w:rPr>
        <w:t>.</w:t>
      </w:r>
      <w:r w:rsidR="00117190" w:rsidRPr="00654EF1">
        <w:rPr>
          <w:color w:val="000000"/>
          <w:sz w:val="22"/>
          <w:szCs w:val="22"/>
        </w:rPr>
        <w:t xml:space="preserve"> If your daily dose is 800 mg</w:t>
      </w:r>
      <w:r w:rsidRPr="00654EF1">
        <w:rPr>
          <w:color w:val="000000"/>
          <w:sz w:val="22"/>
          <w:szCs w:val="22"/>
        </w:rPr>
        <w:t xml:space="preserve"> (8 capsules)</w:t>
      </w:r>
      <w:r w:rsidR="00117190" w:rsidRPr="00654EF1">
        <w:rPr>
          <w:color w:val="000000"/>
          <w:sz w:val="22"/>
          <w:szCs w:val="22"/>
        </w:rPr>
        <w:t>, you should take 4 capsules in the morning and 4 capsules in the evening.</w:t>
      </w:r>
    </w:p>
    <w:p w14:paraId="1B680EAB" w14:textId="77777777" w:rsidR="00117190" w:rsidRPr="00654EF1" w:rsidRDefault="00117190" w:rsidP="001D5C8C">
      <w:pPr>
        <w:pStyle w:val="Listlevel1"/>
        <w:widowControl w:val="0"/>
        <w:spacing w:before="0" w:after="0"/>
        <w:ind w:left="0" w:firstLine="0"/>
        <w:rPr>
          <w:color w:val="000000"/>
          <w:sz w:val="22"/>
          <w:szCs w:val="22"/>
          <w:lang w:val="en-GB"/>
        </w:rPr>
      </w:pPr>
    </w:p>
    <w:p w14:paraId="1B680EAC" w14:textId="77777777" w:rsidR="009B01F0" w:rsidRPr="00654EF1" w:rsidRDefault="00117190" w:rsidP="001D5C8C">
      <w:pPr>
        <w:pStyle w:val="Listlevel1"/>
        <w:keepNext/>
        <w:widowControl w:val="0"/>
        <w:numPr>
          <w:ilvl w:val="0"/>
          <w:numId w:val="29"/>
        </w:numPr>
        <w:tabs>
          <w:tab w:val="clear" w:pos="720"/>
          <w:tab w:val="num" w:pos="567"/>
        </w:tabs>
        <w:spacing w:before="0" w:after="0"/>
        <w:ind w:left="567" w:hanging="567"/>
        <w:rPr>
          <w:color w:val="000000"/>
          <w:sz w:val="22"/>
          <w:szCs w:val="22"/>
          <w:lang w:val="en-GB"/>
        </w:rPr>
      </w:pPr>
      <w:r w:rsidRPr="00654EF1">
        <w:rPr>
          <w:b/>
          <w:bCs/>
          <w:color w:val="000000"/>
          <w:sz w:val="22"/>
          <w:szCs w:val="22"/>
          <w:lang w:val="en-GB"/>
        </w:rPr>
        <w:t xml:space="preserve">If you are being treated for Ph-positive </w:t>
      </w:r>
      <w:smartTag w:uri="urn:schemas-microsoft-com:office:smarttags" w:element="stockticker">
        <w:r w:rsidRPr="00654EF1">
          <w:rPr>
            <w:b/>
            <w:bCs/>
            <w:color w:val="000000"/>
            <w:sz w:val="22"/>
            <w:szCs w:val="22"/>
            <w:lang w:val="en-GB"/>
          </w:rPr>
          <w:t>ALL</w:t>
        </w:r>
      </w:smartTag>
      <w:r w:rsidR="009B01F0" w:rsidRPr="00654EF1">
        <w:rPr>
          <w:b/>
          <w:bCs/>
          <w:color w:val="000000"/>
          <w:sz w:val="22"/>
          <w:szCs w:val="22"/>
          <w:lang w:val="en-GB"/>
        </w:rPr>
        <w:t>:</w:t>
      </w:r>
    </w:p>
    <w:p w14:paraId="1B680EAD" w14:textId="77777777" w:rsidR="00117190" w:rsidRPr="00654EF1" w:rsidRDefault="009B01F0" w:rsidP="001D5C8C">
      <w:pPr>
        <w:pStyle w:val="Listlevel1"/>
        <w:widowControl w:val="0"/>
        <w:spacing w:before="0" w:after="0"/>
        <w:ind w:left="567" w:firstLine="0"/>
        <w:rPr>
          <w:color w:val="000000"/>
          <w:sz w:val="22"/>
          <w:szCs w:val="22"/>
          <w:lang w:val="en-GB"/>
        </w:rPr>
      </w:pPr>
      <w:r w:rsidRPr="00654EF1">
        <w:rPr>
          <w:color w:val="000000"/>
          <w:sz w:val="22"/>
          <w:szCs w:val="22"/>
          <w:lang w:val="en-GB"/>
        </w:rPr>
        <w:t>T</w:t>
      </w:r>
      <w:r w:rsidR="00117190" w:rsidRPr="00654EF1">
        <w:rPr>
          <w:color w:val="000000"/>
          <w:sz w:val="22"/>
          <w:szCs w:val="22"/>
          <w:lang w:val="en-GB"/>
        </w:rPr>
        <w:t xml:space="preserve">he starting dose is 600 mg to be taken as 6 capsules </w:t>
      </w:r>
      <w:r w:rsidR="00117190" w:rsidRPr="00654EF1">
        <w:rPr>
          <w:b/>
          <w:bCs/>
          <w:color w:val="000000"/>
          <w:sz w:val="22"/>
          <w:szCs w:val="22"/>
          <w:lang w:val="en-GB"/>
        </w:rPr>
        <w:t>once</w:t>
      </w:r>
      <w:r w:rsidR="00117190" w:rsidRPr="00654EF1">
        <w:rPr>
          <w:color w:val="000000"/>
          <w:sz w:val="22"/>
          <w:szCs w:val="22"/>
          <w:lang w:val="en-GB"/>
        </w:rPr>
        <w:t xml:space="preserve"> a day</w:t>
      </w:r>
      <w:r w:rsidR="004F6EC8" w:rsidRPr="00654EF1">
        <w:rPr>
          <w:color w:val="000000"/>
          <w:sz w:val="22"/>
          <w:szCs w:val="22"/>
          <w:lang w:val="en-GB"/>
        </w:rPr>
        <w:t>.</w:t>
      </w:r>
    </w:p>
    <w:p w14:paraId="1B680EAE" w14:textId="77777777" w:rsidR="009D0033" w:rsidRPr="00654EF1" w:rsidRDefault="009D0033" w:rsidP="001D5C8C">
      <w:pPr>
        <w:pStyle w:val="Listlevel1"/>
        <w:widowControl w:val="0"/>
        <w:tabs>
          <w:tab w:val="left" w:pos="720"/>
        </w:tabs>
        <w:spacing w:before="0" w:after="0"/>
        <w:ind w:left="0" w:firstLine="0"/>
        <w:rPr>
          <w:color w:val="000000"/>
          <w:sz w:val="22"/>
          <w:szCs w:val="22"/>
          <w:lang w:val="en-GB"/>
        </w:rPr>
      </w:pPr>
    </w:p>
    <w:p w14:paraId="1B680EAF" w14:textId="77777777" w:rsidR="00425AAE" w:rsidRPr="00654EF1" w:rsidRDefault="009D0033" w:rsidP="001D5C8C">
      <w:pPr>
        <w:pStyle w:val="Listlevel1"/>
        <w:keepNext/>
        <w:widowControl w:val="0"/>
        <w:numPr>
          <w:ilvl w:val="0"/>
          <w:numId w:val="29"/>
        </w:numPr>
        <w:tabs>
          <w:tab w:val="clear" w:pos="720"/>
          <w:tab w:val="num" w:pos="567"/>
        </w:tabs>
        <w:spacing w:before="0" w:after="0"/>
        <w:ind w:left="567" w:hanging="567"/>
        <w:rPr>
          <w:color w:val="000000"/>
          <w:sz w:val="22"/>
          <w:szCs w:val="22"/>
          <w:lang w:val="en-GB"/>
        </w:rPr>
      </w:pPr>
      <w:r w:rsidRPr="00654EF1">
        <w:rPr>
          <w:b/>
          <w:bCs/>
          <w:color w:val="000000"/>
          <w:sz w:val="22"/>
          <w:szCs w:val="22"/>
          <w:lang w:val="en-GB"/>
        </w:rPr>
        <w:t xml:space="preserve">If you are being treated for </w:t>
      </w:r>
      <w:smartTag w:uri="urn:schemas-microsoft-com:office:smarttags" w:element="stockticker">
        <w:r w:rsidRPr="00654EF1">
          <w:rPr>
            <w:b/>
            <w:bCs/>
            <w:color w:val="000000"/>
            <w:sz w:val="22"/>
            <w:szCs w:val="22"/>
            <w:lang w:val="en-GB"/>
          </w:rPr>
          <w:t>MDS</w:t>
        </w:r>
      </w:smartTag>
      <w:r w:rsidRPr="00654EF1">
        <w:rPr>
          <w:b/>
          <w:bCs/>
          <w:color w:val="000000"/>
          <w:sz w:val="22"/>
          <w:szCs w:val="22"/>
          <w:lang w:val="en-GB"/>
        </w:rPr>
        <w:t>/MPD</w:t>
      </w:r>
      <w:r w:rsidR="00425AAE" w:rsidRPr="00654EF1">
        <w:rPr>
          <w:b/>
          <w:bCs/>
          <w:color w:val="000000"/>
          <w:sz w:val="22"/>
          <w:szCs w:val="22"/>
          <w:lang w:val="en-GB"/>
        </w:rPr>
        <w:t>:</w:t>
      </w:r>
    </w:p>
    <w:p w14:paraId="1B680EB0" w14:textId="77777777" w:rsidR="009D0033" w:rsidRPr="00654EF1" w:rsidRDefault="00425AAE" w:rsidP="001D5C8C">
      <w:pPr>
        <w:pStyle w:val="Listlevel1"/>
        <w:widowControl w:val="0"/>
        <w:tabs>
          <w:tab w:val="left" w:pos="720"/>
        </w:tabs>
        <w:spacing w:before="0" w:after="0"/>
        <w:ind w:left="567" w:firstLine="0"/>
        <w:rPr>
          <w:color w:val="000000"/>
          <w:sz w:val="22"/>
          <w:szCs w:val="22"/>
          <w:lang w:val="en-GB"/>
        </w:rPr>
      </w:pPr>
      <w:r w:rsidRPr="00654EF1">
        <w:rPr>
          <w:color w:val="000000"/>
          <w:sz w:val="22"/>
          <w:szCs w:val="22"/>
          <w:lang w:val="en-GB"/>
        </w:rPr>
        <w:t>T</w:t>
      </w:r>
      <w:r w:rsidR="009D0033" w:rsidRPr="00654EF1">
        <w:rPr>
          <w:color w:val="000000"/>
          <w:sz w:val="22"/>
          <w:szCs w:val="22"/>
          <w:lang w:val="en-GB"/>
        </w:rPr>
        <w:t xml:space="preserve">he starting dose is 400 mg, to be taken as 4 capsules </w:t>
      </w:r>
      <w:r w:rsidR="009D0033" w:rsidRPr="00654EF1">
        <w:rPr>
          <w:b/>
          <w:bCs/>
          <w:color w:val="000000"/>
          <w:sz w:val="22"/>
          <w:szCs w:val="22"/>
          <w:lang w:val="en-GB"/>
        </w:rPr>
        <w:t>onc</w:t>
      </w:r>
      <w:r w:rsidR="009D0033" w:rsidRPr="00654EF1">
        <w:rPr>
          <w:color w:val="000000"/>
          <w:sz w:val="22"/>
          <w:szCs w:val="22"/>
          <w:lang w:val="en-GB"/>
        </w:rPr>
        <w:t>e a day.</w:t>
      </w:r>
    </w:p>
    <w:p w14:paraId="1B680EB1" w14:textId="77777777" w:rsidR="009D0033" w:rsidRPr="00654EF1" w:rsidRDefault="009D0033" w:rsidP="001D5C8C">
      <w:pPr>
        <w:pStyle w:val="Text"/>
        <w:widowControl w:val="0"/>
        <w:spacing w:before="0"/>
        <w:jc w:val="left"/>
        <w:rPr>
          <w:color w:val="000000"/>
          <w:sz w:val="22"/>
          <w:szCs w:val="22"/>
        </w:rPr>
      </w:pPr>
    </w:p>
    <w:p w14:paraId="1B680EB2" w14:textId="77777777" w:rsidR="008F38FC" w:rsidRPr="00654EF1" w:rsidRDefault="009D0033" w:rsidP="001D5C8C">
      <w:pPr>
        <w:pStyle w:val="Listlevel2"/>
        <w:keepNext/>
        <w:widowControl w:val="0"/>
        <w:numPr>
          <w:ilvl w:val="0"/>
          <w:numId w:val="29"/>
        </w:numPr>
        <w:tabs>
          <w:tab w:val="clear" w:pos="720"/>
          <w:tab w:val="num" w:pos="567"/>
        </w:tabs>
        <w:spacing w:before="0" w:after="0"/>
        <w:ind w:left="567" w:hanging="567"/>
        <w:rPr>
          <w:color w:val="000000"/>
          <w:sz w:val="22"/>
          <w:szCs w:val="22"/>
        </w:rPr>
      </w:pPr>
      <w:r w:rsidRPr="00654EF1">
        <w:rPr>
          <w:b/>
          <w:color w:val="000000"/>
          <w:sz w:val="22"/>
          <w:szCs w:val="22"/>
        </w:rPr>
        <w:t>If you are being treated for HES/</w:t>
      </w:r>
      <w:smartTag w:uri="urn:schemas-microsoft-com:office:smarttags" w:element="stockticker">
        <w:r w:rsidRPr="00654EF1">
          <w:rPr>
            <w:b/>
            <w:color w:val="000000"/>
            <w:sz w:val="22"/>
            <w:szCs w:val="22"/>
          </w:rPr>
          <w:t>CEL</w:t>
        </w:r>
      </w:smartTag>
      <w:r w:rsidR="003937AD" w:rsidRPr="00654EF1">
        <w:rPr>
          <w:b/>
          <w:color w:val="000000"/>
          <w:sz w:val="22"/>
          <w:szCs w:val="22"/>
        </w:rPr>
        <w:t>:</w:t>
      </w:r>
    </w:p>
    <w:p w14:paraId="1B680EB3" w14:textId="77777777" w:rsidR="009D0033" w:rsidRPr="00654EF1" w:rsidRDefault="008F38FC" w:rsidP="001D5C8C">
      <w:pPr>
        <w:pStyle w:val="Listlevel2"/>
        <w:widowControl w:val="0"/>
        <w:spacing w:before="0" w:after="0"/>
        <w:ind w:left="567" w:firstLine="0"/>
        <w:rPr>
          <w:color w:val="000000"/>
          <w:sz w:val="22"/>
          <w:szCs w:val="22"/>
        </w:rPr>
      </w:pPr>
      <w:r w:rsidRPr="00654EF1">
        <w:rPr>
          <w:color w:val="000000"/>
          <w:sz w:val="22"/>
          <w:szCs w:val="22"/>
        </w:rPr>
        <w:t>T</w:t>
      </w:r>
      <w:r w:rsidR="009D0033" w:rsidRPr="00654EF1">
        <w:rPr>
          <w:color w:val="000000"/>
          <w:sz w:val="22"/>
          <w:szCs w:val="22"/>
        </w:rPr>
        <w:t xml:space="preserve">he starting dose is 100 mg, to be taken as one capsule </w:t>
      </w:r>
      <w:r w:rsidR="009D0033" w:rsidRPr="00654EF1">
        <w:rPr>
          <w:b/>
          <w:bCs/>
          <w:color w:val="000000"/>
          <w:sz w:val="22"/>
          <w:szCs w:val="22"/>
        </w:rPr>
        <w:t>once</w:t>
      </w:r>
      <w:r w:rsidR="009D0033" w:rsidRPr="00654EF1">
        <w:rPr>
          <w:color w:val="000000"/>
          <w:sz w:val="22"/>
          <w:szCs w:val="22"/>
        </w:rPr>
        <w:t xml:space="preserve"> a day. Your doctor may decide to increase the dose to 400 mg, to be taken as 4 capsules </w:t>
      </w:r>
      <w:r w:rsidR="009D0033" w:rsidRPr="00654EF1">
        <w:rPr>
          <w:b/>
          <w:bCs/>
          <w:color w:val="000000"/>
          <w:sz w:val="22"/>
          <w:szCs w:val="22"/>
        </w:rPr>
        <w:t>once</w:t>
      </w:r>
      <w:r w:rsidR="009D0033" w:rsidRPr="00654EF1">
        <w:rPr>
          <w:color w:val="000000"/>
          <w:sz w:val="22"/>
          <w:szCs w:val="22"/>
        </w:rPr>
        <w:t xml:space="preserve"> a day, depending on how you </w:t>
      </w:r>
      <w:r w:rsidR="009D0033" w:rsidRPr="00654EF1">
        <w:rPr>
          <w:color w:val="000000"/>
          <w:sz w:val="22"/>
          <w:szCs w:val="22"/>
        </w:rPr>
        <w:lastRenderedPageBreak/>
        <w:t>respond to treatment.</w:t>
      </w:r>
    </w:p>
    <w:p w14:paraId="1B680EB4" w14:textId="77777777" w:rsidR="00117190" w:rsidRPr="00654EF1" w:rsidRDefault="00117190" w:rsidP="001D5C8C">
      <w:pPr>
        <w:pStyle w:val="Listlevel1"/>
        <w:widowControl w:val="0"/>
        <w:tabs>
          <w:tab w:val="left" w:pos="720"/>
        </w:tabs>
        <w:spacing w:before="0" w:after="0"/>
        <w:ind w:left="0" w:firstLine="0"/>
        <w:rPr>
          <w:color w:val="000000"/>
          <w:sz w:val="22"/>
          <w:szCs w:val="22"/>
        </w:rPr>
      </w:pPr>
    </w:p>
    <w:p w14:paraId="1B680EB5" w14:textId="77777777" w:rsidR="003937AD" w:rsidRPr="00654EF1" w:rsidRDefault="00117190" w:rsidP="001D5C8C">
      <w:pPr>
        <w:pStyle w:val="Listlevel2"/>
        <w:keepNext/>
        <w:widowControl w:val="0"/>
        <w:numPr>
          <w:ilvl w:val="0"/>
          <w:numId w:val="29"/>
        </w:numPr>
        <w:tabs>
          <w:tab w:val="clear" w:pos="720"/>
        </w:tabs>
        <w:spacing w:before="0" w:after="0"/>
        <w:ind w:left="567" w:hanging="567"/>
        <w:rPr>
          <w:color w:val="000000"/>
          <w:sz w:val="22"/>
          <w:szCs w:val="22"/>
          <w:lang w:val="en-GB"/>
        </w:rPr>
      </w:pPr>
      <w:r w:rsidRPr="00654EF1">
        <w:rPr>
          <w:b/>
          <w:bCs/>
          <w:color w:val="000000"/>
          <w:sz w:val="22"/>
          <w:szCs w:val="22"/>
          <w:lang w:val="en-GB"/>
        </w:rPr>
        <w:t>If you are being treated for DFSP</w:t>
      </w:r>
      <w:r w:rsidR="003937AD" w:rsidRPr="00654EF1">
        <w:rPr>
          <w:b/>
          <w:bCs/>
          <w:color w:val="000000"/>
          <w:sz w:val="22"/>
          <w:szCs w:val="22"/>
          <w:lang w:val="en-GB"/>
        </w:rPr>
        <w:t>:</w:t>
      </w:r>
    </w:p>
    <w:p w14:paraId="1B680EB6" w14:textId="77777777" w:rsidR="00117190" w:rsidRPr="00654EF1" w:rsidRDefault="003937AD" w:rsidP="001D5C8C">
      <w:pPr>
        <w:pStyle w:val="Listlevel2"/>
        <w:widowControl w:val="0"/>
        <w:spacing w:before="0" w:after="0"/>
        <w:ind w:left="567" w:firstLine="0"/>
        <w:rPr>
          <w:color w:val="000000"/>
          <w:sz w:val="22"/>
          <w:szCs w:val="22"/>
          <w:lang w:val="en-GB"/>
        </w:rPr>
      </w:pPr>
      <w:r w:rsidRPr="00654EF1">
        <w:rPr>
          <w:color w:val="000000"/>
          <w:sz w:val="22"/>
          <w:szCs w:val="22"/>
          <w:lang w:val="en-GB"/>
        </w:rPr>
        <w:t>T</w:t>
      </w:r>
      <w:r w:rsidR="00117190" w:rsidRPr="00654EF1">
        <w:rPr>
          <w:color w:val="000000"/>
          <w:sz w:val="22"/>
          <w:szCs w:val="22"/>
          <w:lang w:val="en-GB"/>
        </w:rPr>
        <w:t>he dose is 800 mg per day</w:t>
      </w:r>
      <w:r w:rsidRPr="00654EF1">
        <w:rPr>
          <w:color w:val="000000"/>
          <w:sz w:val="22"/>
          <w:szCs w:val="22"/>
          <w:lang w:val="en-GB"/>
        </w:rPr>
        <w:t xml:space="preserve"> (8 capsules)</w:t>
      </w:r>
      <w:r w:rsidR="00117190" w:rsidRPr="00654EF1">
        <w:rPr>
          <w:color w:val="000000"/>
          <w:sz w:val="22"/>
          <w:szCs w:val="22"/>
          <w:lang w:val="en-GB"/>
        </w:rPr>
        <w:t>, to be taken as 4 capsules in the morning and 4 capsules in the evening.</w:t>
      </w:r>
    </w:p>
    <w:p w14:paraId="1B680EB7" w14:textId="77777777" w:rsidR="00BB30F2" w:rsidRPr="00654EF1" w:rsidRDefault="00BB30F2" w:rsidP="001D5C8C">
      <w:pPr>
        <w:pStyle w:val="Text"/>
        <w:widowControl w:val="0"/>
        <w:spacing w:before="0"/>
        <w:jc w:val="left"/>
        <w:rPr>
          <w:color w:val="000000"/>
          <w:sz w:val="22"/>
          <w:szCs w:val="22"/>
          <w:lang w:val="en-GB"/>
        </w:rPr>
      </w:pPr>
    </w:p>
    <w:p w14:paraId="1B680EB8" w14:textId="77777777" w:rsidR="00BB30F2" w:rsidRPr="00654EF1" w:rsidRDefault="00E40CF9" w:rsidP="001D5C8C">
      <w:pPr>
        <w:pStyle w:val="Text"/>
        <w:keepNext/>
        <w:widowControl w:val="0"/>
        <w:spacing w:before="0"/>
        <w:jc w:val="left"/>
        <w:rPr>
          <w:color w:val="000000"/>
          <w:sz w:val="22"/>
          <w:szCs w:val="22"/>
          <w:lang w:val="en-GB"/>
        </w:rPr>
      </w:pPr>
      <w:r w:rsidRPr="00654EF1">
        <w:rPr>
          <w:b/>
          <w:bCs/>
          <w:color w:val="000000"/>
          <w:sz w:val="22"/>
          <w:szCs w:val="22"/>
          <w:lang w:val="en-GB"/>
        </w:rPr>
        <w:t>Use in c</w:t>
      </w:r>
      <w:r w:rsidR="00BB30F2" w:rsidRPr="00654EF1">
        <w:rPr>
          <w:b/>
          <w:bCs/>
          <w:color w:val="000000"/>
          <w:sz w:val="22"/>
          <w:szCs w:val="22"/>
          <w:lang w:val="en-GB"/>
        </w:rPr>
        <w:t>hildren</w:t>
      </w:r>
      <w:r w:rsidR="00F76DB2" w:rsidRPr="00654EF1">
        <w:rPr>
          <w:b/>
          <w:bCs/>
          <w:color w:val="000000"/>
          <w:sz w:val="22"/>
          <w:szCs w:val="22"/>
          <w:lang w:val="en-GB"/>
        </w:rPr>
        <w:t xml:space="preserve"> and adolescents</w:t>
      </w:r>
    </w:p>
    <w:p w14:paraId="1B680EB9" w14:textId="77777777" w:rsidR="00117190" w:rsidRPr="00654EF1" w:rsidRDefault="00117190" w:rsidP="001D5C8C">
      <w:pPr>
        <w:pStyle w:val="Text"/>
        <w:widowControl w:val="0"/>
        <w:spacing w:before="0"/>
        <w:jc w:val="left"/>
        <w:rPr>
          <w:color w:val="000000"/>
          <w:sz w:val="22"/>
          <w:szCs w:val="22"/>
          <w:lang w:val="en-GB"/>
        </w:rPr>
      </w:pPr>
      <w:r w:rsidRPr="00654EF1">
        <w:rPr>
          <w:color w:val="000000"/>
          <w:sz w:val="22"/>
          <w:szCs w:val="22"/>
          <w:lang w:val="en-GB"/>
        </w:rPr>
        <w:t xml:space="preserve">The doctor will tell you how many capsules of Glivec </w:t>
      </w:r>
      <w:r w:rsidR="00432D3D" w:rsidRPr="00654EF1">
        <w:rPr>
          <w:color w:val="000000"/>
          <w:sz w:val="22"/>
          <w:szCs w:val="22"/>
          <w:lang w:val="en-GB"/>
        </w:rPr>
        <w:t>to give</w:t>
      </w:r>
      <w:r w:rsidRPr="00654EF1">
        <w:rPr>
          <w:color w:val="000000"/>
          <w:sz w:val="22"/>
          <w:szCs w:val="22"/>
          <w:lang w:val="en-GB"/>
        </w:rPr>
        <w:t xml:space="preserve"> to your child. The amount of Glivec given will depend on your child’s condition</w:t>
      </w:r>
      <w:r w:rsidR="00432D3D" w:rsidRPr="00654EF1">
        <w:rPr>
          <w:color w:val="000000"/>
          <w:sz w:val="22"/>
          <w:szCs w:val="22"/>
          <w:lang w:val="en-GB"/>
        </w:rPr>
        <w:t>,</w:t>
      </w:r>
      <w:r w:rsidRPr="00654EF1">
        <w:rPr>
          <w:color w:val="000000"/>
          <w:sz w:val="22"/>
          <w:szCs w:val="22"/>
          <w:lang w:val="en-GB"/>
        </w:rPr>
        <w:t xml:space="preserve"> body weight and height. The total daily dose in children must not exceed 800 mg</w:t>
      </w:r>
      <w:r w:rsidR="007151A0" w:rsidRPr="00654EF1">
        <w:rPr>
          <w:color w:val="000000"/>
          <w:sz w:val="22"/>
          <w:szCs w:val="22"/>
          <w:lang w:val="en-GB"/>
        </w:rPr>
        <w:t xml:space="preserve"> with CML and 600 mg with Ph+ALL</w:t>
      </w:r>
      <w:r w:rsidRPr="00654EF1">
        <w:rPr>
          <w:color w:val="000000"/>
          <w:sz w:val="22"/>
          <w:szCs w:val="22"/>
          <w:lang w:val="en-GB"/>
        </w:rPr>
        <w:t>. The treatment can either be given to your child as a once-daily dose or alternatively the daily dose can be split into two administrations (</w:t>
      </w:r>
      <w:r w:rsidR="00432D3D" w:rsidRPr="00654EF1">
        <w:rPr>
          <w:color w:val="000000"/>
          <w:sz w:val="22"/>
          <w:szCs w:val="22"/>
          <w:lang w:val="en-GB"/>
        </w:rPr>
        <w:t xml:space="preserve">half </w:t>
      </w:r>
      <w:r w:rsidRPr="00654EF1">
        <w:rPr>
          <w:color w:val="000000"/>
          <w:sz w:val="22"/>
          <w:szCs w:val="22"/>
          <w:lang w:val="en-GB"/>
        </w:rPr>
        <w:t xml:space="preserve">in the morning and </w:t>
      </w:r>
      <w:r w:rsidR="00432D3D" w:rsidRPr="00654EF1">
        <w:rPr>
          <w:color w:val="000000"/>
          <w:sz w:val="22"/>
          <w:szCs w:val="22"/>
          <w:lang w:val="en-GB"/>
        </w:rPr>
        <w:t xml:space="preserve">half </w:t>
      </w:r>
      <w:r w:rsidRPr="00654EF1">
        <w:rPr>
          <w:color w:val="000000"/>
          <w:sz w:val="22"/>
          <w:szCs w:val="22"/>
          <w:lang w:val="en-GB"/>
        </w:rPr>
        <w:t>in the evening).</w:t>
      </w:r>
    </w:p>
    <w:p w14:paraId="1B680EBA" w14:textId="77777777" w:rsidR="00BB30F2" w:rsidRPr="00654EF1" w:rsidRDefault="00BB30F2" w:rsidP="001D5C8C">
      <w:pPr>
        <w:widowControl w:val="0"/>
        <w:spacing w:line="240" w:lineRule="auto"/>
        <w:rPr>
          <w:color w:val="000000"/>
          <w:szCs w:val="22"/>
        </w:rPr>
      </w:pPr>
    </w:p>
    <w:p w14:paraId="1B680EBB" w14:textId="77777777" w:rsidR="00A0200E" w:rsidRPr="00654EF1" w:rsidRDefault="00A0200E" w:rsidP="001D5C8C">
      <w:pPr>
        <w:pStyle w:val="Text"/>
        <w:keepNext/>
        <w:widowControl w:val="0"/>
        <w:spacing w:before="0"/>
        <w:jc w:val="left"/>
        <w:rPr>
          <w:b/>
          <w:color w:val="000000"/>
          <w:sz w:val="22"/>
          <w:szCs w:val="22"/>
          <w:lang w:val="en-GB"/>
        </w:rPr>
      </w:pPr>
      <w:r w:rsidRPr="00654EF1">
        <w:rPr>
          <w:b/>
          <w:color w:val="000000"/>
          <w:sz w:val="22"/>
          <w:szCs w:val="22"/>
          <w:lang w:val="en-GB"/>
        </w:rPr>
        <w:t>When and how to take Glivec</w:t>
      </w:r>
    </w:p>
    <w:p w14:paraId="1B680EBC" w14:textId="77777777" w:rsidR="00A0200E" w:rsidRPr="00654EF1" w:rsidRDefault="00A0200E" w:rsidP="001D5C8C">
      <w:pPr>
        <w:pStyle w:val="Text"/>
        <w:widowControl w:val="0"/>
        <w:numPr>
          <w:ilvl w:val="0"/>
          <w:numId w:val="26"/>
        </w:numPr>
        <w:spacing w:before="0"/>
        <w:ind w:left="567" w:hanging="567"/>
        <w:jc w:val="left"/>
        <w:rPr>
          <w:bCs/>
          <w:color w:val="000000"/>
          <w:sz w:val="22"/>
          <w:szCs w:val="22"/>
          <w:lang w:val="en-GB"/>
        </w:rPr>
      </w:pPr>
      <w:r w:rsidRPr="00654EF1">
        <w:rPr>
          <w:b/>
          <w:color w:val="000000"/>
          <w:sz w:val="22"/>
          <w:szCs w:val="22"/>
          <w:lang w:val="en-GB"/>
        </w:rPr>
        <w:t>Take Glivec with a meal.</w:t>
      </w:r>
      <w:r w:rsidRPr="00654EF1">
        <w:rPr>
          <w:bCs/>
          <w:color w:val="000000"/>
          <w:sz w:val="22"/>
          <w:szCs w:val="22"/>
          <w:lang w:val="en-GB"/>
        </w:rPr>
        <w:t xml:space="preserve"> This will help protect you from stomach problems when taking Glivec.</w:t>
      </w:r>
    </w:p>
    <w:p w14:paraId="1B680EBD" w14:textId="77777777" w:rsidR="00A0200E" w:rsidRPr="00654EF1" w:rsidRDefault="00A0200E" w:rsidP="001D5C8C">
      <w:pPr>
        <w:pStyle w:val="Text"/>
        <w:widowControl w:val="0"/>
        <w:numPr>
          <w:ilvl w:val="0"/>
          <w:numId w:val="26"/>
        </w:numPr>
        <w:spacing w:before="0"/>
        <w:ind w:left="567" w:hanging="567"/>
        <w:jc w:val="left"/>
        <w:rPr>
          <w:color w:val="000000"/>
          <w:sz w:val="22"/>
          <w:szCs w:val="22"/>
          <w:lang w:val="en-GB"/>
        </w:rPr>
      </w:pPr>
      <w:r w:rsidRPr="00654EF1">
        <w:rPr>
          <w:b/>
          <w:color w:val="000000"/>
          <w:sz w:val="22"/>
          <w:szCs w:val="22"/>
          <w:lang w:val="en-GB"/>
        </w:rPr>
        <w:t>Swallow the capsules whole with a large glass of water.</w:t>
      </w:r>
      <w:r w:rsidRPr="00654EF1">
        <w:rPr>
          <w:bCs/>
          <w:color w:val="000000"/>
          <w:sz w:val="22"/>
          <w:szCs w:val="22"/>
          <w:lang w:val="en-GB"/>
        </w:rPr>
        <w:t xml:space="preserve"> </w:t>
      </w:r>
      <w:r w:rsidRPr="00654EF1">
        <w:rPr>
          <w:color w:val="000000"/>
          <w:sz w:val="22"/>
          <w:szCs w:val="22"/>
          <w:lang w:val="en-GB"/>
        </w:rPr>
        <w:t>Do not open or crush the capsules unless you have difficulty in swallowing (e.g. in children).</w:t>
      </w:r>
    </w:p>
    <w:p w14:paraId="1B680EBE" w14:textId="77777777" w:rsidR="00A0200E" w:rsidRPr="00654EF1" w:rsidRDefault="00A0200E" w:rsidP="001D5C8C">
      <w:pPr>
        <w:pStyle w:val="Text"/>
        <w:widowControl w:val="0"/>
        <w:numPr>
          <w:ilvl w:val="0"/>
          <w:numId w:val="26"/>
        </w:numPr>
        <w:spacing w:before="0"/>
        <w:ind w:left="567" w:hanging="567"/>
        <w:jc w:val="left"/>
        <w:rPr>
          <w:color w:val="000000"/>
          <w:sz w:val="22"/>
          <w:szCs w:val="22"/>
          <w:lang w:val="en-GB"/>
        </w:rPr>
      </w:pPr>
      <w:r w:rsidRPr="00654EF1">
        <w:rPr>
          <w:color w:val="000000"/>
          <w:sz w:val="22"/>
          <w:szCs w:val="22"/>
          <w:lang w:val="en-GB"/>
        </w:rPr>
        <w:t>If you are unable to swallow the capsules, you can open them up and pour the powder into a glass of still water or apple juice.</w:t>
      </w:r>
    </w:p>
    <w:p w14:paraId="1B680EBF" w14:textId="77777777" w:rsidR="00A0200E" w:rsidRPr="00654EF1" w:rsidRDefault="00A0200E" w:rsidP="001D5C8C">
      <w:pPr>
        <w:pStyle w:val="Text"/>
        <w:widowControl w:val="0"/>
        <w:numPr>
          <w:ilvl w:val="0"/>
          <w:numId w:val="26"/>
        </w:numPr>
        <w:spacing w:before="0"/>
        <w:ind w:left="567" w:hanging="567"/>
        <w:jc w:val="left"/>
        <w:rPr>
          <w:color w:val="000000"/>
          <w:sz w:val="22"/>
          <w:szCs w:val="22"/>
          <w:lang w:val="en-GB"/>
        </w:rPr>
      </w:pPr>
      <w:r w:rsidRPr="00654EF1">
        <w:rPr>
          <w:color w:val="000000"/>
          <w:sz w:val="22"/>
          <w:szCs w:val="22"/>
          <w:lang w:val="en-GB"/>
        </w:rPr>
        <w:t>If you are a woman who is pregnant or might get pregnant and are trying to open the capsules, you should handle the contents with caution in order to avoid skin-eye contact or inhalation. You should wash your hands immediately after opening the capsules.</w:t>
      </w:r>
    </w:p>
    <w:p w14:paraId="1B680EC0" w14:textId="77777777" w:rsidR="00BB30F2" w:rsidRPr="00654EF1" w:rsidRDefault="00BB30F2" w:rsidP="001D5C8C">
      <w:pPr>
        <w:pStyle w:val="Text"/>
        <w:widowControl w:val="0"/>
        <w:spacing w:before="0"/>
        <w:rPr>
          <w:color w:val="000000"/>
          <w:sz w:val="22"/>
          <w:szCs w:val="22"/>
          <w:lang w:val="en-GB"/>
        </w:rPr>
      </w:pPr>
    </w:p>
    <w:p w14:paraId="1B680EC1" w14:textId="77777777" w:rsidR="007A200C" w:rsidRPr="00654EF1" w:rsidRDefault="007A200C"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How long to take Glivec</w:t>
      </w:r>
    </w:p>
    <w:p w14:paraId="1B680EC2" w14:textId="77777777" w:rsidR="007A200C" w:rsidRPr="00654EF1" w:rsidRDefault="007A200C" w:rsidP="001D5C8C">
      <w:pPr>
        <w:pStyle w:val="Text"/>
        <w:widowControl w:val="0"/>
        <w:spacing w:before="0"/>
        <w:jc w:val="left"/>
        <w:rPr>
          <w:color w:val="000000"/>
          <w:sz w:val="22"/>
          <w:szCs w:val="22"/>
          <w:lang w:val="en-GB"/>
        </w:rPr>
      </w:pPr>
      <w:r w:rsidRPr="00654EF1">
        <w:rPr>
          <w:color w:val="000000"/>
          <w:sz w:val="22"/>
          <w:szCs w:val="22"/>
          <w:lang w:val="en-GB"/>
        </w:rPr>
        <w:t>Keep taking Glivec every day for as long as your doctor tells you.</w:t>
      </w:r>
    </w:p>
    <w:p w14:paraId="1B680EC3" w14:textId="77777777" w:rsidR="007A200C" w:rsidRPr="00654EF1" w:rsidRDefault="007A200C" w:rsidP="001D5C8C">
      <w:pPr>
        <w:pStyle w:val="Text"/>
        <w:widowControl w:val="0"/>
        <w:spacing w:before="0"/>
        <w:jc w:val="left"/>
        <w:rPr>
          <w:color w:val="000000"/>
          <w:sz w:val="22"/>
          <w:szCs w:val="22"/>
          <w:lang w:val="en-GB"/>
        </w:rPr>
      </w:pPr>
    </w:p>
    <w:p w14:paraId="1B680EC4" w14:textId="77777777" w:rsidR="007A200C" w:rsidRPr="00654EF1" w:rsidRDefault="007A200C"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If you take more Glivec than you should</w:t>
      </w:r>
    </w:p>
    <w:p w14:paraId="1B680EC5" w14:textId="77777777" w:rsidR="007A200C" w:rsidRPr="00654EF1" w:rsidRDefault="007A200C" w:rsidP="001D5C8C">
      <w:pPr>
        <w:pStyle w:val="Text"/>
        <w:widowControl w:val="0"/>
        <w:spacing w:before="0"/>
        <w:jc w:val="left"/>
        <w:rPr>
          <w:color w:val="000000"/>
          <w:sz w:val="22"/>
          <w:szCs w:val="22"/>
          <w:lang w:val="en-GB"/>
        </w:rPr>
      </w:pPr>
      <w:r w:rsidRPr="00654EF1">
        <w:rPr>
          <w:color w:val="000000"/>
          <w:sz w:val="22"/>
          <w:szCs w:val="22"/>
          <w:lang w:val="en-GB"/>
        </w:rPr>
        <w:t xml:space="preserve">If you have accidentally taken too many capsules, talk to your doctor </w:t>
      </w:r>
      <w:r w:rsidRPr="00654EF1">
        <w:rPr>
          <w:b/>
          <w:color w:val="000000"/>
          <w:sz w:val="22"/>
          <w:szCs w:val="22"/>
          <w:lang w:val="en-GB"/>
        </w:rPr>
        <w:t>straight away</w:t>
      </w:r>
      <w:r w:rsidRPr="00654EF1">
        <w:rPr>
          <w:color w:val="000000"/>
          <w:sz w:val="22"/>
          <w:szCs w:val="22"/>
          <w:lang w:val="en-GB"/>
        </w:rPr>
        <w:t>. You may require medical attention. Take the medicine pack with you.</w:t>
      </w:r>
    </w:p>
    <w:p w14:paraId="1B680EC6" w14:textId="77777777" w:rsidR="007A200C" w:rsidRPr="00654EF1" w:rsidRDefault="007A200C" w:rsidP="001D5C8C">
      <w:pPr>
        <w:widowControl w:val="0"/>
        <w:numPr>
          <w:ilvl w:val="12"/>
          <w:numId w:val="0"/>
        </w:numPr>
        <w:tabs>
          <w:tab w:val="clear" w:pos="567"/>
        </w:tabs>
        <w:spacing w:line="240" w:lineRule="auto"/>
        <w:ind w:right="-2"/>
        <w:rPr>
          <w:color w:val="000000"/>
          <w:szCs w:val="22"/>
        </w:rPr>
      </w:pPr>
    </w:p>
    <w:p w14:paraId="1B680EC7" w14:textId="77777777" w:rsidR="007A200C" w:rsidRPr="00654EF1" w:rsidRDefault="007A200C" w:rsidP="001D5C8C">
      <w:pPr>
        <w:pStyle w:val="Text"/>
        <w:keepNext/>
        <w:widowControl w:val="0"/>
        <w:spacing w:before="0"/>
        <w:jc w:val="left"/>
        <w:rPr>
          <w:b/>
          <w:color w:val="000000"/>
          <w:sz w:val="22"/>
          <w:szCs w:val="22"/>
          <w:lang w:val="en-GB"/>
        </w:rPr>
      </w:pPr>
      <w:r w:rsidRPr="00654EF1">
        <w:rPr>
          <w:b/>
          <w:color w:val="000000"/>
          <w:sz w:val="22"/>
          <w:szCs w:val="22"/>
          <w:lang w:val="en-GB"/>
        </w:rPr>
        <w:t>If you forget to take Glivec</w:t>
      </w:r>
    </w:p>
    <w:p w14:paraId="1B680EC8" w14:textId="77777777" w:rsidR="007A200C" w:rsidRPr="00654EF1" w:rsidRDefault="007A200C"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If you forget a dose, take it as soon as you remember. However if it is nearly time for the next dose, skip the missed dose.</w:t>
      </w:r>
    </w:p>
    <w:p w14:paraId="1B680EC9" w14:textId="77777777" w:rsidR="007A200C" w:rsidRPr="00654EF1" w:rsidRDefault="007A200C"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Then continue with your normal schedule.</w:t>
      </w:r>
    </w:p>
    <w:p w14:paraId="1B680ECA" w14:textId="77777777" w:rsidR="007A200C" w:rsidRPr="00654EF1" w:rsidRDefault="007A200C"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 xml:space="preserve">Do not take a double dose to make up </w:t>
      </w:r>
      <w:r w:rsidRPr="00654EF1">
        <w:rPr>
          <w:noProof/>
          <w:color w:val="000000"/>
        </w:rPr>
        <w:t>a forgotten dose</w:t>
      </w:r>
      <w:r w:rsidRPr="00654EF1">
        <w:rPr>
          <w:color w:val="000000"/>
          <w:szCs w:val="22"/>
        </w:rPr>
        <w:t>.</w:t>
      </w:r>
    </w:p>
    <w:p w14:paraId="1B680ECB" w14:textId="77777777" w:rsidR="00BC1920" w:rsidRPr="00654EF1" w:rsidRDefault="00BC1920" w:rsidP="001D5C8C">
      <w:pPr>
        <w:widowControl w:val="0"/>
        <w:numPr>
          <w:ilvl w:val="12"/>
          <w:numId w:val="0"/>
        </w:numPr>
        <w:tabs>
          <w:tab w:val="clear" w:pos="567"/>
        </w:tabs>
        <w:spacing w:line="240" w:lineRule="auto"/>
        <w:ind w:right="-2"/>
        <w:rPr>
          <w:color w:val="000000"/>
          <w:szCs w:val="22"/>
        </w:rPr>
      </w:pPr>
    </w:p>
    <w:p w14:paraId="1B680ECC"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r w:rsidRPr="00654EF1">
        <w:rPr>
          <w:color w:val="000000"/>
          <w:szCs w:val="22"/>
        </w:rPr>
        <w:t>If you have any further questions on the use of this medicine, ask your doctor, pharmacist or nurse.</w:t>
      </w:r>
    </w:p>
    <w:p w14:paraId="1B680ECD" w14:textId="77777777" w:rsidR="00BC1920" w:rsidRPr="00654EF1" w:rsidRDefault="00BC1920" w:rsidP="001D5C8C">
      <w:pPr>
        <w:widowControl w:val="0"/>
        <w:numPr>
          <w:ilvl w:val="12"/>
          <w:numId w:val="0"/>
        </w:numPr>
        <w:tabs>
          <w:tab w:val="clear" w:pos="567"/>
        </w:tabs>
        <w:spacing w:line="240" w:lineRule="auto"/>
        <w:ind w:left="567" w:right="-2" w:hanging="567"/>
        <w:rPr>
          <w:color w:val="000000"/>
          <w:szCs w:val="22"/>
        </w:rPr>
      </w:pPr>
    </w:p>
    <w:p w14:paraId="1B680ECE" w14:textId="77777777" w:rsidR="00BC1920" w:rsidRPr="00654EF1" w:rsidRDefault="00BC1920" w:rsidP="001D5C8C">
      <w:pPr>
        <w:widowControl w:val="0"/>
        <w:numPr>
          <w:ilvl w:val="12"/>
          <w:numId w:val="0"/>
        </w:numPr>
        <w:tabs>
          <w:tab w:val="clear" w:pos="567"/>
        </w:tabs>
        <w:spacing w:line="240" w:lineRule="auto"/>
        <w:ind w:left="567" w:right="-2" w:hanging="567"/>
        <w:rPr>
          <w:color w:val="000000"/>
          <w:szCs w:val="22"/>
        </w:rPr>
      </w:pPr>
    </w:p>
    <w:p w14:paraId="1B680ECF" w14:textId="77777777" w:rsidR="00F76DB2" w:rsidRPr="00654EF1" w:rsidRDefault="00F76DB2"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4.</w:t>
      </w:r>
      <w:r w:rsidRPr="00654EF1">
        <w:rPr>
          <w:b/>
          <w:color w:val="000000"/>
          <w:szCs w:val="22"/>
        </w:rPr>
        <w:tab/>
        <w:t>Possible side effects</w:t>
      </w:r>
    </w:p>
    <w:p w14:paraId="1B680ED0" w14:textId="77777777" w:rsidR="00F76DB2" w:rsidRPr="00654EF1" w:rsidRDefault="00F76DB2" w:rsidP="001D5C8C">
      <w:pPr>
        <w:pStyle w:val="Text"/>
        <w:keepNext/>
        <w:widowControl w:val="0"/>
        <w:spacing w:before="0"/>
        <w:jc w:val="left"/>
        <w:rPr>
          <w:color w:val="000000"/>
          <w:sz w:val="22"/>
          <w:szCs w:val="22"/>
          <w:lang w:val="en-GB"/>
        </w:rPr>
      </w:pPr>
    </w:p>
    <w:p w14:paraId="1B680ED1"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Like all medicines, this medicine can cause side effects, although not everybody gets them. They are usually mild to moderate.</w:t>
      </w:r>
    </w:p>
    <w:p w14:paraId="1B680ED2" w14:textId="77777777" w:rsidR="00F76DB2" w:rsidRPr="00654EF1" w:rsidRDefault="00F76DB2" w:rsidP="001D5C8C">
      <w:pPr>
        <w:pStyle w:val="Text"/>
        <w:widowControl w:val="0"/>
        <w:spacing w:before="0"/>
        <w:jc w:val="left"/>
        <w:rPr>
          <w:color w:val="000000"/>
          <w:sz w:val="22"/>
          <w:szCs w:val="22"/>
          <w:lang w:val="en-GB"/>
        </w:rPr>
      </w:pPr>
    </w:p>
    <w:p w14:paraId="1B680ED3" w14:textId="77777777" w:rsidR="00F76DB2" w:rsidRPr="00654EF1" w:rsidRDefault="00F76DB2" w:rsidP="001D5C8C">
      <w:pPr>
        <w:pStyle w:val="Heading4"/>
        <w:widowControl w:val="0"/>
        <w:spacing w:line="240" w:lineRule="auto"/>
        <w:rPr>
          <w:noProof w:val="0"/>
          <w:color w:val="000000"/>
          <w:szCs w:val="22"/>
        </w:rPr>
      </w:pPr>
      <w:r w:rsidRPr="00654EF1">
        <w:rPr>
          <w:noProof w:val="0"/>
          <w:color w:val="000000"/>
          <w:szCs w:val="22"/>
        </w:rPr>
        <w:t>Some side effects may be serious. Tell your doctor straight away if you get any of the following:</w:t>
      </w:r>
    </w:p>
    <w:p w14:paraId="1B680ED4" w14:textId="77777777" w:rsidR="00F76DB2" w:rsidRPr="00654EF1" w:rsidRDefault="00F76DB2" w:rsidP="001D5C8C">
      <w:pPr>
        <w:pStyle w:val="Heading4"/>
        <w:widowControl w:val="0"/>
        <w:spacing w:line="240" w:lineRule="auto"/>
        <w:jc w:val="left"/>
        <w:rPr>
          <w:b w:val="0"/>
          <w:bCs/>
          <w:noProof w:val="0"/>
          <w:color w:val="000000"/>
          <w:szCs w:val="22"/>
        </w:rPr>
      </w:pPr>
    </w:p>
    <w:p w14:paraId="1B680ED5" w14:textId="77777777" w:rsidR="00666171" w:rsidRPr="00654EF1" w:rsidRDefault="00666171" w:rsidP="001D5C8C">
      <w:pPr>
        <w:keepNext/>
        <w:widowControl w:val="0"/>
        <w:spacing w:line="240" w:lineRule="auto"/>
        <w:rPr>
          <w:b/>
          <w:color w:val="000000"/>
          <w:szCs w:val="22"/>
        </w:rPr>
      </w:pPr>
      <w:r w:rsidRPr="00654EF1">
        <w:rPr>
          <w:b/>
          <w:iCs/>
          <w:color w:val="000000"/>
          <w:szCs w:val="22"/>
        </w:rPr>
        <w:t>Very common</w:t>
      </w:r>
      <w:r w:rsidRPr="00654EF1">
        <w:rPr>
          <w:iCs/>
          <w:color w:val="000000"/>
          <w:szCs w:val="22"/>
        </w:rPr>
        <w:t xml:space="preserve"> (</w:t>
      </w:r>
      <w:r w:rsidRPr="00654EF1">
        <w:rPr>
          <w:color w:val="000000"/>
          <w:szCs w:val="22"/>
        </w:rPr>
        <w:t>may affect more than 1 in 10 people)</w:t>
      </w:r>
      <w:r w:rsidRPr="00654EF1">
        <w:rPr>
          <w:b/>
          <w:iCs/>
          <w:color w:val="000000"/>
          <w:szCs w:val="22"/>
        </w:rPr>
        <w:t xml:space="preserve"> or common</w:t>
      </w:r>
      <w:r w:rsidRPr="00654EF1">
        <w:rPr>
          <w:iCs/>
          <w:color w:val="000000"/>
          <w:szCs w:val="22"/>
        </w:rPr>
        <w:t xml:space="preserve"> (</w:t>
      </w:r>
      <w:r w:rsidRPr="00654EF1">
        <w:rPr>
          <w:rFonts w:eastAsia="SimSun"/>
          <w:color w:val="000000"/>
          <w:szCs w:val="22"/>
          <w:lang w:val="en-US" w:eastAsia="zh-CN"/>
        </w:rPr>
        <w:t>may affect up to 1 in 10 people</w:t>
      </w:r>
      <w:r w:rsidRPr="00654EF1">
        <w:rPr>
          <w:iCs/>
          <w:color w:val="000000"/>
          <w:szCs w:val="22"/>
        </w:rPr>
        <w:t>):</w:t>
      </w:r>
    </w:p>
    <w:p w14:paraId="1B680ED6" w14:textId="77777777" w:rsidR="00F76DB2" w:rsidRPr="00654EF1" w:rsidRDefault="00F76DB2"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Rapid weight gain.</w:t>
      </w:r>
      <w:r w:rsidRPr="00654EF1">
        <w:rPr>
          <w:bCs/>
          <w:color w:val="000000"/>
          <w:sz w:val="22"/>
          <w:szCs w:val="22"/>
          <w:lang w:val="en-GB"/>
        </w:rPr>
        <w:t xml:space="preserve"> </w:t>
      </w:r>
      <w:r w:rsidRPr="00654EF1">
        <w:rPr>
          <w:color w:val="000000"/>
          <w:sz w:val="22"/>
          <w:szCs w:val="22"/>
          <w:lang w:val="en-GB"/>
        </w:rPr>
        <w:t>Glivec may cause your body to retain water (severe fluid retention).</w:t>
      </w:r>
    </w:p>
    <w:p w14:paraId="1B680ED7" w14:textId="77777777" w:rsidR="00F76DB2" w:rsidRPr="00654EF1" w:rsidRDefault="00F76DB2"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Signs of infection such as fever, severe chills, sore throat or mouth ulcers. Glivec can reduce the number of white blood cells, so you might get infections more easily.</w:t>
      </w:r>
    </w:p>
    <w:p w14:paraId="1B680ED8" w14:textId="77777777" w:rsidR="00F76DB2" w:rsidRPr="00654EF1" w:rsidRDefault="00F76DB2"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Unexpected bleeding or bruising (when you have not hurt yourself).</w:t>
      </w:r>
    </w:p>
    <w:p w14:paraId="1B680ED9" w14:textId="77777777" w:rsidR="00F76DB2" w:rsidRPr="00654EF1" w:rsidRDefault="00F76DB2" w:rsidP="001D5C8C">
      <w:pPr>
        <w:pStyle w:val="Text"/>
        <w:widowControl w:val="0"/>
        <w:spacing w:before="0"/>
        <w:jc w:val="left"/>
        <w:rPr>
          <w:color w:val="000000"/>
          <w:sz w:val="22"/>
          <w:szCs w:val="22"/>
          <w:lang w:val="en-GB"/>
        </w:rPr>
      </w:pPr>
    </w:p>
    <w:p w14:paraId="1B680EDA" w14:textId="77777777" w:rsidR="00666171" w:rsidRPr="00654EF1" w:rsidRDefault="00666171" w:rsidP="001D5C8C">
      <w:pPr>
        <w:pStyle w:val="Text"/>
        <w:keepNext/>
        <w:widowControl w:val="0"/>
        <w:spacing w:before="0"/>
        <w:jc w:val="left"/>
        <w:rPr>
          <w:color w:val="000000"/>
          <w:sz w:val="22"/>
          <w:szCs w:val="22"/>
          <w:lang w:val="en-GB"/>
        </w:rPr>
      </w:pPr>
      <w:r w:rsidRPr="00654EF1">
        <w:rPr>
          <w:b/>
          <w:iCs/>
          <w:color w:val="000000"/>
          <w:sz w:val="22"/>
          <w:szCs w:val="22"/>
          <w:lang w:val="en-GB"/>
        </w:rPr>
        <w:t xml:space="preserve">Uncommon </w:t>
      </w:r>
      <w:r w:rsidRPr="00654EF1">
        <w:rPr>
          <w:iCs/>
          <w:color w:val="000000"/>
          <w:sz w:val="22"/>
          <w:szCs w:val="22"/>
          <w:lang w:val="en-GB"/>
        </w:rPr>
        <w:t>(</w:t>
      </w:r>
      <w:r w:rsidRPr="00654EF1">
        <w:rPr>
          <w:color w:val="000000"/>
          <w:sz w:val="22"/>
          <w:szCs w:val="22"/>
          <w:lang w:val="en-GB"/>
        </w:rPr>
        <w:t>may affect up to 1 in 100 people)</w:t>
      </w:r>
      <w:r w:rsidRPr="00654EF1">
        <w:rPr>
          <w:b/>
          <w:iCs/>
          <w:color w:val="000000"/>
          <w:sz w:val="22"/>
          <w:szCs w:val="22"/>
          <w:lang w:val="en-GB"/>
        </w:rPr>
        <w:t xml:space="preserve"> or rare</w:t>
      </w:r>
      <w:r w:rsidRPr="00654EF1">
        <w:rPr>
          <w:iCs/>
          <w:color w:val="000000"/>
          <w:sz w:val="22"/>
          <w:szCs w:val="22"/>
          <w:lang w:val="en-GB"/>
        </w:rPr>
        <w:t xml:space="preserve"> (</w:t>
      </w:r>
      <w:r w:rsidRPr="00654EF1">
        <w:rPr>
          <w:color w:val="000000"/>
          <w:sz w:val="22"/>
          <w:szCs w:val="22"/>
          <w:lang w:val="en-GB"/>
        </w:rPr>
        <w:t>may affect up to 1 in 1,000 people</w:t>
      </w:r>
      <w:r w:rsidRPr="00654EF1">
        <w:rPr>
          <w:iCs/>
          <w:color w:val="000000"/>
          <w:sz w:val="22"/>
          <w:szCs w:val="22"/>
          <w:lang w:val="en-GB"/>
        </w:rPr>
        <w:t>)</w:t>
      </w:r>
      <w:r w:rsidRPr="00654EF1">
        <w:rPr>
          <w:bCs/>
          <w:color w:val="000000"/>
          <w:sz w:val="22"/>
          <w:szCs w:val="22"/>
          <w:lang w:val="en-GB"/>
        </w:rPr>
        <w:t>:</w:t>
      </w:r>
    </w:p>
    <w:p w14:paraId="1B680EDB"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Chest pain, irregular heart rhythm (signs of heart problems).</w:t>
      </w:r>
    </w:p>
    <w:p w14:paraId="1B680EDC"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Cough,</w:t>
      </w:r>
      <w:r w:rsidRPr="00654EF1">
        <w:rPr>
          <w:color w:val="000000"/>
          <w:sz w:val="22"/>
          <w:szCs w:val="22"/>
          <w:lang w:val="en-GB"/>
        </w:rPr>
        <w:t xml:space="preserve"> having difficulty breathing or painful breathing (signs of lung problems).</w:t>
      </w:r>
    </w:p>
    <w:p w14:paraId="1B680EDD"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Feeling light-headed, dizzy or fainting (signs of low blood pressure).</w:t>
      </w:r>
    </w:p>
    <w:p w14:paraId="1B680EDE"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lastRenderedPageBreak/>
        <w:t xml:space="preserve">Feeling sick (nausea), with loss of appetite, </w:t>
      </w:r>
      <w:r w:rsidR="007F35BE" w:rsidRPr="00654EF1">
        <w:rPr>
          <w:color w:val="000000"/>
          <w:sz w:val="22"/>
          <w:szCs w:val="22"/>
          <w:lang w:val="en-GB"/>
        </w:rPr>
        <w:t>dark</w:t>
      </w:r>
      <w:r w:rsidRPr="00654EF1">
        <w:rPr>
          <w:color w:val="000000"/>
          <w:sz w:val="22"/>
          <w:szCs w:val="22"/>
          <w:lang w:val="en-GB"/>
        </w:rPr>
        <w:t>-coloured urine, yellow skin or eyes (signs of liver problems).</w:t>
      </w:r>
    </w:p>
    <w:p w14:paraId="1B680EDF"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Rash</w:t>
      </w:r>
      <w:r w:rsidRPr="00654EF1">
        <w:rPr>
          <w:color w:val="000000"/>
          <w:sz w:val="22"/>
          <w:szCs w:val="22"/>
          <w:lang w:val="en-GB"/>
        </w:rPr>
        <w:t>, red skin with blisters on the lips, eyes, skin or mouth, peeling skin, fever, raised red or purple skin patches, itching, burning sensation, pustular eruption (signs of skin problems).</w:t>
      </w:r>
    </w:p>
    <w:p w14:paraId="1B680EE0"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w:t>
      </w:r>
      <w:r w:rsidRPr="00654EF1">
        <w:rPr>
          <w:color w:val="000000"/>
          <w:sz w:val="22"/>
          <w:szCs w:val="22"/>
          <w:lang w:val="en-GB"/>
        </w:rPr>
        <w:t xml:space="preserve"> abdominal pain, blood in your vomit, stools or urine, black stools (signs of gastrointestinal disorders).</w:t>
      </w:r>
    </w:p>
    <w:p w14:paraId="1B680EE1"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Severely</w:t>
      </w:r>
      <w:r w:rsidRPr="00654EF1">
        <w:rPr>
          <w:color w:val="000000"/>
          <w:sz w:val="22"/>
          <w:szCs w:val="22"/>
          <w:lang w:val="en-GB"/>
        </w:rPr>
        <w:t xml:space="preserve"> decreased urine output, feeling thirsty (signs of kidney problems).</w:t>
      </w:r>
    </w:p>
    <w:p w14:paraId="1B680EE2"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Feeling sick (nausea) with diarrhoea and vomiting, abdominal pain or fever (signs of bowel problems).</w:t>
      </w:r>
    </w:p>
    <w:p w14:paraId="1B680EE3"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w:t>
      </w:r>
      <w:r w:rsidRPr="00654EF1">
        <w:rPr>
          <w:color w:val="000000"/>
          <w:sz w:val="22"/>
          <w:szCs w:val="22"/>
          <w:lang w:val="en-GB"/>
        </w:rPr>
        <w:t xml:space="preserve"> headache, weakness or paralysis of limbs or face, difficulty speaking, sudden loss of consciousness (signs of nervous system problems</w:t>
      </w:r>
      <w:r w:rsidR="006928B7" w:rsidRPr="00654EF1">
        <w:rPr>
          <w:color w:val="000000"/>
          <w:sz w:val="22"/>
          <w:szCs w:val="22"/>
          <w:lang w:val="en-GB"/>
        </w:rPr>
        <w:t xml:space="preserve"> such as bleeding or swelling in skull/brain</w:t>
      </w:r>
      <w:r w:rsidRPr="00654EF1">
        <w:rPr>
          <w:color w:val="000000"/>
          <w:sz w:val="22"/>
          <w:szCs w:val="22"/>
          <w:lang w:val="en-GB"/>
        </w:rPr>
        <w:t>).</w:t>
      </w:r>
    </w:p>
    <w:p w14:paraId="1B680EE4"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Pale</w:t>
      </w:r>
      <w:r w:rsidRPr="00654EF1">
        <w:rPr>
          <w:color w:val="000000"/>
          <w:sz w:val="22"/>
          <w:szCs w:val="22"/>
          <w:lang w:val="en-GB"/>
        </w:rPr>
        <w:t xml:space="preserve"> skin, feeling tired and breathlessness and having dark urine (signs of low levels of red blood cells).</w:t>
      </w:r>
    </w:p>
    <w:p w14:paraId="1B680EE5"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Eye pain or deterioration in vision</w:t>
      </w:r>
      <w:r w:rsidR="00666171" w:rsidRPr="00654EF1">
        <w:rPr>
          <w:color w:val="000000"/>
          <w:sz w:val="22"/>
          <w:szCs w:val="22"/>
          <w:lang w:val="en-GB"/>
        </w:rPr>
        <w:t>, bleeding in the eyes</w:t>
      </w:r>
      <w:r w:rsidRPr="00654EF1">
        <w:rPr>
          <w:color w:val="000000"/>
          <w:sz w:val="22"/>
          <w:szCs w:val="22"/>
          <w:lang w:val="en-GB"/>
        </w:rPr>
        <w:t>.</w:t>
      </w:r>
    </w:p>
    <w:p w14:paraId="1B680EE6"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Pain in your hips or difficulty walking.</w:t>
      </w:r>
    </w:p>
    <w:p w14:paraId="1B680EE7"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Numb</w:t>
      </w:r>
      <w:r w:rsidRPr="00654EF1">
        <w:rPr>
          <w:color w:val="000000"/>
          <w:szCs w:val="22"/>
        </w:rPr>
        <w:t xml:space="preserve"> </w:t>
      </w:r>
      <w:r w:rsidRPr="00654EF1">
        <w:rPr>
          <w:color w:val="000000"/>
          <w:sz w:val="22"/>
          <w:szCs w:val="22"/>
          <w:lang w:val="en-GB"/>
        </w:rPr>
        <w:t>or cold toes and fingers (signs of Raynaud’s syndrome).</w:t>
      </w:r>
    </w:p>
    <w:p w14:paraId="1B680EE8" w14:textId="77777777" w:rsidR="00F76DB2" w:rsidRPr="00654EF1" w:rsidRDefault="00F76DB2" w:rsidP="001D5C8C">
      <w:pPr>
        <w:pStyle w:val="Text"/>
        <w:widowControl w:val="0"/>
        <w:numPr>
          <w:ilvl w:val="0"/>
          <w:numId w:val="3"/>
        </w:numPr>
        <w:tabs>
          <w:tab w:val="clear" w:pos="360"/>
          <w:tab w:val="num" w:pos="567"/>
        </w:tabs>
        <w:spacing w:before="0"/>
        <w:ind w:left="567" w:hanging="567"/>
        <w:jc w:val="left"/>
        <w:rPr>
          <w:color w:val="000000"/>
          <w:sz w:val="22"/>
          <w:szCs w:val="22"/>
        </w:rPr>
      </w:pPr>
      <w:r w:rsidRPr="00654EF1">
        <w:rPr>
          <w:color w:val="000000"/>
          <w:sz w:val="22"/>
          <w:szCs w:val="22"/>
          <w:lang w:val="en-GB"/>
        </w:rPr>
        <w:t xml:space="preserve">Sudden swelling and redness of the skin </w:t>
      </w:r>
      <w:r w:rsidRPr="00654EF1">
        <w:rPr>
          <w:color w:val="000000"/>
          <w:sz w:val="22"/>
          <w:szCs w:val="22"/>
        </w:rPr>
        <w:t xml:space="preserve">(signs of </w:t>
      </w:r>
      <w:r w:rsidRPr="00654EF1">
        <w:rPr>
          <w:color w:val="000000"/>
          <w:sz w:val="22"/>
          <w:szCs w:val="22"/>
          <w:lang w:val="en-GB"/>
        </w:rPr>
        <w:t xml:space="preserve">a skin infection called </w:t>
      </w:r>
      <w:r w:rsidRPr="00654EF1">
        <w:rPr>
          <w:color w:val="000000"/>
          <w:sz w:val="22"/>
          <w:szCs w:val="22"/>
        </w:rPr>
        <w:t>cellulit</w:t>
      </w:r>
      <w:r w:rsidR="00132B6E" w:rsidRPr="00654EF1">
        <w:rPr>
          <w:color w:val="000000"/>
          <w:sz w:val="22"/>
          <w:szCs w:val="22"/>
        </w:rPr>
        <w:t>i</w:t>
      </w:r>
      <w:r w:rsidRPr="00654EF1">
        <w:rPr>
          <w:color w:val="000000"/>
          <w:sz w:val="22"/>
          <w:szCs w:val="22"/>
        </w:rPr>
        <w:t>s).</w:t>
      </w:r>
    </w:p>
    <w:p w14:paraId="1B680EE9" w14:textId="77777777" w:rsidR="00F76DB2" w:rsidRPr="00654EF1" w:rsidRDefault="00F76DB2"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Difficulty</w:t>
      </w:r>
      <w:r w:rsidRPr="00654EF1">
        <w:rPr>
          <w:color w:val="000000"/>
          <w:sz w:val="22"/>
          <w:szCs w:val="22"/>
          <w:lang w:val="en-GB"/>
        </w:rPr>
        <w:t xml:space="preserve"> hearing.</w:t>
      </w:r>
    </w:p>
    <w:p w14:paraId="1B680EEA" w14:textId="77777777" w:rsidR="00F76DB2" w:rsidRPr="00654EF1" w:rsidRDefault="00F76DB2"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bCs/>
          <w:color w:val="000000"/>
          <w:sz w:val="22"/>
          <w:szCs w:val="22"/>
        </w:rPr>
        <w:t>Muscle</w:t>
      </w:r>
      <w:r w:rsidRPr="00654EF1">
        <w:rPr>
          <w:bCs/>
          <w:color w:val="000000"/>
          <w:sz w:val="22"/>
          <w:szCs w:val="22"/>
          <w:lang w:val="en-GB"/>
        </w:rPr>
        <w:t xml:space="preserve"> weakness and spasms with an abnormal heart rhythm (signs of changes in the amount of potassium in your blood).</w:t>
      </w:r>
    </w:p>
    <w:p w14:paraId="1B680EEB" w14:textId="77777777" w:rsidR="00F76DB2" w:rsidRPr="00654EF1" w:rsidRDefault="00F76DB2" w:rsidP="001D5C8C">
      <w:pPr>
        <w:pStyle w:val="Listlevel1"/>
        <w:widowControl w:val="0"/>
        <w:numPr>
          <w:ilvl w:val="0"/>
          <w:numId w:val="3"/>
        </w:numPr>
        <w:tabs>
          <w:tab w:val="clear" w:pos="360"/>
          <w:tab w:val="num" w:pos="567"/>
        </w:tabs>
        <w:spacing w:before="0" w:after="0"/>
        <w:ind w:left="567" w:hanging="567"/>
        <w:rPr>
          <w:bCs/>
          <w:color w:val="000000"/>
          <w:sz w:val="22"/>
          <w:szCs w:val="22"/>
        </w:rPr>
      </w:pPr>
      <w:r w:rsidRPr="00654EF1">
        <w:rPr>
          <w:bCs/>
          <w:color w:val="000000"/>
          <w:sz w:val="22"/>
          <w:szCs w:val="22"/>
        </w:rPr>
        <w:t>Bruising.</w:t>
      </w:r>
    </w:p>
    <w:p w14:paraId="1B680EEC" w14:textId="77777777" w:rsidR="00F76DB2" w:rsidRPr="00654EF1" w:rsidRDefault="00F76DB2"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color w:val="000000"/>
          <w:sz w:val="22"/>
          <w:szCs w:val="22"/>
        </w:rPr>
        <w:t>Stomach pain with feeling sick (nausea).</w:t>
      </w:r>
    </w:p>
    <w:p w14:paraId="1B680EED" w14:textId="77777777" w:rsidR="00F76DB2" w:rsidRPr="00654EF1" w:rsidRDefault="00F76DB2"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bCs/>
          <w:color w:val="000000"/>
          <w:sz w:val="22"/>
          <w:szCs w:val="22"/>
        </w:rPr>
        <w:t>M</w:t>
      </w:r>
      <w:r w:rsidRPr="00654EF1">
        <w:rPr>
          <w:bCs/>
          <w:color w:val="000000"/>
          <w:sz w:val="22"/>
          <w:szCs w:val="22"/>
          <w:lang w:val="en-GB"/>
        </w:rPr>
        <w:t>uscle spasms with a fever, red-brown urine, pain or weakness in your muscles (signs of muscle problems).</w:t>
      </w:r>
    </w:p>
    <w:p w14:paraId="1B680EEE" w14:textId="77777777" w:rsidR="00F76DB2" w:rsidRPr="00654EF1" w:rsidRDefault="00F76DB2" w:rsidP="001D5C8C">
      <w:pPr>
        <w:widowControl w:val="0"/>
        <w:numPr>
          <w:ilvl w:val="0"/>
          <w:numId w:val="23"/>
        </w:numPr>
        <w:tabs>
          <w:tab w:val="clear" w:pos="357"/>
          <w:tab w:val="num" w:pos="567"/>
        </w:tabs>
        <w:autoSpaceDE w:val="0"/>
        <w:autoSpaceDN w:val="0"/>
        <w:adjustRightInd w:val="0"/>
        <w:spacing w:line="240" w:lineRule="auto"/>
        <w:ind w:left="567" w:hanging="567"/>
        <w:rPr>
          <w:color w:val="000000"/>
          <w:szCs w:val="22"/>
          <w:lang w:bidi="th-TH"/>
        </w:rPr>
      </w:pPr>
      <w:r w:rsidRPr="00654EF1">
        <w:rPr>
          <w:color w:val="000000"/>
          <w:szCs w:val="22"/>
          <w:lang w:bidi="th-TH"/>
        </w:rPr>
        <w:t>Pelvic pain sometimes with nausea and vomiting, with unexpected vaginal bleeding, feeling dizzy or fainting due to low blood pressure (</w:t>
      </w:r>
      <w:r w:rsidRPr="00654EF1">
        <w:rPr>
          <w:bCs/>
          <w:color w:val="000000"/>
          <w:szCs w:val="22"/>
        </w:rPr>
        <w:t xml:space="preserve">signs of </w:t>
      </w:r>
      <w:r w:rsidRPr="00654EF1">
        <w:rPr>
          <w:color w:val="000000"/>
          <w:szCs w:val="22"/>
          <w:lang w:bidi="th-TH"/>
        </w:rPr>
        <w:t>problems with your ovaries or womb).</w:t>
      </w:r>
    </w:p>
    <w:p w14:paraId="1B680EEF" w14:textId="77777777" w:rsidR="00F76DB2" w:rsidRPr="00654EF1" w:rsidRDefault="00F76DB2" w:rsidP="001D5C8C">
      <w:pPr>
        <w:widowControl w:val="0"/>
        <w:numPr>
          <w:ilvl w:val="0"/>
          <w:numId w:val="23"/>
        </w:numPr>
        <w:tabs>
          <w:tab w:val="clear" w:pos="357"/>
          <w:tab w:val="clear" w:pos="567"/>
        </w:tabs>
        <w:autoSpaceDE w:val="0"/>
        <w:autoSpaceDN w:val="0"/>
        <w:adjustRightInd w:val="0"/>
        <w:spacing w:line="240" w:lineRule="auto"/>
        <w:ind w:left="567" w:hanging="567"/>
        <w:rPr>
          <w:color w:val="000000"/>
          <w:szCs w:val="22"/>
          <w:lang w:bidi="th-TH"/>
        </w:rPr>
      </w:pPr>
      <w:r w:rsidRPr="00654EF1">
        <w:rPr>
          <w:szCs w:val="22"/>
        </w:rPr>
        <w:t>Nausea, shortness of breath, irregular heartbeat, clouding of urine, tiredness and/or joint discomfort</w:t>
      </w:r>
      <w:r w:rsidRPr="00654EF1">
        <w:rPr>
          <w:color w:val="000000"/>
          <w:szCs w:val="22"/>
        </w:rPr>
        <w:t xml:space="preserve"> associated with </w:t>
      </w:r>
      <w:r w:rsidRPr="00654EF1">
        <w:rPr>
          <w:szCs w:val="22"/>
        </w:rPr>
        <w:t xml:space="preserve">abnormal laboratory test results (eg. high potassium, uric acid and </w:t>
      </w:r>
      <w:r w:rsidR="00663B8B" w:rsidRPr="00654EF1">
        <w:rPr>
          <w:szCs w:val="22"/>
        </w:rPr>
        <w:t xml:space="preserve">calcium </w:t>
      </w:r>
      <w:r w:rsidRPr="00654EF1">
        <w:rPr>
          <w:szCs w:val="22"/>
        </w:rPr>
        <w:t xml:space="preserve">levels and low </w:t>
      </w:r>
      <w:r w:rsidR="00663B8B" w:rsidRPr="00654EF1">
        <w:rPr>
          <w:szCs w:val="22"/>
        </w:rPr>
        <w:t xml:space="preserve">phosphorous </w:t>
      </w:r>
      <w:r w:rsidRPr="00654EF1">
        <w:rPr>
          <w:szCs w:val="22"/>
        </w:rPr>
        <w:t>levels in the blood).</w:t>
      </w:r>
    </w:p>
    <w:p w14:paraId="1B680EF0" w14:textId="77777777" w:rsidR="00846274" w:rsidRPr="00654EF1" w:rsidRDefault="00846274" w:rsidP="001D5C8C">
      <w:pPr>
        <w:widowControl w:val="0"/>
        <w:numPr>
          <w:ilvl w:val="0"/>
          <w:numId w:val="23"/>
        </w:numPr>
        <w:tabs>
          <w:tab w:val="clear" w:pos="357"/>
          <w:tab w:val="clear" w:pos="567"/>
        </w:tabs>
        <w:autoSpaceDE w:val="0"/>
        <w:autoSpaceDN w:val="0"/>
        <w:adjustRightInd w:val="0"/>
        <w:spacing w:line="240" w:lineRule="auto"/>
        <w:ind w:left="567" w:hanging="567"/>
        <w:rPr>
          <w:color w:val="000000"/>
          <w:szCs w:val="22"/>
          <w:lang w:bidi="th-TH"/>
        </w:rPr>
      </w:pPr>
      <w:r w:rsidRPr="00654EF1">
        <w:rPr>
          <w:szCs w:val="22"/>
        </w:rPr>
        <w:t>Blood clots in small blood vessels (thrombotic microangiopathy)</w:t>
      </w:r>
      <w:r w:rsidR="0020074E" w:rsidRPr="00654EF1">
        <w:rPr>
          <w:szCs w:val="22"/>
        </w:rPr>
        <w:t>.</w:t>
      </w:r>
    </w:p>
    <w:p w14:paraId="1B680EF1" w14:textId="77777777" w:rsidR="007151A0" w:rsidRPr="00654EF1" w:rsidRDefault="007151A0" w:rsidP="001D5C8C">
      <w:pPr>
        <w:pStyle w:val="Text"/>
        <w:widowControl w:val="0"/>
        <w:spacing w:before="0"/>
        <w:jc w:val="left"/>
        <w:rPr>
          <w:color w:val="000000"/>
          <w:sz w:val="22"/>
          <w:szCs w:val="22"/>
          <w:lang w:val="en-GB"/>
        </w:rPr>
      </w:pPr>
    </w:p>
    <w:p w14:paraId="1B680EF2" w14:textId="77777777" w:rsidR="007151A0" w:rsidRPr="00654EF1" w:rsidRDefault="007151A0" w:rsidP="001D5C8C">
      <w:pPr>
        <w:pStyle w:val="Text"/>
        <w:keepNext/>
        <w:widowControl w:val="0"/>
        <w:spacing w:before="0"/>
        <w:jc w:val="left"/>
        <w:rPr>
          <w:b/>
          <w:color w:val="000000"/>
          <w:sz w:val="22"/>
          <w:szCs w:val="22"/>
          <w:lang w:val="en-GB"/>
        </w:rPr>
      </w:pPr>
      <w:r w:rsidRPr="00654EF1">
        <w:rPr>
          <w:b/>
          <w:color w:val="000000"/>
          <w:sz w:val="22"/>
          <w:szCs w:val="22"/>
          <w:lang w:val="en-GB"/>
        </w:rPr>
        <w:t>Not known</w:t>
      </w:r>
      <w:r w:rsidR="00C556CF" w:rsidRPr="00654EF1">
        <w:rPr>
          <w:b/>
          <w:color w:val="000000"/>
          <w:sz w:val="22"/>
          <w:szCs w:val="22"/>
          <w:lang w:val="en-GB"/>
        </w:rPr>
        <w:t xml:space="preserve"> </w:t>
      </w:r>
      <w:r w:rsidR="00C556CF" w:rsidRPr="00654EF1">
        <w:rPr>
          <w:bCs/>
          <w:color w:val="000000"/>
          <w:sz w:val="22"/>
          <w:szCs w:val="22"/>
          <w:lang w:val="en-GB"/>
        </w:rPr>
        <w:t>(</w:t>
      </w:r>
      <w:r w:rsidR="00C556CF" w:rsidRPr="00654EF1">
        <w:rPr>
          <w:color w:val="000000"/>
          <w:sz w:val="22"/>
          <w:szCs w:val="22"/>
          <w:lang w:val="en-GB"/>
        </w:rPr>
        <w:t>frequency cannot be estimated from the available data</w:t>
      </w:r>
      <w:r w:rsidR="00C556CF" w:rsidRPr="00654EF1">
        <w:rPr>
          <w:bCs/>
          <w:color w:val="000000"/>
          <w:sz w:val="22"/>
          <w:szCs w:val="22"/>
          <w:lang w:val="en-GB"/>
        </w:rPr>
        <w:t>):</w:t>
      </w:r>
    </w:p>
    <w:p w14:paraId="1B680EF3" w14:textId="77777777" w:rsidR="007151A0" w:rsidRPr="00654EF1" w:rsidRDefault="007151A0" w:rsidP="001D5C8C">
      <w:pPr>
        <w:pStyle w:val="Text"/>
        <w:keepNext/>
        <w:widowControl w:val="0"/>
        <w:numPr>
          <w:ilvl w:val="0"/>
          <w:numId w:val="27"/>
        </w:numPr>
        <w:tabs>
          <w:tab w:val="clear" w:pos="357"/>
        </w:tabs>
        <w:spacing w:before="0"/>
        <w:ind w:left="567" w:hanging="567"/>
        <w:jc w:val="left"/>
        <w:rPr>
          <w:sz w:val="22"/>
          <w:szCs w:val="22"/>
        </w:rPr>
      </w:pPr>
      <w:r w:rsidRPr="00654EF1">
        <w:rPr>
          <w:sz w:val="22"/>
          <w:szCs w:val="22"/>
        </w:rPr>
        <w:t>Combination of a widespread severe rash, feeling sick, fever, high level of certain white blood cells or yellow skin or eyes (signs of jaundice) with breathlessness, chest pain/discomfort, severely decreased urine output and feeling thirsty etc. (signs of a treatment-related allergic reaction).</w:t>
      </w:r>
    </w:p>
    <w:p w14:paraId="1B680EF4" w14:textId="77777777" w:rsidR="00FF7AE4" w:rsidRPr="00654EF1" w:rsidRDefault="00FF7AE4"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sz w:val="22"/>
          <w:szCs w:val="22"/>
        </w:rPr>
        <w:t>Chronic renal failure</w:t>
      </w:r>
      <w:r w:rsidR="007B18B8" w:rsidRPr="00654EF1">
        <w:rPr>
          <w:sz w:val="22"/>
          <w:szCs w:val="22"/>
        </w:rPr>
        <w:t>.</w:t>
      </w:r>
    </w:p>
    <w:p w14:paraId="1B680EF5" w14:textId="77777777" w:rsidR="007B18B8" w:rsidRPr="00654EF1" w:rsidRDefault="007B18B8"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color w:val="000000"/>
          <w:sz w:val="22"/>
          <w:szCs w:val="22"/>
        </w:rPr>
        <w:t>Recurrence (reactivation) of hepatitis B infection when you have had hepatitis B in the past (a liver infection).</w:t>
      </w:r>
    </w:p>
    <w:p w14:paraId="1B680EF6" w14:textId="77777777" w:rsidR="007151A0" w:rsidRPr="00654EF1" w:rsidRDefault="007151A0" w:rsidP="001D5C8C">
      <w:pPr>
        <w:pStyle w:val="Text"/>
        <w:keepNext/>
        <w:widowControl w:val="0"/>
        <w:spacing w:before="0"/>
        <w:jc w:val="left"/>
        <w:rPr>
          <w:color w:val="000000"/>
          <w:sz w:val="22"/>
          <w:szCs w:val="22"/>
          <w:lang w:val="en-GB"/>
        </w:rPr>
      </w:pPr>
    </w:p>
    <w:p w14:paraId="1B680EF7"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 xml:space="preserve">If you get any of the above, </w:t>
      </w:r>
      <w:r w:rsidRPr="00654EF1">
        <w:rPr>
          <w:b/>
          <w:color w:val="000000"/>
          <w:sz w:val="22"/>
          <w:szCs w:val="22"/>
          <w:lang w:val="en-GB"/>
        </w:rPr>
        <w:t>tell your doctor straight away.</w:t>
      </w:r>
    </w:p>
    <w:p w14:paraId="1B680EF8" w14:textId="77777777" w:rsidR="00F76DB2" w:rsidRPr="00654EF1" w:rsidRDefault="00F76DB2" w:rsidP="001D5C8C">
      <w:pPr>
        <w:pStyle w:val="Text"/>
        <w:widowControl w:val="0"/>
        <w:spacing w:before="0"/>
        <w:jc w:val="left"/>
        <w:rPr>
          <w:color w:val="000000"/>
          <w:sz w:val="22"/>
          <w:szCs w:val="22"/>
          <w:lang w:val="en-GB"/>
        </w:rPr>
      </w:pPr>
    </w:p>
    <w:p w14:paraId="1B680EF9" w14:textId="77777777" w:rsidR="00F76DB2" w:rsidRPr="00654EF1" w:rsidRDefault="00F76DB2" w:rsidP="001D5C8C">
      <w:pPr>
        <w:pStyle w:val="Text"/>
        <w:keepNext/>
        <w:widowControl w:val="0"/>
        <w:spacing w:before="0"/>
        <w:jc w:val="left"/>
        <w:rPr>
          <w:b/>
          <w:color w:val="000000"/>
          <w:sz w:val="22"/>
          <w:szCs w:val="22"/>
          <w:lang w:val="en-GB"/>
        </w:rPr>
      </w:pPr>
      <w:r w:rsidRPr="00654EF1">
        <w:rPr>
          <w:b/>
          <w:color w:val="000000"/>
          <w:sz w:val="22"/>
          <w:szCs w:val="22"/>
          <w:lang w:val="en-GB"/>
        </w:rPr>
        <w:t>Other side effects may include:</w:t>
      </w:r>
    </w:p>
    <w:p w14:paraId="1B680EFA" w14:textId="77777777" w:rsidR="00F76DB2" w:rsidRPr="00654EF1" w:rsidRDefault="00F76DB2" w:rsidP="001D5C8C">
      <w:pPr>
        <w:pStyle w:val="Text"/>
        <w:keepNext/>
        <w:widowControl w:val="0"/>
        <w:spacing w:before="0"/>
        <w:jc w:val="left"/>
        <w:rPr>
          <w:color w:val="000000"/>
          <w:sz w:val="22"/>
          <w:szCs w:val="22"/>
          <w:lang w:val="en-GB"/>
        </w:rPr>
      </w:pPr>
    </w:p>
    <w:p w14:paraId="1B680EFB" w14:textId="77777777" w:rsidR="00666171" w:rsidRPr="00654EF1" w:rsidRDefault="00666171" w:rsidP="001D5C8C">
      <w:pPr>
        <w:pStyle w:val="Text"/>
        <w:keepNext/>
        <w:widowControl w:val="0"/>
        <w:spacing w:before="0"/>
        <w:rPr>
          <w:b/>
          <w:i/>
          <w:color w:val="000000"/>
          <w:sz w:val="22"/>
          <w:szCs w:val="22"/>
          <w:lang w:val="en-GB"/>
        </w:rPr>
      </w:pPr>
      <w:r w:rsidRPr="00654EF1">
        <w:rPr>
          <w:b/>
          <w:color w:val="000000"/>
          <w:sz w:val="22"/>
          <w:szCs w:val="22"/>
          <w:lang w:val="en-GB"/>
        </w:rPr>
        <w:t>Very common</w:t>
      </w:r>
      <w:r w:rsidRPr="00654EF1">
        <w:rPr>
          <w:color w:val="000000"/>
          <w:sz w:val="22"/>
          <w:szCs w:val="22"/>
          <w:lang w:val="en-GB"/>
        </w:rPr>
        <w:t xml:space="preserve"> (may affect more than 1 in 10 people):</w:t>
      </w:r>
    </w:p>
    <w:p w14:paraId="1B680EFC" w14:textId="77777777" w:rsidR="00F76DB2" w:rsidRPr="00654EF1" w:rsidRDefault="00F76DB2" w:rsidP="001D5C8C">
      <w:pPr>
        <w:pStyle w:val="Text"/>
        <w:widowControl w:val="0"/>
        <w:numPr>
          <w:ilvl w:val="0"/>
          <w:numId w:val="25"/>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Headache or feeling tired.</w:t>
      </w:r>
    </w:p>
    <w:p w14:paraId="1B680EFD" w14:textId="77777777" w:rsidR="00F76DB2" w:rsidRPr="00654EF1" w:rsidRDefault="00F76DB2"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Feeling sick (nausea), being sick (vomiting), diarrhoea or indigestion.</w:t>
      </w:r>
    </w:p>
    <w:p w14:paraId="1B680EFE" w14:textId="77777777" w:rsidR="00F76DB2" w:rsidRPr="00654EF1" w:rsidRDefault="00F76DB2"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Rash.</w:t>
      </w:r>
    </w:p>
    <w:p w14:paraId="1B680EFF" w14:textId="77777777" w:rsidR="00F76DB2" w:rsidRPr="00654EF1" w:rsidRDefault="00F76DB2"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Muscle cramps or joint, muscle or bone pain</w:t>
      </w:r>
      <w:r w:rsidR="007F373C" w:rsidRPr="00654EF1">
        <w:rPr>
          <w:color w:val="000000"/>
          <w:sz w:val="22"/>
          <w:szCs w:val="22"/>
          <w:lang w:val="en-GB"/>
        </w:rPr>
        <w:t>, during Glivec treatment or after you have stopped taking Glivec</w:t>
      </w:r>
      <w:r w:rsidRPr="00654EF1">
        <w:rPr>
          <w:color w:val="000000"/>
          <w:sz w:val="22"/>
          <w:szCs w:val="22"/>
          <w:lang w:val="en-GB"/>
        </w:rPr>
        <w:t>.</w:t>
      </w:r>
    </w:p>
    <w:p w14:paraId="1B680F00" w14:textId="77777777" w:rsidR="00F76DB2" w:rsidRPr="00654EF1" w:rsidRDefault="00F76DB2"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Swelling such as round your ankles or puffy eyes.</w:t>
      </w:r>
    </w:p>
    <w:p w14:paraId="1B680F01" w14:textId="77777777" w:rsidR="00F76DB2" w:rsidRPr="00654EF1" w:rsidRDefault="00F76DB2" w:rsidP="00841297">
      <w:pPr>
        <w:pStyle w:val="Text"/>
        <w:keepN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Weight gain.</w:t>
      </w:r>
    </w:p>
    <w:p w14:paraId="1B680F02" w14:textId="77777777" w:rsidR="00F76DB2" w:rsidRPr="00654EF1" w:rsidRDefault="00F76DB2" w:rsidP="001D5C8C">
      <w:pPr>
        <w:pStyle w:val="Text"/>
        <w:widowControl w:val="0"/>
        <w:spacing w:before="0"/>
        <w:jc w:val="left"/>
        <w:rPr>
          <w:color w:val="000000"/>
          <w:sz w:val="22"/>
          <w:szCs w:val="22"/>
          <w:lang w:val="en-GB"/>
        </w:rPr>
      </w:pPr>
      <w:r w:rsidRPr="00654EF1">
        <w:rPr>
          <w:color w:val="000000"/>
          <w:sz w:val="22"/>
          <w:szCs w:val="22"/>
          <w:lang w:val="en-GB"/>
        </w:rPr>
        <w:t xml:space="preserve">If any of these affects you severely, </w:t>
      </w:r>
      <w:r w:rsidRPr="00654EF1">
        <w:rPr>
          <w:b/>
          <w:color w:val="000000"/>
          <w:sz w:val="22"/>
          <w:szCs w:val="22"/>
          <w:lang w:val="en-GB"/>
        </w:rPr>
        <w:t>tell your doctor</w:t>
      </w:r>
      <w:r w:rsidRPr="00654EF1">
        <w:rPr>
          <w:color w:val="000000"/>
          <w:sz w:val="22"/>
          <w:szCs w:val="22"/>
          <w:lang w:val="en-GB"/>
        </w:rPr>
        <w:t>.</w:t>
      </w:r>
    </w:p>
    <w:p w14:paraId="1B680F03" w14:textId="77777777" w:rsidR="00F76DB2" w:rsidRPr="00654EF1" w:rsidRDefault="00F76DB2" w:rsidP="001D5C8C">
      <w:pPr>
        <w:pStyle w:val="Text"/>
        <w:widowControl w:val="0"/>
        <w:spacing w:before="0"/>
        <w:jc w:val="left"/>
        <w:rPr>
          <w:color w:val="000000"/>
          <w:sz w:val="22"/>
          <w:szCs w:val="22"/>
          <w:lang w:val="en-GB"/>
        </w:rPr>
      </w:pPr>
    </w:p>
    <w:p w14:paraId="1B680F04" w14:textId="77777777" w:rsidR="00666171" w:rsidRPr="00654EF1" w:rsidRDefault="00666171" w:rsidP="001D5C8C">
      <w:pPr>
        <w:pStyle w:val="Text"/>
        <w:keepNext/>
        <w:widowControl w:val="0"/>
        <w:spacing w:before="0"/>
        <w:jc w:val="left"/>
        <w:rPr>
          <w:b/>
          <w:i/>
          <w:color w:val="000000"/>
          <w:sz w:val="22"/>
          <w:szCs w:val="22"/>
          <w:lang w:val="en-GB"/>
        </w:rPr>
      </w:pPr>
      <w:r w:rsidRPr="00654EF1">
        <w:rPr>
          <w:b/>
          <w:color w:val="000000"/>
          <w:sz w:val="22"/>
          <w:szCs w:val="22"/>
          <w:lang w:val="en-GB"/>
        </w:rPr>
        <w:lastRenderedPageBreak/>
        <w:t>Common</w:t>
      </w:r>
      <w:r w:rsidRPr="00654EF1">
        <w:rPr>
          <w:color w:val="000000"/>
          <w:sz w:val="22"/>
          <w:szCs w:val="22"/>
          <w:lang w:val="en-GB"/>
        </w:rPr>
        <w:t xml:space="preserve"> (may affect up to 1 in 10 people):</w:t>
      </w:r>
    </w:p>
    <w:p w14:paraId="1B680F05" w14:textId="77777777" w:rsidR="00F76DB2" w:rsidRPr="00654EF1" w:rsidRDefault="00F76DB2" w:rsidP="001D5C8C">
      <w:pPr>
        <w:pStyle w:val="Text"/>
        <w:widowControl w:val="0"/>
        <w:numPr>
          <w:ilvl w:val="0"/>
          <w:numId w:val="24"/>
        </w:numPr>
        <w:tabs>
          <w:tab w:val="clear" w:pos="357"/>
        </w:tabs>
        <w:spacing w:before="0"/>
        <w:ind w:left="567" w:hanging="567"/>
        <w:jc w:val="left"/>
        <w:rPr>
          <w:color w:val="000000"/>
          <w:sz w:val="22"/>
          <w:szCs w:val="22"/>
          <w:lang w:val="en-GB"/>
        </w:rPr>
      </w:pPr>
      <w:r w:rsidRPr="00654EF1">
        <w:rPr>
          <w:color w:val="000000"/>
          <w:sz w:val="22"/>
          <w:szCs w:val="22"/>
        </w:rPr>
        <w:t>Anorexia,</w:t>
      </w:r>
      <w:r w:rsidRPr="00654EF1">
        <w:rPr>
          <w:color w:val="000000"/>
          <w:sz w:val="22"/>
          <w:szCs w:val="22"/>
          <w:lang w:val="en-GB"/>
        </w:rPr>
        <w:t xml:space="preserve"> weight loss or a disturbed sense of taste.</w:t>
      </w:r>
    </w:p>
    <w:p w14:paraId="1B680F06"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Feeling dizzy or weak.</w:t>
      </w:r>
    </w:p>
    <w:p w14:paraId="1B680F07"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Difficulty in sleeping (insomnia).</w:t>
      </w:r>
    </w:p>
    <w:p w14:paraId="1B680F08"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Discharge from the eye with itching, redness and swelling (conjunctivitis), watery eyes or having blurred vision.</w:t>
      </w:r>
    </w:p>
    <w:p w14:paraId="1B680F09"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Nose bleeds.</w:t>
      </w:r>
    </w:p>
    <w:p w14:paraId="1B680F0A"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Pain or swelling in your abdomen, flatulence, heartburn or constipation.</w:t>
      </w:r>
    </w:p>
    <w:p w14:paraId="1B680F0B"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Itching.</w:t>
      </w:r>
    </w:p>
    <w:p w14:paraId="1B680F0C"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Unusual hair loss or thinning.</w:t>
      </w:r>
    </w:p>
    <w:p w14:paraId="1B680F0D"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Numbness of the hands or feet.</w:t>
      </w:r>
    </w:p>
    <w:p w14:paraId="1B680F0E"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Mouth ulcers.</w:t>
      </w:r>
    </w:p>
    <w:p w14:paraId="1B680F0F"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Joint pain with swelling.</w:t>
      </w:r>
    </w:p>
    <w:p w14:paraId="1B680F10"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Dry mouth, dry skin or dry eye.</w:t>
      </w:r>
    </w:p>
    <w:p w14:paraId="1B680F11" w14:textId="77777777" w:rsidR="00F76DB2" w:rsidRPr="00654EF1" w:rsidRDefault="00F76DB2"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Decreased or increased skin sensitivity.</w:t>
      </w:r>
    </w:p>
    <w:p w14:paraId="1B680F12" w14:textId="77777777" w:rsidR="00F76DB2" w:rsidRPr="00654EF1" w:rsidRDefault="00F76DB2" w:rsidP="001D5C8C">
      <w:pPr>
        <w:pStyle w:val="Text"/>
        <w:keepN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Hot flushes, chills or night sweats.</w:t>
      </w:r>
    </w:p>
    <w:p w14:paraId="1B680F13" w14:textId="77777777" w:rsidR="00F76DB2" w:rsidRPr="00654EF1" w:rsidRDefault="00F76DB2" w:rsidP="001D5C8C">
      <w:pPr>
        <w:pStyle w:val="Text"/>
        <w:widowControl w:val="0"/>
        <w:spacing w:before="0"/>
        <w:jc w:val="left"/>
        <w:rPr>
          <w:b/>
          <w:color w:val="000000"/>
          <w:sz w:val="22"/>
          <w:szCs w:val="22"/>
          <w:lang w:val="en-GB"/>
        </w:rPr>
      </w:pPr>
      <w:r w:rsidRPr="00654EF1">
        <w:rPr>
          <w:color w:val="000000"/>
          <w:sz w:val="22"/>
          <w:szCs w:val="22"/>
          <w:lang w:val="en-GB"/>
        </w:rPr>
        <w:t xml:space="preserve">If any of these affects you severely, </w:t>
      </w:r>
      <w:r w:rsidRPr="00654EF1">
        <w:rPr>
          <w:b/>
          <w:color w:val="000000"/>
          <w:sz w:val="22"/>
          <w:szCs w:val="22"/>
          <w:lang w:val="en-GB"/>
        </w:rPr>
        <w:t>tell your doctor.</w:t>
      </w:r>
    </w:p>
    <w:p w14:paraId="1B680F14" w14:textId="77777777" w:rsidR="00F76DB2" w:rsidRPr="00654EF1" w:rsidRDefault="00F76DB2" w:rsidP="001D5C8C">
      <w:pPr>
        <w:pStyle w:val="Text"/>
        <w:widowControl w:val="0"/>
        <w:spacing w:before="0"/>
        <w:jc w:val="left"/>
        <w:rPr>
          <w:color w:val="000000"/>
          <w:sz w:val="22"/>
          <w:szCs w:val="22"/>
          <w:lang w:val="en-GB"/>
        </w:rPr>
      </w:pPr>
    </w:p>
    <w:p w14:paraId="1B680F15" w14:textId="77777777" w:rsidR="00666171" w:rsidRPr="00654EF1" w:rsidRDefault="00666171" w:rsidP="001D5C8C">
      <w:pPr>
        <w:pStyle w:val="Text"/>
        <w:keepNext/>
        <w:widowControl w:val="0"/>
        <w:spacing w:before="0"/>
        <w:jc w:val="left"/>
        <w:rPr>
          <w:b/>
          <w:bCs/>
          <w:color w:val="000000"/>
          <w:sz w:val="22"/>
          <w:szCs w:val="22"/>
          <w:lang w:val="en-GB"/>
        </w:rPr>
      </w:pPr>
      <w:r w:rsidRPr="00654EF1">
        <w:rPr>
          <w:b/>
          <w:bCs/>
          <w:color w:val="000000"/>
          <w:sz w:val="22"/>
          <w:szCs w:val="22"/>
          <w:lang w:val="en-GB"/>
        </w:rPr>
        <w:t>Not known</w:t>
      </w:r>
      <w:r w:rsidRPr="00654EF1">
        <w:rPr>
          <w:bCs/>
          <w:color w:val="000000"/>
          <w:sz w:val="22"/>
          <w:szCs w:val="22"/>
          <w:lang w:val="en-GB"/>
        </w:rPr>
        <w:t xml:space="preserve"> (</w:t>
      </w:r>
      <w:r w:rsidRPr="00654EF1">
        <w:rPr>
          <w:color w:val="000000"/>
          <w:sz w:val="22"/>
          <w:szCs w:val="22"/>
          <w:lang w:val="en-GB"/>
        </w:rPr>
        <w:t>frequency cannot be estimated from the available data</w:t>
      </w:r>
      <w:r w:rsidRPr="00654EF1">
        <w:rPr>
          <w:bCs/>
          <w:color w:val="000000"/>
          <w:sz w:val="22"/>
          <w:szCs w:val="22"/>
          <w:lang w:val="en-GB"/>
        </w:rPr>
        <w:t>):</w:t>
      </w:r>
    </w:p>
    <w:p w14:paraId="1B680F16" w14:textId="77777777" w:rsidR="00F76DB2" w:rsidRPr="00654EF1" w:rsidRDefault="00F76DB2" w:rsidP="001D5C8C">
      <w:pPr>
        <w:pStyle w:val="Text"/>
        <w:keepNext/>
        <w:widowControl w:val="0"/>
        <w:numPr>
          <w:ilvl w:val="0"/>
          <w:numId w:val="27"/>
        </w:numPr>
        <w:tabs>
          <w:tab w:val="clear" w:pos="357"/>
          <w:tab w:val="num" w:pos="567"/>
        </w:tabs>
        <w:spacing w:before="0"/>
        <w:ind w:left="567" w:hanging="567"/>
        <w:jc w:val="left"/>
        <w:rPr>
          <w:color w:val="000000"/>
          <w:sz w:val="22"/>
          <w:szCs w:val="22"/>
        </w:rPr>
      </w:pPr>
      <w:r w:rsidRPr="00654EF1">
        <w:rPr>
          <w:color w:val="000000"/>
          <w:sz w:val="22"/>
          <w:szCs w:val="22"/>
          <w:lang w:val="en-GB"/>
        </w:rPr>
        <w:t xml:space="preserve">Reddening and/or swelling on the palms of the hands and soles of the feet </w:t>
      </w:r>
      <w:r w:rsidRPr="00654EF1">
        <w:rPr>
          <w:color w:val="000000"/>
          <w:sz w:val="22"/>
          <w:szCs w:val="22"/>
        </w:rPr>
        <w:t>which may be accompanied by tingling sensation and burning pain.</w:t>
      </w:r>
    </w:p>
    <w:p w14:paraId="1B680F17" w14:textId="77777777" w:rsidR="00BC3202" w:rsidRPr="00654EF1" w:rsidRDefault="00BC3202" w:rsidP="001D5C8C">
      <w:pPr>
        <w:pStyle w:val="Text"/>
        <w:widowControl w:val="0"/>
        <w:numPr>
          <w:ilvl w:val="0"/>
          <w:numId w:val="27"/>
        </w:numPr>
        <w:tabs>
          <w:tab w:val="clear" w:pos="357"/>
          <w:tab w:val="num" w:pos="567"/>
        </w:tabs>
        <w:spacing w:before="0"/>
        <w:ind w:left="567" w:hanging="567"/>
        <w:jc w:val="left"/>
        <w:rPr>
          <w:color w:val="000000"/>
          <w:sz w:val="22"/>
          <w:szCs w:val="22"/>
        </w:rPr>
      </w:pPr>
      <w:r w:rsidRPr="00654EF1">
        <w:rPr>
          <w:color w:val="000000"/>
          <w:sz w:val="22"/>
          <w:szCs w:val="22"/>
        </w:rPr>
        <w:t>Painful and/or blistering skin lesions</w:t>
      </w:r>
      <w:r w:rsidR="004E3C11" w:rsidRPr="00654EF1">
        <w:rPr>
          <w:color w:val="000000"/>
          <w:sz w:val="22"/>
          <w:szCs w:val="22"/>
        </w:rPr>
        <w:t>.</w:t>
      </w:r>
    </w:p>
    <w:p w14:paraId="1B680F18" w14:textId="77777777" w:rsidR="00A03427" w:rsidRPr="00654EF1" w:rsidRDefault="00F76DB2"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sz w:val="22"/>
          <w:szCs w:val="22"/>
          <w:lang w:val="en-GB"/>
        </w:rPr>
        <w:t>Slowing of growth in children and adolescents.</w:t>
      </w:r>
    </w:p>
    <w:p w14:paraId="1B680F19" w14:textId="77777777" w:rsidR="00F76DB2" w:rsidRPr="00654EF1" w:rsidRDefault="00F76DB2" w:rsidP="001D5C8C">
      <w:pPr>
        <w:pStyle w:val="Text"/>
        <w:widowControl w:val="0"/>
        <w:spacing w:before="0"/>
        <w:jc w:val="left"/>
        <w:rPr>
          <w:color w:val="000000"/>
          <w:sz w:val="22"/>
          <w:szCs w:val="22"/>
        </w:rPr>
      </w:pPr>
      <w:r w:rsidRPr="00654EF1">
        <w:rPr>
          <w:color w:val="000000"/>
          <w:sz w:val="22"/>
          <w:szCs w:val="22"/>
          <w:lang w:val="en-GB"/>
        </w:rPr>
        <w:t xml:space="preserve">If any of these affects you severely, </w:t>
      </w:r>
      <w:r w:rsidRPr="00654EF1">
        <w:rPr>
          <w:b/>
          <w:color w:val="000000"/>
          <w:sz w:val="22"/>
          <w:szCs w:val="22"/>
          <w:lang w:val="en-GB"/>
        </w:rPr>
        <w:t>tell your doctor.</w:t>
      </w:r>
    </w:p>
    <w:p w14:paraId="1B680F1A" w14:textId="77777777" w:rsidR="00FF19FF" w:rsidRPr="00654EF1" w:rsidRDefault="00FF19FF" w:rsidP="001D5C8C">
      <w:pPr>
        <w:pStyle w:val="Text"/>
        <w:widowControl w:val="0"/>
        <w:spacing w:before="0"/>
        <w:jc w:val="left"/>
        <w:rPr>
          <w:color w:val="000000"/>
          <w:sz w:val="22"/>
          <w:szCs w:val="22"/>
        </w:rPr>
      </w:pPr>
    </w:p>
    <w:p w14:paraId="1B680F1B" w14:textId="77777777" w:rsidR="00FF19FF" w:rsidRPr="00654EF1" w:rsidRDefault="00FF19FF" w:rsidP="001D5C8C">
      <w:pPr>
        <w:pStyle w:val="Text"/>
        <w:keepNext/>
        <w:widowControl w:val="0"/>
        <w:spacing w:before="0"/>
        <w:jc w:val="left"/>
        <w:rPr>
          <w:b/>
          <w:color w:val="000000"/>
          <w:sz w:val="22"/>
          <w:szCs w:val="22"/>
          <w:lang w:val="en-GB"/>
        </w:rPr>
      </w:pPr>
      <w:r w:rsidRPr="00654EF1">
        <w:rPr>
          <w:b/>
          <w:color w:val="000000"/>
          <w:sz w:val="22"/>
          <w:szCs w:val="22"/>
          <w:lang w:val="en-GB"/>
        </w:rPr>
        <w:t>Reporting of side effects</w:t>
      </w:r>
    </w:p>
    <w:p w14:paraId="1B680F1C" w14:textId="77777777" w:rsidR="00FF19FF" w:rsidRPr="00654EF1" w:rsidRDefault="00FF19FF" w:rsidP="001D5C8C">
      <w:pPr>
        <w:pStyle w:val="Text"/>
        <w:widowControl w:val="0"/>
        <w:spacing w:before="0"/>
        <w:jc w:val="left"/>
        <w:rPr>
          <w:color w:val="000000"/>
          <w:sz w:val="22"/>
          <w:szCs w:val="22"/>
          <w:lang w:val="en-GB"/>
        </w:rPr>
      </w:pPr>
      <w:r w:rsidRPr="00654EF1">
        <w:rPr>
          <w:color w:val="000000"/>
          <w:sz w:val="22"/>
          <w:szCs w:val="22"/>
          <w:lang w:val="en-GB"/>
        </w:rPr>
        <w:t xml:space="preserve">If you get any side effects, talk to your doctor, pharmacist or nurse. This includes any possible side effects not listed in this leaflet. You can also report side effects directly </w:t>
      </w:r>
      <w:r w:rsidRPr="00654EF1">
        <w:rPr>
          <w:color w:val="000000"/>
          <w:sz w:val="22"/>
          <w:szCs w:val="22"/>
          <w:shd w:val="clear" w:color="auto" w:fill="D9D9D9"/>
          <w:lang w:val="en-GB"/>
        </w:rPr>
        <w:t xml:space="preserve">via the national reporting system listed in </w:t>
      </w:r>
      <w:hyperlink r:id="rId16" w:history="1">
        <w:r w:rsidRPr="00654EF1">
          <w:rPr>
            <w:rStyle w:val="Hyperlink"/>
            <w:sz w:val="22"/>
            <w:szCs w:val="22"/>
            <w:shd w:val="clear" w:color="auto" w:fill="D9D9D9"/>
            <w:lang w:val="en-GB"/>
          </w:rPr>
          <w:t>Appendix V</w:t>
        </w:r>
      </w:hyperlink>
      <w:r w:rsidRPr="00654EF1">
        <w:rPr>
          <w:color w:val="000000"/>
          <w:sz w:val="22"/>
          <w:szCs w:val="22"/>
          <w:shd w:val="clear" w:color="auto" w:fill="FFFFFF"/>
          <w:lang w:val="en-GB"/>
        </w:rPr>
        <w:t>.</w:t>
      </w:r>
      <w:r w:rsidRPr="00654EF1">
        <w:rPr>
          <w:color w:val="000000"/>
          <w:sz w:val="22"/>
          <w:szCs w:val="22"/>
          <w:lang w:val="en-GB"/>
        </w:rPr>
        <w:t xml:space="preserve"> By reporting side effects you can help provide more information on the safety of this medicine.</w:t>
      </w:r>
    </w:p>
    <w:p w14:paraId="1B680F1D" w14:textId="77777777" w:rsidR="00FF19FF" w:rsidRPr="00654EF1" w:rsidRDefault="00FF19FF" w:rsidP="001D5C8C">
      <w:pPr>
        <w:widowControl w:val="0"/>
        <w:numPr>
          <w:ilvl w:val="12"/>
          <w:numId w:val="0"/>
        </w:numPr>
        <w:tabs>
          <w:tab w:val="clear" w:pos="567"/>
        </w:tabs>
        <w:spacing w:line="240" w:lineRule="auto"/>
        <w:ind w:right="-2"/>
        <w:rPr>
          <w:color w:val="000000"/>
          <w:szCs w:val="22"/>
        </w:rPr>
      </w:pPr>
    </w:p>
    <w:p w14:paraId="1B680F1E"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F1F" w14:textId="77777777" w:rsidR="00F76DB2" w:rsidRPr="00654EF1" w:rsidRDefault="00F76DB2"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5.</w:t>
      </w:r>
      <w:r w:rsidRPr="00654EF1">
        <w:rPr>
          <w:b/>
          <w:color w:val="000000"/>
          <w:szCs w:val="22"/>
        </w:rPr>
        <w:tab/>
        <w:t>How to store Glivec</w:t>
      </w:r>
    </w:p>
    <w:p w14:paraId="1B680F20" w14:textId="77777777" w:rsidR="00F76DB2" w:rsidRPr="00654EF1" w:rsidRDefault="00F76DB2" w:rsidP="001D5C8C">
      <w:pPr>
        <w:keepNext/>
        <w:widowControl w:val="0"/>
        <w:numPr>
          <w:ilvl w:val="12"/>
          <w:numId w:val="0"/>
        </w:numPr>
        <w:tabs>
          <w:tab w:val="clear" w:pos="567"/>
        </w:tabs>
        <w:spacing w:line="240" w:lineRule="auto"/>
        <w:ind w:right="-2"/>
        <w:rPr>
          <w:color w:val="000000"/>
          <w:szCs w:val="22"/>
        </w:rPr>
      </w:pPr>
    </w:p>
    <w:p w14:paraId="1B680F21" w14:textId="77777777" w:rsidR="00F76DB2" w:rsidRPr="00654EF1" w:rsidRDefault="00F76DB2" w:rsidP="00841297">
      <w:pPr>
        <w:pStyle w:val="Text"/>
        <w:widowControl w:val="0"/>
        <w:numPr>
          <w:ilvl w:val="0"/>
          <w:numId w:val="2"/>
        </w:numPr>
        <w:tabs>
          <w:tab w:val="clear" w:pos="360"/>
          <w:tab w:val="num" w:pos="0"/>
        </w:tabs>
        <w:spacing w:before="0"/>
        <w:ind w:left="567" w:hanging="567"/>
        <w:rPr>
          <w:color w:val="000000"/>
          <w:sz w:val="22"/>
          <w:szCs w:val="22"/>
          <w:lang w:val="en-GB"/>
        </w:rPr>
      </w:pPr>
      <w:r w:rsidRPr="00654EF1">
        <w:rPr>
          <w:color w:val="000000"/>
          <w:sz w:val="22"/>
          <w:szCs w:val="22"/>
          <w:lang w:val="en-GB"/>
        </w:rPr>
        <w:t>Keep this medicine out of the sight and reach of children.</w:t>
      </w:r>
    </w:p>
    <w:p w14:paraId="1B680F22" w14:textId="77777777" w:rsidR="00F76DB2" w:rsidRPr="00654EF1" w:rsidRDefault="00F76DB2" w:rsidP="00841297">
      <w:pPr>
        <w:pStyle w:val="Text"/>
        <w:widowControl w:val="0"/>
        <w:numPr>
          <w:ilvl w:val="0"/>
          <w:numId w:val="2"/>
        </w:numPr>
        <w:tabs>
          <w:tab w:val="clear" w:pos="360"/>
          <w:tab w:val="num" w:pos="0"/>
        </w:tabs>
        <w:spacing w:before="0"/>
        <w:ind w:left="567" w:hanging="567"/>
        <w:jc w:val="left"/>
        <w:rPr>
          <w:color w:val="000000"/>
          <w:sz w:val="22"/>
          <w:szCs w:val="22"/>
          <w:lang w:val="en-GB"/>
        </w:rPr>
      </w:pPr>
      <w:r w:rsidRPr="00654EF1">
        <w:rPr>
          <w:color w:val="000000"/>
          <w:sz w:val="22"/>
          <w:szCs w:val="22"/>
          <w:lang w:val="en-GB"/>
        </w:rPr>
        <w:t>Do not use this medicine after the expiry date which is stated on the carton</w:t>
      </w:r>
      <w:r w:rsidR="00322854" w:rsidRPr="00654EF1">
        <w:rPr>
          <w:color w:val="000000"/>
          <w:sz w:val="22"/>
          <w:szCs w:val="22"/>
          <w:lang w:val="en-GB"/>
        </w:rPr>
        <w:t xml:space="preserve"> after EXP</w:t>
      </w:r>
      <w:r w:rsidRPr="00654EF1">
        <w:rPr>
          <w:color w:val="000000"/>
          <w:sz w:val="22"/>
          <w:szCs w:val="22"/>
          <w:lang w:val="en-GB"/>
        </w:rPr>
        <w:t>.</w:t>
      </w:r>
    </w:p>
    <w:p w14:paraId="1B680F23" w14:textId="77777777" w:rsidR="00F76DB2" w:rsidRPr="00654EF1" w:rsidRDefault="00F76DB2" w:rsidP="00841297">
      <w:pPr>
        <w:pStyle w:val="Text"/>
        <w:widowControl w:val="0"/>
        <w:numPr>
          <w:ilvl w:val="0"/>
          <w:numId w:val="2"/>
        </w:numPr>
        <w:tabs>
          <w:tab w:val="clear" w:pos="360"/>
          <w:tab w:val="num" w:pos="0"/>
        </w:tabs>
        <w:spacing w:before="0"/>
        <w:ind w:left="567" w:hanging="567"/>
        <w:jc w:val="left"/>
        <w:rPr>
          <w:color w:val="000000"/>
          <w:sz w:val="22"/>
          <w:szCs w:val="22"/>
          <w:lang w:val="en-GB"/>
        </w:rPr>
      </w:pPr>
      <w:r w:rsidRPr="00654EF1">
        <w:rPr>
          <w:color w:val="000000"/>
          <w:sz w:val="22"/>
          <w:szCs w:val="22"/>
          <w:lang w:val="en-GB"/>
        </w:rPr>
        <w:t>Do not store above 30°C.</w:t>
      </w:r>
    </w:p>
    <w:p w14:paraId="1B680F24" w14:textId="77777777" w:rsidR="00F76DB2" w:rsidRPr="00654EF1" w:rsidRDefault="00F76DB2" w:rsidP="00841297">
      <w:pPr>
        <w:pStyle w:val="Text"/>
        <w:widowControl w:val="0"/>
        <w:numPr>
          <w:ilvl w:val="0"/>
          <w:numId w:val="2"/>
        </w:numPr>
        <w:tabs>
          <w:tab w:val="clear" w:pos="360"/>
          <w:tab w:val="num" w:pos="0"/>
        </w:tabs>
        <w:spacing w:before="0"/>
        <w:ind w:left="567" w:hanging="567"/>
        <w:jc w:val="left"/>
        <w:rPr>
          <w:color w:val="000000"/>
          <w:sz w:val="22"/>
          <w:szCs w:val="22"/>
          <w:lang w:val="en-GB"/>
        </w:rPr>
      </w:pPr>
      <w:r w:rsidRPr="00654EF1">
        <w:rPr>
          <w:color w:val="000000"/>
          <w:sz w:val="22"/>
          <w:szCs w:val="22"/>
          <w:lang w:val="en-GB"/>
        </w:rPr>
        <w:t>Store in the original package in order to protect from moisture.</w:t>
      </w:r>
    </w:p>
    <w:p w14:paraId="1B680F25" w14:textId="77777777" w:rsidR="00F76DB2" w:rsidRPr="00654EF1" w:rsidRDefault="00F76DB2" w:rsidP="00841297">
      <w:pPr>
        <w:pStyle w:val="Text"/>
        <w:widowControl w:val="0"/>
        <w:numPr>
          <w:ilvl w:val="0"/>
          <w:numId w:val="2"/>
        </w:numPr>
        <w:tabs>
          <w:tab w:val="clear" w:pos="360"/>
          <w:tab w:val="num" w:pos="0"/>
        </w:tabs>
        <w:spacing w:before="0"/>
        <w:ind w:left="567" w:hanging="567"/>
        <w:jc w:val="left"/>
        <w:rPr>
          <w:color w:val="000000"/>
          <w:sz w:val="22"/>
          <w:szCs w:val="22"/>
          <w:lang w:val="en-GB"/>
        </w:rPr>
      </w:pPr>
      <w:r w:rsidRPr="00654EF1">
        <w:rPr>
          <w:color w:val="000000"/>
          <w:sz w:val="22"/>
          <w:szCs w:val="22"/>
          <w:lang w:val="en-GB"/>
        </w:rPr>
        <w:t>Do not use any pack that is damaged or shows signs of tampering.</w:t>
      </w:r>
    </w:p>
    <w:p w14:paraId="1B680F26" w14:textId="77777777" w:rsidR="00F76DB2" w:rsidRPr="00654EF1" w:rsidRDefault="007F35BE" w:rsidP="001D5C8C">
      <w:pPr>
        <w:pStyle w:val="Text"/>
        <w:widowControl w:val="0"/>
        <w:numPr>
          <w:ilvl w:val="0"/>
          <w:numId w:val="2"/>
        </w:numPr>
        <w:tabs>
          <w:tab w:val="clear" w:pos="360"/>
        </w:tabs>
        <w:spacing w:before="0"/>
        <w:ind w:left="567" w:hanging="567"/>
        <w:jc w:val="left"/>
        <w:rPr>
          <w:color w:val="000000"/>
          <w:sz w:val="22"/>
          <w:szCs w:val="22"/>
          <w:lang w:val="en-GB"/>
        </w:rPr>
      </w:pPr>
      <w:r w:rsidRPr="00654EF1">
        <w:rPr>
          <w:color w:val="000000"/>
          <w:sz w:val="22"/>
          <w:szCs w:val="22"/>
          <w:lang w:val="en-GB"/>
        </w:rPr>
        <w:t>Do not throw away any medicines via wastewater or household waste. Ask your pharmacist how to throw away medicines you no longer use. These measures will help protect the environment.</w:t>
      </w:r>
    </w:p>
    <w:p w14:paraId="1B680F27" w14:textId="77777777" w:rsidR="00F76DB2" w:rsidRPr="00654EF1" w:rsidRDefault="00F76DB2" w:rsidP="001D5C8C">
      <w:pPr>
        <w:widowControl w:val="0"/>
        <w:numPr>
          <w:ilvl w:val="12"/>
          <w:numId w:val="0"/>
        </w:numPr>
        <w:tabs>
          <w:tab w:val="clear" w:pos="567"/>
        </w:tabs>
        <w:spacing w:line="240" w:lineRule="auto"/>
        <w:ind w:right="-2"/>
        <w:rPr>
          <w:color w:val="000000"/>
          <w:szCs w:val="22"/>
        </w:rPr>
      </w:pPr>
    </w:p>
    <w:p w14:paraId="1B680F28" w14:textId="77777777" w:rsidR="004C3AFB" w:rsidRPr="00654EF1" w:rsidRDefault="004C3AFB" w:rsidP="001D5C8C">
      <w:pPr>
        <w:widowControl w:val="0"/>
        <w:numPr>
          <w:ilvl w:val="12"/>
          <w:numId w:val="0"/>
        </w:numPr>
        <w:tabs>
          <w:tab w:val="clear" w:pos="567"/>
        </w:tabs>
        <w:spacing w:line="240" w:lineRule="auto"/>
        <w:ind w:right="-2"/>
        <w:rPr>
          <w:color w:val="000000"/>
          <w:szCs w:val="22"/>
        </w:rPr>
      </w:pPr>
    </w:p>
    <w:p w14:paraId="1B680F29" w14:textId="77777777" w:rsidR="00BB30F2" w:rsidRPr="00654EF1" w:rsidRDefault="00BB30F2" w:rsidP="001D5C8C">
      <w:pPr>
        <w:keepNext/>
        <w:widowControl w:val="0"/>
        <w:numPr>
          <w:ilvl w:val="12"/>
          <w:numId w:val="0"/>
        </w:numPr>
        <w:tabs>
          <w:tab w:val="clear" w:pos="567"/>
        </w:tabs>
        <w:spacing w:line="240" w:lineRule="auto"/>
        <w:ind w:right="-2"/>
        <w:rPr>
          <w:caps/>
          <w:color w:val="000000"/>
          <w:szCs w:val="22"/>
        </w:rPr>
      </w:pPr>
      <w:r w:rsidRPr="00654EF1">
        <w:rPr>
          <w:b/>
          <w:caps/>
          <w:color w:val="000000"/>
          <w:szCs w:val="22"/>
        </w:rPr>
        <w:t>6.</w:t>
      </w:r>
      <w:r w:rsidRPr="00654EF1">
        <w:rPr>
          <w:b/>
          <w:caps/>
          <w:color w:val="000000"/>
          <w:szCs w:val="22"/>
        </w:rPr>
        <w:tab/>
      </w:r>
      <w:r w:rsidR="00F76DB2" w:rsidRPr="00654EF1">
        <w:rPr>
          <w:b/>
          <w:color w:val="000000"/>
          <w:szCs w:val="22"/>
        </w:rPr>
        <w:t>Contents of the pack and other information</w:t>
      </w:r>
    </w:p>
    <w:p w14:paraId="1B680F2A" w14:textId="77777777" w:rsidR="00BB30F2" w:rsidRPr="00654EF1" w:rsidRDefault="00BB30F2" w:rsidP="001D5C8C">
      <w:pPr>
        <w:keepNext/>
        <w:widowControl w:val="0"/>
        <w:numPr>
          <w:ilvl w:val="12"/>
          <w:numId w:val="0"/>
        </w:numPr>
        <w:tabs>
          <w:tab w:val="clear" w:pos="567"/>
        </w:tabs>
        <w:spacing w:line="240" w:lineRule="auto"/>
        <w:ind w:right="-2"/>
        <w:rPr>
          <w:color w:val="000000"/>
          <w:szCs w:val="22"/>
        </w:rPr>
      </w:pPr>
    </w:p>
    <w:p w14:paraId="1B680F2B" w14:textId="77777777" w:rsidR="00BD7C09" w:rsidRPr="00654EF1" w:rsidRDefault="00BC1920" w:rsidP="001D5C8C">
      <w:pPr>
        <w:pStyle w:val="EndnoteText"/>
        <w:keepNext/>
        <w:widowControl w:val="0"/>
        <w:tabs>
          <w:tab w:val="clear" w:pos="567"/>
        </w:tabs>
        <w:rPr>
          <w:b/>
          <w:color w:val="000000"/>
          <w:szCs w:val="22"/>
        </w:rPr>
      </w:pPr>
      <w:r w:rsidRPr="00654EF1">
        <w:rPr>
          <w:b/>
          <w:color w:val="000000"/>
          <w:szCs w:val="22"/>
        </w:rPr>
        <w:t>What Glivec contains</w:t>
      </w:r>
    </w:p>
    <w:p w14:paraId="1B680F2C" w14:textId="77777777" w:rsidR="00BD7C09" w:rsidRPr="00654EF1" w:rsidRDefault="00BD7C09"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The active substance is imatinib mesilate.</w:t>
      </w:r>
      <w:r w:rsidR="007C5803" w:rsidRPr="00654EF1">
        <w:rPr>
          <w:color w:val="000000"/>
          <w:szCs w:val="22"/>
        </w:rPr>
        <w:t xml:space="preserve"> Each capsule of Glivec contains 100 mg imatinib</w:t>
      </w:r>
      <w:r w:rsidR="008A04A6" w:rsidRPr="00654EF1">
        <w:rPr>
          <w:color w:val="000000"/>
          <w:szCs w:val="22"/>
        </w:rPr>
        <w:t xml:space="preserve"> (as</w:t>
      </w:r>
      <w:r w:rsidR="007C5803" w:rsidRPr="00654EF1">
        <w:rPr>
          <w:color w:val="000000"/>
          <w:szCs w:val="22"/>
        </w:rPr>
        <w:t xml:space="preserve"> mesilate</w:t>
      </w:r>
      <w:r w:rsidR="008A04A6" w:rsidRPr="00654EF1">
        <w:rPr>
          <w:color w:val="000000"/>
          <w:szCs w:val="22"/>
        </w:rPr>
        <w:t>)</w:t>
      </w:r>
      <w:r w:rsidR="007C5803" w:rsidRPr="00654EF1">
        <w:rPr>
          <w:color w:val="000000"/>
          <w:szCs w:val="22"/>
        </w:rPr>
        <w:t>.</w:t>
      </w:r>
    </w:p>
    <w:p w14:paraId="1B680F2D" w14:textId="77777777" w:rsidR="00BD7C09" w:rsidRPr="00654EF1" w:rsidRDefault="00BD7C09"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The other ingredients are microcrystalline cellulose, crospovidone, magnesium stearate and anhydrous colloidal silica. The capsule shell is composed of gelatin, red iron oxide (E172), yellow iron oxide (E172)</w:t>
      </w:r>
      <w:r w:rsidR="00CE7139" w:rsidRPr="00654EF1">
        <w:rPr>
          <w:color w:val="000000"/>
          <w:szCs w:val="22"/>
        </w:rPr>
        <w:t xml:space="preserve"> </w:t>
      </w:r>
      <w:r w:rsidRPr="00654EF1">
        <w:rPr>
          <w:color w:val="000000"/>
          <w:szCs w:val="22"/>
        </w:rPr>
        <w:t>and titanium dioxide (E171). The printing ink is composed of red iron oxide (E172)</w:t>
      </w:r>
      <w:r w:rsidR="00E12E6C" w:rsidRPr="00654EF1">
        <w:rPr>
          <w:color w:val="000000"/>
          <w:szCs w:val="22"/>
        </w:rPr>
        <w:t xml:space="preserve"> and </w:t>
      </w:r>
      <w:r w:rsidRPr="00654EF1">
        <w:rPr>
          <w:color w:val="000000"/>
          <w:szCs w:val="22"/>
        </w:rPr>
        <w:t>shellac.</w:t>
      </w:r>
    </w:p>
    <w:p w14:paraId="1B680F2E" w14:textId="77777777" w:rsidR="00BC1920" w:rsidRPr="00654EF1" w:rsidRDefault="00BC1920" w:rsidP="001D5C8C">
      <w:pPr>
        <w:pStyle w:val="Text"/>
        <w:widowControl w:val="0"/>
        <w:spacing w:before="0"/>
        <w:jc w:val="left"/>
        <w:rPr>
          <w:color w:val="000000"/>
          <w:sz w:val="22"/>
          <w:szCs w:val="22"/>
          <w:lang w:val="en-GB"/>
        </w:rPr>
      </w:pPr>
    </w:p>
    <w:p w14:paraId="1B680F2F" w14:textId="77777777" w:rsidR="00BC1920" w:rsidRPr="00654EF1" w:rsidRDefault="00BC1920" w:rsidP="001D5C8C">
      <w:pPr>
        <w:pStyle w:val="Text"/>
        <w:keepNext/>
        <w:widowControl w:val="0"/>
        <w:spacing w:before="0"/>
        <w:jc w:val="left"/>
        <w:rPr>
          <w:b/>
          <w:color w:val="000000"/>
          <w:sz w:val="22"/>
          <w:szCs w:val="22"/>
          <w:lang w:val="en-GB"/>
        </w:rPr>
      </w:pPr>
      <w:r w:rsidRPr="00654EF1">
        <w:rPr>
          <w:b/>
          <w:color w:val="000000"/>
          <w:sz w:val="22"/>
          <w:szCs w:val="22"/>
          <w:lang w:val="en-GB"/>
        </w:rPr>
        <w:t>What Glivec looks like and contents of the pack</w:t>
      </w:r>
    </w:p>
    <w:p w14:paraId="1B680F30" w14:textId="77777777" w:rsidR="00BC1920" w:rsidRPr="00654EF1" w:rsidRDefault="00BC1920" w:rsidP="001D5C8C">
      <w:pPr>
        <w:widowControl w:val="0"/>
        <w:tabs>
          <w:tab w:val="clear" w:pos="567"/>
        </w:tabs>
        <w:spacing w:line="240" w:lineRule="auto"/>
        <w:rPr>
          <w:color w:val="000000"/>
          <w:szCs w:val="22"/>
        </w:rPr>
      </w:pPr>
      <w:r w:rsidRPr="00654EF1">
        <w:rPr>
          <w:color w:val="000000"/>
          <w:szCs w:val="22"/>
        </w:rPr>
        <w:t>Glivec 100 mg capsules are orange to greyish-orange and marked “</w:t>
      </w:r>
      <w:smartTag w:uri="urn:schemas-microsoft-com:office:smarttags" w:element="stockticker">
        <w:r w:rsidRPr="00654EF1">
          <w:rPr>
            <w:color w:val="000000"/>
            <w:szCs w:val="22"/>
          </w:rPr>
          <w:t>NVR</w:t>
        </w:r>
      </w:smartTag>
      <w:r w:rsidRPr="00654EF1">
        <w:rPr>
          <w:color w:val="000000"/>
          <w:szCs w:val="22"/>
        </w:rPr>
        <w:t xml:space="preserve"> SI”. They contain a white to </w:t>
      </w:r>
      <w:r w:rsidRPr="00654EF1">
        <w:rPr>
          <w:color w:val="000000"/>
          <w:szCs w:val="22"/>
        </w:rPr>
        <w:lastRenderedPageBreak/>
        <w:t>yellow powder.</w:t>
      </w:r>
    </w:p>
    <w:p w14:paraId="1B680F31" w14:textId="77777777" w:rsidR="00BC1920" w:rsidRPr="00654EF1" w:rsidRDefault="00BC1920" w:rsidP="001D5C8C">
      <w:pPr>
        <w:pStyle w:val="Text"/>
        <w:widowControl w:val="0"/>
        <w:spacing w:before="0"/>
        <w:jc w:val="left"/>
        <w:rPr>
          <w:color w:val="000000"/>
          <w:sz w:val="22"/>
          <w:szCs w:val="22"/>
          <w:lang w:val="en-GB"/>
        </w:rPr>
      </w:pPr>
    </w:p>
    <w:p w14:paraId="1B680F32" w14:textId="77777777" w:rsidR="00BC1920" w:rsidRPr="00654EF1" w:rsidRDefault="002E028E" w:rsidP="001D5C8C">
      <w:pPr>
        <w:pStyle w:val="EndnoteText"/>
        <w:widowControl w:val="0"/>
        <w:tabs>
          <w:tab w:val="clear" w:pos="567"/>
        </w:tabs>
        <w:rPr>
          <w:color w:val="000000"/>
          <w:szCs w:val="22"/>
        </w:rPr>
      </w:pPr>
      <w:r w:rsidRPr="00654EF1">
        <w:rPr>
          <w:color w:val="000000"/>
        </w:rPr>
        <w:t xml:space="preserve">They </w:t>
      </w:r>
      <w:r w:rsidR="00BC1920" w:rsidRPr="00654EF1">
        <w:rPr>
          <w:color w:val="000000"/>
        </w:rPr>
        <w:t>are supplied in packs containing 24, 48, 96, 120 or 180 capsules</w:t>
      </w:r>
      <w:r w:rsidRPr="00654EF1">
        <w:rPr>
          <w:color w:val="000000"/>
        </w:rPr>
        <w:t xml:space="preserve">, but these may not all be available </w:t>
      </w:r>
      <w:r w:rsidR="00BC1920" w:rsidRPr="00654EF1">
        <w:rPr>
          <w:color w:val="000000"/>
          <w:szCs w:val="22"/>
        </w:rPr>
        <w:t>in your country.</w:t>
      </w:r>
    </w:p>
    <w:p w14:paraId="1B680F33" w14:textId="77777777" w:rsidR="00BD7C09" w:rsidRPr="00654EF1" w:rsidRDefault="00BD7C09" w:rsidP="001D5C8C">
      <w:pPr>
        <w:pStyle w:val="EndnoteText"/>
        <w:widowControl w:val="0"/>
        <w:numPr>
          <w:ilvl w:val="12"/>
          <w:numId w:val="0"/>
        </w:numPr>
        <w:tabs>
          <w:tab w:val="clear" w:pos="567"/>
        </w:tabs>
        <w:rPr>
          <w:color w:val="000000"/>
          <w:szCs w:val="22"/>
        </w:rPr>
      </w:pPr>
    </w:p>
    <w:p w14:paraId="1B680F34" w14:textId="77777777" w:rsidR="00BD7C09" w:rsidRPr="00654EF1" w:rsidRDefault="00BD7C09"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Marketing Authorisation Holder</w:t>
      </w:r>
    </w:p>
    <w:p w14:paraId="1B680F35"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0F36" w14:textId="77777777" w:rsidR="005716CE" w:rsidRPr="00654EF1" w:rsidRDefault="005716CE" w:rsidP="001D5C8C">
      <w:pPr>
        <w:keepNext/>
        <w:widowControl w:val="0"/>
        <w:spacing w:line="240" w:lineRule="auto"/>
        <w:rPr>
          <w:color w:val="000000"/>
        </w:rPr>
      </w:pPr>
      <w:r w:rsidRPr="00654EF1">
        <w:rPr>
          <w:color w:val="000000"/>
        </w:rPr>
        <w:t>Vista Building</w:t>
      </w:r>
    </w:p>
    <w:p w14:paraId="1B680F37"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0F38" w14:textId="77777777" w:rsidR="005716CE" w:rsidRPr="00654EF1" w:rsidRDefault="005716CE" w:rsidP="001D5C8C">
      <w:pPr>
        <w:keepNext/>
        <w:widowControl w:val="0"/>
        <w:spacing w:line="240" w:lineRule="auto"/>
        <w:rPr>
          <w:color w:val="000000"/>
        </w:rPr>
      </w:pPr>
      <w:r w:rsidRPr="00654EF1">
        <w:rPr>
          <w:color w:val="000000"/>
        </w:rPr>
        <w:t>Dublin 4</w:t>
      </w:r>
    </w:p>
    <w:p w14:paraId="1B680F39" w14:textId="77777777" w:rsidR="005716CE" w:rsidRPr="00654EF1" w:rsidRDefault="005716CE" w:rsidP="001D5C8C">
      <w:pPr>
        <w:spacing w:line="240" w:lineRule="auto"/>
        <w:rPr>
          <w:color w:val="000000"/>
        </w:rPr>
      </w:pPr>
      <w:r w:rsidRPr="00654EF1">
        <w:rPr>
          <w:color w:val="000000"/>
        </w:rPr>
        <w:t>Ireland</w:t>
      </w:r>
    </w:p>
    <w:p w14:paraId="1B680F3A" w14:textId="77777777" w:rsidR="00BD7C09" w:rsidRPr="00654EF1" w:rsidRDefault="00BD7C09" w:rsidP="001D5C8C">
      <w:pPr>
        <w:pStyle w:val="Text"/>
        <w:widowControl w:val="0"/>
        <w:spacing w:before="0"/>
        <w:jc w:val="left"/>
        <w:rPr>
          <w:color w:val="000000"/>
          <w:sz w:val="22"/>
          <w:szCs w:val="22"/>
          <w:lang w:val="en-GB"/>
        </w:rPr>
      </w:pPr>
    </w:p>
    <w:p w14:paraId="1B680F3B" w14:textId="77777777" w:rsidR="00BD7C09" w:rsidRPr="00654EF1" w:rsidRDefault="00BD7C09"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Manufacturer</w:t>
      </w:r>
    </w:p>
    <w:p w14:paraId="1B680F3C" w14:textId="11453C70" w:rsidR="00BD7C09" w:rsidRPr="00F67498" w:rsidRDefault="00BD7C09" w:rsidP="00A03C50">
      <w:pPr>
        <w:keepNext/>
        <w:widowControl w:val="0"/>
        <w:spacing w:line="240" w:lineRule="auto"/>
        <w:rPr>
          <w:snapToGrid w:val="0"/>
          <w:color w:val="000000"/>
          <w:szCs w:val="22"/>
          <w:lang w:val="en-US"/>
        </w:rPr>
      </w:pPr>
      <w:r w:rsidRPr="00F67498">
        <w:rPr>
          <w:snapToGrid w:val="0"/>
          <w:color w:val="000000"/>
          <w:szCs w:val="22"/>
          <w:lang w:val="en-US"/>
        </w:rPr>
        <w:t>Novartis Pharma GmbH</w:t>
      </w:r>
    </w:p>
    <w:p w14:paraId="1B680F3D" w14:textId="77777777" w:rsidR="00BD7C09" w:rsidRPr="00654EF1" w:rsidRDefault="00BD7C09" w:rsidP="001D5C8C">
      <w:pPr>
        <w:keepNext/>
        <w:widowControl w:val="0"/>
        <w:spacing w:line="240" w:lineRule="auto"/>
        <w:ind w:left="709" w:hanging="709"/>
        <w:rPr>
          <w:snapToGrid w:val="0"/>
          <w:color w:val="000000"/>
          <w:szCs w:val="22"/>
        </w:rPr>
      </w:pPr>
      <w:r w:rsidRPr="00654EF1">
        <w:rPr>
          <w:snapToGrid w:val="0"/>
          <w:color w:val="000000"/>
          <w:szCs w:val="22"/>
        </w:rPr>
        <w:t>Roonstra</w:t>
      </w:r>
      <w:r w:rsidR="00E40CF9" w:rsidRPr="00654EF1">
        <w:rPr>
          <w:snapToGrid w:val="0"/>
          <w:color w:val="000000"/>
          <w:szCs w:val="22"/>
        </w:rPr>
        <w:t>ss</w:t>
      </w:r>
      <w:r w:rsidRPr="00654EF1">
        <w:rPr>
          <w:snapToGrid w:val="0"/>
          <w:color w:val="000000"/>
          <w:szCs w:val="22"/>
        </w:rPr>
        <w:t>e 25</w:t>
      </w:r>
    </w:p>
    <w:p w14:paraId="1B680F3E" w14:textId="77777777" w:rsidR="00BD7C09" w:rsidRPr="00654EF1" w:rsidRDefault="00BD7C09" w:rsidP="001D5C8C">
      <w:pPr>
        <w:keepNext/>
        <w:widowControl w:val="0"/>
        <w:spacing w:line="240" w:lineRule="auto"/>
        <w:ind w:left="709" w:hanging="709"/>
        <w:rPr>
          <w:snapToGrid w:val="0"/>
          <w:color w:val="000000"/>
          <w:szCs w:val="22"/>
        </w:rPr>
      </w:pPr>
      <w:r w:rsidRPr="00654EF1">
        <w:rPr>
          <w:snapToGrid w:val="0"/>
          <w:color w:val="000000"/>
          <w:szCs w:val="22"/>
        </w:rPr>
        <w:t xml:space="preserve">D-90429 </w:t>
      </w:r>
      <w:smartTag w:uri="urn:schemas-microsoft-com:office:smarttags" w:element="City">
        <w:smartTag w:uri="urn:schemas-microsoft-com:office:smarttags" w:element="place">
          <w:r w:rsidRPr="00654EF1">
            <w:rPr>
              <w:snapToGrid w:val="0"/>
              <w:color w:val="000000"/>
              <w:szCs w:val="22"/>
            </w:rPr>
            <w:t>Nuremberg</w:t>
          </w:r>
        </w:smartTag>
      </w:smartTag>
    </w:p>
    <w:p w14:paraId="1B680F3F" w14:textId="1D988E23" w:rsidR="006822C7" w:rsidRDefault="00BD7C09" w:rsidP="004A4055">
      <w:pPr>
        <w:pStyle w:val="EndnoteText"/>
        <w:widowControl w:val="0"/>
        <w:numPr>
          <w:ilvl w:val="12"/>
          <w:numId w:val="0"/>
        </w:numPr>
        <w:tabs>
          <w:tab w:val="clear" w:pos="567"/>
        </w:tabs>
        <w:rPr>
          <w:snapToGrid w:val="0"/>
          <w:color w:val="000000"/>
          <w:szCs w:val="22"/>
        </w:rPr>
      </w:pPr>
      <w:r w:rsidRPr="00654EF1">
        <w:rPr>
          <w:snapToGrid w:val="0"/>
          <w:color w:val="000000"/>
          <w:szCs w:val="22"/>
        </w:rPr>
        <w:t>Germany</w:t>
      </w:r>
    </w:p>
    <w:p w14:paraId="00919FDF" w14:textId="6B235251" w:rsidR="009309DF" w:rsidRDefault="009309DF" w:rsidP="004A4055">
      <w:pPr>
        <w:pStyle w:val="EndnoteText"/>
        <w:widowControl w:val="0"/>
        <w:numPr>
          <w:ilvl w:val="12"/>
          <w:numId w:val="0"/>
        </w:numPr>
        <w:tabs>
          <w:tab w:val="clear" w:pos="567"/>
        </w:tabs>
        <w:rPr>
          <w:snapToGrid w:val="0"/>
          <w:color w:val="000000"/>
          <w:szCs w:val="22"/>
        </w:rPr>
      </w:pPr>
    </w:p>
    <w:p w14:paraId="798A31E4" w14:textId="77777777" w:rsidR="009309DF" w:rsidRPr="00F67498" w:rsidRDefault="009309DF" w:rsidP="008007C5">
      <w:pPr>
        <w:keepNext/>
        <w:widowControl w:val="0"/>
        <w:tabs>
          <w:tab w:val="clear" w:pos="567"/>
        </w:tabs>
        <w:spacing w:line="240" w:lineRule="auto"/>
        <w:ind w:right="-2"/>
        <w:rPr>
          <w:color w:val="000000"/>
          <w:szCs w:val="22"/>
          <w:shd w:val="pct15" w:color="auto" w:fill="auto"/>
          <w:lang w:val="en-US"/>
        </w:rPr>
      </w:pPr>
      <w:r w:rsidRPr="00F67498">
        <w:rPr>
          <w:color w:val="000000"/>
          <w:szCs w:val="22"/>
          <w:shd w:val="pct15" w:color="auto" w:fill="auto"/>
          <w:lang w:val="en-US"/>
        </w:rPr>
        <w:t>Sandoz S.R.L.</w:t>
      </w:r>
    </w:p>
    <w:p w14:paraId="45A8F149" w14:textId="77777777" w:rsidR="009309DF" w:rsidRPr="00F67498" w:rsidRDefault="009309DF" w:rsidP="008007C5">
      <w:pPr>
        <w:keepNext/>
        <w:widowControl w:val="0"/>
        <w:tabs>
          <w:tab w:val="clear" w:pos="567"/>
        </w:tabs>
        <w:spacing w:line="240" w:lineRule="auto"/>
        <w:ind w:right="-2"/>
        <w:rPr>
          <w:color w:val="000000"/>
          <w:szCs w:val="22"/>
          <w:shd w:val="pct15" w:color="auto" w:fill="auto"/>
          <w:lang w:val="en-US"/>
        </w:rPr>
      </w:pPr>
      <w:r w:rsidRPr="00F67498">
        <w:rPr>
          <w:color w:val="000000"/>
          <w:szCs w:val="22"/>
          <w:shd w:val="pct15" w:color="auto" w:fill="auto"/>
          <w:lang w:val="en-US"/>
        </w:rPr>
        <w:t>Str. Livezeni nr. 7A</w:t>
      </w:r>
    </w:p>
    <w:p w14:paraId="7D3D684A" w14:textId="77777777" w:rsidR="009309DF" w:rsidRPr="00F67498" w:rsidRDefault="009309DF" w:rsidP="008007C5">
      <w:pPr>
        <w:keepNext/>
        <w:widowControl w:val="0"/>
        <w:tabs>
          <w:tab w:val="clear" w:pos="567"/>
        </w:tabs>
        <w:spacing w:line="240" w:lineRule="auto"/>
        <w:ind w:right="-2"/>
        <w:rPr>
          <w:color w:val="000000"/>
          <w:szCs w:val="22"/>
          <w:shd w:val="pct15" w:color="auto" w:fill="auto"/>
          <w:lang w:val="en-US"/>
        </w:rPr>
      </w:pPr>
      <w:r w:rsidRPr="00F67498">
        <w:rPr>
          <w:color w:val="000000"/>
          <w:szCs w:val="22"/>
          <w:shd w:val="pct15" w:color="auto" w:fill="auto"/>
          <w:lang w:val="en-US"/>
        </w:rPr>
        <w:t>540472, Targu Mures</w:t>
      </w:r>
    </w:p>
    <w:p w14:paraId="37D6D8DE" w14:textId="4EFF7218" w:rsidR="009309DF" w:rsidRPr="00F67498" w:rsidRDefault="009309DF" w:rsidP="008007C5">
      <w:pPr>
        <w:keepNext/>
        <w:widowControl w:val="0"/>
        <w:tabs>
          <w:tab w:val="clear" w:pos="567"/>
        </w:tabs>
        <w:spacing w:line="240" w:lineRule="auto"/>
        <w:ind w:right="-2"/>
        <w:rPr>
          <w:color w:val="000000"/>
          <w:szCs w:val="22"/>
          <w:shd w:val="pct15" w:color="auto" w:fill="auto"/>
          <w:lang w:val="en-US"/>
        </w:rPr>
      </w:pPr>
      <w:r w:rsidRPr="00F67498">
        <w:rPr>
          <w:color w:val="000000"/>
          <w:szCs w:val="22"/>
          <w:shd w:val="pct15" w:color="auto" w:fill="auto"/>
          <w:lang w:val="en-US"/>
        </w:rPr>
        <w:t>Romania</w:t>
      </w:r>
    </w:p>
    <w:p w14:paraId="1B680F40" w14:textId="77777777" w:rsidR="00BD7C09" w:rsidRPr="00654EF1" w:rsidRDefault="00BD7C09" w:rsidP="001D5C8C">
      <w:pPr>
        <w:pStyle w:val="EndnoteText"/>
        <w:widowControl w:val="0"/>
        <w:numPr>
          <w:ilvl w:val="12"/>
          <w:numId w:val="0"/>
        </w:numPr>
        <w:tabs>
          <w:tab w:val="clear" w:pos="567"/>
        </w:tabs>
        <w:rPr>
          <w:color w:val="000000"/>
          <w:szCs w:val="22"/>
        </w:rPr>
      </w:pPr>
    </w:p>
    <w:p w14:paraId="1B680F41" w14:textId="77777777" w:rsidR="00BB30F2" w:rsidRPr="00654EF1" w:rsidRDefault="00E95FB4" w:rsidP="00B82D5A">
      <w:pPr>
        <w:keepNext/>
        <w:keepLines/>
        <w:widowControl w:val="0"/>
        <w:numPr>
          <w:ilvl w:val="12"/>
          <w:numId w:val="0"/>
        </w:numPr>
        <w:tabs>
          <w:tab w:val="clear" w:pos="567"/>
        </w:tabs>
        <w:spacing w:line="240" w:lineRule="auto"/>
        <w:rPr>
          <w:color w:val="000000"/>
          <w:szCs w:val="22"/>
        </w:rPr>
      </w:pPr>
      <w:r w:rsidRPr="00654EF1">
        <w:rPr>
          <w:color w:val="000000"/>
          <w:szCs w:val="22"/>
        </w:rPr>
        <w:t>For any information</w:t>
      </w:r>
      <w:r w:rsidR="00BB30F2" w:rsidRPr="00654EF1">
        <w:rPr>
          <w:color w:val="000000"/>
          <w:szCs w:val="22"/>
        </w:rPr>
        <w:t xml:space="preserve"> about this medicin</w:t>
      </w:r>
      <w:r w:rsidR="00AC769D" w:rsidRPr="00654EF1">
        <w:rPr>
          <w:color w:val="000000"/>
          <w:szCs w:val="22"/>
        </w:rPr>
        <w:t>e</w:t>
      </w:r>
      <w:r w:rsidR="00BB30F2" w:rsidRPr="00654EF1">
        <w:rPr>
          <w:color w:val="000000"/>
          <w:szCs w:val="22"/>
        </w:rPr>
        <w:t>, please contact the local representative of the Marketing Authorisation Holder.</w:t>
      </w:r>
    </w:p>
    <w:p w14:paraId="1B680F42" w14:textId="77777777" w:rsidR="0000054D" w:rsidRPr="00654EF1" w:rsidRDefault="0000054D" w:rsidP="001D5C8C">
      <w:pPr>
        <w:keepNext/>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00054D" w:rsidRPr="00654EF1" w14:paraId="1B680F4B" w14:textId="77777777" w:rsidTr="00841297">
        <w:trPr>
          <w:cantSplit/>
        </w:trPr>
        <w:tc>
          <w:tcPr>
            <w:tcW w:w="4650" w:type="dxa"/>
          </w:tcPr>
          <w:p w14:paraId="1B680F43"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België/Belgique/Belgien</w:t>
            </w:r>
          </w:p>
          <w:p w14:paraId="1B680F44"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N.V.</w:t>
            </w:r>
          </w:p>
          <w:p w14:paraId="1B680F45" w14:textId="77777777" w:rsidR="0000054D" w:rsidRPr="00654EF1" w:rsidRDefault="0000054D" w:rsidP="001D5C8C">
            <w:pPr>
              <w:widowControl w:val="0"/>
              <w:spacing w:line="240" w:lineRule="auto"/>
              <w:rPr>
                <w:color w:val="000000"/>
                <w:szCs w:val="22"/>
              </w:rPr>
            </w:pPr>
            <w:r w:rsidRPr="00654EF1">
              <w:rPr>
                <w:color w:val="000000"/>
                <w:szCs w:val="22"/>
              </w:rPr>
              <w:t>Tél/Tel: +32 2 246 16 11</w:t>
            </w:r>
          </w:p>
          <w:p w14:paraId="1B680F46" w14:textId="77777777" w:rsidR="0000054D" w:rsidRPr="00654EF1" w:rsidRDefault="0000054D" w:rsidP="001D5C8C">
            <w:pPr>
              <w:widowControl w:val="0"/>
              <w:spacing w:line="240" w:lineRule="auto"/>
              <w:rPr>
                <w:b/>
                <w:color w:val="000000"/>
                <w:szCs w:val="22"/>
              </w:rPr>
            </w:pPr>
          </w:p>
        </w:tc>
        <w:tc>
          <w:tcPr>
            <w:tcW w:w="4650" w:type="dxa"/>
          </w:tcPr>
          <w:p w14:paraId="1B680F47" w14:textId="77777777" w:rsidR="0000054D" w:rsidRPr="00654EF1" w:rsidRDefault="0000054D" w:rsidP="001D5C8C">
            <w:pPr>
              <w:widowControl w:val="0"/>
              <w:spacing w:line="240" w:lineRule="auto"/>
              <w:rPr>
                <w:b/>
                <w:color w:val="000000"/>
                <w:szCs w:val="22"/>
                <w:lang w:val="es-ES"/>
              </w:rPr>
            </w:pPr>
            <w:r w:rsidRPr="00654EF1">
              <w:rPr>
                <w:b/>
                <w:color w:val="000000"/>
                <w:szCs w:val="22"/>
                <w:lang w:val="es-ES"/>
              </w:rPr>
              <w:t>Lietuva</w:t>
            </w:r>
          </w:p>
          <w:p w14:paraId="1B680F48" w14:textId="4F191147" w:rsidR="0000054D" w:rsidRPr="00654EF1" w:rsidRDefault="0061458F" w:rsidP="001D5C8C">
            <w:pPr>
              <w:widowControl w:val="0"/>
              <w:spacing w:line="240" w:lineRule="auto"/>
              <w:rPr>
                <w:color w:val="000000"/>
                <w:szCs w:val="22"/>
                <w:lang w:val="es-ES"/>
              </w:rPr>
            </w:pPr>
            <w:r w:rsidRPr="00654EF1">
              <w:rPr>
                <w:szCs w:val="22"/>
                <w:lang w:val="es-ES"/>
              </w:rPr>
              <w:t>SIA Novartis Baltics Lietuvos filialas</w:t>
            </w:r>
          </w:p>
          <w:p w14:paraId="1B680F49" w14:textId="77777777" w:rsidR="0000054D" w:rsidRPr="00654EF1" w:rsidRDefault="0000054D" w:rsidP="001D5C8C">
            <w:pPr>
              <w:widowControl w:val="0"/>
              <w:spacing w:line="240" w:lineRule="auto"/>
              <w:rPr>
                <w:color w:val="000000"/>
                <w:szCs w:val="22"/>
                <w:lang w:val="es-ES"/>
              </w:rPr>
            </w:pPr>
            <w:r w:rsidRPr="00654EF1">
              <w:rPr>
                <w:color w:val="000000"/>
                <w:szCs w:val="22"/>
                <w:lang w:val="es-ES"/>
              </w:rPr>
              <w:t>Tel: +370 5 269 16 50</w:t>
            </w:r>
          </w:p>
          <w:p w14:paraId="1B680F4A" w14:textId="77777777" w:rsidR="0000054D" w:rsidRPr="00654EF1" w:rsidRDefault="0000054D" w:rsidP="001D5C8C">
            <w:pPr>
              <w:widowControl w:val="0"/>
              <w:spacing w:line="240" w:lineRule="auto"/>
              <w:rPr>
                <w:color w:val="000000"/>
                <w:szCs w:val="22"/>
                <w:lang w:val="es-ES"/>
              </w:rPr>
            </w:pPr>
          </w:p>
        </w:tc>
      </w:tr>
      <w:tr w:rsidR="0000054D" w:rsidRPr="00654EF1" w14:paraId="1B680F54" w14:textId="77777777" w:rsidTr="00841297">
        <w:trPr>
          <w:cantSplit/>
        </w:trPr>
        <w:tc>
          <w:tcPr>
            <w:tcW w:w="4650" w:type="dxa"/>
          </w:tcPr>
          <w:p w14:paraId="1B680F4C" w14:textId="77777777" w:rsidR="0000054D" w:rsidRPr="00801D10" w:rsidRDefault="0000054D" w:rsidP="001D5C8C">
            <w:pPr>
              <w:widowControl w:val="0"/>
              <w:spacing w:line="240" w:lineRule="auto"/>
              <w:rPr>
                <w:b/>
                <w:noProof/>
                <w:color w:val="000000"/>
                <w:szCs w:val="22"/>
              </w:rPr>
            </w:pPr>
            <w:r w:rsidRPr="00654EF1">
              <w:rPr>
                <w:b/>
                <w:noProof/>
                <w:color w:val="000000"/>
                <w:szCs w:val="22"/>
              </w:rPr>
              <w:t>България</w:t>
            </w:r>
          </w:p>
          <w:p w14:paraId="1B680F4D" w14:textId="77777777" w:rsidR="0000054D" w:rsidRPr="00801D10" w:rsidRDefault="004E3C11" w:rsidP="001D5C8C">
            <w:pPr>
              <w:widowControl w:val="0"/>
              <w:spacing w:line="240" w:lineRule="auto"/>
              <w:rPr>
                <w:noProof/>
                <w:color w:val="000000"/>
                <w:szCs w:val="22"/>
              </w:rPr>
            </w:pPr>
            <w:r w:rsidRPr="00801D10">
              <w:rPr>
                <w:szCs w:val="22"/>
              </w:rPr>
              <w:t>Novartis Bulgaria EOOD</w:t>
            </w:r>
          </w:p>
          <w:p w14:paraId="1B680F4E" w14:textId="77777777" w:rsidR="0000054D" w:rsidRPr="00F03236" w:rsidRDefault="0000054D" w:rsidP="001D5C8C">
            <w:pPr>
              <w:widowControl w:val="0"/>
              <w:spacing w:line="240" w:lineRule="auto"/>
              <w:rPr>
                <w:noProof/>
                <w:color w:val="000000"/>
                <w:szCs w:val="22"/>
              </w:rPr>
            </w:pPr>
            <w:r w:rsidRPr="00654EF1">
              <w:rPr>
                <w:noProof/>
                <w:color w:val="000000"/>
                <w:szCs w:val="22"/>
              </w:rPr>
              <w:t>Тел</w:t>
            </w:r>
            <w:r w:rsidRPr="00F03236">
              <w:rPr>
                <w:noProof/>
                <w:color w:val="000000"/>
                <w:szCs w:val="22"/>
              </w:rPr>
              <w:t>.: +359 2 489 98 28</w:t>
            </w:r>
          </w:p>
          <w:p w14:paraId="1B680F4F" w14:textId="77777777" w:rsidR="0000054D" w:rsidRPr="00654EF1" w:rsidRDefault="0000054D" w:rsidP="001D5C8C">
            <w:pPr>
              <w:widowControl w:val="0"/>
              <w:spacing w:line="240" w:lineRule="auto"/>
              <w:rPr>
                <w:b/>
                <w:color w:val="000000"/>
                <w:szCs w:val="22"/>
                <w:lang w:val="pt-BR"/>
              </w:rPr>
            </w:pPr>
          </w:p>
        </w:tc>
        <w:tc>
          <w:tcPr>
            <w:tcW w:w="4650" w:type="dxa"/>
          </w:tcPr>
          <w:p w14:paraId="1B680F50"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Luxembourg/Luxemburg</w:t>
            </w:r>
          </w:p>
          <w:p w14:paraId="1B680F51"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N.V.</w:t>
            </w:r>
          </w:p>
          <w:p w14:paraId="1B680F52"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Tél/Tel: +32 2 246 16 11</w:t>
            </w:r>
          </w:p>
          <w:p w14:paraId="1B680F53" w14:textId="77777777" w:rsidR="0000054D" w:rsidRPr="00654EF1" w:rsidRDefault="0000054D" w:rsidP="001D5C8C">
            <w:pPr>
              <w:widowControl w:val="0"/>
              <w:spacing w:line="240" w:lineRule="auto"/>
              <w:rPr>
                <w:color w:val="000000"/>
                <w:szCs w:val="22"/>
                <w:lang w:val="de-CH"/>
              </w:rPr>
            </w:pPr>
          </w:p>
        </w:tc>
      </w:tr>
      <w:tr w:rsidR="0000054D" w:rsidRPr="00654EF1" w14:paraId="1B680F5C" w14:textId="77777777" w:rsidTr="00841297">
        <w:trPr>
          <w:cantSplit/>
        </w:trPr>
        <w:tc>
          <w:tcPr>
            <w:tcW w:w="4650" w:type="dxa"/>
          </w:tcPr>
          <w:p w14:paraId="1B680F55"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Česká republika</w:t>
            </w:r>
          </w:p>
          <w:p w14:paraId="1B680F56"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s.r.o.</w:t>
            </w:r>
          </w:p>
          <w:p w14:paraId="1B680F57" w14:textId="77777777" w:rsidR="0000054D" w:rsidRPr="00654EF1" w:rsidRDefault="0000054D" w:rsidP="001D5C8C">
            <w:pPr>
              <w:widowControl w:val="0"/>
              <w:spacing w:line="240" w:lineRule="auto"/>
              <w:rPr>
                <w:color w:val="000000"/>
                <w:szCs w:val="22"/>
              </w:rPr>
            </w:pPr>
            <w:r w:rsidRPr="00654EF1">
              <w:rPr>
                <w:color w:val="000000"/>
                <w:szCs w:val="22"/>
              </w:rPr>
              <w:t>Tel: +420 225 775 111</w:t>
            </w:r>
          </w:p>
          <w:p w14:paraId="1B680F58" w14:textId="77777777" w:rsidR="0000054D" w:rsidRPr="00654EF1" w:rsidRDefault="0000054D" w:rsidP="001D5C8C">
            <w:pPr>
              <w:widowControl w:val="0"/>
              <w:spacing w:line="240" w:lineRule="auto"/>
              <w:rPr>
                <w:b/>
                <w:color w:val="000000"/>
                <w:szCs w:val="22"/>
              </w:rPr>
            </w:pPr>
          </w:p>
        </w:tc>
        <w:tc>
          <w:tcPr>
            <w:tcW w:w="4650" w:type="dxa"/>
          </w:tcPr>
          <w:p w14:paraId="1B680F59" w14:textId="77777777" w:rsidR="0000054D" w:rsidRPr="00011E43" w:rsidRDefault="0000054D" w:rsidP="001D5C8C">
            <w:pPr>
              <w:widowControl w:val="0"/>
              <w:spacing w:line="240" w:lineRule="auto"/>
              <w:rPr>
                <w:b/>
                <w:color w:val="000000"/>
                <w:szCs w:val="22"/>
              </w:rPr>
            </w:pPr>
            <w:r w:rsidRPr="00011E43">
              <w:rPr>
                <w:b/>
                <w:color w:val="000000"/>
                <w:szCs w:val="22"/>
              </w:rPr>
              <w:t>Magyarország</w:t>
            </w:r>
          </w:p>
          <w:p w14:paraId="1B680F5A" w14:textId="77777777" w:rsidR="0000054D" w:rsidRPr="00011E43" w:rsidRDefault="0000054D" w:rsidP="001D5C8C">
            <w:pPr>
              <w:widowControl w:val="0"/>
              <w:spacing w:line="240" w:lineRule="auto"/>
              <w:rPr>
                <w:color w:val="000000"/>
                <w:szCs w:val="22"/>
              </w:rPr>
            </w:pPr>
            <w:r w:rsidRPr="00011E43">
              <w:rPr>
                <w:color w:val="000000"/>
                <w:szCs w:val="22"/>
              </w:rPr>
              <w:t>Novartis Hungária Kft.</w:t>
            </w:r>
          </w:p>
          <w:p w14:paraId="1B680F5B" w14:textId="77777777" w:rsidR="0000054D" w:rsidRPr="00011E43" w:rsidRDefault="0000054D" w:rsidP="001D5C8C">
            <w:pPr>
              <w:widowControl w:val="0"/>
              <w:spacing w:line="240" w:lineRule="auto"/>
              <w:rPr>
                <w:color w:val="000000"/>
                <w:szCs w:val="22"/>
              </w:rPr>
            </w:pPr>
            <w:r w:rsidRPr="00011E43">
              <w:rPr>
                <w:color w:val="000000"/>
                <w:szCs w:val="22"/>
              </w:rPr>
              <w:t>Tel.: +36 1 457 65 00</w:t>
            </w:r>
          </w:p>
        </w:tc>
      </w:tr>
      <w:tr w:rsidR="0000054D" w:rsidRPr="00654EF1" w14:paraId="1B680F64" w14:textId="77777777" w:rsidTr="00841297">
        <w:trPr>
          <w:cantSplit/>
        </w:trPr>
        <w:tc>
          <w:tcPr>
            <w:tcW w:w="4650" w:type="dxa"/>
          </w:tcPr>
          <w:p w14:paraId="1B680F5D" w14:textId="77777777" w:rsidR="0000054D" w:rsidRPr="00654EF1" w:rsidRDefault="0000054D" w:rsidP="001D5C8C">
            <w:pPr>
              <w:widowControl w:val="0"/>
              <w:spacing w:line="240" w:lineRule="auto"/>
              <w:rPr>
                <w:b/>
                <w:color w:val="000000"/>
                <w:szCs w:val="22"/>
              </w:rPr>
            </w:pPr>
            <w:r w:rsidRPr="00654EF1">
              <w:rPr>
                <w:b/>
                <w:color w:val="000000"/>
                <w:szCs w:val="22"/>
              </w:rPr>
              <w:t>Danmark</w:t>
            </w:r>
          </w:p>
          <w:p w14:paraId="1B680F5E" w14:textId="77777777" w:rsidR="0000054D" w:rsidRPr="00654EF1" w:rsidRDefault="0000054D" w:rsidP="001D5C8C">
            <w:pPr>
              <w:widowControl w:val="0"/>
              <w:spacing w:line="240" w:lineRule="auto"/>
              <w:rPr>
                <w:color w:val="000000"/>
                <w:szCs w:val="22"/>
              </w:rPr>
            </w:pPr>
            <w:r w:rsidRPr="00654EF1">
              <w:rPr>
                <w:color w:val="000000"/>
                <w:szCs w:val="22"/>
              </w:rPr>
              <w:t>Novartis Healthcare A/S</w:t>
            </w:r>
          </w:p>
          <w:p w14:paraId="1B680F5F" w14:textId="77777777" w:rsidR="0000054D" w:rsidRPr="00654EF1" w:rsidRDefault="0000054D" w:rsidP="001D5C8C">
            <w:pPr>
              <w:widowControl w:val="0"/>
              <w:spacing w:line="240" w:lineRule="auto"/>
              <w:rPr>
                <w:color w:val="000000"/>
                <w:szCs w:val="22"/>
              </w:rPr>
            </w:pPr>
            <w:r w:rsidRPr="00654EF1">
              <w:rPr>
                <w:color w:val="000000"/>
                <w:szCs w:val="22"/>
              </w:rPr>
              <w:t>Tlf: +45 39 16 84 00</w:t>
            </w:r>
          </w:p>
          <w:p w14:paraId="1B680F60" w14:textId="77777777" w:rsidR="0000054D" w:rsidRPr="00654EF1" w:rsidRDefault="0000054D" w:rsidP="001D5C8C">
            <w:pPr>
              <w:widowControl w:val="0"/>
              <w:spacing w:line="240" w:lineRule="auto"/>
              <w:rPr>
                <w:b/>
                <w:color w:val="000000"/>
                <w:szCs w:val="22"/>
              </w:rPr>
            </w:pPr>
          </w:p>
        </w:tc>
        <w:tc>
          <w:tcPr>
            <w:tcW w:w="4650" w:type="dxa"/>
          </w:tcPr>
          <w:p w14:paraId="1B680F61"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Malta</w:t>
            </w:r>
          </w:p>
          <w:p w14:paraId="1B680F62"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Pharma Services Inc.</w:t>
            </w:r>
          </w:p>
          <w:p w14:paraId="1B680F63" w14:textId="77777777" w:rsidR="0000054D" w:rsidRPr="00654EF1" w:rsidRDefault="0000054D" w:rsidP="001D5C8C">
            <w:pPr>
              <w:widowControl w:val="0"/>
              <w:spacing w:line="240" w:lineRule="auto"/>
              <w:rPr>
                <w:color w:val="000000"/>
                <w:szCs w:val="22"/>
              </w:rPr>
            </w:pPr>
            <w:r w:rsidRPr="00654EF1">
              <w:rPr>
                <w:color w:val="000000"/>
                <w:szCs w:val="22"/>
              </w:rPr>
              <w:t xml:space="preserve">Tel: +356 </w:t>
            </w:r>
            <w:r w:rsidRPr="00654EF1">
              <w:rPr>
                <w:color w:val="000000"/>
              </w:rPr>
              <w:t>2122 2872</w:t>
            </w:r>
          </w:p>
        </w:tc>
      </w:tr>
      <w:tr w:rsidR="0000054D" w:rsidRPr="00491367" w14:paraId="1B680F6C" w14:textId="77777777" w:rsidTr="00841297">
        <w:trPr>
          <w:cantSplit/>
        </w:trPr>
        <w:tc>
          <w:tcPr>
            <w:tcW w:w="4650" w:type="dxa"/>
          </w:tcPr>
          <w:p w14:paraId="1B680F65"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Deutschland</w:t>
            </w:r>
          </w:p>
          <w:p w14:paraId="1B680F66"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GmbH</w:t>
            </w:r>
          </w:p>
          <w:p w14:paraId="1B680F67"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+49 911 273 0</w:t>
            </w:r>
          </w:p>
          <w:p w14:paraId="1B680F68" w14:textId="77777777" w:rsidR="0000054D" w:rsidRPr="00654EF1" w:rsidRDefault="0000054D" w:rsidP="001D5C8C">
            <w:pPr>
              <w:widowControl w:val="0"/>
              <w:spacing w:line="240" w:lineRule="auto"/>
              <w:rPr>
                <w:b/>
                <w:color w:val="000000"/>
                <w:szCs w:val="22"/>
                <w:lang w:val="de-CH"/>
              </w:rPr>
            </w:pPr>
          </w:p>
        </w:tc>
        <w:tc>
          <w:tcPr>
            <w:tcW w:w="4650" w:type="dxa"/>
          </w:tcPr>
          <w:p w14:paraId="1B680F69"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Nederland</w:t>
            </w:r>
          </w:p>
          <w:p w14:paraId="1B680F6A"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B.V.</w:t>
            </w:r>
          </w:p>
          <w:p w14:paraId="1B680F6B" w14:textId="0FB8BCC5" w:rsidR="0000054D" w:rsidRPr="00801D10" w:rsidRDefault="0000054D" w:rsidP="001D5C8C">
            <w:pPr>
              <w:widowControl w:val="0"/>
              <w:spacing w:line="240" w:lineRule="auto"/>
              <w:rPr>
                <w:color w:val="000000"/>
                <w:szCs w:val="22"/>
                <w:lang w:val="de-CH"/>
              </w:rPr>
            </w:pPr>
            <w:r w:rsidRPr="00801D10">
              <w:rPr>
                <w:color w:val="000000"/>
                <w:szCs w:val="22"/>
                <w:lang w:val="de-CH"/>
              </w:rPr>
              <w:t xml:space="preserve">Tel: +31 </w:t>
            </w:r>
            <w:r w:rsidR="006F623A" w:rsidRPr="006F623A">
              <w:rPr>
                <w:color w:val="000000"/>
                <w:szCs w:val="22"/>
                <w:lang w:val="de-CH"/>
              </w:rPr>
              <w:t>88 04 52</w:t>
            </w:r>
            <w:r w:rsidRPr="00801D10">
              <w:rPr>
                <w:color w:val="000000"/>
                <w:szCs w:val="22"/>
                <w:lang w:val="de-CH"/>
              </w:rPr>
              <w:t xml:space="preserve"> </w:t>
            </w:r>
            <w:r w:rsidR="00FF19FF" w:rsidRPr="00801D10">
              <w:rPr>
                <w:color w:val="000000"/>
                <w:szCs w:val="22"/>
                <w:lang w:val="de-CH"/>
              </w:rPr>
              <w:t>555</w:t>
            </w:r>
          </w:p>
        </w:tc>
      </w:tr>
      <w:tr w:rsidR="0000054D" w:rsidRPr="00654EF1" w14:paraId="1B680F74" w14:textId="77777777" w:rsidTr="00841297">
        <w:trPr>
          <w:cantSplit/>
        </w:trPr>
        <w:tc>
          <w:tcPr>
            <w:tcW w:w="4650" w:type="dxa"/>
          </w:tcPr>
          <w:p w14:paraId="1B680F6D" w14:textId="77777777" w:rsidR="0000054D" w:rsidRPr="00654EF1" w:rsidRDefault="0000054D" w:rsidP="001D5C8C">
            <w:pPr>
              <w:widowControl w:val="0"/>
              <w:spacing w:line="240" w:lineRule="auto"/>
              <w:rPr>
                <w:b/>
                <w:color w:val="000000"/>
                <w:szCs w:val="22"/>
                <w:lang w:val="it-IT"/>
              </w:rPr>
            </w:pPr>
            <w:r w:rsidRPr="00654EF1">
              <w:rPr>
                <w:b/>
                <w:color w:val="000000"/>
                <w:szCs w:val="22"/>
                <w:lang w:val="it-IT"/>
              </w:rPr>
              <w:t>Eesti</w:t>
            </w:r>
          </w:p>
          <w:p w14:paraId="1B680F6E" w14:textId="77777777" w:rsidR="0000054D" w:rsidRPr="00654EF1" w:rsidRDefault="0061458F" w:rsidP="001D5C8C">
            <w:pPr>
              <w:widowControl w:val="0"/>
              <w:spacing w:line="240" w:lineRule="auto"/>
              <w:rPr>
                <w:color w:val="000000"/>
                <w:szCs w:val="22"/>
                <w:lang w:val="it-IT"/>
              </w:rPr>
            </w:pPr>
            <w:r w:rsidRPr="00654EF1">
              <w:rPr>
                <w:szCs w:val="22"/>
                <w:lang w:val="it-IT"/>
              </w:rPr>
              <w:t>SIA Novartis Baltics Eesti filiaal</w:t>
            </w:r>
          </w:p>
          <w:p w14:paraId="1B680F6F" w14:textId="77777777" w:rsidR="0000054D" w:rsidRPr="00654EF1" w:rsidRDefault="0000054D" w:rsidP="001D5C8C">
            <w:pPr>
              <w:widowControl w:val="0"/>
              <w:spacing w:line="240" w:lineRule="auto"/>
              <w:rPr>
                <w:color w:val="000000"/>
                <w:szCs w:val="22"/>
                <w:lang w:val="it-IT"/>
              </w:rPr>
            </w:pPr>
            <w:r w:rsidRPr="00654EF1">
              <w:rPr>
                <w:color w:val="000000"/>
                <w:szCs w:val="22"/>
                <w:lang w:val="it-IT"/>
              </w:rPr>
              <w:t>Tel: +372 66 30 810</w:t>
            </w:r>
          </w:p>
          <w:p w14:paraId="1B680F70" w14:textId="77777777" w:rsidR="0000054D" w:rsidRPr="00654EF1" w:rsidRDefault="0000054D" w:rsidP="001D5C8C">
            <w:pPr>
              <w:widowControl w:val="0"/>
              <w:spacing w:line="240" w:lineRule="auto"/>
              <w:rPr>
                <w:b/>
                <w:color w:val="000000"/>
                <w:szCs w:val="22"/>
                <w:lang w:val="it-IT"/>
              </w:rPr>
            </w:pPr>
          </w:p>
        </w:tc>
        <w:tc>
          <w:tcPr>
            <w:tcW w:w="4650" w:type="dxa"/>
          </w:tcPr>
          <w:p w14:paraId="1B680F71"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Norge</w:t>
            </w:r>
          </w:p>
          <w:p w14:paraId="1B680F72"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Norge AS</w:t>
            </w:r>
          </w:p>
          <w:p w14:paraId="1B680F73"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Tlf: +47 23 05 20 00</w:t>
            </w:r>
          </w:p>
        </w:tc>
      </w:tr>
      <w:tr w:rsidR="0000054D" w:rsidRPr="00011E43" w14:paraId="1B680F7C" w14:textId="77777777" w:rsidTr="00841297">
        <w:trPr>
          <w:cantSplit/>
        </w:trPr>
        <w:tc>
          <w:tcPr>
            <w:tcW w:w="4650" w:type="dxa"/>
          </w:tcPr>
          <w:p w14:paraId="1B680F75" w14:textId="77777777" w:rsidR="0000054D" w:rsidRPr="00654EF1" w:rsidRDefault="0000054D" w:rsidP="001D5C8C">
            <w:pPr>
              <w:widowControl w:val="0"/>
              <w:spacing w:line="240" w:lineRule="auto"/>
              <w:rPr>
                <w:b/>
                <w:color w:val="000000"/>
                <w:szCs w:val="22"/>
                <w:lang w:val="pt-BR"/>
              </w:rPr>
            </w:pPr>
            <w:r w:rsidRPr="00654EF1">
              <w:rPr>
                <w:b/>
                <w:color w:val="000000"/>
                <w:szCs w:val="22"/>
              </w:rPr>
              <w:t>Ελλάδα</w:t>
            </w:r>
          </w:p>
          <w:p w14:paraId="1B680F76"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(Hellas) A.E.B.E.</w:t>
            </w:r>
          </w:p>
          <w:p w14:paraId="1B680F77" w14:textId="77777777" w:rsidR="0000054D" w:rsidRPr="00654EF1" w:rsidRDefault="0000054D" w:rsidP="001D5C8C">
            <w:pPr>
              <w:widowControl w:val="0"/>
              <w:spacing w:line="240" w:lineRule="auto"/>
              <w:rPr>
                <w:color w:val="000000"/>
                <w:szCs w:val="22"/>
                <w:lang w:val="pt-BR"/>
              </w:rPr>
            </w:pPr>
            <w:r w:rsidRPr="00654EF1">
              <w:rPr>
                <w:color w:val="000000"/>
                <w:szCs w:val="22"/>
              </w:rPr>
              <w:t>Τηλ</w:t>
            </w:r>
            <w:r w:rsidRPr="00654EF1">
              <w:rPr>
                <w:color w:val="000000"/>
                <w:szCs w:val="22"/>
                <w:lang w:val="pt-BR"/>
              </w:rPr>
              <w:t>: +30 210 281 17 12</w:t>
            </w:r>
          </w:p>
          <w:p w14:paraId="1B680F78" w14:textId="77777777" w:rsidR="0000054D" w:rsidRPr="00654EF1" w:rsidRDefault="0000054D" w:rsidP="001D5C8C">
            <w:pPr>
              <w:widowControl w:val="0"/>
              <w:spacing w:line="240" w:lineRule="auto"/>
              <w:rPr>
                <w:b/>
                <w:color w:val="000000"/>
                <w:szCs w:val="22"/>
                <w:lang w:val="pt-BR"/>
              </w:rPr>
            </w:pPr>
          </w:p>
        </w:tc>
        <w:tc>
          <w:tcPr>
            <w:tcW w:w="4650" w:type="dxa"/>
          </w:tcPr>
          <w:p w14:paraId="1B680F79"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Österreich</w:t>
            </w:r>
          </w:p>
          <w:p w14:paraId="1B680F7A"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GmbH</w:t>
            </w:r>
          </w:p>
          <w:p w14:paraId="1B680F7B"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+43 1 86 6570</w:t>
            </w:r>
          </w:p>
        </w:tc>
      </w:tr>
      <w:tr w:rsidR="0000054D" w:rsidRPr="00654EF1" w14:paraId="1B680F84" w14:textId="77777777" w:rsidTr="00841297">
        <w:trPr>
          <w:cantSplit/>
        </w:trPr>
        <w:tc>
          <w:tcPr>
            <w:tcW w:w="4650" w:type="dxa"/>
          </w:tcPr>
          <w:p w14:paraId="1B680F7D" w14:textId="77777777" w:rsidR="0000054D" w:rsidRPr="00011E43" w:rsidRDefault="0000054D" w:rsidP="001D5C8C">
            <w:pPr>
              <w:widowControl w:val="0"/>
              <w:spacing w:line="240" w:lineRule="auto"/>
              <w:rPr>
                <w:b/>
                <w:color w:val="000000"/>
                <w:szCs w:val="22"/>
                <w:lang w:val="es-ES_tradnl"/>
              </w:rPr>
            </w:pPr>
            <w:r w:rsidRPr="00011E43">
              <w:rPr>
                <w:b/>
                <w:color w:val="000000"/>
                <w:szCs w:val="22"/>
                <w:lang w:val="es-ES_tradnl"/>
              </w:rPr>
              <w:lastRenderedPageBreak/>
              <w:t>España</w:t>
            </w:r>
          </w:p>
          <w:p w14:paraId="1B680F7E" w14:textId="77777777" w:rsidR="0000054D" w:rsidRPr="00011E43" w:rsidRDefault="0000054D" w:rsidP="001D5C8C">
            <w:pPr>
              <w:widowControl w:val="0"/>
              <w:spacing w:line="240" w:lineRule="auto"/>
              <w:rPr>
                <w:color w:val="000000"/>
                <w:szCs w:val="22"/>
                <w:lang w:val="es-ES_tradnl"/>
              </w:rPr>
            </w:pPr>
            <w:r w:rsidRPr="00011E43">
              <w:rPr>
                <w:color w:val="000000"/>
                <w:szCs w:val="22"/>
                <w:lang w:val="es-ES_tradnl"/>
              </w:rPr>
              <w:t>Novartis Farmacéutica, S.A.</w:t>
            </w:r>
          </w:p>
          <w:p w14:paraId="1B680F7F" w14:textId="77777777" w:rsidR="0000054D" w:rsidRPr="00654EF1" w:rsidRDefault="0000054D" w:rsidP="001D5C8C">
            <w:pPr>
              <w:widowControl w:val="0"/>
              <w:spacing w:line="240" w:lineRule="auto"/>
              <w:rPr>
                <w:color w:val="000000"/>
                <w:szCs w:val="22"/>
              </w:rPr>
            </w:pPr>
            <w:r w:rsidRPr="00654EF1">
              <w:rPr>
                <w:color w:val="000000"/>
                <w:szCs w:val="22"/>
              </w:rPr>
              <w:t>Tel: +34 93 306 42 00</w:t>
            </w:r>
          </w:p>
          <w:p w14:paraId="1B680F80" w14:textId="77777777" w:rsidR="0000054D" w:rsidRPr="00654EF1" w:rsidRDefault="0000054D" w:rsidP="001D5C8C">
            <w:pPr>
              <w:widowControl w:val="0"/>
              <w:spacing w:line="240" w:lineRule="auto"/>
              <w:rPr>
                <w:b/>
                <w:color w:val="000000"/>
                <w:szCs w:val="22"/>
              </w:rPr>
            </w:pPr>
          </w:p>
        </w:tc>
        <w:tc>
          <w:tcPr>
            <w:tcW w:w="4650" w:type="dxa"/>
          </w:tcPr>
          <w:p w14:paraId="1B680F81" w14:textId="77777777" w:rsidR="0000054D" w:rsidRPr="00011E43" w:rsidRDefault="0000054D" w:rsidP="001D5C8C">
            <w:pPr>
              <w:widowControl w:val="0"/>
              <w:spacing w:line="240" w:lineRule="auto"/>
              <w:rPr>
                <w:b/>
                <w:color w:val="000000"/>
                <w:szCs w:val="22"/>
                <w:lang w:val="pl-PL"/>
              </w:rPr>
            </w:pPr>
            <w:r w:rsidRPr="00011E43">
              <w:rPr>
                <w:b/>
                <w:color w:val="000000"/>
                <w:szCs w:val="22"/>
                <w:lang w:val="pl-PL"/>
              </w:rPr>
              <w:t>Polska</w:t>
            </w:r>
          </w:p>
          <w:p w14:paraId="1B680F82" w14:textId="77777777" w:rsidR="0000054D" w:rsidRPr="00011E43" w:rsidRDefault="0000054D" w:rsidP="001D5C8C">
            <w:pPr>
              <w:widowControl w:val="0"/>
              <w:spacing w:line="240" w:lineRule="auto"/>
              <w:rPr>
                <w:color w:val="000000"/>
                <w:szCs w:val="22"/>
                <w:lang w:val="pl-PL"/>
              </w:rPr>
            </w:pPr>
            <w:r w:rsidRPr="00011E43">
              <w:rPr>
                <w:color w:val="000000"/>
                <w:szCs w:val="22"/>
                <w:lang w:val="pl-PL"/>
              </w:rPr>
              <w:t>Novartis Poland Sp. z o.o.</w:t>
            </w:r>
          </w:p>
          <w:p w14:paraId="1B680F83"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 xml:space="preserve">Tel.: +48 22 </w:t>
            </w:r>
            <w:r w:rsidRPr="00654EF1">
              <w:rPr>
                <w:szCs w:val="22"/>
              </w:rPr>
              <w:t>375 4888</w:t>
            </w:r>
          </w:p>
        </w:tc>
      </w:tr>
      <w:tr w:rsidR="0000054D" w:rsidRPr="00654EF1" w14:paraId="1B680F8C" w14:textId="77777777" w:rsidTr="00841297">
        <w:trPr>
          <w:cantSplit/>
        </w:trPr>
        <w:tc>
          <w:tcPr>
            <w:tcW w:w="4650" w:type="dxa"/>
          </w:tcPr>
          <w:p w14:paraId="1B680F85"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France</w:t>
            </w:r>
          </w:p>
          <w:p w14:paraId="1B680F86"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S.A.S.</w:t>
            </w:r>
          </w:p>
          <w:p w14:paraId="1B680F87"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Tél: +33 1 55 47 66 00</w:t>
            </w:r>
          </w:p>
          <w:p w14:paraId="1B680F88" w14:textId="77777777" w:rsidR="0000054D" w:rsidRPr="00654EF1" w:rsidRDefault="0000054D" w:rsidP="001D5C8C">
            <w:pPr>
              <w:widowControl w:val="0"/>
              <w:spacing w:line="240" w:lineRule="auto"/>
              <w:rPr>
                <w:b/>
                <w:color w:val="000000"/>
                <w:szCs w:val="22"/>
                <w:lang w:val="fr-FR"/>
              </w:rPr>
            </w:pPr>
          </w:p>
        </w:tc>
        <w:tc>
          <w:tcPr>
            <w:tcW w:w="4650" w:type="dxa"/>
          </w:tcPr>
          <w:p w14:paraId="1B680F89"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Portugal</w:t>
            </w:r>
          </w:p>
          <w:p w14:paraId="1B680F8A"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Farma - Produtos Farmacêuticos, S.A.</w:t>
            </w:r>
          </w:p>
          <w:p w14:paraId="1B680F8B" w14:textId="77777777" w:rsidR="0000054D" w:rsidRPr="00654EF1" w:rsidRDefault="0000054D" w:rsidP="001D5C8C">
            <w:pPr>
              <w:widowControl w:val="0"/>
              <w:spacing w:line="240" w:lineRule="auto"/>
              <w:rPr>
                <w:color w:val="000000"/>
                <w:szCs w:val="22"/>
              </w:rPr>
            </w:pPr>
            <w:r w:rsidRPr="00654EF1">
              <w:rPr>
                <w:color w:val="000000"/>
                <w:szCs w:val="22"/>
              </w:rPr>
              <w:t>Tel: +351 21 000 8600</w:t>
            </w:r>
          </w:p>
        </w:tc>
      </w:tr>
      <w:tr w:rsidR="0000054D" w:rsidRPr="00654EF1" w14:paraId="1B680F94" w14:textId="77777777" w:rsidTr="00841297">
        <w:trPr>
          <w:cantSplit/>
        </w:trPr>
        <w:tc>
          <w:tcPr>
            <w:tcW w:w="4650" w:type="dxa"/>
          </w:tcPr>
          <w:p w14:paraId="1B680F8D" w14:textId="77777777" w:rsidR="0000054D" w:rsidRPr="00011E43" w:rsidRDefault="0000054D" w:rsidP="001D5C8C">
            <w:pPr>
              <w:widowControl w:val="0"/>
              <w:spacing w:line="240" w:lineRule="auto"/>
              <w:rPr>
                <w:rFonts w:eastAsia="PMingLiU"/>
                <w:b/>
                <w:lang w:val="sv-SE"/>
              </w:rPr>
            </w:pPr>
            <w:r w:rsidRPr="00011E43">
              <w:rPr>
                <w:rFonts w:eastAsia="PMingLiU"/>
                <w:b/>
                <w:lang w:val="sv-SE"/>
              </w:rPr>
              <w:t>Hrvatska</w:t>
            </w:r>
          </w:p>
          <w:p w14:paraId="1B680F8E" w14:textId="77777777" w:rsidR="0000054D" w:rsidRPr="00011E43" w:rsidRDefault="0000054D" w:rsidP="001D5C8C">
            <w:pPr>
              <w:widowControl w:val="0"/>
              <w:spacing w:line="240" w:lineRule="auto"/>
              <w:rPr>
                <w:lang w:val="sv-SE"/>
              </w:rPr>
            </w:pPr>
            <w:r w:rsidRPr="00011E43">
              <w:rPr>
                <w:lang w:val="sv-SE"/>
              </w:rPr>
              <w:t>Novartis Hrvatska d.o.o.</w:t>
            </w:r>
          </w:p>
          <w:p w14:paraId="1B680F8F" w14:textId="77777777" w:rsidR="0000054D" w:rsidRPr="00654EF1" w:rsidRDefault="0000054D" w:rsidP="001D5C8C">
            <w:pPr>
              <w:widowControl w:val="0"/>
              <w:spacing w:line="240" w:lineRule="auto"/>
            </w:pPr>
            <w:r w:rsidRPr="00654EF1">
              <w:t>Tel. +385 1 6274 220</w:t>
            </w:r>
          </w:p>
          <w:p w14:paraId="1B680F90" w14:textId="77777777" w:rsidR="0000054D" w:rsidRPr="00654EF1" w:rsidRDefault="0000054D" w:rsidP="001D5C8C">
            <w:pPr>
              <w:widowControl w:val="0"/>
              <w:spacing w:line="240" w:lineRule="auto"/>
              <w:rPr>
                <w:b/>
                <w:color w:val="000000"/>
                <w:szCs w:val="22"/>
                <w:lang w:val="fr-FR"/>
              </w:rPr>
            </w:pPr>
          </w:p>
        </w:tc>
        <w:tc>
          <w:tcPr>
            <w:tcW w:w="4650" w:type="dxa"/>
          </w:tcPr>
          <w:p w14:paraId="1B680F91" w14:textId="77777777" w:rsidR="0000054D" w:rsidRPr="00654EF1" w:rsidRDefault="0000054D" w:rsidP="001D5C8C">
            <w:pPr>
              <w:widowControl w:val="0"/>
              <w:spacing w:line="240" w:lineRule="auto"/>
              <w:rPr>
                <w:b/>
                <w:noProof/>
                <w:color w:val="000000"/>
                <w:szCs w:val="22"/>
                <w:lang w:val="it-IT"/>
              </w:rPr>
            </w:pPr>
            <w:r w:rsidRPr="00654EF1">
              <w:rPr>
                <w:b/>
                <w:noProof/>
                <w:color w:val="000000"/>
                <w:szCs w:val="22"/>
                <w:lang w:val="it-IT"/>
              </w:rPr>
              <w:t>România</w:t>
            </w:r>
          </w:p>
          <w:p w14:paraId="1B680F92" w14:textId="77777777" w:rsidR="0000054D" w:rsidRPr="00654EF1" w:rsidRDefault="0000054D" w:rsidP="001D5C8C">
            <w:pPr>
              <w:widowControl w:val="0"/>
              <w:spacing w:line="240" w:lineRule="auto"/>
              <w:rPr>
                <w:noProof/>
                <w:color w:val="000000"/>
                <w:szCs w:val="22"/>
                <w:lang w:val="it-IT"/>
              </w:rPr>
            </w:pPr>
            <w:r w:rsidRPr="00654EF1">
              <w:rPr>
                <w:noProof/>
                <w:color w:val="000000"/>
                <w:szCs w:val="22"/>
                <w:lang w:val="it-IT"/>
              </w:rPr>
              <w:t xml:space="preserve">Novartis Pharma Services </w:t>
            </w:r>
            <w:r w:rsidRPr="00801D10">
              <w:rPr>
                <w:color w:val="2F2F2F"/>
                <w:szCs w:val="22"/>
                <w:lang w:val="fr-CH"/>
              </w:rPr>
              <w:t>Romania SRL</w:t>
            </w:r>
          </w:p>
          <w:p w14:paraId="1B680F93" w14:textId="77777777" w:rsidR="0000054D" w:rsidRPr="00654EF1" w:rsidRDefault="0000054D" w:rsidP="001D5C8C">
            <w:pPr>
              <w:widowControl w:val="0"/>
              <w:spacing w:line="240" w:lineRule="auto"/>
              <w:rPr>
                <w:color w:val="000000"/>
                <w:szCs w:val="22"/>
              </w:rPr>
            </w:pPr>
            <w:r w:rsidRPr="00654EF1">
              <w:rPr>
                <w:noProof/>
                <w:color w:val="000000"/>
                <w:szCs w:val="22"/>
                <w:lang w:val="it-IT"/>
              </w:rPr>
              <w:t>Tel: +40 21 31299 01</w:t>
            </w:r>
          </w:p>
        </w:tc>
      </w:tr>
      <w:tr w:rsidR="0000054D" w:rsidRPr="00654EF1" w14:paraId="1B680F9C" w14:textId="77777777" w:rsidTr="00841297">
        <w:trPr>
          <w:cantSplit/>
        </w:trPr>
        <w:tc>
          <w:tcPr>
            <w:tcW w:w="4650" w:type="dxa"/>
          </w:tcPr>
          <w:p w14:paraId="1B680F95" w14:textId="77777777" w:rsidR="0000054D" w:rsidRPr="00654EF1" w:rsidRDefault="0000054D" w:rsidP="001D5C8C">
            <w:pPr>
              <w:widowControl w:val="0"/>
              <w:spacing w:line="240" w:lineRule="auto"/>
              <w:rPr>
                <w:b/>
                <w:color w:val="000000"/>
                <w:szCs w:val="22"/>
              </w:rPr>
            </w:pPr>
            <w:smartTag w:uri="urn:schemas-microsoft-com:office:smarttags" w:element="country-region">
              <w:smartTag w:uri="urn:schemas-microsoft-com:office:smarttags" w:element="place">
                <w:r w:rsidRPr="00654EF1">
                  <w:rPr>
                    <w:b/>
                    <w:color w:val="000000"/>
                    <w:szCs w:val="22"/>
                  </w:rPr>
                  <w:t>Ireland</w:t>
                </w:r>
              </w:smartTag>
            </w:smartTag>
          </w:p>
          <w:p w14:paraId="1B680F96" w14:textId="77777777" w:rsidR="0000054D" w:rsidRPr="00654EF1" w:rsidRDefault="0000054D" w:rsidP="001D5C8C">
            <w:pPr>
              <w:widowControl w:val="0"/>
              <w:spacing w:line="240" w:lineRule="auto"/>
              <w:rPr>
                <w:color w:val="000000"/>
                <w:szCs w:val="22"/>
              </w:rPr>
            </w:pPr>
            <w:r w:rsidRPr="00654EF1">
              <w:rPr>
                <w:color w:val="000000"/>
                <w:szCs w:val="22"/>
              </w:rPr>
              <w:t>Novartis Ireland Limited</w:t>
            </w:r>
          </w:p>
          <w:p w14:paraId="1B680F97" w14:textId="77777777" w:rsidR="0000054D" w:rsidRPr="00654EF1" w:rsidRDefault="0000054D" w:rsidP="001D5C8C">
            <w:pPr>
              <w:widowControl w:val="0"/>
              <w:spacing w:line="240" w:lineRule="auto"/>
              <w:rPr>
                <w:color w:val="000000"/>
                <w:szCs w:val="22"/>
              </w:rPr>
            </w:pPr>
            <w:r w:rsidRPr="00654EF1">
              <w:rPr>
                <w:color w:val="000000"/>
                <w:szCs w:val="22"/>
              </w:rPr>
              <w:t>Tel: +353 1 260 12 55</w:t>
            </w:r>
          </w:p>
          <w:p w14:paraId="1B680F98" w14:textId="77777777" w:rsidR="0000054D" w:rsidRPr="00654EF1" w:rsidRDefault="0000054D" w:rsidP="001D5C8C">
            <w:pPr>
              <w:widowControl w:val="0"/>
              <w:spacing w:line="240" w:lineRule="auto"/>
              <w:rPr>
                <w:b/>
                <w:color w:val="000000"/>
                <w:szCs w:val="22"/>
              </w:rPr>
            </w:pPr>
          </w:p>
        </w:tc>
        <w:tc>
          <w:tcPr>
            <w:tcW w:w="4650" w:type="dxa"/>
          </w:tcPr>
          <w:p w14:paraId="1B680F99"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Slovenija</w:t>
            </w:r>
          </w:p>
          <w:p w14:paraId="1B680F9A"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Services Inc.</w:t>
            </w:r>
          </w:p>
          <w:p w14:paraId="1B680F9B"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Tel: +386 1 300 75 50</w:t>
            </w:r>
          </w:p>
        </w:tc>
      </w:tr>
      <w:tr w:rsidR="0000054D" w:rsidRPr="00654EF1" w14:paraId="1B680FA5" w14:textId="77777777" w:rsidTr="00841297">
        <w:trPr>
          <w:cantSplit/>
        </w:trPr>
        <w:tc>
          <w:tcPr>
            <w:tcW w:w="4650" w:type="dxa"/>
          </w:tcPr>
          <w:p w14:paraId="1B680F9D" w14:textId="77777777" w:rsidR="0000054D" w:rsidRPr="00654EF1" w:rsidRDefault="0000054D" w:rsidP="001D5C8C">
            <w:pPr>
              <w:widowControl w:val="0"/>
              <w:spacing w:line="240" w:lineRule="auto"/>
              <w:rPr>
                <w:b/>
                <w:color w:val="000000"/>
                <w:szCs w:val="22"/>
              </w:rPr>
            </w:pPr>
            <w:r w:rsidRPr="00654EF1">
              <w:rPr>
                <w:b/>
                <w:color w:val="000000"/>
                <w:szCs w:val="22"/>
              </w:rPr>
              <w:t>Ísland</w:t>
            </w:r>
          </w:p>
          <w:p w14:paraId="1B680F9E" w14:textId="77777777" w:rsidR="0000054D" w:rsidRPr="00654EF1" w:rsidRDefault="0000054D" w:rsidP="001D5C8C">
            <w:pPr>
              <w:widowControl w:val="0"/>
              <w:spacing w:line="240" w:lineRule="auto"/>
              <w:rPr>
                <w:color w:val="000000"/>
                <w:szCs w:val="22"/>
              </w:rPr>
            </w:pPr>
            <w:r w:rsidRPr="00654EF1">
              <w:rPr>
                <w:color w:val="000000"/>
                <w:szCs w:val="22"/>
              </w:rPr>
              <w:t>Vistor hf.</w:t>
            </w:r>
          </w:p>
          <w:p w14:paraId="1B680F9F" w14:textId="77777777" w:rsidR="0000054D" w:rsidRPr="00654EF1" w:rsidRDefault="0000054D" w:rsidP="001D5C8C">
            <w:pPr>
              <w:widowControl w:val="0"/>
              <w:spacing w:line="240" w:lineRule="auto"/>
              <w:rPr>
                <w:color w:val="000000"/>
                <w:szCs w:val="22"/>
              </w:rPr>
            </w:pPr>
            <w:r w:rsidRPr="00654EF1">
              <w:rPr>
                <w:noProof/>
                <w:color w:val="000000"/>
                <w:lang w:val="it-IT"/>
              </w:rPr>
              <w:t>S</w:t>
            </w:r>
            <w:r w:rsidRPr="00654EF1">
              <w:rPr>
                <w:noProof/>
                <w:color w:val="000000"/>
                <w:lang w:val="cs-CZ"/>
              </w:rPr>
              <w:t>í</w:t>
            </w:r>
            <w:r w:rsidRPr="00654EF1">
              <w:rPr>
                <w:noProof/>
                <w:color w:val="000000"/>
                <w:lang w:val="it-IT"/>
              </w:rPr>
              <w:t>mi</w:t>
            </w:r>
            <w:r w:rsidRPr="00654EF1">
              <w:rPr>
                <w:color w:val="000000"/>
                <w:szCs w:val="22"/>
              </w:rPr>
              <w:t>: +354 535 7000</w:t>
            </w:r>
          </w:p>
          <w:p w14:paraId="1B680FA0" w14:textId="77777777" w:rsidR="0000054D" w:rsidRPr="00654EF1" w:rsidRDefault="0000054D" w:rsidP="001D5C8C">
            <w:pPr>
              <w:widowControl w:val="0"/>
              <w:spacing w:line="240" w:lineRule="auto"/>
              <w:rPr>
                <w:b/>
                <w:color w:val="000000"/>
                <w:szCs w:val="22"/>
              </w:rPr>
            </w:pPr>
          </w:p>
        </w:tc>
        <w:tc>
          <w:tcPr>
            <w:tcW w:w="4650" w:type="dxa"/>
          </w:tcPr>
          <w:p w14:paraId="1B680FA1" w14:textId="77777777" w:rsidR="0000054D" w:rsidRPr="00011E43" w:rsidRDefault="0000054D" w:rsidP="001D5C8C">
            <w:pPr>
              <w:widowControl w:val="0"/>
              <w:spacing w:line="240" w:lineRule="auto"/>
              <w:rPr>
                <w:b/>
                <w:color w:val="000000"/>
                <w:szCs w:val="22"/>
              </w:rPr>
            </w:pPr>
            <w:r w:rsidRPr="00011E43">
              <w:rPr>
                <w:b/>
                <w:color w:val="000000"/>
                <w:szCs w:val="22"/>
              </w:rPr>
              <w:t>Slovenská republika</w:t>
            </w:r>
          </w:p>
          <w:p w14:paraId="1B680FA2" w14:textId="77777777" w:rsidR="0000054D" w:rsidRPr="00011E43" w:rsidRDefault="0000054D" w:rsidP="001D5C8C">
            <w:pPr>
              <w:widowControl w:val="0"/>
              <w:spacing w:line="240" w:lineRule="auto"/>
              <w:rPr>
                <w:color w:val="000000"/>
                <w:szCs w:val="22"/>
              </w:rPr>
            </w:pPr>
            <w:r w:rsidRPr="00011E43">
              <w:rPr>
                <w:color w:val="000000"/>
                <w:szCs w:val="22"/>
              </w:rPr>
              <w:t>Novartis Slovakia s.r.o.</w:t>
            </w:r>
          </w:p>
          <w:p w14:paraId="1B680FA3" w14:textId="77777777" w:rsidR="0000054D" w:rsidRPr="00654EF1" w:rsidRDefault="0000054D" w:rsidP="001D5C8C">
            <w:pPr>
              <w:widowControl w:val="0"/>
              <w:spacing w:line="240" w:lineRule="auto"/>
              <w:rPr>
                <w:color w:val="000000"/>
                <w:szCs w:val="22"/>
              </w:rPr>
            </w:pPr>
            <w:r w:rsidRPr="00654EF1">
              <w:rPr>
                <w:color w:val="000000"/>
                <w:szCs w:val="22"/>
              </w:rPr>
              <w:t>Tel: +421 2 5542 5439</w:t>
            </w:r>
          </w:p>
          <w:p w14:paraId="1B680FA4" w14:textId="77777777" w:rsidR="0000054D" w:rsidRPr="00654EF1" w:rsidRDefault="0000054D" w:rsidP="001D5C8C">
            <w:pPr>
              <w:widowControl w:val="0"/>
              <w:spacing w:line="240" w:lineRule="auto"/>
              <w:rPr>
                <w:color w:val="000000"/>
                <w:szCs w:val="22"/>
              </w:rPr>
            </w:pPr>
          </w:p>
        </w:tc>
      </w:tr>
      <w:tr w:rsidR="0000054D" w:rsidRPr="00011E43" w14:paraId="1B680FAD" w14:textId="77777777" w:rsidTr="00841297">
        <w:trPr>
          <w:cantSplit/>
        </w:trPr>
        <w:tc>
          <w:tcPr>
            <w:tcW w:w="4650" w:type="dxa"/>
          </w:tcPr>
          <w:p w14:paraId="1B680FA6"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Italia</w:t>
            </w:r>
          </w:p>
          <w:p w14:paraId="1B680FA7"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Farma S.p.A.</w:t>
            </w:r>
          </w:p>
          <w:p w14:paraId="1B680FA8" w14:textId="77777777" w:rsidR="0000054D" w:rsidRPr="00654EF1" w:rsidRDefault="0000054D" w:rsidP="001D5C8C">
            <w:pPr>
              <w:widowControl w:val="0"/>
              <w:spacing w:line="240" w:lineRule="auto"/>
              <w:rPr>
                <w:b/>
                <w:color w:val="000000"/>
                <w:szCs w:val="22"/>
              </w:rPr>
            </w:pPr>
            <w:r w:rsidRPr="00654EF1">
              <w:rPr>
                <w:color w:val="000000"/>
                <w:szCs w:val="22"/>
              </w:rPr>
              <w:t>Tel: +39 02 96 54 1</w:t>
            </w:r>
          </w:p>
        </w:tc>
        <w:tc>
          <w:tcPr>
            <w:tcW w:w="4650" w:type="dxa"/>
          </w:tcPr>
          <w:p w14:paraId="1B680FA9" w14:textId="77777777" w:rsidR="0000054D" w:rsidRPr="00011E43" w:rsidRDefault="0000054D" w:rsidP="001D5C8C">
            <w:pPr>
              <w:widowControl w:val="0"/>
              <w:spacing w:line="240" w:lineRule="auto"/>
              <w:rPr>
                <w:b/>
                <w:color w:val="000000"/>
                <w:szCs w:val="22"/>
                <w:lang w:val="sv-SE"/>
              </w:rPr>
            </w:pPr>
            <w:r w:rsidRPr="00011E43">
              <w:rPr>
                <w:b/>
                <w:color w:val="000000"/>
                <w:szCs w:val="22"/>
                <w:lang w:val="sv-SE"/>
              </w:rPr>
              <w:t>Suomi/Finland</w:t>
            </w:r>
          </w:p>
          <w:p w14:paraId="1B680FAA" w14:textId="77777777" w:rsidR="0000054D" w:rsidRPr="00011E43" w:rsidRDefault="0000054D" w:rsidP="001D5C8C">
            <w:pPr>
              <w:widowControl w:val="0"/>
              <w:spacing w:line="240" w:lineRule="auto"/>
              <w:rPr>
                <w:color w:val="000000"/>
                <w:szCs w:val="22"/>
                <w:lang w:val="sv-SE"/>
              </w:rPr>
            </w:pPr>
            <w:r w:rsidRPr="00011E43">
              <w:rPr>
                <w:color w:val="000000"/>
                <w:szCs w:val="22"/>
                <w:lang w:val="sv-SE"/>
              </w:rPr>
              <w:t>Novartis Finland Oy</w:t>
            </w:r>
          </w:p>
          <w:p w14:paraId="1B680FAB" w14:textId="77777777" w:rsidR="0000054D" w:rsidRPr="00011E43" w:rsidRDefault="0000054D" w:rsidP="001D5C8C">
            <w:pPr>
              <w:widowControl w:val="0"/>
              <w:spacing w:line="240" w:lineRule="auto"/>
              <w:rPr>
                <w:color w:val="000000"/>
                <w:szCs w:val="22"/>
                <w:lang w:val="sv-SE"/>
              </w:rPr>
            </w:pPr>
            <w:r w:rsidRPr="00011E43">
              <w:rPr>
                <w:color w:val="000000"/>
                <w:szCs w:val="22"/>
                <w:lang w:val="sv-SE"/>
              </w:rPr>
              <w:t xml:space="preserve">Puh/Tel: </w:t>
            </w:r>
            <w:r w:rsidRPr="00011E43">
              <w:rPr>
                <w:color w:val="000000"/>
                <w:szCs w:val="22"/>
                <w:lang w:val="sv-SE" w:bidi="he-IL"/>
              </w:rPr>
              <w:t>+358 (0)10 6133 200</w:t>
            </w:r>
          </w:p>
          <w:p w14:paraId="1B680FAC" w14:textId="77777777" w:rsidR="0000054D" w:rsidRPr="00011E43" w:rsidRDefault="0000054D" w:rsidP="001D5C8C">
            <w:pPr>
              <w:widowControl w:val="0"/>
              <w:spacing w:line="240" w:lineRule="auto"/>
              <w:rPr>
                <w:color w:val="000000"/>
                <w:szCs w:val="22"/>
                <w:lang w:val="sv-SE"/>
              </w:rPr>
            </w:pPr>
          </w:p>
        </w:tc>
      </w:tr>
      <w:tr w:rsidR="0000054D" w:rsidRPr="00491367" w14:paraId="1B680FB6" w14:textId="77777777" w:rsidTr="00841297">
        <w:trPr>
          <w:cantSplit/>
        </w:trPr>
        <w:tc>
          <w:tcPr>
            <w:tcW w:w="4650" w:type="dxa"/>
          </w:tcPr>
          <w:p w14:paraId="1B680FAE" w14:textId="77777777" w:rsidR="0000054D" w:rsidRPr="00654EF1" w:rsidRDefault="0000054D" w:rsidP="001D5C8C">
            <w:pPr>
              <w:widowControl w:val="0"/>
              <w:spacing w:line="240" w:lineRule="auto"/>
              <w:rPr>
                <w:b/>
                <w:color w:val="000000"/>
                <w:szCs w:val="22"/>
                <w:lang w:val="fr-FR"/>
              </w:rPr>
            </w:pPr>
            <w:r w:rsidRPr="00654EF1">
              <w:rPr>
                <w:b/>
                <w:color w:val="000000"/>
                <w:szCs w:val="22"/>
              </w:rPr>
              <w:t>Κύπρος</w:t>
            </w:r>
          </w:p>
          <w:p w14:paraId="1B680FAF" w14:textId="77777777" w:rsidR="0000054D" w:rsidRPr="00654EF1" w:rsidRDefault="0000054D" w:rsidP="001D5C8C">
            <w:pPr>
              <w:widowControl w:val="0"/>
              <w:spacing w:line="240" w:lineRule="auto"/>
              <w:rPr>
                <w:color w:val="000000"/>
                <w:szCs w:val="22"/>
                <w:lang w:val="fr-FR"/>
              </w:rPr>
            </w:pPr>
            <w:r w:rsidRPr="00654EF1">
              <w:rPr>
                <w:color w:val="000000"/>
                <w:szCs w:val="22"/>
                <w:lang w:val="fr-FR" w:bidi="he-IL"/>
              </w:rPr>
              <w:t>Novartis Pharma Services Inc.</w:t>
            </w:r>
          </w:p>
          <w:p w14:paraId="1B680FB0" w14:textId="77777777" w:rsidR="0000054D" w:rsidRPr="00654EF1" w:rsidRDefault="0000054D" w:rsidP="001D5C8C">
            <w:pPr>
              <w:widowControl w:val="0"/>
              <w:spacing w:line="240" w:lineRule="auto"/>
              <w:rPr>
                <w:color w:val="000000"/>
                <w:szCs w:val="22"/>
                <w:lang w:val="fr-FR"/>
              </w:rPr>
            </w:pPr>
            <w:r w:rsidRPr="00654EF1">
              <w:rPr>
                <w:color w:val="000000"/>
                <w:szCs w:val="22"/>
              </w:rPr>
              <w:t>Τηλ</w:t>
            </w:r>
            <w:r w:rsidRPr="00654EF1">
              <w:rPr>
                <w:color w:val="000000"/>
                <w:szCs w:val="22"/>
                <w:lang w:val="fr-FR"/>
              </w:rPr>
              <w:t>: +357 22 690 690</w:t>
            </w:r>
          </w:p>
          <w:p w14:paraId="1B680FB1" w14:textId="77777777" w:rsidR="0000054D" w:rsidRPr="00654EF1" w:rsidRDefault="0000054D" w:rsidP="001D5C8C">
            <w:pPr>
              <w:widowControl w:val="0"/>
              <w:spacing w:line="240" w:lineRule="auto"/>
              <w:rPr>
                <w:b/>
                <w:color w:val="000000"/>
                <w:szCs w:val="22"/>
                <w:lang w:val="fr-FR"/>
              </w:rPr>
            </w:pPr>
          </w:p>
        </w:tc>
        <w:tc>
          <w:tcPr>
            <w:tcW w:w="4650" w:type="dxa"/>
          </w:tcPr>
          <w:p w14:paraId="1B680FB2"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Sverige</w:t>
            </w:r>
          </w:p>
          <w:p w14:paraId="1B680FB3"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Sverige AB</w:t>
            </w:r>
          </w:p>
          <w:p w14:paraId="1B680FB4"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+46 8 732 32 00</w:t>
            </w:r>
          </w:p>
          <w:p w14:paraId="1B680FB5" w14:textId="77777777" w:rsidR="0000054D" w:rsidRPr="00654EF1" w:rsidRDefault="0000054D" w:rsidP="001D5C8C">
            <w:pPr>
              <w:widowControl w:val="0"/>
              <w:spacing w:line="240" w:lineRule="auto"/>
              <w:rPr>
                <w:color w:val="000000"/>
                <w:szCs w:val="22"/>
                <w:lang w:val="de-CH"/>
              </w:rPr>
            </w:pPr>
          </w:p>
        </w:tc>
      </w:tr>
      <w:tr w:rsidR="0000054D" w:rsidRPr="00654EF1" w14:paraId="1B680FBF" w14:textId="77777777" w:rsidTr="00841297">
        <w:trPr>
          <w:cantSplit/>
        </w:trPr>
        <w:tc>
          <w:tcPr>
            <w:tcW w:w="4650" w:type="dxa"/>
          </w:tcPr>
          <w:p w14:paraId="1B680FB7" w14:textId="77777777" w:rsidR="0000054D" w:rsidRPr="00654EF1" w:rsidRDefault="0000054D" w:rsidP="001D5C8C">
            <w:pPr>
              <w:widowControl w:val="0"/>
              <w:spacing w:line="240" w:lineRule="auto"/>
              <w:rPr>
                <w:b/>
                <w:color w:val="000000"/>
                <w:szCs w:val="22"/>
                <w:lang w:val="it-IT"/>
              </w:rPr>
            </w:pPr>
            <w:r w:rsidRPr="00654EF1">
              <w:rPr>
                <w:b/>
                <w:color w:val="000000"/>
                <w:szCs w:val="22"/>
                <w:lang w:val="it-IT"/>
              </w:rPr>
              <w:t>Latvija</w:t>
            </w:r>
          </w:p>
          <w:p w14:paraId="1B680FB8" w14:textId="3B3A399C" w:rsidR="0000054D" w:rsidRPr="00654EF1" w:rsidRDefault="004E3C11" w:rsidP="001D5C8C">
            <w:pPr>
              <w:widowControl w:val="0"/>
              <w:spacing w:line="240" w:lineRule="auto"/>
              <w:rPr>
                <w:color w:val="000000"/>
                <w:szCs w:val="22"/>
                <w:lang w:val="it-IT"/>
              </w:rPr>
            </w:pPr>
            <w:r w:rsidRPr="00654EF1">
              <w:rPr>
                <w:szCs w:val="22"/>
                <w:lang w:val="it-IT"/>
              </w:rPr>
              <w:t>SIA Novartis Baltics</w:t>
            </w:r>
          </w:p>
          <w:p w14:paraId="1B680FB9" w14:textId="77777777" w:rsidR="0000054D" w:rsidRPr="00654EF1" w:rsidRDefault="0000054D" w:rsidP="001D5C8C">
            <w:pPr>
              <w:widowControl w:val="0"/>
              <w:spacing w:line="240" w:lineRule="auto"/>
              <w:rPr>
                <w:color w:val="000000"/>
                <w:szCs w:val="22"/>
                <w:lang w:val="it-IT"/>
              </w:rPr>
            </w:pPr>
            <w:r w:rsidRPr="00654EF1">
              <w:rPr>
                <w:color w:val="000000"/>
                <w:szCs w:val="22"/>
                <w:lang w:val="it-IT"/>
              </w:rPr>
              <w:t>Tel: +371 67 887 070</w:t>
            </w:r>
          </w:p>
          <w:p w14:paraId="1B680FBA" w14:textId="77777777" w:rsidR="0000054D" w:rsidRPr="00654EF1" w:rsidRDefault="0000054D" w:rsidP="001D5C8C">
            <w:pPr>
              <w:widowControl w:val="0"/>
              <w:spacing w:line="240" w:lineRule="auto"/>
              <w:rPr>
                <w:b/>
                <w:color w:val="000000"/>
                <w:szCs w:val="22"/>
                <w:lang w:val="it-IT"/>
              </w:rPr>
            </w:pPr>
          </w:p>
        </w:tc>
        <w:tc>
          <w:tcPr>
            <w:tcW w:w="4650" w:type="dxa"/>
          </w:tcPr>
          <w:p w14:paraId="1B680FBB" w14:textId="77777777" w:rsidR="0000054D" w:rsidRPr="00011E43" w:rsidRDefault="0000054D" w:rsidP="001D5C8C">
            <w:pPr>
              <w:widowControl w:val="0"/>
              <w:spacing w:line="240" w:lineRule="auto"/>
              <w:rPr>
                <w:b/>
                <w:color w:val="000000"/>
                <w:szCs w:val="22"/>
                <w:lang w:val="it-IT"/>
              </w:rPr>
            </w:pPr>
            <w:r w:rsidRPr="00011E43">
              <w:rPr>
                <w:b/>
                <w:color w:val="000000"/>
                <w:szCs w:val="22"/>
                <w:lang w:val="it-IT"/>
              </w:rPr>
              <w:t>United Kingdom</w:t>
            </w:r>
          </w:p>
          <w:p w14:paraId="1B680FBC" w14:textId="77777777" w:rsidR="0000054D" w:rsidRPr="00011E43" w:rsidRDefault="0000054D" w:rsidP="001D5C8C">
            <w:pPr>
              <w:widowControl w:val="0"/>
              <w:spacing w:line="240" w:lineRule="auto"/>
              <w:rPr>
                <w:color w:val="000000"/>
                <w:szCs w:val="22"/>
                <w:lang w:val="it-IT"/>
              </w:rPr>
            </w:pPr>
            <w:r w:rsidRPr="00011E43">
              <w:rPr>
                <w:color w:val="000000"/>
                <w:szCs w:val="22"/>
                <w:lang w:val="it-IT"/>
              </w:rPr>
              <w:t>Novartis Pharmaceuticals UK Ltd.</w:t>
            </w:r>
          </w:p>
          <w:p w14:paraId="1B680FBD" w14:textId="77777777" w:rsidR="0000054D" w:rsidRPr="00654EF1" w:rsidRDefault="0000054D" w:rsidP="001D5C8C">
            <w:pPr>
              <w:widowControl w:val="0"/>
              <w:spacing w:line="240" w:lineRule="auto"/>
              <w:rPr>
                <w:color w:val="000000"/>
                <w:szCs w:val="22"/>
              </w:rPr>
            </w:pPr>
            <w:r w:rsidRPr="00654EF1">
              <w:rPr>
                <w:color w:val="000000"/>
                <w:szCs w:val="22"/>
              </w:rPr>
              <w:t>Tel: +44 1276 698370</w:t>
            </w:r>
          </w:p>
          <w:p w14:paraId="1B680FBE" w14:textId="77777777" w:rsidR="0000054D" w:rsidRPr="00654EF1" w:rsidRDefault="0000054D" w:rsidP="001D5C8C">
            <w:pPr>
              <w:widowControl w:val="0"/>
              <w:spacing w:line="240" w:lineRule="auto"/>
              <w:rPr>
                <w:color w:val="000000"/>
                <w:szCs w:val="22"/>
              </w:rPr>
            </w:pPr>
          </w:p>
        </w:tc>
      </w:tr>
    </w:tbl>
    <w:p w14:paraId="1B680FC0" w14:textId="77777777" w:rsidR="0000054D" w:rsidRPr="00654EF1" w:rsidRDefault="0000054D" w:rsidP="001D5C8C">
      <w:pPr>
        <w:widowControl w:val="0"/>
        <w:tabs>
          <w:tab w:val="clear" w:pos="567"/>
        </w:tabs>
        <w:spacing w:line="240" w:lineRule="auto"/>
        <w:ind w:right="-449"/>
        <w:rPr>
          <w:color w:val="000000"/>
          <w:szCs w:val="22"/>
        </w:rPr>
      </w:pPr>
    </w:p>
    <w:p w14:paraId="1B680FC1" w14:textId="77777777" w:rsidR="00E40CF9" w:rsidRPr="00654EF1" w:rsidRDefault="00E40CF9" w:rsidP="001D5C8C">
      <w:pPr>
        <w:widowControl w:val="0"/>
        <w:numPr>
          <w:ilvl w:val="12"/>
          <w:numId w:val="0"/>
        </w:numPr>
        <w:tabs>
          <w:tab w:val="clear" w:pos="567"/>
        </w:tabs>
        <w:spacing w:line="240" w:lineRule="auto"/>
        <w:ind w:right="-2"/>
        <w:rPr>
          <w:b/>
          <w:color w:val="000000"/>
          <w:szCs w:val="22"/>
        </w:rPr>
      </w:pPr>
      <w:r w:rsidRPr="00654EF1">
        <w:rPr>
          <w:b/>
          <w:color w:val="000000"/>
          <w:szCs w:val="22"/>
        </w:rPr>
        <w:t xml:space="preserve">This leaflet was last </w:t>
      </w:r>
      <w:r w:rsidR="008A04A6" w:rsidRPr="00654EF1">
        <w:rPr>
          <w:b/>
          <w:color w:val="000000"/>
          <w:szCs w:val="22"/>
        </w:rPr>
        <w:t>revised</w:t>
      </w:r>
      <w:r w:rsidRPr="00654EF1">
        <w:rPr>
          <w:b/>
          <w:color w:val="000000"/>
          <w:szCs w:val="22"/>
        </w:rPr>
        <w:t xml:space="preserve"> in</w:t>
      </w:r>
    </w:p>
    <w:p w14:paraId="1B680FC2" w14:textId="77777777" w:rsidR="008A04A6" w:rsidRPr="00654EF1" w:rsidRDefault="008A04A6" w:rsidP="001D5C8C">
      <w:pPr>
        <w:pStyle w:val="Date"/>
        <w:widowControl w:val="0"/>
        <w:rPr>
          <w:color w:val="000000"/>
        </w:rPr>
      </w:pPr>
    </w:p>
    <w:p w14:paraId="1B680FC3" w14:textId="77777777" w:rsidR="00E40CF9" w:rsidRPr="00654EF1" w:rsidRDefault="008A04A6" w:rsidP="001D5C8C">
      <w:pPr>
        <w:keepNext/>
        <w:widowControl w:val="0"/>
        <w:spacing w:line="240" w:lineRule="auto"/>
        <w:rPr>
          <w:color w:val="000000"/>
        </w:rPr>
      </w:pPr>
      <w:r w:rsidRPr="00654EF1">
        <w:rPr>
          <w:b/>
        </w:rPr>
        <w:t>Other sources of information</w:t>
      </w:r>
    </w:p>
    <w:p w14:paraId="1B680FC4" w14:textId="77777777" w:rsidR="00E40CF9" w:rsidRPr="00654EF1" w:rsidRDefault="00E40CF9" w:rsidP="001D5C8C">
      <w:pPr>
        <w:widowControl w:val="0"/>
        <w:spacing w:line="240" w:lineRule="auto"/>
        <w:rPr>
          <w:color w:val="000000"/>
        </w:rPr>
      </w:pPr>
      <w:r w:rsidRPr="00654EF1">
        <w:rPr>
          <w:iCs/>
          <w:noProof/>
          <w:color w:val="000000"/>
        </w:rPr>
        <w:t>Detailed information on this medicine is available on the E</w:t>
      </w:r>
      <w:r w:rsidR="00916784" w:rsidRPr="00654EF1">
        <w:rPr>
          <w:iCs/>
          <w:noProof/>
          <w:color w:val="000000"/>
        </w:rPr>
        <w:t>uropean Medicines Agency web</w:t>
      </w:r>
      <w:r w:rsidRPr="00654EF1">
        <w:rPr>
          <w:iCs/>
          <w:noProof/>
          <w:color w:val="000000"/>
        </w:rPr>
        <w:t xml:space="preserve">site: </w:t>
      </w:r>
      <w:r w:rsidR="00916784" w:rsidRPr="00654EF1">
        <w:rPr>
          <w:noProof/>
          <w:color w:val="000000"/>
        </w:rPr>
        <w:t>http://www.em</w:t>
      </w:r>
      <w:r w:rsidRPr="00654EF1">
        <w:rPr>
          <w:noProof/>
          <w:color w:val="000000"/>
        </w:rPr>
        <w:t>a.europa.eu</w:t>
      </w:r>
    </w:p>
    <w:p w14:paraId="1B680FC5" w14:textId="77777777" w:rsidR="00BB30F2" w:rsidRPr="00654EF1" w:rsidRDefault="00BB30F2" w:rsidP="001D5C8C">
      <w:pPr>
        <w:widowControl w:val="0"/>
        <w:tabs>
          <w:tab w:val="clear" w:pos="567"/>
        </w:tabs>
        <w:spacing w:line="240" w:lineRule="auto"/>
        <w:ind w:right="-449"/>
        <w:rPr>
          <w:color w:val="000000"/>
          <w:szCs w:val="22"/>
        </w:rPr>
      </w:pPr>
    </w:p>
    <w:p w14:paraId="1B680FC6" w14:textId="77777777" w:rsidR="006237AB" w:rsidRPr="00654EF1" w:rsidRDefault="006237AB" w:rsidP="001D5C8C">
      <w:pPr>
        <w:widowControl w:val="0"/>
        <w:tabs>
          <w:tab w:val="clear" w:pos="567"/>
        </w:tabs>
        <w:spacing w:line="240" w:lineRule="auto"/>
        <w:jc w:val="center"/>
        <w:rPr>
          <w:b/>
          <w:color w:val="000000"/>
          <w:szCs w:val="22"/>
        </w:rPr>
      </w:pPr>
      <w:r w:rsidRPr="00654EF1">
        <w:rPr>
          <w:color w:val="000000"/>
          <w:szCs w:val="22"/>
        </w:rPr>
        <w:br w:type="page"/>
      </w:r>
      <w:r w:rsidR="008A04A6" w:rsidRPr="00654EF1">
        <w:rPr>
          <w:b/>
          <w:color w:val="000000"/>
          <w:szCs w:val="22"/>
        </w:rPr>
        <w:lastRenderedPageBreak/>
        <w:t>Package leaflet: Information for the user</w:t>
      </w:r>
    </w:p>
    <w:p w14:paraId="1B680FC7" w14:textId="77777777" w:rsidR="00E95FB4" w:rsidRPr="00654EF1" w:rsidRDefault="00E95FB4" w:rsidP="001D5C8C">
      <w:pPr>
        <w:widowControl w:val="0"/>
        <w:tabs>
          <w:tab w:val="clear" w:pos="567"/>
        </w:tabs>
        <w:spacing w:line="240" w:lineRule="auto"/>
        <w:jc w:val="center"/>
        <w:rPr>
          <w:color w:val="000000"/>
          <w:szCs w:val="22"/>
        </w:rPr>
      </w:pPr>
    </w:p>
    <w:p w14:paraId="1B680FC8" w14:textId="77777777" w:rsidR="00E95FB4" w:rsidRPr="00654EF1" w:rsidRDefault="00E95FB4" w:rsidP="001D5C8C">
      <w:pPr>
        <w:widowControl w:val="0"/>
        <w:tabs>
          <w:tab w:val="clear" w:pos="567"/>
        </w:tabs>
        <w:spacing w:line="240" w:lineRule="auto"/>
        <w:jc w:val="center"/>
        <w:rPr>
          <w:color w:val="000000"/>
          <w:szCs w:val="22"/>
        </w:rPr>
      </w:pPr>
      <w:r w:rsidRPr="00654EF1">
        <w:rPr>
          <w:b/>
          <w:color w:val="000000"/>
          <w:szCs w:val="22"/>
        </w:rPr>
        <w:t>Glivec 100 mg film-coated tablets</w:t>
      </w:r>
    </w:p>
    <w:p w14:paraId="57E4352C" w14:textId="77777777" w:rsidR="00D45B57" w:rsidRPr="00654EF1" w:rsidRDefault="00D45B57" w:rsidP="00D45B57">
      <w:pPr>
        <w:widowControl w:val="0"/>
        <w:tabs>
          <w:tab w:val="clear" w:pos="567"/>
        </w:tabs>
        <w:spacing w:line="240" w:lineRule="auto"/>
        <w:jc w:val="center"/>
        <w:rPr>
          <w:color w:val="000000"/>
          <w:szCs w:val="22"/>
        </w:rPr>
      </w:pPr>
      <w:r w:rsidRPr="00654EF1">
        <w:rPr>
          <w:b/>
          <w:color w:val="000000"/>
          <w:szCs w:val="22"/>
        </w:rPr>
        <w:t>Glivec 400 mg film-coated tablets</w:t>
      </w:r>
    </w:p>
    <w:p w14:paraId="1B680FC9" w14:textId="77777777" w:rsidR="00E95FB4" w:rsidRPr="00654EF1" w:rsidRDefault="00AB244E" w:rsidP="001D5C8C">
      <w:pPr>
        <w:widowControl w:val="0"/>
        <w:tabs>
          <w:tab w:val="clear" w:pos="567"/>
        </w:tabs>
        <w:spacing w:line="240" w:lineRule="auto"/>
        <w:jc w:val="center"/>
        <w:rPr>
          <w:color w:val="000000"/>
          <w:szCs w:val="22"/>
        </w:rPr>
      </w:pPr>
      <w:r w:rsidRPr="00654EF1">
        <w:rPr>
          <w:color w:val="000000"/>
          <w:szCs w:val="22"/>
        </w:rPr>
        <w:t>i</w:t>
      </w:r>
      <w:r w:rsidR="00E95FB4" w:rsidRPr="00654EF1">
        <w:rPr>
          <w:color w:val="000000"/>
          <w:szCs w:val="22"/>
        </w:rPr>
        <w:t>matinib</w:t>
      </w:r>
    </w:p>
    <w:p w14:paraId="1B680FCA" w14:textId="77777777" w:rsidR="006F3324" w:rsidRPr="00654EF1" w:rsidRDefault="006F3324" w:rsidP="001D5C8C">
      <w:pPr>
        <w:widowControl w:val="0"/>
        <w:numPr>
          <w:ilvl w:val="12"/>
          <w:numId w:val="0"/>
        </w:numPr>
        <w:tabs>
          <w:tab w:val="clear" w:pos="567"/>
        </w:tabs>
        <w:spacing w:line="240" w:lineRule="auto"/>
        <w:rPr>
          <w:noProof/>
          <w:szCs w:val="22"/>
        </w:rPr>
      </w:pPr>
    </w:p>
    <w:p w14:paraId="1B680FCB" w14:textId="77777777" w:rsidR="006F3324" w:rsidRPr="00654EF1" w:rsidRDefault="002B04AE" w:rsidP="001D5C8C">
      <w:pPr>
        <w:widowControl w:val="0"/>
        <w:tabs>
          <w:tab w:val="clear" w:pos="567"/>
        </w:tabs>
        <w:suppressAutoHyphens/>
        <w:spacing w:line="240" w:lineRule="auto"/>
        <w:rPr>
          <w:szCs w:val="22"/>
        </w:rPr>
      </w:pPr>
      <w:r w:rsidRPr="00654EF1">
        <w:rPr>
          <w:noProof/>
          <w:lang w:eastAsia="en-GB"/>
        </w:rPr>
        <w:drawing>
          <wp:inline distT="0" distB="0" distL="0" distR="0" wp14:anchorId="1B681315" wp14:editId="1B681316">
            <wp:extent cx="198755" cy="174625"/>
            <wp:effectExtent l="0" t="0" r="0" b="0"/>
            <wp:docPr id="9"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F3324" w:rsidRPr="00654EF1">
        <w:rPr>
          <w:noProof/>
          <w:szCs w:val="24"/>
          <w:lang w:val="cs-CZ"/>
        </w:rPr>
        <w:t>T</w:t>
      </w:r>
      <w:r w:rsidR="006F3324" w:rsidRPr="00654EF1">
        <w:rPr>
          <w:szCs w:val="22"/>
        </w:rPr>
        <w:t>his medicine is subject to additional monitoring. This will allow quick identification of new safety information. You can help by reporting any side effects you may get. See the end of section 4 for how to report side effects</w:t>
      </w:r>
    </w:p>
    <w:p w14:paraId="1B680FCC" w14:textId="77777777" w:rsidR="006F3324" w:rsidRPr="00654EF1" w:rsidRDefault="006F3324" w:rsidP="001D5C8C">
      <w:pPr>
        <w:widowControl w:val="0"/>
        <w:tabs>
          <w:tab w:val="clear" w:pos="567"/>
        </w:tabs>
        <w:suppressAutoHyphens/>
        <w:spacing w:line="240" w:lineRule="auto"/>
        <w:rPr>
          <w:noProof/>
          <w:szCs w:val="22"/>
        </w:rPr>
      </w:pPr>
    </w:p>
    <w:p w14:paraId="1B680FCD" w14:textId="77777777" w:rsidR="008A04A6" w:rsidRPr="00654EF1" w:rsidRDefault="008A04A6" w:rsidP="001D5C8C">
      <w:pPr>
        <w:widowControl w:val="0"/>
        <w:tabs>
          <w:tab w:val="clear" w:pos="567"/>
        </w:tabs>
        <w:autoSpaceDE w:val="0"/>
        <w:autoSpaceDN w:val="0"/>
        <w:adjustRightInd w:val="0"/>
        <w:spacing w:line="240" w:lineRule="auto"/>
        <w:rPr>
          <w:color w:val="000000"/>
          <w:szCs w:val="22"/>
        </w:rPr>
      </w:pPr>
      <w:r w:rsidRPr="00654EF1">
        <w:rPr>
          <w:b/>
          <w:color w:val="000000"/>
          <w:szCs w:val="22"/>
        </w:rPr>
        <w:t>Read all of this leaflet carefully before you start taking this medicine because it contains important information for you.</w:t>
      </w:r>
    </w:p>
    <w:p w14:paraId="1B680FCE" w14:textId="77777777" w:rsidR="008A04A6" w:rsidRPr="00654EF1" w:rsidRDefault="008A04A6"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Keep this leaflet. You may need to read it again.</w:t>
      </w:r>
    </w:p>
    <w:p w14:paraId="1B680FCF" w14:textId="77777777" w:rsidR="008A04A6" w:rsidRPr="00654EF1" w:rsidRDefault="008A04A6"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If you have any further questions, ask your doctor, pharmacist or nurse.</w:t>
      </w:r>
    </w:p>
    <w:p w14:paraId="1B680FD0" w14:textId="77777777" w:rsidR="008A04A6" w:rsidRPr="00654EF1" w:rsidRDefault="008A04A6"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This medicine has been prescribed for you only. Do not pass it on to others. It may harm them, even if their signs of illness are the same as yours.</w:t>
      </w:r>
    </w:p>
    <w:p w14:paraId="1B680FD1" w14:textId="77777777" w:rsidR="008A04A6" w:rsidRPr="00654EF1" w:rsidRDefault="008A04A6"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If you get any side effects, talk to your doctor, pharmacist or nurse. This includes any possible side effects not listed in this leaflet.</w:t>
      </w:r>
      <w:r w:rsidR="00FF19FF" w:rsidRPr="00654EF1">
        <w:rPr>
          <w:color w:val="000000"/>
          <w:szCs w:val="22"/>
        </w:rPr>
        <w:t xml:space="preserve"> See section 4.</w:t>
      </w:r>
    </w:p>
    <w:p w14:paraId="1B680FD2"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0FD3"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0FD4" w14:textId="77777777" w:rsidR="008A04A6" w:rsidRPr="00654EF1" w:rsidRDefault="008A04A6"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What is in this leaflet</w:t>
      </w:r>
    </w:p>
    <w:p w14:paraId="1B680FD5" w14:textId="77777777" w:rsidR="008A04A6" w:rsidRPr="00654EF1" w:rsidRDefault="008A04A6"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1.</w:t>
      </w:r>
      <w:r w:rsidRPr="00654EF1">
        <w:rPr>
          <w:color w:val="000000"/>
          <w:szCs w:val="22"/>
        </w:rPr>
        <w:tab/>
        <w:t>What Glivec is and what it is used for</w:t>
      </w:r>
    </w:p>
    <w:p w14:paraId="1B680FD6" w14:textId="77777777" w:rsidR="008A04A6" w:rsidRPr="00654EF1" w:rsidRDefault="008A04A6"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2.</w:t>
      </w:r>
      <w:r w:rsidRPr="00654EF1">
        <w:rPr>
          <w:color w:val="000000"/>
          <w:szCs w:val="22"/>
        </w:rPr>
        <w:tab/>
        <w:t>What you need to know before you take Glivec</w:t>
      </w:r>
    </w:p>
    <w:p w14:paraId="1B680FD7" w14:textId="77777777" w:rsidR="008A04A6" w:rsidRPr="00654EF1" w:rsidRDefault="008A04A6"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3.</w:t>
      </w:r>
      <w:r w:rsidRPr="00654EF1">
        <w:rPr>
          <w:color w:val="000000"/>
          <w:szCs w:val="22"/>
        </w:rPr>
        <w:tab/>
        <w:t>How to take Glivec</w:t>
      </w:r>
    </w:p>
    <w:p w14:paraId="1B680FD8" w14:textId="77777777" w:rsidR="008A04A6" w:rsidRPr="00654EF1" w:rsidRDefault="008A04A6" w:rsidP="001D5C8C">
      <w:pPr>
        <w:widowControl w:val="0"/>
        <w:numPr>
          <w:ilvl w:val="12"/>
          <w:numId w:val="0"/>
        </w:numPr>
        <w:tabs>
          <w:tab w:val="clear" w:pos="567"/>
        </w:tabs>
        <w:spacing w:line="240" w:lineRule="auto"/>
        <w:ind w:left="567" w:right="-29" w:hanging="567"/>
        <w:rPr>
          <w:color w:val="000000"/>
          <w:szCs w:val="22"/>
        </w:rPr>
      </w:pPr>
      <w:r w:rsidRPr="00654EF1">
        <w:rPr>
          <w:color w:val="000000"/>
          <w:szCs w:val="22"/>
        </w:rPr>
        <w:t>4.</w:t>
      </w:r>
      <w:r w:rsidRPr="00654EF1">
        <w:rPr>
          <w:color w:val="000000"/>
          <w:szCs w:val="22"/>
        </w:rPr>
        <w:tab/>
        <w:t>Possible side effects</w:t>
      </w:r>
    </w:p>
    <w:p w14:paraId="1B680FD9" w14:textId="77777777" w:rsidR="008A04A6" w:rsidRPr="00654EF1" w:rsidRDefault="008A04A6" w:rsidP="001D5C8C">
      <w:pPr>
        <w:widowControl w:val="0"/>
        <w:tabs>
          <w:tab w:val="clear" w:pos="567"/>
        </w:tabs>
        <w:spacing w:line="240" w:lineRule="auto"/>
        <w:ind w:left="567" w:right="-29" w:hanging="567"/>
        <w:rPr>
          <w:color w:val="000000"/>
          <w:szCs w:val="22"/>
        </w:rPr>
      </w:pPr>
      <w:r w:rsidRPr="00654EF1">
        <w:rPr>
          <w:color w:val="000000"/>
          <w:szCs w:val="22"/>
        </w:rPr>
        <w:t>5.</w:t>
      </w:r>
      <w:r w:rsidRPr="00654EF1">
        <w:rPr>
          <w:color w:val="000000"/>
          <w:szCs w:val="22"/>
        </w:rPr>
        <w:tab/>
        <w:t>How to store Glivec</w:t>
      </w:r>
    </w:p>
    <w:p w14:paraId="1B680FDA" w14:textId="77777777" w:rsidR="008A04A6" w:rsidRPr="00654EF1" w:rsidRDefault="008A04A6" w:rsidP="001D5C8C">
      <w:pPr>
        <w:widowControl w:val="0"/>
        <w:tabs>
          <w:tab w:val="clear" w:pos="567"/>
        </w:tabs>
        <w:spacing w:line="240" w:lineRule="auto"/>
        <w:ind w:left="567" w:right="-29" w:hanging="567"/>
        <w:rPr>
          <w:color w:val="000000"/>
          <w:szCs w:val="22"/>
        </w:rPr>
      </w:pPr>
      <w:r w:rsidRPr="00654EF1">
        <w:rPr>
          <w:color w:val="000000"/>
          <w:szCs w:val="22"/>
        </w:rPr>
        <w:t>6.</w:t>
      </w:r>
      <w:r w:rsidRPr="00654EF1">
        <w:rPr>
          <w:color w:val="000000"/>
          <w:szCs w:val="22"/>
        </w:rPr>
        <w:tab/>
        <w:t>Contents of the pack and other information</w:t>
      </w:r>
    </w:p>
    <w:p w14:paraId="1B680FDB" w14:textId="77777777" w:rsidR="008A04A6" w:rsidRPr="00654EF1" w:rsidRDefault="008A04A6" w:rsidP="001D5C8C">
      <w:pPr>
        <w:widowControl w:val="0"/>
        <w:tabs>
          <w:tab w:val="clear" w:pos="567"/>
        </w:tabs>
        <w:spacing w:line="240" w:lineRule="auto"/>
        <w:ind w:right="-29"/>
        <w:rPr>
          <w:color w:val="000000"/>
          <w:szCs w:val="22"/>
        </w:rPr>
      </w:pPr>
    </w:p>
    <w:p w14:paraId="1B680FDC" w14:textId="77777777" w:rsidR="008A04A6" w:rsidRPr="00654EF1" w:rsidRDefault="008A04A6" w:rsidP="001D5C8C">
      <w:pPr>
        <w:widowControl w:val="0"/>
        <w:tabs>
          <w:tab w:val="clear" w:pos="567"/>
        </w:tabs>
        <w:spacing w:line="240" w:lineRule="auto"/>
        <w:ind w:right="-29"/>
        <w:rPr>
          <w:color w:val="000000"/>
          <w:szCs w:val="22"/>
        </w:rPr>
      </w:pPr>
    </w:p>
    <w:p w14:paraId="1B680FDD" w14:textId="77777777" w:rsidR="008A04A6" w:rsidRPr="00654EF1" w:rsidRDefault="008A04A6"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1.</w:t>
      </w:r>
      <w:r w:rsidRPr="00654EF1">
        <w:rPr>
          <w:b/>
          <w:color w:val="000000"/>
          <w:szCs w:val="22"/>
        </w:rPr>
        <w:tab/>
        <w:t>What Glivec is and what it is used for</w:t>
      </w:r>
    </w:p>
    <w:p w14:paraId="1B680FDE" w14:textId="77777777" w:rsidR="008A04A6" w:rsidRPr="00654EF1" w:rsidRDefault="008A04A6" w:rsidP="001D5C8C">
      <w:pPr>
        <w:pStyle w:val="EndnoteText"/>
        <w:keepNext/>
        <w:widowControl w:val="0"/>
        <w:numPr>
          <w:ilvl w:val="12"/>
          <w:numId w:val="0"/>
        </w:numPr>
        <w:tabs>
          <w:tab w:val="clear" w:pos="567"/>
        </w:tabs>
        <w:rPr>
          <w:color w:val="000000"/>
          <w:szCs w:val="22"/>
        </w:rPr>
      </w:pPr>
    </w:p>
    <w:p w14:paraId="1B680FDF"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Glivec is a medicine containing an active substance called imatinib. This medicine works by inhibiting the growth of abnormal cells in the diseases listed below. These include some types of cancer.</w:t>
      </w:r>
    </w:p>
    <w:p w14:paraId="1B680FE0" w14:textId="77777777" w:rsidR="008A04A6" w:rsidRPr="00654EF1" w:rsidRDefault="008A04A6" w:rsidP="001D5C8C">
      <w:pPr>
        <w:pStyle w:val="Text"/>
        <w:widowControl w:val="0"/>
        <w:spacing w:before="0"/>
        <w:jc w:val="left"/>
        <w:rPr>
          <w:color w:val="000000"/>
          <w:sz w:val="22"/>
          <w:szCs w:val="22"/>
          <w:lang w:val="en-GB"/>
        </w:rPr>
      </w:pPr>
    </w:p>
    <w:p w14:paraId="1B680FE1" w14:textId="77777777" w:rsidR="008A04A6" w:rsidRPr="00654EF1" w:rsidRDefault="008A04A6" w:rsidP="001D5C8C">
      <w:pPr>
        <w:pStyle w:val="Text"/>
        <w:keepNext/>
        <w:widowControl w:val="0"/>
        <w:spacing w:before="0"/>
        <w:jc w:val="left"/>
        <w:rPr>
          <w:b/>
          <w:bCs/>
          <w:color w:val="000000"/>
          <w:sz w:val="22"/>
          <w:szCs w:val="22"/>
          <w:lang w:val="en-GB"/>
        </w:rPr>
      </w:pPr>
      <w:r w:rsidRPr="00654EF1">
        <w:rPr>
          <w:b/>
          <w:bCs/>
          <w:color w:val="000000"/>
          <w:sz w:val="22"/>
          <w:szCs w:val="22"/>
          <w:lang w:val="en-GB"/>
        </w:rPr>
        <w:t>Glivec is a treatment for adults and children for:</w:t>
      </w:r>
    </w:p>
    <w:p w14:paraId="1B680FE2" w14:textId="77777777" w:rsidR="008A04A6" w:rsidRPr="00654EF1" w:rsidRDefault="008A04A6" w:rsidP="001D5C8C">
      <w:pPr>
        <w:pStyle w:val="Text"/>
        <w:keepNext/>
        <w:widowControl w:val="0"/>
        <w:spacing w:before="0"/>
        <w:jc w:val="left"/>
        <w:rPr>
          <w:color w:val="000000"/>
          <w:sz w:val="22"/>
          <w:szCs w:val="22"/>
          <w:lang w:val="en-GB"/>
        </w:rPr>
      </w:pPr>
    </w:p>
    <w:p w14:paraId="1B680FE3" w14:textId="77777777" w:rsidR="008A04A6" w:rsidRPr="00654EF1" w:rsidRDefault="008A04A6" w:rsidP="001D5C8C">
      <w:pPr>
        <w:pStyle w:val="Text"/>
        <w:widowControl w:val="0"/>
        <w:numPr>
          <w:ilvl w:val="0"/>
          <w:numId w:val="14"/>
        </w:numPr>
        <w:spacing w:before="0"/>
        <w:ind w:left="567" w:hanging="567"/>
        <w:jc w:val="left"/>
        <w:rPr>
          <w:color w:val="000000"/>
          <w:sz w:val="22"/>
          <w:szCs w:val="22"/>
          <w:lang w:val="en-GB"/>
        </w:rPr>
      </w:pPr>
      <w:r w:rsidRPr="00654EF1">
        <w:rPr>
          <w:b/>
          <w:bCs/>
          <w:color w:val="000000"/>
          <w:sz w:val="22"/>
          <w:szCs w:val="22"/>
          <w:lang w:val="en-GB"/>
        </w:rPr>
        <w:t>Chronic myeloid leukaemia (CML).</w:t>
      </w:r>
      <w:r w:rsidRPr="00654EF1">
        <w:rPr>
          <w:color w:val="000000"/>
          <w:sz w:val="22"/>
          <w:szCs w:val="22"/>
          <w:lang w:val="en-GB"/>
        </w:rPr>
        <w:t xml:space="preserve"> Leukaemia is a cancer of white blood cells. These white cells usually help the body to fight infection. Chronic myeloid leukaemia is a form of leukaemia in which certain abnormal white cells (named myeloid cells) start growing out of control.</w:t>
      </w:r>
    </w:p>
    <w:p w14:paraId="1B680FE4" w14:textId="77777777" w:rsidR="007F35BE" w:rsidRPr="00654EF1" w:rsidRDefault="007F35BE" w:rsidP="001D5C8C">
      <w:pPr>
        <w:pStyle w:val="Text"/>
        <w:widowControl w:val="0"/>
        <w:numPr>
          <w:ilvl w:val="0"/>
          <w:numId w:val="14"/>
        </w:numPr>
        <w:spacing w:before="0"/>
        <w:ind w:left="567" w:hanging="567"/>
        <w:jc w:val="left"/>
        <w:rPr>
          <w:color w:val="000000"/>
          <w:sz w:val="22"/>
          <w:szCs w:val="22"/>
          <w:lang w:val="en-GB"/>
        </w:rPr>
      </w:pPr>
      <w:smartTag w:uri="urn:schemas-microsoft-com:office:smarttags" w:element="City">
        <w:smartTag w:uri="urn:schemas-microsoft-com:office:smarttags" w:element="place">
          <w:r w:rsidRPr="00654EF1">
            <w:rPr>
              <w:b/>
              <w:bCs/>
              <w:color w:val="000000"/>
              <w:sz w:val="22"/>
              <w:szCs w:val="22"/>
            </w:rPr>
            <w:t>Philadelphia</w:t>
          </w:r>
        </w:smartTag>
      </w:smartTag>
      <w:r w:rsidRPr="00654EF1">
        <w:rPr>
          <w:b/>
          <w:bCs/>
          <w:color w:val="000000"/>
          <w:sz w:val="22"/>
          <w:szCs w:val="22"/>
        </w:rPr>
        <w:t xml:space="preserve"> chromosome positive acute lymphoblastic leukaemia (Ph-positive </w:t>
      </w:r>
      <w:smartTag w:uri="urn:schemas-microsoft-com:office:smarttags" w:element="stockticker">
        <w:r w:rsidRPr="00654EF1">
          <w:rPr>
            <w:b/>
            <w:bCs/>
            <w:color w:val="000000"/>
            <w:sz w:val="22"/>
            <w:szCs w:val="22"/>
          </w:rPr>
          <w:t>ALL</w:t>
        </w:r>
      </w:smartTag>
      <w:r w:rsidRPr="00654EF1">
        <w:rPr>
          <w:b/>
          <w:bCs/>
          <w:color w:val="000000"/>
          <w:sz w:val="22"/>
          <w:szCs w:val="22"/>
        </w:rPr>
        <w:t>)</w:t>
      </w:r>
      <w:r w:rsidRPr="00654EF1">
        <w:rPr>
          <w:color w:val="000000"/>
          <w:sz w:val="22"/>
          <w:szCs w:val="22"/>
        </w:rPr>
        <w:t>. Leukaemia is a cancer of white blood cells. These white cells usually help the body to fight infection. Acute lymphoblastic leukaemia is a form of leukaemia in which certain abnormal white cells (named lymphoblasts) start growing out of control. Glivec inhibits the growth of these cells.</w:t>
      </w:r>
    </w:p>
    <w:p w14:paraId="1B680FE5" w14:textId="77777777" w:rsidR="008A04A6" w:rsidRPr="00654EF1" w:rsidRDefault="008A04A6" w:rsidP="001D5C8C">
      <w:pPr>
        <w:pStyle w:val="Text"/>
        <w:widowControl w:val="0"/>
        <w:spacing w:before="0"/>
        <w:jc w:val="left"/>
        <w:rPr>
          <w:color w:val="000000"/>
          <w:sz w:val="22"/>
          <w:szCs w:val="22"/>
          <w:lang w:val="en-GB"/>
        </w:rPr>
      </w:pPr>
    </w:p>
    <w:p w14:paraId="1B680FE6" w14:textId="77777777" w:rsidR="008A04A6" w:rsidRPr="00654EF1" w:rsidRDefault="008A04A6" w:rsidP="001D5C8C">
      <w:pPr>
        <w:pStyle w:val="Text"/>
        <w:keepNext/>
        <w:widowControl w:val="0"/>
        <w:spacing w:before="0"/>
        <w:jc w:val="left"/>
        <w:rPr>
          <w:b/>
          <w:bCs/>
          <w:color w:val="000000"/>
          <w:sz w:val="22"/>
          <w:szCs w:val="22"/>
          <w:lang w:val="en-GB"/>
        </w:rPr>
      </w:pPr>
      <w:r w:rsidRPr="00654EF1">
        <w:rPr>
          <w:b/>
          <w:bCs/>
          <w:color w:val="000000"/>
          <w:sz w:val="22"/>
          <w:szCs w:val="22"/>
          <w:lang w:val="en-GB"/>
        </w:rPr>
        <w:t>Glivec is also a treatment for adults for:</w:t>
      </w:r>
    </w:p>
    <w:p w14:paraId="1B680FE7" w14:textId="77777777" w:rsidR="008A04A6" w:rsidRPr="00654EF1" w:rsidRDefault="008A04A6" w:rsidP="001D5C8C">
      <w:pPr>
        <w:pStyle w:val="Text"/>
        <w:keepNext/>
        <w:widowControl w:val="0"/>
        <w:spacing w:before="0"/>
        <w:jc w:val="left"/>
        <w:rPr>
          <w:color w:val="000000"/>
          <w:sz w:val="22"/>
          <w:szCs w:val="22"/>
        </w:rPr>
      </w:pPr>
    </w:p>
    <w:p w14:paraId="1B680FE8" w14:textId="77777777" w:rsidR="008A04A6" w:rsidRPr="00654EF1" w:rsidRDefault="008A04A6" w:rsidP="001D5C8C">
      <w:pPr>
        <w:pStyle w:val="Listlevel1"/>
        <w:widowControl w:val="0"/>
        <w:numPr>
          <w:ilvl w:val="0"/>
          <w:numId w:val="14"/>
        </w:numPr>
        <w:spacing w:before="0" w:after="0"/>
        <w:ind w:left="567" w:hanging="567"/>
        <w:rPr>
          <w:color w:val="000000"/>
          <w:sz w:val="22"/>
          <w:szCs w:val="22"/>
          <w:lang w:val="en-GB"/>
        </w:rPr>
      </w:pPr>
      <w:r w:rsidRPr="00654EF1">
        <w:rPr>
          <w:b/>
          <w:bCs/>
          <w:color w:val="000000"/>
          <w:sz w:val="22"/>
          <w:szCs w:val="22"/>
          <w:lang w:val="en-GB"/>
        </w:rPr>
        <w:t>Myelodysplastic/myeloproliferative diseases (</w:t>
      </w:r>
      <w:smartTag w:uri="urn:schemas-microsoft-com:office:smarttags" w:element="stockticker">
        <w:r w:rsidRPr="00654EF1">
          <w:rPr>
            <w:b/>
            <w:bCs/>
            <w:color w:val="000000"/>
            <w:sz w:val="22"/>
            <w:szCs w:val="22"/>
            <w:lang w:val="en-GB"/>
          </w:rPr>
          <w:t>MDS</w:t>
        </w:r>
      </w:smartTag>
      <w:r w:rsidRPr="00654EF1">
        <w:rPr>
          <w:b/>
          <w:bCs/>
          <w:color w:val="000000"/>
          <w:sz w:val="22"/>
          <w:szCs w:val="22"/>
          <w:lang w:val="en-GB"/>
        </w:rPr>
        <w:t xml:space="preserve">/MPD). </w:t>
      </w:r>
      <w:r w:rsidRPr="00654EF1">
        <w:rPr>
          <w:color w:val="000000"/>
          <w:sz w:val="22"/>
          <w:szCs w:val="22"/>
          <w:lang w:val="en-GB"/>
        </w:rPr>
        <w:t>These are a group of blood diseases in which some blood cells start growing out of control. Glivec inhibits the growth of these cells in a certain subtype of these diseases.</w:t>
      </w:r>
    </w:p>
    <w:p w14:paraId="1B680FE9" w14:textId="77777777" w:rsidR="008A04A6" w:rsidRPr="00654EF1" w:rsidRDefault="008A04A6" w:rsidP="001D5C8C">
      <w:pPr>
        <w:pStyle w:val="Listlevel1"/>
        <w:widowControl w:val="0"/>
        <w:numPr>
          <w:ilvl w:val="0"/>
          <w:numId w:val="14"/>
        </w:numPr>
        <w:spacing w:before="0" w:after="0"/>
        <w:ind w:left="567" w:hanging="567"/>
        <w:rPr>
          <w:color w:val="000000"/>
          <w:sz w:val="22"/>
          <w:szCs w:val="22"/>
          <w:lang w:val="en-GB"/>
        </w:rPr>
      </w:pPr>
      <w:r w:rsidRPr="00654EF1">
        <w:rPr>
          <w:b/>
          <w:color w:val="000000"/>
          <w:sz w:val="22"/>
          <w:szCs w:val="22"/>
          <w:lang w:val="en-GB"/>
        </w:rPr>
        <w:t>Hypereosinophilic syndrome (HES) and/or chronic eosinophilic leukaemia (</w:t>
      </w:r>
      <w:smartTag w:uri="urn:schemas-microsoft-com:office:smarttags" w:element="stockticker">
        <w:r w:rsidRPr="00654EF1">
          <w:rPr>
            <w:b/>
            <w:color w:val="000000"/>
            <w:sz w:val="22"/>
            <w:szCs w:val="22"/>
            <w:lang w:val="en-GB"/>
          </w:rPr>
          <w:t>CEL</w:t>
        </w:r>
      </w:smartTag>
      <w:r w:rsidRPr="00654EF1">
        <w:rPr>
          <w:b/>
          <w:color w:val="000000"/>
          <w:sz w:val="22"/>
          <w:szCs w:val="22"/>
          <w:lang w:val="en-GB"/>
        </w:rPr>
        <w:t>).</w:t>
      </w:r>
      <w:r w:rsidRPr="00654EF1">
        <w:rPr>
          <w:color w:val="000000"/>
          <w:sz w:val="22"/>
          <w:szCs w:val="22"/>
          <w:lang w:val="en-GB"/>
        </w:rPr>
        <w:t xml:space="preserve"> These are blood diseases in which some blood cells (named eosinophils) start growing out of control. Glivec inhibits the growth of these cells in a certain subtype of these diseases.</w:t>
      </w:r>
    </w:p>
    <w:p w14:paraId="1B680FEA" w14:textId="77777777" w:rsidR="008A04A6" w:rsidRPr="00654EF1" w:rsidRDefault="008A04A6" w:rsidP="001D5C8C">
      <w:pPr>
        <w:pStyle w:val="Text"/>
        <w:widowControl w:val="0"/>
        <w:numPr>
          <w:ilvl w:val="0"/>
          <w:numId w:val="14"/>
        </w:numPr>
        <w:spacing w:before="0"/>
        <w:ind w:left="567" w:hanging="567"/>
        <w:jc w:val="left"/>
        <w:rPr>
          <w:color w:val="000000"/>
          <w:sz w:val="22"/>
          <w:szCs w:val="22"/>
          <w:lang w:val="en-GB"/>
        </w:rPr>
      </w:pPr>
      <w:r w:rsidRPr="00654EF1">
        <w:rPr>
          <w:b/>
          <w:bCs/>
          <w:color w:val="000000"/>
          <w:sz w:val="22"/>
          <w:szCs w:val="22"/>
        </w:rPr>
        <w:t>Gastrointestinal stromal tumours (GIST).</w:t>
      </w:r>
      <w:r w:rsidRPr="00654EF1">
        <w:rPr>
          <w:color w:val="000000"/>
          <w:sz w:val="22"/>
          <w:szCs w:val="22"/>
        </w:rPr>
        <w:t xml:space="preserve"> </w:t>
      </w:r>
      <w:r w:rsidRPr="00654EF1">
        <w:rPr>
          <w:color w:val="000000"/>
          <w:sz w:val="22"/>
          <w:szCs w:val="22"/>
          <w:lang w:val="en-GB"/>
        </w:rPr>
        <w:t>GIST is a cancer of the stomach and bowels. It arises from uncontrolled cell growth of the supporting tissues of these organs.</w:t>
      </w:r>
    </w:p>
    <w:p w14:paraId="1B680FEB" w14:textId="77777777" w:rsidR="008A04A6" w:rsidRPr="00654EF1" w:rsidRDefault="008A04A6" w:rsidP="001D5C8C">
      <w:pPr>
        <w:pStyle w:val="Text"/>
        <w:keepNext/>
        <w:widowControl w:val="0"/>
        <w:numPr>
          <w:ilvl w:val="0"/>
          <w:numId w:val="14"/>
        </w:numPr>
        <w:spacing w:before="0"/>
        <w:ind w:left="567" w:hanging="567"/>
        <w:jc w:val="left"/>
        <w:rPr>
          <w:color w:val="000000"/>
          <w:sz w:val="22"/>
          <w:szCs w:val="22"/>
          <w:lang w:val="en-GB"/>
        </w:rPr>
      </w:pPr>
      <w:r w:rsidRPr="00654EF1">
        <w:rPr>
          <w:b/>
          <w:bCs/>
          <w:color w:val="000000"/>
          <w:sz w:val="22"/>
          <w:szCs w:val="22"/>
          <w:lang w:val="en-GB"/>
        </w:rPr>
        <w:t>Dermatofibrosarcoma protuberans (DFSP).</w:t>
      </w:r>
      <w:r w:rsidRPr="00654EF1">
        <w:rPr>
          <w:color w:val="000000"/>
          <w:sz w:val="22"/>
          <w:szCs w:val="22"/>
          <w:lang w:val="en-GB"/>
        </w:rPr>
        <w:t xml:space="preserve"> DFSP is a cancer of the tissue beneath the skin </w:t>
      </w:r>
      <w:r w:rsidRPr="00654EF1">
        <w:rPr>
          <w:color w:val="000000"/>
          <w:sz w:val="22"/>
          <w:szCs w:val="22"/>
          <w:lang w:val="en-GB"/>
        </w:rPr>
        <w:lastRenderedPageBreak/>
        <w:t>in which some cells start growing out of control. Glivec inhibits the growth of these cells.</w:t>
      </w:r>
    </w:p>
    <w:p w14:paraId="1B680FEC" w14:textId="77777777" w:rsidR="008A04A6" w:rsidRPr="00654EF1" w:rsidRDefault="008A04A6" w:rsidP="001D5C8C">
      <w:pPr>
        <w:pStyle w:val="Text"/>
        <w:widowControl w:val="0"/>
        <w:spacing w:before="0"/>
        <w:jc w:val="left"/>
        <w:rPr>
          <w:color w:val="000000"/>
          <w:lang w:val="en-GB"/>
        </w:rPr>
      </w:pPr>
      <w:r w:rsidRPr="00654EF1">
        <w:rPr>
          <w:color w:val="000000"/>
          <w:sz w:val="22"/>
          <w:szCs w:val="22"/>
          <w:lang w:val="en-GB"/>
        </w:rPr>
        <w:t>In the rest of this leaflet, we will use the abbreviations when talking about these diseases.</w:t>
      </w:r>
    </w:p>
    <w:p w14:paraId="1B680FED" w14:textId="77777777" w:rsidR="008A04A6" w:rsidRPr="00654EF1" w:rsidRDefault="008A04A6" w:rsidP="001D5C8C">
      <w:pPr>
        <w:pStyle w:val="Text"/>
        <w:widowControl w:val="0"/>
        <w:spacing w:before="0"/>
        <w:jc w:val="left"/>
        <w:rPr>
          <w:color w:val="000000"/>
          <w:sz w:val="22"/>
          <w:szCs w:val="22"/>
          <w:lang w:val="en-GB"/>
        </w:rPr>
      </w:pPr>
    </w:p>
    <w:p w14:paraId="1B680FEE"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If you have any questions about how Glivec works or why this medicine has been prescribed for you, ask your doctor.</w:t>
      </w:r>
    </w:p>
    <w:p w14:paraId="1B680FEF" w14:textId="77777777" w:rsidR="008A04A6" w:rsidRPr="00654EF1" w:rsidRDefault="008A04A6" w:rsidP="001D5C8C">
      <w:pPr>
        <w:pStyle w:val="EndnoteText"/>
        <w:widowControl w:val="0"/>
        <w:numPr>
          <w:ilvl w:val="12"/>
          <w:numId w:val="0"/>
        </w:numPr>
        <w:tabs>
          <w:tab w:val="clear" w:pos="567"/>
        </w:tabs>
        <w:rPr>
          <w:color w:val="000000"/>
          <w:szCs w:val="22"/>
        </w:rPr>
      </w:pPr>
    </w:p>
    <w:p w14:paraId="1B680FF0" w14:textId="77777777" w:rsidR="008A04A6" w:rsidRPr="00654EF1" w:rsidRDefault="008A04A6" w:rsidP="001D5C8C">
      <w:pPr>
        <w:pStyle w:val="EndnoteText"/>
        <w:widowControl w:val="0"/>
        <w:numPr>
          <w:ilvl w:val="12"/>
          <w:numId w:val="0"/>
        </w:numPr>
        <w:tabs>
          <w:tab w:val="clear" w:pos="567"/>
        </w:tabs>
        <w:rPr>
          <w:color w:val="000000"/>
          <w:szCs w:val="22"/>
        </w:rPr>
      </w:pPr>
    </w:p>
    <w:p w14:paraId="1B680FF1" w14:textId="77777777" w:rsidR="008A04A6" w:rsidRPr="00654EF1" w:rsidRDefault="008A04A6" w:rsidP="001D5C8C">
      <w:pPr>
        <w:keepNext/>
        <w:widowControl w:val="0"/>
        <w:numPr>
          <w:ilvl w:val="12"/>
          <w:numId w:val="0"/>
        </w:numPr>
        <w:tabs>
          <w:tab w:val="clear" w:pos="567"/>
        </w:tabs>
        <w:spacing w:line="240" w:lineRule="auto"/>
        <w:ind w:left="567" w:right="-2" w:hanging="567"/>
        <w:rPr>
          <w:b/>
          <w:color w:val="000000"/>
          <w:szCs w:val="22"/>
        </w:rPr>
      </w:pPr>
      <w:r w:rsidRPr="00654EF1">
        <w:rPr>
          <w:b/>
          <w:color w:val="000000"/>
          <w:szCs w:val="22"/>
        </w:rPr>
        <w:t>2.</w:t>
      </w:r>
      <w:r w:rsidRPr="00654EF1">
        <w:rPr>
          <w:b/>
          <w:color w:val="000000"/>
          <w:szCs w:val="22"/>
        </w:rPr>
        <w:tab/>
        <w:t>What you need to know before you take Glivec</w:t>
      </w:r>
    </w:p>
    <w:p w14:paraId="1B680FF2" w14:textId="77777777" w:rsidR="008A04A6" w:rsidRPr="00654EF1" w:rsidRDefault="008A04A6" w:rsidP="001D5C8C">
      <w:pPr>
        <w:keepNext/>
        <w:widowControl w:val="0"/>
        <w:numPr>
          <w:ilvl w:val="12"/>
          <w:numId w:val="0"/>
        </w:numPr>
        <w:tabs>
          <w:tab w:val="clear" w:pos="567"/>
        </w:tabs>
        <w:spacing w:line="240" w:lineRule="auto"/>
        <w:ind w:left="567" w:right="-2" w:hanging="567"/>
        <w:rPr>
          <w:color w:val="000000"/>
          <w:szCs w:val="22"/>
        </w:rPr>
      </w:pPr>
    </w:p>
    <w:p w14:paraId="1B680FF3"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 xml:space="preserve">Glivec will only be prescribed to you by a doctor with experience in medicines to treat </w:t>
      </w:r>
      <w:r w:rsidRPr="00654EF1">
        <w:rPr>
          <w:color w:val="000000"/>
          <w:sz w:val="22"/>
          <w:szCs w:val="22"/>
        </w:rPr>
        <w:t>blood cancers or solid tumours</w:t>
      </w:r>
      <w:r w:rsidRPr="00654EF1">
        <w:rPr>
          <w:color w:val="000000"/>
          <w:sz w:val="22"/>
          <w:szCs w:val="22"/>
          <w:lang w:val="en-GB"/>
        </w:rPr>
        <w:t>.</w:t>
      </w:r>
    </w:p>
    <w:p w14:paraId="1B680FF4"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0FF5"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r w:rsidRPr="00654EF1">
        <w:rPr>
          <w:color w:val="000000"/>
          <w:szCs w:val="22"/>
        </w:rPr>
        <w:t>Follow all your doctor’s instructions carefully, even if they differ from the general information contained in this leaflet.</w:t>
      </w:r>
    </w:p>
    <w:p w14:paraId="1B680FF6"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0FF7" w14:textId="77777777" w:rsidR="008A04A6" w:rsidRPr="00654EF1" w:rsidRDefault="008A04A6" w:rsidP="001D5C8C">
      <w:pPr>
        <w:keepNext/>
        <w:widowControl w:val="0"/>
        <w:numPr>
          <w:ilvl w:val="12"/>
          <w:numId w:val="0"/>
        </w:numPr>
        <w:tabs>
          <w:tab w:val="clear" w:pos="567"/>
        </w:tabs>
        <w:spacing w:line="240" w:lineRule="auto"/>
        <w:rPr>
          <w:color w:val="000000"/>
          <w:szCs w:val="22"/>
        </w:rPr>
      </w:pPr>
      <w:r w:rsidRPr="00654EF1">
        <w:rPr>
          <w:b/>
          <w:color w:val="000000"/>
          <w:szCs w:val="22"/>
        </w:rPr>
        <w:t>Do not take Glivec:</w:t>
      </w:r>
    </w:p>
    <w:p w14:paraId="1B680FF8" w14:textId="77777777" w:rsidR="008A04A6" w:rsidRPr="00654EF1" w:rsidRDefault="008A04A6" w:rsidP="001D5C8C">
      <w:pPr>
        <w:keepNext/>
        <w:widowControl w:val="0"/>
        <w:numPr>
          <w:ilvl w:val="12"/>
          <w:numId w:val="0"/>
        </w:numPr>
        <w:tabs>
          <w:tab w:val="clear" w:pos="567"/>
        </w:tabs>
        <w:spacing w:line="240" w:lineRule="auto"/>
        <w:ind w:left="567" w:right="-2" w:hanging="567"/>
        <w:rPr>
          <w:color w:val="000000"/>
          <w:szCs w:val="22"/>
        </w:rPr>
      </w:pPr>
      <w:r w:rsidRPr="00654EF1">
        <w:rPr>
          <w:color w:val="000000"/>
          <w:szCs w:val="22"/>
        </w:rPr>
        <w:t>-</w:t>
      </w:r>
      <w:r w:rsidRPr="00654EF1">
        <w:rPr>
          <w:color w:val="000000"/>
          <w:szCs w:val="22"/>
        </w:rPr>
        <w:tab/>
        <w:t>if you are allergic to imatinib or any of the other ingredients of this medicine (listed in section 6).</w:t>
      </w:r>
    </w:p>
    <w:p w14:paraId="1B680FF9" w14:textId="77777777" w:rsidR="008A04A6" w:rsidRPr="00654EF1" w:rsidRDefault="008A04A6" w:rsidP="001D5C8C">
      <w:pPr>
        <w:widowControl w:val="0"/>
        <w:numPr>
          <w:ilvl w:val="12"/>
          <w:numId w:val="0"/>
        </w:numPr>
        <w:tabs>
          <w:tab w:val="clear" w:pos="567"/>
        </w:tabs>
        <w:spacing w:line="240" w:lineRule="auto"/>
        <w:ind w:left="567" w:right="-2" w:hanging="567"/>
        <w:rPr>
          <w:color w:val="000000"/>
          <w:szCs w:val="22"/>
        </w:rPr>
      </w:pPr>
      <w:r w:rsidRPr="00654EF1">
        <w:rPr>
          <w:color w:val="000000"/>
          <w:szCs w:val="22"/>
        </w:rPr>
        <w:t xml:space="preserve">If this applies to you, </w:t>
      </w:r>
      <w:r w:rsidRPr="00654EF1">
        <w:rPr>
          <w:b/>
          <w:color w:val="000000"/>
          <w:szCs w:val="22"/>
        </w:rPr>
        <w:t>tell your doctor without taking Glivec.</w:t>
      </w:r>
    </w:p>
    <w:p w14:paraId="1B680FFA" w14:textId="77777777" w:rsidR="008A04A6" w:rsidRPr="00654EF1" w:rsidRDefault="008A04A6" w:rsidP="001D5C8C">
      <w:pPr>
        <w:widowControl w:val="0"/>
        <w:numPr>
          <w:ilvl w:val="12"/>
          <w:numId w:val="0"/>
        </w:numPr>
        <w:tabs>
          <w:tab w:val="clear" w:pos="567"/>
        </w:tabs>
        <w:spacing w:line="240" w:lineRule="auto"/>
        <w:ind w:left="567" w:right="-2" w:hanging="567"/>
        <w:rPr>
          <w:color w:val="000000"/>
          <w:szCs w:val="22"/>
        </w:rPr>
      </w:pPr>
    </w:p>
    <w:p w14:paraId="1B680FFB" w14:textId="77777777" w:rsidR="008A04A6" w:rsidRPr="00654EF1" w:rsidRDefault="008A04A6" w:rsidP="001D5C8C">
      <w:pPr>
        <w:widowControl w:val="0"/>
        <w:numPr>
          <w:ilvl w:val="12"/>
          <w:numId w:val="0"/>
        </w:numPr>
        <w:tabs>
          <w:tab w:val="clear" w:pos="567"/>
        </w:tabs>
        <w:spacing w:line="240" w:lineRule="auto"/>
        <w:ind w:left="567" w:right="-2" w:hanging="567"/>
        <w:rPr>
          <w:color w:val="000000"/>
          <w:szCs w:val="22"/>
        </w:rPr>
      </w:pPr>
      <w:r w:rsidRPr="00654EF1">
        <w:rPr>
          <w:color w:val="000000"/>
          <w:szCs w:val="22"/>
        </w:rPr>
        <w:t>If you think you may be allergic but are not sure, ask your doctor for advice.</w:t>
      </w:r>
    </w:p>
    <w:p w14:paraId="1B680FFC"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0FFD" w14:textId="77777777" w:rsidR="008A04A6" w:rsidRPr="00654EF1" w:rsidRDefault="008A04A6" w:rsidP="001D5C8C">
      <w:pPr>
        <w:keepNext/>
        <w:widowControl w:val="0"/>
        <w:numPr>
          <w:ilvl w:val="12"/>
          <w:numId w:val="0"/>
        </w:numPr>
        <w:tabs>
          <w:tab w:val="clear" w:pos="567"/>
        </w:tabs>
        <w:spacing w:line="240" w:lineRule="auto"/>
        <w:ind w:right="-2"/>
        <w:rPr>
          <w:b/>
          <w:color w:val="000000"/>
          <w:szCs w:val="22"/>
        </w:rPr>
      </w:pPr>
      <w:r w:rsidRPr="00654EF1">
        <w:rPr>
          <w:b/>
          <w:color w:val="000000"/>
          <w:szCs w:val="22"/>
        </w:rPr>
        <w:t>Warnings and precautions</w:t>
      </w:r>
    </w:p>
    <w:p w14:paraId="1B680FFE" w14:textId="77777777" w:rsidR="008A04A6" w:rsidRPr="00654EF1" w:rsidRDefault="008A04A6" w:rsidP="001D5C8C">
      <w:pPr>
        <w:keepNext/>
        <w:widowControl w:val="0"/>
        <w:numPr>
          <w:ilvl w:val="12"/>
          <w:numId w:val="0"/>
        </w:numPr>
        <w:tabs>
          <w:tab w:val="clear" w:pos="567"/>
        </w:tabs>
        <w:spacing w:line="240" w:lineRule="auto"/>
        <w:ind w:right="-2"/>
        <w:rPr>
          <w:b/>
          <w:color w:val="000000"/>
          <w:szCs w:val="22"/>
        </w:rPr>
      </w:pPr>
      <w:r w:rsidRPr="00654EF1">
        <w:rPr>
          <w:color w:val="000000"/>
          <w:szCs w:val="22"/>
        </w:rPr>
        <w:t>Talk to your doctor before taking Glivec:</w:t>
      </w:r>
    </w:p>
    <w:p w14:paraId="1B680FFF" w14:textId="77777777" w:rsidR="008A04A6" w:rsidRPr="00654EF1" w:rsidRDefault="008A04A6" w:rsidP="001D5C8C">
      <w:pPr>
        <w:keepNext/>
        <w:widowControl w:val="0"/>
        <w:numPr>
          <w:ilvl w:val="12"/>
          <w:numId w:val="0"/>
        </w:numPr>
        <w:tabs>
          <w:tab w:val="clear" w:pos="567"/>
        </w:tabs>
        <w:spacing w:line="240" w:lineRule="auto"/>
        <w:rPr>
          <w:color w:val="000000"/>
          <w:szCs w:val="22"/>
        </w:rPr>
      </w:pPr>
      <w:r w:rsidRPr="00654EF1">
        <w:rPr>
          <w:color w:val="000000"/>
          <w:szCs w:val="22"/>
        </w:rPr>
        <w:t>-</w:t>
      </w:r>
      <w:r w:rsidRPr="00654EF1">
        <w:rPr>
          <w:color w:val="000000"/>
          <w:szCs w:val="22"/>
        </w:rPr>
        <w:tab/>
        <w:t>if you have or have ever had a liver, kidney or heart problem.</w:t>
      </w:r>
    </w:p>
    <w:p w14:paraId="1B681000" w14:textId="77777777" w:rsidR="008A04A6" w:rsidRPr="00654EF1" w:rsidRDefault="008A04A6" w:rsidP="001D5C8C">
      <w:pPr>
        <w:keepNext/>
        <w:widowControl w:val="0"/>
        <w:numPr>
          <w:ilvl w:val="12"/>
          <w:numId w:val="0"/>
        </w:numPr>
        <w:spacing w:line="240" w:lineRule="auto"/>
        <w:ind w:left="567" w:hanging="567"/>
        <w:rPr>
          <w:color w:val="000000"/>
          <w:szCs w:val="22"/>
        </w:rPr>
      </w:pPr>
      <w:r w:rsidRPr="00654EF1">
        <w:rPr>
          <w:color w:val="000000"/>
          <w:szCs w:val="22"/>
        </w:rPr>
        <w:t>-</w:t>
      </w:r>
      <w:r w:rsidRPr="00654EF1">
        <w:rPr>
          <w:color w:val="000000"/>
          <w:szCs w:val="22"/>
        </w:rPr>
        <w:tab/>
        <w:t>i</w:t>
      </w:r>
      <w:r w:rsidRPr="00654EF1">
        <w:rPr>
          <w:color w:val="000000"/>
          <w:spacing w:val="-2"/>
        </w:rPr>
        <w:t>f you are taking the medicine levothyroxine because your thyroid has been removed.</w:t>
      </w:r>
    </w:p>
    <w:p w14:paraId="1B681001" w14:textId="77777777" w:rsidR="007B18B8" w:rsidRPr="00654EF1" w:rsidRDefault="007B18B8" w:rsidP="001D5C8C">
      <w:pPr>
        <w:keepNext/>
        <w:widowControl w:val="0"/>
        <w:numPr>
          <w:ilvl w:val="12"/>
          <w:numId w:val="0"/>
        </w:numPr>
        <w:spacing w:line="240" w:lineRule="auto"/>
        <w:ind w:left="567" w:hanging="567"/>
        <w:rPr>
          <w:color w:val="000000"/>
          <w:szCs w:val="22"/>
        </w:rPr>
      </w:pPr>
      <w:r w:rsidRPr="00654EF1">
        <w:rPr>
          <w:color w:val="000000"/>
          <w:szCs w:val="22"/>
        </w:rPr>
        <w:t>-</w:t>
      </w:r>
      <w:r w:rsidRPr="00654EF1">
        <w:rPr>
          <w:color w:val="000000"/>
          <w:szCs w:val="22"/>
        </w:rPr>
        <w:tab/>
      </w:r>
      <w:r w:rsidRPr="00654EF1">
        <w:rPr>
          <w:color w:val="000000"/>
          <w:spacing w:val="-2"/>
        </w:rPr>
        <w:t>if you have ever had or might now have a hepatitis B infection. This is because Glivec could cause hepatitis B to become active again, which can be fatal in some cases. Patients will be carefully checked by their doctor for signs of this infection before treatment is started.</w:t>
      </w:r>
    </w:p>
    <w:p w14:paraId="1B681002" w14:textId="77777777" w:rsidR="00E429AA" w:rsidRPr="00654EF1" w:rsidRDefault="00E429AA" w:rsidP="001D5C8C">
      <w:pPr>
        <w:keepNext/>
        <w:widowControl w:val="0"/>
        <w:numPr>
          <w:ilvl w:val="12"/>
          <w:numId w:val="0"/>
        </w:numPr>
        <w:spacing w:line="240" w:lineRule="auto"/>
        <w:ind w:left="567" w:hanging="567"/>
        <w:rPr>
          <w:color w:val="000000"/>
          <w:spacing w:val="-2"/>
        </w:rPr>
      </w:pPr>
      <w:r w:rsidRPr="00654EF1">
        <w:rPr>
          <w:color w:val="000000"/>
          <w:spacing w:val="-2"/>
        </w:rPr>
        <w:t>-</w:t>
      </w:r>
      <w:r w:rsidRPr="00654EF1">
        <w:rPr>
          <w:color w:val="000000"/>
          <w:spacing w:val="-2"/>
        </w:rPr>
        <w:tab/>
        <w:t>if you experience bruising, bleeding, fever, fatigue and confusion when taking Glivec, contact your doctor. This may be a sign of damage to blood vessels known as thrombotic microangiopathy (TMA).</w:t>
      </w:r>
    </w:p>
    <w:p w14:paraId="1B681003" w14:textId="77777777" w:rsidR="008A04A6" w:rsidRPr="00654EF1" w:rsidRDefault="008A04A6" w:rsidP="001D5C8C">
      <w:pPr>
        <w:pStyle w:val="Text"/>
        <w:widowControl w:val="0"/>
        <w:spacing w:before="0"/>
        <w:rPr>
          <w:b/>
          <w:color w:val="000000"/>
          <w:sz w:val="22"/>
          <w:szCs w:val="22"/>
          <w:lang w:val="en-GB"/>
        </w:rPr>
      </w:pPr>
      <w:r w:rsidRPr="00654EF1">
        <w:rPr>
          <w:color w:val="000000"/>
          <w:sz w:val="22"/>
          <w:szCs w:val="22"/>
          <w:lang w:val="en-GB"/>
        </w:rPr>
        <w:t xml:space="preserve">If any of these apply to you, </w:t>
      </w:r>
      <w:r w:rsidRPr="00654EF1">
        <w:rPr>
          <w:b/>
          <w:color w:val="000000"/>
          <w:sz w:val="22"/>
          <w:szCs w:val="22"/>
          <w:lang w:val="en-GB"/>
        </w:rPr>
        <w:t>tell your doctor before taking Glivec.</w:t>
      </w:r>
    </w:p>
    <w:p w14:paraId="1B681004" w14:textId="77777777" w:rsidR="00A440CF" w:rsidRPr="00654EF1" w:rsidRDefault="00A440CF" w:rsidP="001D5C8C">
      <w:pPr>
        <w:pStyle w:val="Text"/>
        <w:widowControl w:val="0"/>
        <w:spacing w:before="0"/>
        <w:jc w:val="left"/>
        <w:rPr>
          <w:color w:val="000000"/>
          <w:sz w:val="22"/>
          <w:szCs w:val="22"/>
          <w:lang w:val="en-GB"/>
        </w:rPr>
      </w:pPr>
    </w:p>
    <w:p w14:paraId="1B681005" w14:textId="77777777" w:rsidR="00A440CF" w:rsidRPr="00654EF1" w:rsidRDefault="00A440CF" w:rsidP="001D5C8C">
      <w:pPr>
        <w:pStyle w:val="Text"/>
        <w:widowControl w:val="0"/>
        <w:spacing w:before="0"/>
        <w:jc w:val="left"/>
        <w:rPr>
          <w:color w:val="000000"/>
          <w:sz w:val="22"/>
          <w:szCs w:val="22"/>
          <w:lang w:val="en-GB"/>
        </w:rPr>
      </w:pPr>
      <w:r w:rsidRPr="00654EF1">
        <w:rPr>
          <w:color w:val="000000"/>
          <w:sz w:val="22"/>
          <w:szCs w:val="22"/>
          <w:lang w:val="en-GB"/>
        </w:rPr>
        <w:t>You may become more sensitive to the sun while taking Glivec. It is important to cover sun-exposed areas of skin and use sunscreen with high sun protection factor (SPF). These precautions are also applicable to children.</w:t>
      </w:r>
    </w:p>
    <w:p w14:paraId="1B681006" w14:textId="77777777" w:rsidR="008A04A6" w:rsidRPr="00654EF1" w:rsidRDefault="008A04A6" w:rsidP="001D5C8C">
      <w:pPr>
        <w:pStyle w:val="Text"/>
        <w:widowControl w:val="0"/>
        <w:spacing w:before="0"/>
        <w:jc w:val="left"/>
        <w:rPr>
          <w:color w:val="000000"/>
          <w:sz w:val="22"/>
          <w:szCs w:val="22"/>
          <w:lang w:val="en-GB"/>
        </w:rPr>
      </w:pPr>
    </w:p>
    <w:p w14:paraId="1B681007" w14:textId="77777777" w:rsidR="008A04A6" w:rsidRPr="00654EF1" w:rsidRDefault="008A04A6" w:rsidP="001D5C8C">
      <w:pPr>
        <w:pStyle w:val="Text"/>
        <w:keepNext/>
        <w:widowControl w:val="0"/>
        <w:spacing w:before="0"/>
        <w:jc w:val="left"/>
        <w:rPr>
          <w:color w:val="000000"/>
          <w:sz w:val="22"/>
          <w:szCs w:val="22"/>
          <w:lang w:val="en-GB"/>
        </w:rPr>
      </w:pPr>
      <w:r w:rsidRPr="00654EF1">
        <w:rPr>
          <w:b/>
          <w:color w:val="000000"/>
          <w:sz w:val="22"/>
          <w:szCs w:val="22"/>
          <w:lang w:val="en-GB"/>
        </w:rPr>
        <w:t>During treatment with Glivec, tell your doctor straight away</w:t>
      </w:r>
      <w:r w:rsidRPr="00654EF1">
        <w:rPr>
          <w:color w:val="000000"/>
          <w:sz w:val="22"/>
          <w:szCs w:val="22"/>
          <w:lang w:val="en-GB"/>
        </w:rPr>
        <w:t xml:space="preserve"> if you put on weight very quickly.</w:t>
      </w:r>
      <w:r w:rsidRPr="00654EF1" w:rsidDel="00F56C36">
        <w:rPr>
          <w:color w:val="000000"/>
          <w:sz w:val="22"/>
          <w:szCs w:val="22"/>
          <w:lang w:val="en-GB"/>
        </w:rPr>
        <w:t xml:space="preserve"> </w:t>
      </w:r>
      <w:r w:rsidRPr="00654EF1">
        <w:rPr>
          <w:color w:val="000000"/>
          <w:sz w:val="22"/>
          <w:szCs w:val="22"/>
          <w:lang w:val="en-GB"/>
        </w:rPr>
        <w:t>Glivec may cause your body to retain water (severe fluid retention).</w:t>
      </w:r>
    </w:p>
    <w:p w14:paraId="1B681008" w14:textId="77777777" w:rsidR="008A04A6" w:rsidRPr="00654EF1" w:rsidRDefault="008A04A6" w:rsidP="001D5C8C">
      <w:pPr>
        <w:pStyle w:val="Text"/>
        <w:widowControl w:val="0"/>
        <w:spacing w:before="0"/>
        <w:jc w:val="left"/>
        <w:rPr>
          <w:color w:val="000000"/>
          <w:sz w:val="22"/>
          <w:szCs w:val="22"/>
          <w:lang w:val="en-GB"/>
        </w:rPr>
      </w:pPr>
    </w:p>
    <w:p w14:paraId="1B681009"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While you are taking Glivec, your doctor will regularly check whether the medicine is working. You will also have blood tests and be weighed regularly.</w:t>
      </w:r>
    </w:p>
    <w:p w14:paraId="1B68100A" w14:textId="77777777" w:rsidR="008A04A6" w:rsidRPr="00654EF1" w:rsidRDefault="008A04A6" w:rsidP="001D5C8C">
      <w:pPr>
        <w:pStyle w:val="EndnoteText"/>
        <w:widowControl w:val="0"/>
        <w:numPr>
          <w:ilvl w:val="12"/>
          <w:numId w:val="0"/>
        </w:numPr>
        <w:tabs>
          <w:tab w:val="clear" w:pos="567"/>
        </w:tabs>
        <w:rPr>
          <w:color w:val="000000"/>
          <w:szCs w:val="22"/>
        </w:rPr>
      </w:pPr>
    </w:p>
    <w:p w14:paraId="1B68100B" w14:textId="77777777" w:rsidR="008A04A6" w:rsidRPr="00654EF1" w:rsidRDefault="008A04A6" w:rsidP="001D5C8C">
      <w:pPr>
        <w:pStyle w:val="EndnoteText"/>
        <w:keepNext/>
        <w:widowControl w:val="0"/>
        <w:numPr>
          <w:ilvl w:val="12"/>
          <w:numId w:val="0"/>
        </w:numPr>
        <w:tabs>
          <w:tab w:val="clear" w:pos="567"/>
        </w:tabs>
        <w:rPr>
          <w:b/>
          <w:color w:val="000000"/>
          <w:szCs w:val="22"/>
        </w:rPr>
      </w:pPr>
      <w:r w:rsidRPr="00654EF1">
        <w:rPr>
          <w:b/>
          <w:color w:val="000000"/>
          <w:szCs w:val="22"/>
        </w:rPr>
        <w:t>Children and adolescents</w:t>
      </w:r>
    </w:p>
    <w:p w14:paraId="1B68100C" w14:textId="77777777" w:rsidR="00E0269A" w:rsidRPr="00654EF1" w:rsidRDefault="00E0269A" w:rsidP="001D5C8C">
      <w:pPr>
        <w:pStyle w:val="EndnoteText"/>
        <w:widowControl w:val="0"/>
        <w:numPr>
          <w:ilvl w:val="12"/>
          <w:numId w:val="0"/>
        </w:numPr>
        <w:tabs>
          <w:tab w:val="clear" w:pos="567"/>
        </w:tabs>
        <w:rPr>
          <w:color w:val="000000"/>
          <w:szCs w:val="22"/>
          <w:lang w:val="en-US"/>
        </w:rPr>
      </w:pPr>
      <w:r w:rsidRPr="00654EF1">
        <w:rPr>
          <w:color w:val="000000"/>
          <w:szCs w:val="22"/>
          <w:lang w:val="en-US"/>
        </w:rPr>
        <w:t>Glivec is also a treatment for children with CML. There is no experience in children with CML below 2 years of age. There is limited experience in children with Ph</w:t>
      </w:r>
      <w:r w:rsidRPr="00654EF1">
        <w:rPr>
          <w:color w:val="000000"/>
          <w:szCs w:val="22"/>
        </w:rPr>
        <w:t>-positive</w:t>
      </w:r>
      <w:r w:rsidRPr="00654EF1">
        <w:rPr>
          <w:color w:val="000000"/>
          <w:szCs w:val="22"/>
          <w:lang w:val="en-US"/>
        </w:rPr>
        <w:t xml:space="preserve"> ALL and very limited experience in children with MDS/MPD, DFSP, GIST and HES/CEL.</w:t>
      </w:r>
    </w:p>
    <w:p w14:paraId="1B68100D" w14:textId="77777777" w:rsidR="008A04A6" w:rsidRPr="00654EF1" w:rsidRDefault="008A04A6" w:rsidP="001D5C8C">
      <w:pPr>
        <w:pStyle w:val="EndnoteText"/>
        <w:widowControl w:val="0"/>
        <w:numPr>
          <w:ilvl w:val="12"/>
          <w:numId w:val="0"/>
        </w:numPr>
        <w:tabs>
          <w:tab w:val="clear" w:pos="567"/>
        </w:tabs>
        <w:rPr>
          <w:color w:val="000000"/>
          <w:szCs w:val="22"/>
          <w:lang w:val="en-US"/>
        </w:rPr>
      </w:pPr>
    </w:p>
    <w:p w14:paraId="1B68100E" w14:textId="77777777" w:rsidR="008A04A6" w:rsidRPr="00654EF1" w:rsidRDefault="008A04A6" w:rsidP="001D5C8C">
      <w:pPr>
        <w:pStyle w:val="EndnoteText"/>
        <w:widowControl w:val="0"/>
        <w:numPr>
          <w:ilvl w:val="12"/>
          <w:numId w:val="0"/>
        </w:numPr>
        <w:tabs>
          <w:tab w:val="clear" w:pos="567"/>
        </w:tabs>
        <w:rPr>
          <w:color w:val="000000"/>
          <w:szCs w:val="22"/>
          <w:lang w:val="en-US"/>
        </w:rPr>
      </w:pPr>
      <w:r w:rsidRPr="00654EF1">
        <w:rPr>
          <w:color w:val="000000"/>
          <w:szCs w:val="22"/>
        </w:rPr>
        <w:t>Some children and adolescents taking Glivec may have slower than normal growth. The doctor will monitor the growth at regular visits.</w:t>
      </w:r>
    </w:p>
    <w:p w14:paraId="1B68100F" w14:textId="77777777" w:rsidR="008A04A6" w:rsidRPr="00654EF1" w:rsidRDefault="008A04A6" w:rsidP="001D5C8C">
      <w:pPr>
        <w:pStyle w:val="EndnoteText"/>
        <w:widowControl w:val="0"/>
        <w:numPr>
          <w:ilvl w:val="12"/>
          <w:numId w:val="0"/>
        </w:numPr>
        <w:tabs>
          <w:tab w:val="clear" w:pos="567"/>
        </w:tabs>
        <w:rPr>
          <w:color w:val="000000"/>
          <w:szCs w:val="22"/>
          <w:lang w:val="en-US"/>
        </w:rPr>
      </w:pPr>
    </w:p>
    <w:p w14:paraId="1B681010" w14:textId="77777777" w:rsidR="008A04A6" w:rsidRPr="00654EF1" w:rsidRDefault="008A04A6" w:rsidP="001D5C8C">
      <w:pPr>
        <w:keepNext/>
        <w:widowControl w:val="0"/>
        <w:numPr>
          <w:ilvl w:val="12"/>
          <w:numId w:val="0"/>
        </w:numPr>
        <w:tabs>
          <w:tab w:val="clear" w:pos="567"/>
        </w:tabs>
        <w:spacing w:line="240" w:lineRule="auto"/>
        <w:ind w:right="-2"/>
        <w:rPr>
          <w:b/>
          <w:color w:val="000000"/>
          <w:szCs w:val="22"/>
        </w:rPr>
      </w:pPr>
      <w:r w:rsidRPr="00654EF1">
        <w:rPr>
          <w:b/>
          <w:color w:val="000000"/>
          <w:szCs w:val="22"/>
        </w:rPr>
        <w:t>Other medicines and Glivec</w:t>
      </w:r>
    </w:p>
    <w:p w14:paraId="1B681011"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r w:rsidRPr="00654EF1">
        <w:rPr>
          <w:color w:val="000000"/>
          <w:szCs w:val="22"/>
        </w:rPr>
        <w:t xml:space="preserve">Tell your doctor or pharmacist if you are taking, have recently taken or might take any other medicines, including medicines obtained without a prescription (such as paracetamol) and including herbal medicines (such as St. John’s Wort). Some medicines can interfere with the effect of Glivec when taken together. They may increase or decrease the effect of Glivec, either leading to increased </w:t>
      </w:r>
      <w:r w:rsidRPr="00654EF1">
        <w:rPr>
          <w:color w:val="000000"/>
          <w:szCs w:val="22"/>
        </w:rPr>
        <w:lastRenderedPageBreak/>
        <w:t>side effects or making Glivec less effective. Glivec may do the same to some other medicines.</w:t>
      </w:r>
    </w:p>
    <w:p w14:paraId="1B681012" w14:textId="77777777" w:rsidR="00FD232C" w:rsidRPr="00654EF1" w:rsidRDefault="00FD232C" w:rsidP="001D5C8C">
      <w:pPr>
        <w:widowControl w:val="0"/>
        <w:numPr>
          <w:ilvl w:val="12"/>
          <w:numId w:val="0"/>
        </w:numPr>
        <w:tabs>
          <w:tab w:val="clear" w:pos="567"/>
        </w:tabs>
        <w:spacing w:line="240" w:lineRule="auto"/>
        <w:ind w:right="-2"/>
        <w:rPr>
          <w:color w:val="000000"/>
          <w:szCs w:val="22"/>
        </w:rPr>
      </w:pPr>
    </w:p>
    <w:p w14:paraId="1B681013" w14:textId="77777777" w:rsidR="00FD232C" w:rsidRPr="00654EF1" w:rsidRDefault="00FD232C" w:rsidP="001D5C8C">
      <w:pPr>
        <w:widowControl w:val="0"/>
        <w:numPr>
          <w:ilvl w:val="12"/>
          <w:numId w:val="0"/>
        </w:numPr>
        <w:tabs>
          <w:tab w:val="clear" w:pos="567"/>
        </w:tabs>
        <w:spacing w:line="240" w:lineRule="auto"/>
        <w:ind w:right="-2"/>
        <w:rPr>
          <w:color w:val="000000"/>
          <w:szCs w:val="22"/>
        </w:rPr>
      </w:pPr>
      <w:r w:rsidRPr="00654EF1">
        <w:rPr>
          <w:color w:val="000000"/>
          <w:szCs w:val="22"/>
        </w:rPr>
        <w:t>Tell your doctor if you are using medicines that prevent the formation of blood clots.</w:t>
      </w:r>
    </w:p>
    <w:p w14:paraId="1B681014" w14:textId="77777777" w:rsidR="008A04A6" w:rsidRPr="00654EF1" w:rsidRDefault="008A04A6" w:rsidP="001D5C8C">
      <w:pPr>
        <w:pStyle w:val="EndnoteText"/>
        <w:widowControl w:val="0"/>
        <w:numPr>
          <w:ilvl w:val="12"/>
          <w:numId w:val="0"/>
        </w:numPr>
        <w:tabs>
          <w:tab w:val="clear" w:pos="567"/>
        </w:tabs>
        <w:rPr>
          <w:color w:val="000000"/>
          <w:szCs w:val="22"/>
        </w:rPr>
      </w:pPr>
    </w:p>
    <w:p w14:paraId="1B681015" w14:textId="77777777" w:rsidR="008A04A6" w:rsidRPr="00654EF1" w:rsidRDefault="008A04A6" w:rsidP="001D5C8C">
      <w:pPr>
        <w:pStyle w:val="EndnoteText"/>
        <w:keepNext/>
        <w:widowControl w:val="0"/>
        <w:numPr>
          <w:ilvl w:val="12"/>
          <w:numId w:val="0"/>
        </w:numPr>
        <w:tabs>
          <w:tab w:val="clear" w:pos="567"/>
        </w:tabs>
        <w:rPr>
          <w:b/>
          <w:color w:val="000000"/>
          <w:szCs w:val="22"/>
        </w:rPr>
      </w:pPr>
      <w:r w:rsidRPr="00654EF1">
        <w:rPr>
          <w:b/>
          <w:color w:val="000000"/>
          <w:szCs w:val="22"/>
        </w:rPr>
        <w:t>Pregnancy, breast-feeding and fertility</w:t>
      </w:r>
    </w:p>
    <w:p w14:paraId="1B681016" w14:textId="77777777" w:rsidR="008A04A6" w:rsidRPr="00654EF1" w:rsidRDefault="008A04A6"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If you are pregnant or breast-feeding, think you may be pregnant or are planning to have a baby, ask your doctor for advice before taking this medicine.</w:t>
      </w:r>
    </w:p>
    <w:p w14:paraId="1B681017" w14:textId="77777777" w:rsidR="008A04A6" w:rsidRPr="00654EF1" w:rsidRDefault="008A04A6"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Glivec is not recommended</w:t>
      </w:r>
      <w:r w:rsidRPr="00654EF1" w:rsidDel="00D2235A">
        <w:rPr>
          <w:color w:val="000000"/>
          <w:szCs w:val="22"/>
        </w:rPr>
        <w:t xml:space="preserve"> </w:t>
      </w:r>
      <w:r w:rsidRPr="00654EF1">
        <w:rPr>
          <w:color w:val="000000"/>
          <w:szCs w:val="22"/>
        </w:rPr>
        <w:t>during pregnancy unless clearly necessary as it may harm your baby. Your doctor will discuss with you the possible risks of taking Glivec during pregnancy.</w:t>
      </w:r>
    </w:p>
    <w:p w14:paraId="1B681018" w14:textId="77777777" w:rsidR="008A04A6" w:rsidRPr="00654EF1" w:rsidRDefault="008A04A6" w:rsidP="001D5C8C">
      <w:pPr>
        <w:widowControl w:val="0"/>
        <w:numPr>
          <w:ilvl w:val="0"/>
          <w:numId w:val="15"/>
        </w:numPr>
        <w:tabs>
          <w:tab w:val="clear" w:pos="567"/>
        </w:tabs>
        <w:spacing w:line="240" w:lineRule="auto"/>
        <w:ind w:left="567" w:hanging="567"/>
        <w:rPr>
          <w:color w:val="000000"/>
          <w:szCs w:val="22"/>
        </w:rPr>
      </w:pPr>
      <w:r w:rsidRPr="00654EF1">
        <w:rPr>
          <w:color w:val="000000"/>
          <w:szCs w:val="22"/>
        </w:rPr>
        <w:t>Women who might become pregnant</w:t>
      </w:r>
      <w:r w:rsidRPr="00654EF1">
        <w:rPr>
          <w:b/>
          <w:color w:val="000000"/>
          <w:szCs w:val="22"/>
        </w:rPr>
        <w:t xml:space="preserve"> </w:t>
      </w:r>
      <w:r w:rsidRPr="00654EF1">
        <w:rPr>
          <w:color w:val="000000"/>
          <w:szCs w:val="22"/>
        </w:rPr>
        <w:t>are advised to use effective contraception during treatment</w:t>
      </w:r>
      <w:r w:rsidR="009D4B9E" w:rsidRPr="009D4B9E">
        <w:rPr>
          <w:color w:val="000000"/>
          <w:szCs w:val="22"/>
        </w:rPr>
        <w:t xml:space="preserve"> </w:t>
      </w:r>
      <w:r w:rsidR="009D4B9E">
        <w:rPr>
          <w:color w:val="000000"/>
          <w:szCs w:val="22"/>
        </w:rPr>
        <w:t>and for 15 days after ending treatment</w:t>
      </w:r>
      <w:r w:rsidRPr="00654EF1">
        <w:rPr>
          <w:color w:val="000000"/>
          <w:szCs w:val="22"/>
        </w:rPr>
        <w:t>.</w:t>
      </w:r>
    </w:p>
    <w:p w14:paraId="1B681019" w14:textId="77777777" w:rsidR="008A04A6" w:rsidRPr="00654EF1" w:rsidRDefault="008A04A6" w:rsidP="001D5C8C">
      <w:pPr>
        <w:widowControl w:val="0"/>
        <w:numPr>
          <w:ilvl w:val="0"/>
          <w:numId w:val="15"/>
        </w:numPr>
        <w:tabs>
          <w:tab w:val="clear" w:pos="567"/>
        </w:tabs>
        <w:spacing w:line="240" w:lineRule="auto"/>
        <w:ind w:left="567" w:hanging="567"/>
        <w:rPr>
          <w:color w:val="000000"/>
          <w:szCs w:val="22"/>
        </w:rPr>
      </w:pPr>
      <w:r w:rsidRPr="00654EF1">
        <w:rPr>
          <w:bCs/>
          <w:color w:val="000000"/>
          <w:szCs w:val="22"/>
        </w:rPr>
        <w:t>Do not breast-feed</w:t>
      </w:r>
      <w:r w:rsidRPr="00654EF1">
        <w:rPr>
          <w:color w:val="000000"/>
          <w:szCs w:val="22"/>
        </w:rPr>
        <w:t xml:space="preserve"> during the treatment with Glivec</w:t>
      </w:r>
      <w:r w:rsidR="009D4B9E" w:rsidRPr="009D4B9E">
        <w:rPr>
          <w:color w:val="000000"/>
          <w:szCs w:val="22"/>
        </w:rPr>
        <w:t xml:space="preserve"> </w:t>
      </w:r>
      <w:r w:rsidR="009D4B9E" w:rsidRPr="00A36160">
        <w:rPr>
          <w:color w:val="000000"/>
          <w:szCs w:val="22"/>
        </w:rPr>
        <w:t>and for 15</w:t>
      </w:r>
      <w:r w:rsidR="009D4B9E">
        <w:rPr>
          <w:color w:val="000000"/>
          <w:szCs w:val="22"/>
        </w:rPr>
        <w:t> </w:t>
      </w:r>
      <w:r w:rsidR="009D4B9E" w:rsidRPr="00A36160">
        <w:rPr>
          <w:color w:val="000000"/>
          <w:szCs w:val="22"/>
        </w:rPr>
        <w:t xml:space="preserve">days after </w:t>
      </w:r>
      <w:r w:rsidR="009D4B9E">
        <w:rPr>
          <w:color w:val="000000"/>
          <w:szCs w:val="22"/>
        </w:rPr>
        <w:t>ending treatment</w:t>
      </w:r>
      <w:r w:rsidR="009D4B9E" w:rsidRPr="00A36160">
        <w:rPr>
          <w:color w:val="000000"/>
          <w:szCs w:val="22"/>
        </w:rPr>
        <w:t>, as it may harm your baby</w:t>
      </w:r>
      <w:r w:rsidRPr="00654EF1">
        <w:rPr>
          <w:color w:val="000000"/>
          <w:szCs w:val="22"/>
        </w:rPr>
        <w:t>.</w:t>
      </w:r>
    </w:p>
    <w:p w14:paraId="1B68101A" w14:textId="77777777" w:rsidR="008A04A6" w:rsidRPr="00654EF1" w:rsidRDefault="00351A2B" w:rsidP="001D5C8C">
      <w:pPr>
        <w:widowControl w:val="0"/>
        <w:numPr>
          <w:ilvl w:val="0"/>
          <w:numId w:val="15"/>
        </w:numPr>
        <w:tabs>
          <w:tab w:val="clear" w:pos="567"/>
        </w:tabs>
        <w:spacing w:line="240" w:lineRule="auto"/>
        <w:ind w:left="567" w:hanging="567"/>
        <w:rPr>
          <w:color w:val="000000"/>
          <w:szCs w:val="22"/>
        </w:rPr>
      </w:pPr>
      <w:r w:rsidRPr="00654EF1">
        <w:t>Patients</w:t>
      </w:r>
      <w:r w:rsidR="008A04A6" w:rsidRPr="00654EF1">
        <w:t xml:space="preserve"> who are concerned about their fertility while taking </w:t>
      </w:r>
      <w:r w:rsidR="008A04A6" w:rsidRPr="00654EF1">
        <w:rPr>
          <w:color w:val="000000"/>
          <w:szCs w:val="24"/>
        </w:rPr>
        <w:t>Glivec</w:t>
      </w:r>
      <w:r w:rsidR="008A04A6" w:rsidRPr="00654EF1">
        <w:t xml:space="preserve"> are advised to consult with their doctor.</w:t>
      </w:r>
    </w:p>
    <w:p w14:paraId="1B68101B" w14:textId="77777777" w:rsidR="008A04A6" w:rsidRPr="00654EF1" w:rsidRDefault="008A04A6" w:rsidP="001D5C8C">
      <w:pPr>
        <w:widowControl w:val="0"/>
        <w:numPr>
          <w:ilvl w:val="12"/>
          <w:numId w:val="0"/>
        </w:numPr>
        <w:tabs>
          <w:tab w:val="clear" w:pos="567"/>
        </w:tabs>
        <w:spacing w:line="240" w:lineRule="auto"/>
        <w:rPr>
          <w:color w:val="000000"/>
          <w:szCs w:val="22"/>
        </w:rPr>
      </w:pPr>
    </w:p>
    <w:p w14:paraId="1B68101C" w14:textId="77777777" w:rsidR="008A04A6" w:rsidRPr="00654EF1" w:rsidRDefault="008A04A6"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Driving and using machines</w:t>
      </w:r>
    </w:p>
    <w:p w14:paraId="1B68101D" w14:textId="77777777" w:rsidR="008A04A6" w:rsidRPr="00654EF1" w:rsidRDefault="008A04A6" w:rsidP="001D5C8C">
      <w:pPr>
        <w:widowControl w:val="0"/>
        <w:numPr>
          <w:ilvl w:val="12"/>
          <w:numId w:val="0"/>
        </w:numPr>
        <w:tabs>
          <w:tab w:val="clear" w:pos="567"/>
        </w:tabs>
        <w:spacing w:line="240" w:lineRule="auto"/>
        <w:ind w:right="-29"/>
        <w:rPr>
          <w:color w:val="000000"/>
          <w:szCs w:val="22"/>
        </w:rPr>
      </w:pPr>
      <w:r w:rsidRPr="00654EF1">
        <w:rPr>
          <w:color w:val="000000"/>
          <w:szCs w:val="22"/>
        </w:rPr>
        <w:t>You may feel dizzy or drowsy or get blurred vision while taking this medicine. If this happens, do not drive or use any tools or machines until you are feeling well again.</w:t>
      </w:r>
    </w:p>
    <w:p w14:paraId="1B68101E" w14:textId="77777777" w:rsidR="008A04A6" w:rsidRPr="00654EF1" w:rsidRDefault="008A04A6" w:rsidP="001D5C8C">
      <w:pPr>
        <w:pStyle w:val="EndnoteText"/>
        <w:widowControl w:val="0"/>
        <w:numPr>
          <w:ilvl w:val="12"/>
          <w:numId w:val="0"/>
        </w:numPr>
        <w:tabs>
          <w:tab w:val="clear" w:pos="567"/>
        </w:tabs>
        <w:rPr>
          <w:color w:val="000000"/>
          <w:szCs w:val="22"/>
        </w:rPr>
      </w:pPr>
    </w:p>
    <w:p w14:paraId="1B68101F" w14:textId="77777777" w:rsidR="008A04A6" w:rsidRPr="00654EF1" w:rsidRDefault="008A04A6" w:rsidP="001D5C8C">
      <w:pPr>
        <w:pStyle w:val="EndnoteText"/>
        <w:widowControl w:val="0"/>
        <w:numPr>
          <w:ilvl w:val="12"/>
          <w:numId w:val="0"/>
        </w:numPr>
        <w:tabs>
          <w:tab w:val="clear" w:pos="567"/>
        </w:tabs>
        <w:rPr>
          <w:color w:val="000000"/>
          <w:szCs w:val="22"/>
        </w:rPr>
      </w:pPr>
    </w:p>
    <w:p w14:paraId="1B681020" w14:textId="77777777" w:rsidR="006237AB" w:rsidRPr="00654EF1" w:rsidRDefault="006237AB"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3.</w:t>
      </w:r>
      <w:r w:rsidRPr="00654EF1">
        <w:rPr>
          <w:b/>
          <w:color w:val="000000"/>
          <w:szCs w:val="22"/>
        </w:rPr>
        <w:tab/>
      </w:r>
      <w:r w:rsidR="008A04A6" w:rsidRPr="00654EF1">
        <w:rPr>
          <w:b/>
          <w:color w:val="000000"/>
          <w:szCs w:val="22"/>
        </w:rPr>
        <w:t>How to take Glivec</w:t>
      </w:r>
    </w:p>
    <w:p w14:paraId="1B681021" w14:textId="77777777" w:rsidR="006237AB" w:rsidRPr="00654EF1" w:rsidRDefault="006237AB" w:rsidP="001D5C8C">
      <w:pPr>
        <w:pStyle w:val="EndnoteText"/>
        <w:keepNext/>
        <w:widowControl w:val="0"/>
        <w:numPr>
          <w:ilvl w:val="12"/>
          <w:numId w:val="0"/>
        </w:numPr>
        <w:tabs>
          <w:tab w:val="clear" w:pos="567"/>
        </w:tabs>
        <w:rPr>
          <w:color w:val="000000"/>
          <w:szCs w:val="22"/>
        </w:rPr>
      </w:pPr>
    </w:p>
    <w:p w14:paraId="1B681022" w14:textId="77777777" w:rsidR="00054B64" w:rsidRPr="00654EF1" w:rsidRDefault="00054B64" w:rsidP="001D5C8C">
      <w:pPr>
        <w:pStyle w:val="Text"/>
        <w:widowControl w:val="0"/>
        <w:spacing w:before="0"/>
        <w:jc w:val="left"/>
        <w:rPr>
          <w:rFonts w:cs="Helv"/>
          <w:color w:val="000000"/>
          <w:sz w:val="22"/>
          <w:szCs w:val="22"/>
          <w:lang w:bidi="th-TH"/>
        </w:rPr>
      </w:pPr>
      <w:r w:rsidRPr="00654EF1">
        <w:rPr>
          <w:rFonts w:cs="Helv"/>
          <w:color w:val="000000"/>
          <w:sz w:val="22"/>
          <w:szCs w:val="22"/>
          <w:lang w:bidi="th-TH"/>
        </w:rPr>
        <w:t>Your doctor has prescribed Glivec because you suffer from a serious condition. Glivec can help you to fight this condition.</w:t>
      </w:r>
    </w:p>
    <w:p w14:paraId="1B681023" w14:textId="77777777" w:rsidR="00D10776" w:rsidRPr="00654EF1" w:rsidRDefault="00D10776" w:rsidP="001D5C8C">
      <w:pPr>
        <w:pStyle w:val="Text"/>
        <w:widowControl w:val="0"/>
        <w:spacing w:before="0"/>
        <w:jc w:val="left"/>
        <w:rPr>
          <w:rFonts w:cs="Helv"/>
          <w:color w:val="000000"/>
          <w:sz w:val="22"/>
          <w:szCs w:val="22"/>
          <w:lang w:bidi="th-TH"/>
        </w:rPr>
      </w:pPr>
    </w:p>
    <w:p w14:paraId="1B681024" w14:textId="77777777" w:rsidR="008A04A6" w:rsidRPr="00654EF1" w:rsidRDefault="008A04A6" w:rsidP="001D5C8C">
      <w:pPr>
        <w:pStyle w:val="Text"/>
        <w:widowControl w:val="0"/>
        <w:spacing w:before="0"/>
        <w:jc w:val="left"/>
        <w:rPr>
          <w:color w:val="000000"/>
          <w:sz w:val="22"/>
          <w:szCs w:val="22"/>
          <w:lang w:val="en-GB"/>
        </w:rPr>
      </w:pPr>
      <w:r w:rsidRPr="00654EF1">
        <w:rPr>
          <w:rFonts w:cs="Helv"/>
          <w:color w:val="000000"/>
          <w:sz w:val="22"/>
          <w:szCs w:val="22"/>
          <w:lang w:bidi="th-TH"/>
        </w:rPr>
        <w:t xml:space="preserve">However, </w:t>
      </w:r>
      <w:r w:rsidRPr="00654EF1">
        <w:rPr>
          <w:color w:val="000000"/>
          <w:sz w:val="22"/>
          <w:szCs w:val="22"/>
          <w:lang w:val="en-GB"/>
        </w:rPr>
        <w:t xml:space="preserve">always take this medicine exactly as your doctor or pharmacist has told you. </w:t>
      </w:r>
      <w:r w:rsidRPr="00654EF1">
        <w:rPr>
          <w:rFonts w:cs="Helv"/>
          <w:color w:val="000000"/>
          <w:sz w:val="22"/>
          <w:szCs w:val="22"/>
          <w:lang w:bidi="th-TH"/>
        </w:rPr>
        <w:t>It is important that you do this as long as your doctor or pharmacist tells you to</w:t>
      </w:r>
      <w:r w:rsidRPr="00654EF1">
        <w:rPr>
          <w:color w:val="000000"/>
          <w:sz w:val="22"/>
          <w:szCs w:val="22"/>
          <w:lang w:val="en-GB"/>
        </w:rPr>
        <w:t>. Check with your doctor or pharmacist if you are not sure.</w:t>
      </w:r>
    </w:p>
    <w:p w14:paraId="1B681025" w14:textId="77777777" w:rsidR="00D10776" w:rsidRPr="00654EF1" w:rsidRDefault="00D10776" w:rsidP="001D5C8C">
      <w:pPr>
        <w:pStyle w:val="Text"/>
        <w:widowControl w:val="0"/>
        <w:spacing w:before="0"/>
        <w:jc w:val="left"/>
        <w:rPr>
          <w:color w:val="000000"/>
          <w:sz w:val="22"/>
          <w:szCs w:val="22"/>
          <w:lang w:val="en-GB"/>
        </w:rPr>
      </w:pPr>
    </w:p>
    <w:p w14:paraId="1B681026" w14:textId="77777777" w:rsidR="00EB4AD2" w:rsidRPr="00654EF1" w:rsidRDefault="00EB4AD2" w:rsidP="001D5C8C">
      <w:pPr>
        <w:widowControl w:val="0"/>
        <w:tabs>
          <w:tab w:val="clear" w:pos="567"/>
        </w:tabs>
        <w:autoSpaceDE w:val="0"/>
        <w:autoSpaceDN w:val="0"/>
        <w:adjustRightInd w:val="0"/>
        <w:spacing w:line="240" w:lineRule="auto"/>
        <w:rPr>
          <w:rFonts w:cs="Helv"/>
          <w:color w:val="000000"/>
          <w:szCs w:val="22"/>
          <w:lang w:val="en-US" w:bidi="th-TH"/>
        </w:rPr>
      </w:pPr>
      <w:r w:rsidRPr="00654EF1">
        <w:rPr>
          <w:rFonts w:cs="Helv"/>
          <w:color w:val="000000"/>
          <w:szCs w:val="22"/>
          <w:lang w:val="en-US" w:bidi="th-TH"/>
        </w:rPr>
        <w:t>Do not stop taking Glivec unless your doctor tells you to. If you are not able to take the medicine as your doctor prescribed or you feel you do not need it anymore, contact your doctor straight away.</w:t>
      </w:r>
    </w:p>
    <w:p w14:paraId="1B681027" w14:textId="77777777" w:rsidR="006237AB" w:rsidRPr="00654EF1" w:rsidRDefault="006237AB" w:rsidP="001D5C8C">
      <w:pPr>
        <w:pStyle w:val="Text"/>
        <w:widowControl w:val="0"/>
        <w:spacing w:before="0"/>
        <w:jc w:val="left"/>
        <w:rPr>
          <w:color w:val="000000"/>
          <w:sz w:val="22"/>
          <w:szCs w:val="22"/>
          <w:lang w:val="en-GB"/>
        </w:rPr>
      </w:pPr>
    </w:p>
    <w:p w14:paraId="1B681028" w14:textId="77777777" w:rsidR="008A04A6" w:rsidRPr="00654EF1" w:rsidRDefault="008A04A6"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How much Glivec to take</w:t>
      </w:r>
    </w:p>
    <w:p w14:paraId="1B681029" w14:textId="77777777" w:rsidR="00A4314F" w:rsidRPr="00654EF1" w:rsidRDefault="00A4314F" w:rsidP="001D5C8C">
      <w:pPr>
        <w:pStyle w:val="Text"/>
        <w:keepNext/>
        <w:widowControl w:val="0"/>
        <w:spacing w:before="0"/>
        <w:jc w:val="left"/>
        <w:rPr>
          <w:color w:val="000000"/>
          <w:sz w:val="22"/>
          <w:szCs w:val="22"/>
          <w:lang w:val="en-GB"/>
        </w:rPr>
      </w:pPr>
    </w:p>
    <w:p w14:paraId="1B68102A" w14:textId="77777777" w:rsidR="006237AB" w:rsidRPr="00654EF1" w:rsidRDefault="00D10776" w:rsidP="001D5C8C">
      <w:pPr>
        <w:pStyle w:val="Text"/>
        <w:keepNext/>
        <w:widowControl w:val="0"/>
        <w:spacing w:before="0"/>
        <w:jc w:val="left"/>
        <w:rPr>
          <w:b/>
          <w:bCs/>
          <w:color w:val="000000"/>
          <w:sz w:val="22"/>
          <w:szCs w:val="22"/>
          <w:lang w:val="en-GB"/>
        </w:rPr>
      </w:pPr>
      <w:r w:rsidRPr="00654EF1">
        <w:rPr>
          <w:b/>
          <w:bCs/>
          <w:color w:val="000000"/>
          <w:sz w:val="22"/>
          <w:szCs w:val="22"/>
          <w:lang w:val="en-GB"/>
        </w:rPr>
        <w:t>Use in a</w:t>
      </w:r>
      <w:r w:rsidR="006237AB" w:rsidRPr="00654EF1">
        <w:rPr>
          <w:b/>
          <w:bCs/>
          <w:color w:val="000000"/>
          <w:sz w:val="22"/>
          <w:szCs w:val="22"/>
          <w:lang w:val="en-GB"/>
        </w:rPr>
        <w:t>dults</w:t>
      </w:r>
    </w:p>
    <w:p w14:paraId="1B68102B" w14:textId="77777777" w:rsidR="00117190"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Your doctor will tell you </w:t>
      </w:r>
      <w:r w:rsidR="00A4314F" w:rsidRPr="00654EF1">
        <w:rPr>
          <w:color w:val="000000"/>
          <w:sz w:val="22"/>
          <w:szCs w:val="22"/>
          <w:lang w:val="en-GB"/>
        </w:rPr>
        <w:t xml:space="preserve">exactly </w:t>
      </w:r>
      <w:r w:rsidRPr="00654EF1">
        <w:rPr>
          <w:color w:val="000000"/>
          <w:sz w:val="22"/>
          <w:szCs w:val="22"/>
          <w:lang w:val="en-GB"/>
        </w:rPr>
        <w:t>how many tablets of Glivec to take.</w:t>
      </w:r>
    </w:p>
    <w:p w14:paraId="1B68102C" w14:textId="77777777" w:rsidR="00E95FB4" w:rsidRPr="00654EF1" w:rsidRDefault="00E95FB4" w:rsidP="001D5C8C">
      <w:pPr>
        <w:pStyle w:val="Text"/>
        <w:widowControl w:val="0"/>
        <w:spacing w:before="0"/>
        <w:jc w:val="left"/>
        <w:rPr>
          <w:color w:val="000000"/>
          <w:sz w:val="22"/>
          <w:szCs w:val="22"/>
          <w:lang w:val="en-GB"/>
        </w:rPr>
      </w:pPr>
    </w:p>
    <w:p w14:paraId="1B68102D" w14:textId="77777777" w:rsidR="00A4314F" w:rsidRPr="00654EF1" w:rsidRDefault="006237AB" w:rsidP="001D5C8C">
      <w:pPr>
        <w:pStyle w:val="Text"/>
        <w:keepNext/>
        <w:widowControl w:val="0"/>
        <w:numPr>
          <w:ilvl w:val="0"/>
          <w:numId w:val="16"/>
        </w:numPr>
        <w:spacing w:before="0"/>
        <w:ind w:left="567" w:hanging="567"/>
        <w:jc w:val="left"/>
        <w:rPr>
          <w:color w:val="000000"/>
          <w:sz w:val="22"/>
          <w:szCs w:val="22"/>
          <w:lang w:val="en-GB"/>
        </w:rPr>
      </w:pPr>
      <w:r w:rsidRPr="00654EF1">
        <w:rPr>
          <w:b/>
          <w:bCs/>
          <w:color w:val="000000"/>
          <w:sz w:val="22"/>
          <w:szCs w:val="22"/>
          <w:lang w:val="en-GB"/>
        </w:rPr>
        <w:t>If you are being treated for CML</w:t>
      </w:r>
      <w:r w:rsidR="00A4314F" w:rsidRPr="00654EF1">
        <w:rPr>
          <w:b/>
          <w:bCs/>
          <w:color w:val="000000"/>
          <w:sz w:val="22"/>
          <w:szCs w:val="22"/>
          <w:lang w:val="en-GB"/>
        </w:rPr>
        <w:t>:</w:t>
      </w:r>
    </w:p>
    <w:p w14:paraId="1B68102E" w14:textId="43C0F1D5" w:rsidR="00117190" w:rsidRPr="00654EF1" w:rsidRDefault="00A4314F" w:rsidP="00280050">
      <w:pPr>
        <w:pStyle w:val="Text"/>
        <w:widowControl w:val="0"/>
        <w:spacing w:before="0"/>
        <w:ind w:left="567"/>
        <w:jc w:val="left"/>
        <w:rPr>
          <w:color w:val="000000"/>
          <w:sz w:val="22"/>
          <w:szCs w:val="22"/>
          <w:lang w:val="en-GB"/>
        </w:rPr>
      </w:pPr>
      <w:r w:rsidRPr="00654EF1">
        <w:rPr>
          <w:color w:val="000000"/>
          <w:sz w:val="22"/>
          <w:szCs w:val="22"/>
          <w:lang w:val="en-GB"/>
        </w:rPr>
        <w:t xml:space="preserve">Depending on your condition </w:t>
      </w:r>
      <w:r w:rsidR="006237AB" w:rsidRPr="00654EF1">
        <w:rPr>
          <w:color w:val="000000"/>
          <w:sz w:val="22"/>
          <w:szCs w:val="22"/>
          <w:lang w:val="en-GB"/>
        </w:rPr>
        <w:t>the usual starting dose is</w:t>
      </w:r>
      <w:r w:rsidRPr="00654EF1">
        <w:rPr>
          <w:color w:val="000000"/>
          <w:sz w:val="22"/>
          <w:szCs w:val="22"/>
          <w:lang w:val="en-GB"/>
        </w:rPr>
        <w:t xml:space="preserve"> either </w:t>
      </w:r>
      <w:r w:rsidRPr="00280050">
        <w:rPr>
          <w:b/>
          <w:color w:val="000000"/>
          <w:sz w:val="22"/>
          <w:szCs w:val="22"/>
          <w:lang w:val="en-GB"/>
        </w:rPr>
        <w:t>400 mg</w:t>
      </w:r>
      <w:r w:rsidRPr="00654EF1">
        <w:rPr>
          <w:color w:val="000000"/>
          <w:sz w:val="22"/>
          <w:szCs w:val="22"/>
          <w:lang w:val="en-GB"/>
        </w:rPr>
        <w:t xml:space="preserve"> or </w:t>
      </w:r>
      <w:r w:rsidRPr="00280050">
        <w:rPr>
          <w:b/>
          <w:color w:val="000000"/>
          <w:sz w:val="22"/>
          <w:szCs w:val="22"/>
          <w:lang w:val="en-GB"/>
        </w:rPr>
        <w:t>600 mg</w:t>
      </w:r>
      <w:r w:rsidR="00D45B57" w:rsidRPr="00D45B57">
        <w:rPr>
          <w:color w:val="000000"/>
          <w:sz w:val="22"/>
          <w:szCs w:val="22"/>
          <w:lang w:val="en-GB"/>
        </w:rPr>
        <w:t xml:space="preserve"> </w:t>
      </w:r>
      <w:r w:rsidR="00D45B57" w:rsidRPr="00E47AEF">
        <w:rPr>
          <w:color w:val="000000"/>
          <w:sz w:val="22"/>
          <w:szCs w:val="22"/>
          <w:lang w:val="en-GB"/>
        </w:rPr>
        <w:t xml:space="preserve">to be taken </w:t>
      </w:r>
      <w:r w:rsidR="00D45B57" w:rsidRPr="00E47AEF">
        <w:rPr>
          <w:b/>
          <w:color w:val="000000"/>
          <w:sz w:val="22"/>
          <w:szCs w:val="22"/>
        </w:rPr>
        <w:t>once</w:t>
      </w:r>
      <w:r w:rsidR="00D45B57" w:rsidRPr="00E47AEF">
        <w:rPr>
          <w:color w:val="000000"/>
          <w:sz w:val="22"/>
          <w:szCs w:val="22"/>
          <w:lang w:val="en-GB"/>
        </w:rPr>
        <w:t xml:space="preserve"> a day.</w:t>
      </w:r>
    </w:p>
    <w:p w14:paraId="1B681031" w14:textId="77777777" w:rsidR="00E95FB4" w:rsidRPr="00654EF1" w:rsidRDefault="00E95FB4" w:rsidP="001D5C8C">
      <w:pPr>
        <w:pStyle w:val="Text"/>
        <w:widowControl w:val="0"/>
        <w:spacing w:before="0"/>
        <w:jc w:val="left"/>
        <w:rPr>
          <w:color w:val="000000"/>
          <w:sz w:val="22"/>
          <w:szCs w:val="22"/>
          <w:lang w:val="en-GB"/>
        </w:rPr>
      </w:pPr>
    </w:p>
    <w:p w14:paraId="1B681032" w14:textId="77777777" w:rsidR="00E55E04" w:rsidRPr="00654EF1" w:rsidRDefault="006237AB" w:rsidP="001D5C8C">
      <w:pPr>
        <w:pStyle w:val="Text"/>
        <w:keepNext/>
        <w:widowControl w:val="0"/>
        <w:numPr>
          <w:ilvl w:val="1"/>
          <w:numId w:val="12"/>
        </w:numPr>
        <w:spacing w:before="0"/>
        <w:ind w:left="567" w:hanging="567"/>
        <w:jc w:val="left"/>
        <w:rPr>
          <w:color w:val="000000"/>
          <w:sz w:val="22"/>
          <w:szCs w:val="22"/>
          <w:lang w:val="en-GB"/>
        </w:rPr>
      </w:pPr>
      <w:r w:rsidRPr="00654EF1">
        <w:rPr>
          <w:b/>
          <w:bCs/>
          <w:color w:val="000000"/>
          <w:sz w:val="22"/>
          <w:szCs w:val="22"/>
          <w:lang w:val="en-GB"/>
        </w:rPr>
        <w:t>If you are being treated for GIST</w:t>
      </w:r>
      <w:r w:rsidR="00E55E04" w:rsidRPr="00654EF1">
        <w:rPr>
          <w:b/>
          <w:bCs/>
          <w:color w:val="000000"/>
          <w:sz w:val="22"/>
          <w:szCs w:val="22"/>
          <w:lang w:val="en-GB"/>
        </w:rPr>
        <w:t>:</w:t>
      </w:r>
    </w:p>
    <w:p w14:paraId="1B681033" w14:textId="77C83B3D" w:rsidR="00117190" w:rsidRPr="00654EF1" w:rsidRDefault="00E55E04" w:rsidP="001D5C8C">
      <w:pPr>
        <w:pStyle w:val="Text"/>
        <w:widowControl w:val="0"/>
        <w:spacing w:before="0"/>
        <w:ind w:left="567"/>
        <w:jc w:val="left"/>
        <w:rPr>
          <w:color w:val="000000"/>
          <w:sz w:val="22"/>
          <w:szCs w:val="22"/>
          <w:lang w:val="en-GB"/>
        </w:rPr>
      </w:pPr>
      <w:r w:rsidRPr="00654EF1">
        <w:rPr>
          <w:color w:val="000000"/>
          <w:sz w:val="22"/>
          <w:szCs w:val="22"/>
          <w:lang w:val="en-GB"/>
        </w:rPr>
        <w:t>T</w:t>
      </w:r>
      <w:r w:rsidR="006237AB" w:rsidRPr="00654EF1">
        <w:rPr>
          <w:color w:val="000000"/>
          <w:sz w:val="22"/>
          <w:szCs w:val="22"/>
          <w:lang w:val="en-GB"/>
        </w:rPr>
        <w:t>he starting dose is 400</w:t>
      </w:r>
      <w:r w:rsidR="002D524A" w:rsidRPr="00654EF1">
        <w:rPr>
          <w:color w:val="000000"/>
          <w:sz w:val="22"/>
          <w:szCs w:val="22"/>
          <w:lang w:val="en-GB"/>
        </w:rPr>
        <w:t> mg</w:t>
      </w:r>
      <w:r w:rsidR="006237AB" w:rsidRPr="00654EF1">
        <w:rPr>
          <w:color w:val="000000"/>
          <w:sz w:val="22"/>
          <w:szCs w:val="22"/>
          <w:lang w:val="en-GB"/>
        </w:rPr>
        <w:t xml:space="preserve">, to be </w:t>
      </w:r>
      <w:r w:rsidR="00117190" w:rsidRPr="00654EF1">
        <w:rPr>
          <w:color w:val="000000"/>
          <w:sz w:val="22"/>
          <w:szCs w:val="22"/>
          <w:lang w:val="en-GB"/>
        </w:rPr>
        <w:t xml:space="preserve">taken </w:t>
      </w:r>
      <w:r w:rsidR="006237AB" w:rsidRPr="00654EF1">
        <w:rPr>
          <w:b/>
          <w:bCs/>
          <w:color w:val="000000"/>
          <w:sz w:val="22"/>
          <w:szCs w:val="22"/>
          <w:lang w:val="en-GB"/>
        </w:rPr>
        <w:t>once</w:t>
      </w:r>
      <w:r w:rsidR="006237AB" w:rsidRPr="00654EF1">
        <w:rPr>
          <w:color w:val="000000"/>
          <w:sz w:val="22"/>
          <w:szCs w:val="22"/>
          <w:lang w:val="en-GB"/>
        </w:rPr>
        <w:t xml:space="preserve"> a day.</w:t>
      </w:r>
    </w:p>
    <w:p w14:paraId="1B681034" w14:textId="77777777" w:rsidR="00117190" w:rsidRPr="00654EF1" w:rsidRDefault="00117190" w:rsidP="001D5C8C">
      <w:pPr>
        <w:pStyle w:val="Text"/>
        <w:widowControl w:val="0"/>
        <w:spacing w:before="0"/>
        <w:jc w:val="left"/>
        <w:rPr>
          <w:color w:val="000000"/>
          <w:sz w:val="22"/>
          <w:szCs w:val="22"/>
          <w:lang w:val="en-GB"/>
        </w:rPr>
      </w:pPr>
    </w:p>
    <w:p w14:paraId="1B681035" w14:textId="0BE4615F" w:rsidR="006237AB" w:rsidRPr="00654EF1" w:rsidRDefault="00D61499" w:rsidP="001D5C8C">
      <w:pPr>
        <w:pStyle w:val="Text"/>
        <w:widowControl w:val="0"/>
        <w:spacing w:before="0"/>
        <w:jc w:val="left"/>
        <w:rPr>
          <w:color w:val="000000"/>
          <w:sz w:val="22"/>
          <w:szCs w:val="22"/>
          <w:lang w:val="en-GB"/>
        </w:rPr>
      </w:pPr>
      <w:r w:rsidRPr="00654EF1">
        <w:rPr>
          <w:color w:val="000000"/>
          <w:sz w:val="22"/>
          <w:szCs w:val="22"/>
          <w:lang w:val="en-GB"/>
        </w:rPr>
        <w:t>For CML and GIST, your doctor may prescribe a higher or lower dose d</w:t>
      </w:r>
      <w:r w:rsidR="006237AB" w:rsidRPr="00654EF1">
        <w:rPr>
          <w:color w:val="000000"/>
          <w:sz w:val="22"/>
          <w:szCs w:val="22"/>
          <w:lang w:val="en-GB"/>
        </w:rPr>
        <w:t>epending on how you respond to the treatment.</w:t>
      </w:r>
      <w:r w:rsidR="002515AD" w:rsidRPr="00654EF1">
        <w:rPr>
          <w:color w:val="000000"/>
          <w:sz w:val="22"/>
          <w:szCs w:val="22"/>
          <w:lang w:val="en-GB"/>
        </w:rPr>
        <w:t xml:space="preserve"> If your daily dose is 800 mg, you should take </w:t>
      </w:r>
      <w:r w:rsidR="00D45B57">
        <w:rPr>
          <w:color w:val="000000"/>
          <w:sz w:val="22"/>
          <w:szCs w:val="22"/>
          <w:lang w:val="en-GB"/>
        </w:rPr>
        <w:t>400 mg</w:t>
      </w:r>
      <w:r w:rsidR="002515AD" w:rsidRPr="00654EF1">
        <w:rPr>
          <w:color w:val="000000"/>
          <w:sz w:val="22"/>
          <w:szCs w:val="22"/>
          <w:lang w:val="en-GB"/>
        </w:rPr>
        <w:t xml:space="preserve"> in the morning and </w:t>
      </w:r>
      <w:r w:rsidR="00D45B57">
        <w:rPr>
          <w:color w:val="000000"/>
          <w:sz w:val="22"/>
          <w:szCs w:val="22"/>
          <w:lang w:val="en-GB"/>
        </w:rPr>
        <w:t>400 mg</w:t>
      </w:r>
      <w:r w:rsidR="002515AD" w:rsidRPr="00654EF1">
        <w:rPr>
          <w:color w:val="000000"/>
          <w:sz w:val="22"/>
          <w:szCs w:val="22"/>
          <w:lang w:val="en-GB"/>
        </w:rPr>
        <w:t xml:space="preserve"> in the evening.</w:t>
      </w:r>
    </w:p>
    <w:p w14:paraId="1B681036" w14:textId="77777777" w:rsidR="00117190" w:rsidRPr="00654EF1" w:rsidRDefault="00117190" w:rsidP="001D5C8C">
      <w:pPr>
        <w:pStyle w:val="Listlevel1"/>
        <w:widowControl w:val="0"/>
        <w:spacing w:before="0" w:after="0"/>
        <w:ind w:left="0" w:firstLine="0"/>
        <w:rPr>
          <w:color w:val="000000"/>
          <w:sz w:val="22"/>
          <w:szCs w:val="22"/>
          <w:lang w:val="en-GB"/>
        </w:rPr>
      </w:pPr>
    </w:p>
    <w:p w14:paraId="1B681037" w14:textId="77777777" w:rsidR="00A509D8" w:rsidRPr="00654EF1" w:rsidRDefault="00117190" w:rsidP="001D5C8C">
      <w:pPr>
        <w:pStyle w:val="Listlevel1"/>
        <w:keepNext/>
        <w:widowControl w:val="0"/>
        <w:numPr>
          <w:ilvl w:val="0"/>
          <w:numId w:val="17"/>
        </w:numPr>
        <w:spacing w:before="0" w:after="0"/>
        <w:ind w:left="567" w:hanging="567"/>
        <w:rPr>
          <w:color w:val="000000"/>
          <w:sz w:val="22"/>
          <w:szCs w:val="22"/>
        </w:rPr>
      </w:pPr>
      <w:r w:rsidRPr="00654EF1">
        <w:rPr>
          <w:b/>
          <w:bCs/>
          <w:color w:val="000000"/>
          <w:sz w:val="22"/>
          <w:szCs w:val="22"/>
          <w:lang w:val="en-GB"/>
        </w:rPr>
        <w:t xml:space="preserve">If you are being treated for Ph-positive </w:t>
      </w:r>
      <w:smartTag w:uri="urn:schemas-microsoft-com:office:smarttags" w:element="stockticker">
        <w:r w:rsidRPr="00654EF1">
          <w:rPr>
            <w:b/>
            <w:bCs/>
            <w:color w:val="000000"/>
            <w:sz w:val="22"/>
            <w:szCs w:val="22"/>
            <w:lang w:val="en-GB"/>
          </w:rPr>
          <w:t>ALL</w:t>
        </w:r>
      </w:smartTag>
      <w:r w:rsidR="00A509D8" w:rsidRPr="00654EF1">
        <w:rPr>
          <w:b/>
          <w:bCs/>
          <w:color w:val="000000"/>
          <w:sz w:val="22"/>
          <w:szCs w:val="22"/>
          <w:lang w:val="en-GB"/>
        </w:rPr>
        <w:t>:</w:t>
      </w:r>
    </w:p>
    <w:p w14:paraId="1B681038" w14:textId="2A792D55" w:rsidR="00117190" w:rsidRPr="00654EF1" w:rsidRDefault="00A509D8" w:rsidP="001D5C8C">
      <w:pPr>
        <w:pStyle w:val="Listlevel1"/>
        <w:widowControl w:val="0"/>
        <w:spacing w:before="0" w:after="0"/>
        <w:ind w:left="567" w:firstLine="0"/>
        <w:rPr>
          <w:color w:val="000000"/>
          <w:sz w:val="22"/>
          <w:szCs w:val="22"/>
        </w:rPr>
      </w:pPr>
      <w:r w:rsidRPr="00654EF1">
        <w:rPr>
          <w:color w:val="000000"/>
          <w:sz w:val="22"/>
          <w:szCs w:val="22"/>
          <w:lang w:val="en-GB"/>
        </w:rPr>
        <w:t>T</w:t>
      </w:r>
      <w:r w:rsidR="00117190" w:rsidRPr="00654EF1">
        <w:rPr>
          <w:color w:val="000000"/>
          <w:sz w:val="22"/>
          <w:szCs w:val="22"/>
          <w:lang w:val="en-GB"/>
        </w:rPr>
        <w:t xml:space="preserve">he starting dose is 600 mg to be taken </w:t>
      </w:r>
      <w:r w:rsidR="00117190" w:rsidRPr="00654EF1">
        <w:rPr>
          <w:b/>
          <w:bCs/>
          <w:color w:val="000000"/>
          <w:sz w:val="22"/>
          <w:szCs w:val="22"/>
          <w:lang w:val="en-GB"/>
        </w:rPr>
        <w:t>once</w:t>
      </w:r>
      <w:r w:rsidR="00117190" w:rsidRPr="00654EF1">
        <w:rPr>
          <w:color w:val="000000"/>
          <w:sz w:val="22"/>
          <w:szCs w:val="22"/>
          <w:lang w:val="en-GB"/>
        </w:rPr>
        <w:t xml:space="preserve"> a day</w:t>
      </w:r>
      <w:r w:rsidR="004F6EC8" w:rsidRPr="00654EF1">
        <w:rPr>
          <w:color w:val="000000"/>
          <w:sz w:val="22"/>
          <w:szCs w:val="22"/>
          <w:lang w:val="en-GB"/>
        </w:rPr>
        <w:t>.</w:t>
      </w:r>
    </w:p>
    <w:p w14:paraId="1B681039" w14:textId="77777777" w:rsidR="00EA3C06" w:rsidRPr="00654EF1" w:rsidRDefault="00EA3C06" w:rsidP="001D5C8C">
      <w:pPr>
        <w:pStyle w:val="Listlevel1"/>
        <w:widowControl w:val="0"/>
        <w:tabs>
          <w:tab w:val="left" w:pos="720"/>
        </w:tabs>
        <w:spacing w:before="0" w:after="0"/>
        <w:ind w:left="0" w:firstLine="0"/>
        <w:rPr>
          <w:color w:val="000000"/>
          <w:sz w:val="22"/>
          <w:szCs w:val="22"/>
          <w:lang w:val="en-GB"/>
        </w:rPr>
      </w:pPr>
    </w:p>
    <w:p w14:paraId="1B68103A" w14:textId="77777777" w:rsidR="00A509D8" w:rsidRPr="00654EF1" w:rsidRDefault="00EA3C06" w:rsidP="001D5C8C">
      <w:pPr>
        <w:pStyle w:val="Listlevel1"/>
        <w:keepNext/>
        <w:widowControl w:val="0"/>
        <w:numPr>
          <w:ilvl w:val="0"/>
          <w:numId w:val="17"/>
        </w:numPr>
        <w:tabs>
          <w:tab w:val="left" w:pos="720"/>
        </w:tabs>
        <w:spacing w:before="0" w:after="0"/>
        <w:ind w:left="567" w:hanging="567"/>
        <w:rPr>
          <w:color w:val="000000"/>
          <w:sz w:val="22"/>
          <w:szCs w:val="22"/>
          <w:lang w:val="en-GB"/>
        </w:rPr>
      </w:pPr>
      <w:r w:rsidRPr="00654EF1">
        <w:rPr>
          <w:b/>
          <w:bCs/>
          <w:color w:val="000000"/>
          <w:sz w:val="22"/>
          <w:szCs w:val="22"/>
          <w:lang w:val="en-GB"/>
        </w:rPr>
        <w:t xml:space="preserve">If you are being treated for </w:t>
      </w:r>
      <w:smartTag w:uri="urn:schemas-microsoft-com:office:smarttags" w:element="stockticker">
        <w:r w:rsidRPr="00654EF1">
          <w:rPr>
            <w:b/>
            <w:bCs/>
            <w:color w:val="000000"/>
            <w:sz w:val="22"/>
            <w:szCs w:val="22"/>
            <w:lang w:val="en-GB"/>
          </w:rPr>
          <w:t>MDS</w:t>
        </w:r>
      </w:smartTag>
      <w:r w:rsidRPr="00654EF1">
        <w:rPr>
          <w:b/>
          <w:bCs/>
          <w:color w:val="000000"/>
          <w:sz w:val="22"/>
          <w:szCs w:val="22"/>
          <w:lang w:val="en-GB"/>
        </w:rPr>
        <w:t>/MPD</w:t>
      </w:r>
      <w:r w:rsidR="00A509D8" w:rsidRPr="00654EF1">
        <w:rPr>
          <w:b/>
          <w:bCs/>
          <w:color w:val="000000"/>
          <w:sz w:val="22"/>
          <w:szCs w:val="22"/>
          <w:lang w:val="en-GB"/>
        </w:rPr>
        <w:t>:</w:t>
      </w:r>
    </w:p>
    <w:p w14:paraId="1B68103B" w14:textId="60D0FCA7" w:rsidR="00EA3C06" w:rsidRPr="00654EF1" w:rsidRDefault="00A509D8" w:rsidP="001D5C8C">
      <w:pPr>
        <w:pStyle w:val="Listlevel1"/>
        <w:widowControl w:val="0"/>
        <w:tabs>
          <w:tab w:val="left" w:pos="720"/>
        </w:tabs>
        <w:spacing w:before="0" w:after="0"/>
        <w:ind w:left="567" w:firstLine="0"/>
        <w:rPr>
          <w:color w:val="000000"/>
          <w:sz w:val="22"/>
          <w:szCs w:val="22"/>
          <w:lang w:val="en-GB"/>
        </w:rPr>
      </w:pPr>
      <w:r w:rsidRPr="00654EF1">
        <w:rPr>
          <w:color w:val="000000"/>
          <w:sz w:val="22"/>
          <w:szCs w:val="22"/>
          <w:lang w:val="en-GB"/>
        </w:rPr>
        <w:t>T</w:t>
      </w:r>
      <w:r w:rsidR="00EA3C06" w:rsidRPr="00654EF1">
        <w:rPr>
          <w:color w:val="000000"/>
          <w:sz w:val="22"/>
          <w:szCs w:val="22"/>
          <w:lang w:val="en-GB"/>
        </w:rPr>
        <w:t xml:space="preserve">he starting dose is 400 mg to be taken </w:t>
      </w:r>
      <w:r w:rsidR="00EA3C06" w:rsidRPr="00654EF1">
        <w:rPr>
          <w:b/>
          <w:bCs/>
          <w:color w:val="000000"/>
          <w:sz w:val="22"/>
          <w:szCs w:val="22"/>
          <w:lang w:val="en-GB"/>
        </w:rPr>
        <w:t>once</w:t>
      </w:r>
      <w:r w:rsidR="00EA3C06" w:rsidRPr="00654EF1">
        <w:rPr>
          <w:color w:val="000000"/>
          <w:sz w:val="22"/>
          <w:szCs w:val="22"/>
          <w:lang w:val="en-GB"/>
        </w:rPr>
        <w:t xml:space="preserve"> a day.</w:t>
      </w:r>
    </w:p>
    <w:p w14:paraId="1B68103C" w14:textId="77777777" w:rsidR="00EA3C06" w:rsidRPr="00654EF1" w:rsidRDefault="00EA3C06" w:rsidP="001D5C8C">
      <w:pPr>
        <w:pStyle w:val="Text"/>
        <w:widowControl w:val="0"/>
        <w:spacing w:before="0"/>
        <w:jc w:val="left"/>
        <w:rPr>
          <w:color w:val="000000"/>
          <w:sz w:val="22"/>
          <w:szCs w:val="22"/>
        </w:rPr>
      </w:pPr>
    </w:p>
    <w:p w14:paraId="1B68103D" w14:textId="77777777" w:rsidR="00A509D8" w:rsidRPr="00654EF1" w:rsidRDefault="00EA3C06" w:rsidP="001D5C8C">
      <w:pPr>
        <w:pStyle w:val="Listlevel2"/>
        <w:keepNext/>
        <w:widowControl w:val="0"/>
        <w:numPr>
          <w:ilvl w:val="0"/>
          <w:numId w:val="17"/>
        </w:numPr>
        <w:spacing w:before="0" w:after="0"/>
        <w:ind w:left="567" w:hanging="567"/>
        <w:rPr>
          <w:color w:val="000000"/>
          <w:sz w:val="22"/>
          <w:szCs w:val="22"/>
        </w:rPr>
      </w:pPr>
      <w:r w:rsidRPr="00654EF1">
        <w:rPr>
          <w:b/>
          <w:color w:val="000000"/>
          <w:sz w:val="22"/>
          <w:szCs w:val="22"/>
        </w:rPr>
        <w:t>If you are being treated for HES/</w:t>
      </w:r>
      <w:smartTag w:uri="urn:schemas-microsoft-com:office:smarttags" w:element="stockticker">
        <w:r w:rsidRPr="00654EF1">
          <w:rPr>
            <w:b/>
            <w:color w:val="000000"/>
            <w:sz w:val="22"/>
            <w:szCs w:val="22"/>
          </w:rPr>
          <w:t>CEL</w:t>
        </w:r>
      </w:smartTag>
      <w:r w:rsidR="00A509D8" w:rsidRPr="00654EF1">
        <w:rPr>
          <w:b/>
          <w:color w:val="000000"/>
          <w:sz w:val="22"/>
          <w:szCs w:val="22"/>
        </w:rPr>
        <w:t>:</w:t>
      </w:r>
    </w:p>
    <w:p w14:paraId="1B68103E" w14:textId="60CA3BFF" w:rsidR="00EA3C06" w:rsidRPr="00654EF1" w:rsidRDefault="00A509D8" w:rsidP="001D5C8C">
      <w:pPr>
        <w:pStyle w:val="Listlevel2"/>
        <w:widowControl w:val="0"/>
        <w:spacing w:before="0" w:after="0"/>
        <w:ind w:left="567" w:firstLine="0"/>
        <w:rPr>
          <w:color w:val="000000"/>
          <w:sz w:val="22"/>
          <w:szCs w:val="22"/>
        </w:rPr>
      </w:pPr>
      <w:r w:rsidRPr="00654EF1">
        <w:rPr>
          <w:color w:val="000000"/>
          <w:sz w:val="22"/>
          <w:szCs w:val="22"/>
        </w:rPr>
        <w:t>T</w:t>
      </w:r>
      <w:r w:rsidR="00EA3C06" w:rsidRPr="00654EF1">
        <w:rPr>
          <w:color w:val="000000"/>
          <w:sz w:val="22"/>
          <w:szCs w:val="22"/>
        </w:rPr>
        <w:t xml:space="preserve">he starting dose is 100 mg, to be taken </w:t>
      </w:r>
      <w:r w:rsidR="00EA3C06" w:rsidRPr="00654EF1">
        <w:rPr>
          <w:b/>
          <w:bCs/>
          <w:color w:val="000000"/>
          <w:sz w:val="22"/>
          <w:szCs w:val="22"/>
        </w:rPr>
        <w:t>once</w:t>
      </w:r>
      <w:r w:rsidR="00EA3C06" w:rsidRPr="00654EF1">
        <w:rPr>
          <w:color w:val="000000"/>
          <w:sz w:val="22"/>
          <w:szCs w:val="22"/>
        </w:rPr>
        <w:t xml:space="preserve"> a day. Your doctor may decide to increase the </w:t>
      </w:r>
      <w:r w:rsidR="00EA3C06" w:rsidRPr="00654EF1">
        <w:rPr>
          <w:color w:val="000000"/>
          <w:sz w:val="22"/>
          <w:szCs w:val="22"/>
        </w:rPr>
        <w:lastRenderedPageBreak/>
        <w:t xml:space="preserve">dose to 400 mg, to be taken </w:t>
      </w:r>
      <w:r w:rsidR="00EA3C06" w:rsidRPr="00654EF1">
        <w:rPr>
          <w:b/>
          <w:bCs/>
          <w:color w:val="000000"/>
          <w:sz w:val="22"/>
          <w:szCs w:val="22"/>
        </w:rPr>
        <w:t>once</w:t>
      </w:r>
      <w:r w:rsidR="00EA3C06" w:rsidRPr="00654EF1">
        <w:rPr>
          <w:color w:val="000000"/>
          <w:sz w:val="22"/>
          <w:szCs w:val="22"/>
        </w:rPr>
        <w:t xml:space="preserve"> a day, depending on how you respond to treatment.</w:t>
      </w:r>
    </w:p>
    <w:p w14:paraId="1B68103F" w14:textId="77777777" w:rsidR="00117190" w:rsidRPr="00654EF1" w:rsidRDefault="00117190" w:rsidP="001D5C8C">
      <w:pPr>
        <w:pStyle w:val="Listlevel1"/>
        <w:widowControl w:val="0"/>
        <w:spacing w:before="0" w:after="0"/>
        <w:ind w:left="0" w:firstLine="0"/>
        <w:rPr>
          <w:color w:val="000000"/>
          <w:sz w:val="22"/>
          <w:szCs w:val="22"/>
        </w:rPr>
      </w:pPr>
    </w:p>
    <w:p w14:paraId="1B681040" w14:textId="77777777" w:rsidR="00A509D8" w:rsidRPr="00654EF1" w:rsidRDefault="00117190" w:rsidP="001D5C8C">
      <w:pPr>
        <w:pStyle w:val="Listlevel1"/>
        <w:keepNext/>
        <w:widowControl w:val="0"/>
        <w:numPr>
          <w:ilvl w:val="0"/>
          <w:numId w:val="17"/>
        </w:numPr>
        <w:spacing w:before="0" w:after="0"/>
        <w:ind w:left="567" w:hanging="567"/>
        <w:rPr>
          <w:color w:val="000000"/>
          <w:sz w:val="22"/>
          <w:szCs w:val="22"/>
          <w:lang w:val="en-GB"/>
        </w:rPr>
      </w:pPr>
      <w:r w:rsidRPr="00654EF1">
        <w:rPr>
          <w:b/>
          <w:bCs/>
          <w:color w:val="000000"/>
          <w:sz w:val="22"/>
          <w:szCs w:val="22"/>
          <w:lang w:val="en-GB"/>
        </w:rPr>
        <w:t>If you are being treated for DFSP</w:t>
      </w:r>
      <w:r w:rsidR="00A509D8" w:rsidRPr="00654EF1">
        <w:rPr>
          <w:b/>
          <w:bCs/>
          <w:color w:val="000000"/>
          <w:sz w:val="22"/>
          <w:szCs w:val="22"/>
          <w:lang w:val="en-GB"/>
        </w:rPr>
        <w:t>:</w:t>
      </w:r>
    </w:p>
    <w:p w14:paraId="1B681041" w14:textId="0FCA74D7" w:rsidR="00117190" w:rsidRPr="00654EF1" w:rsidRDefault="00A509D8" w:rsidP="001D5C8C">
      <w:pPr>
        <w:pStyle w:val="Listlevel1"/>
        <w:widowControl w:val="0"/>
        <w:spacing w:before="0" w:after="0"/>
        <w:ind w:left="567" w:firstLine="0"/>
        <w:rPr>
          <w:color w:val="000000"/>
          <w:sz w:val="22"/>
          <w:szCs w:val="22"/>
          <w:lang w:val="en-GB"/>
        </w:rPr>
      </w:pPr>
      <w:r w:rsidRPr="00654EF1">
        <w:rPr>
          <w:color w:val="000000"/>
          <w:sz w:val="22"/>
          <w:szCs w:val="22"/>
          <w:lang w:val="en-GB"/>
        </w:rPr>
        <w:t>T</w:t>
      </w:r>
      <w:r w:rsidR="00117190" w:rsidRPr="00654EF1">
        <w:rPr>
          <w:color w:val="000000"/>
          <w:sz w:val="22"/>
          <w:szCs w:val="22"/>
          <w:lang w:val="en-GB"/>
        </w:rPr>
        <w:t xml:space="preserve">he dose is 800 mg per day, to be taken as </w:t>
      </w:r>
      <w:r w:rsidR="00D45B57">
        <w:rPr>
          <w:color w:val="000000"/>
          <w:sz w:val="22"/>
          <w:szCs w:val="22"/>
          <w:lang w:val="en-GB"/>
        </w:rPr>
        <w:t>400 mg</w:t>
      </w:r>
      <w:r w:rsidR="00117190" w:rsidRPr="00654EF1">
        <w:rPr>
          <w:color w:val="000000"/>
          <w:sz w:val="22"/>
          <w:szCs w:val="22"/>
          <w:lang w:val="en-GB"/>
        </w:rPr>
        <w:t xml:space="preserve"> in the morning and </w:t>
      </w:r>
      <w:r w:rsidR="00D45B57">
        <w:rPr>
          <w:color w:val="000000"/>
          <w:sz w:val="22"/>
          <w:szCs w:val="22"/>
          <w:lang w:val="en-GB"/>
        </w:rPr>
        <w:t>400 mg</w:t>
      </w:r>
      <w:r w:rsidR="00117190" w:rsidRPr="00654EF1">
        <w:rPr>
          <w:color w:val="000000"/>
          <w:sz w:val="22"/>
          <w:szCs w:val="22"/>
          <w:lang w:val="en-GB"/>
        </w:rPr>
        <w:t xml:space="preserve"> in the evening.</w:t>
      </w:r>
    </w:p>
    <w:p w14:paraId="55F9009E" w14:textId="77777777" w:rsidR="00D45B57" w:rsidRDefault="00D45B57" w:rsidP="00D45B57">
      <w:pPr>
        <w:pStyle w:val="Listlevel1"/>
        <w:widowControl w:val="0"/>
        <w:spacing w:before="0" w:after="0"/>
        <w:rPr>
          <w:color w:val="000000"/>
          <w:sz w:val="22"/>
          <w:szCs w:val="22"/>
          <w:lang w:val="en-GB"/>
        </w:rPr>
      </w:pPr>
    </w:p>
    <w:p w14:paraId="4C998969" w14:textId="77777777" w:rsidR="00D45B57" w:rsidRDefault="00D45B57" w:rsidP="00D45B57">
      <w:pPr>
        <w:pStyle w:val="Listlevel1"/>
        <w:widowControl w:val="0"/>
        <w:spacing w:before="0" w:after="0"/>
        <w:rPr>
          <w:color w:val="000000"/>
          <w:sz w:val="22"/>
          <w:szCs w:val="22"/>
          <w:lang w:val="en-GB"/>
        </w:rPr>
      </w:pPr>
      <w:r>
        <w:rPr>
          <w:color w:val="000000"/>
          <w:sz w:val="22"/>
          <w:szCs w:val="22"/>
          <w:lang w:val="en-GB"/>
        </w:rPr>
        <w:t>A 400 mg dose can be taken either as 1 tablet of 400 mg or 4 tablets of 100 mg.</w:t>
      </w:r>
    </w:p>
    <w:p w14:paraId="39395D15" w14:textId="77777777" w:rsidR="00D45B57" w:rsidRPr="00654EF1" w:rsidRDefault="00D45B57" w:rsidP="00D45B57">
      <w:pPr>
        <w:pStyle w:val="Listlevel1"/>
        <w:widowControl w:val="0"/>
        <w:spacing w:before="0" w:after="0"/>
        <w:ind w:left="0" w:firstLine="0"/>
        <w:rPr>
          <w:color w:val="000000"/>
          <w:sz w:val="22"/>
          <w:szCs w:val="22"/>
          <w:lang w:val="en-GB"/>
        </w:rPr>
      </w:pPr>
      <w:r>
        <w:rPr>
          <w:color w:val="000000"/>
          <w:sz w:val="22"/>
          <w:szCs w:val="22"/>
          <w:lang w:val="en-GB"/>
        </w:rPr>
        <w:t>A 600 mg dose is to be taken as 1 tablet of 400 mg plus 2 tablets of 100 mg.</w:t>
      </w:r>
    </w:p>
    <w:p w14:paraId="1B681042" w14:textId="77777777" w:rsidR="006237AB" w:rsidRPr="00654EF1" w:rsidRDefault="006237AB" w:rsidP="001D5C8C">
      <w:pPr>
        <w:pStyle w:val="Text"/>
        <w:widowControl w:val="0"/>
        <w:spacing w:before="0"/>
        <w:jc w:val="left"/>
        <w:rPr>
          <w:color w:val="000000"/>
          <w:sz w:val="22"/>
          <w:szCs w:val="22"/>
          <w:lang w:val="en-GB"/>
        </w:rPr>
      </w:pPr>
    </w:p>
    <w:p w14:paraId="1B681043" w14:textId="77777777" w:rsidR="008A04A6" w:rsidRPr="00654EF1" w:rsidRDefault="008A04A6" w:rsidP="001D5C8C">
      <w:pPr>
        <w:pStyle w:val="Text"/>
        <w:keepNext/>
        <w:widowControl w:val="0"/>
        <w:spacing w:before="0"/>
        <w:jc w:val="left"/>
        <w:rPr>
          <w:color w:val="000000"/>
          <w:sz w:val="22"/>
          <w:szCs w:val="22"/>
          <w:lang w:val="en-GB"/>
        </w:rPr>
      </w:pPr>
      <w:r w:rsidRPr="00654EF1">
        <w:rPr>
          <w:b/>
          <w:bCs/>
          <w:color w:val="000000"/>
          <w:sz w:val="22"/>
          <w:szCs w:val="22"/>
          <w:lang w:val="en-GB"/>
        </w:rPr>
        <w:t>Use in children and adolescents</w:t>
      </w:r>
    </w:p>
    <w:p w14:paraId="1B681044"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The doctor will tell you how many tablets of Glivec </w:t>
      </w:r>
      <w:r w:rsidR="00C402AD" w:rsidRPr="00654EF1">
        <w:rPr>
          <w:color w:val="000000"/>
          <w:sz w:val="22"/>
          <w:szCs w:val="22"/>
          <w:lang w:val="en-GB"/>
        </w:rPr>
        <w:t>to give</w:t>
      </w:r>
      <w:r w:rsidRPr="00654EF1">
        <w:rPr>
          <w:color w:val="000000"/>
          <w:sz w:val="22"/>
          <w:szCs w:val="22"/>
          <w:lang w:val="en-GB"/>
        </w:rPr>
        <w:t xml:space="preserve"> to your child. </w:t>
      </w:r>
      <w:r w:rsidR="002101A3" w:rsidRPr="00654EF1">
        <w:rPr>
          <w:color w:val="000000"/>
          <w:sz w:val="22"/>
          <w:szCs w:val="22"/>
          <w:lang w:val="en-GB"/>
        </w:rPr>
        <w:t>T</w:t>
      </w:r>
      <w:r w:rsidRPr="00654EF1">
        <w:rPr>
          <w:color w:val="000000"/>
          <w:sz w:val="22"/>
          <w:szCs w:val="22"/>
          <w:lang w:val="en-GB"/>
        </w:rPr>
        <w:t xml:space="preserve">he amount of Glivec given will depend on </w:t>
      </w:r>
      <w:r w:rsidR="002515AD" w:rsidRPr="00654EF1">
        <w:rPr>
          <w:color w:val="000000"/>
          <w:sz w:val="22"/>
          <w:szCs w:val="22"/>
          <w:lang w:val="en-GB"/>
        </w:rPr>
        <w:t>your child’s condition</w:t>
      </w:r>
      <w:r w:rsidR="00C402AD" w:rsidRPr="00654EF1">
        <w:rPr>
          <w:color w:val="000000"/>
          <w:sz w:val="22"/>
          <w:szCs w:val="22"/>
          <w:lang w:val="en-GB"/>
        </w:rPr>
        <w:t>,</w:t>
      </w:r>
      <w:r w:rsidR="002515AD" w:rsidRPr="00654EF1">
        <w:rPr>
          <w:color w:val="000000"/>
          <w:sz w:val="22"/>
          <w:szCs w:val="22"/>
          <w:lang w:val="en-GB"/>
        </w:rPr>
        <w:t xml:space="preserve"> body weight and height</w:t>
      </w:r>
      <w:r w:rsidRPr="00654EF1">
        <w:rPr>
          <w:color w:val="000000"/>
          <w:sz w:val="22"/>
          <w:szCs w:val="22"/>
          <w:lang w:val="en-GB"/>
        </w:rPr>
        <w:t xml:space="preserve">. The total daily dose in children must not exceed </w:t>
      </w:r>
      <w:r w:rsidR="00321153" w:rsidRPr="00654EF1">
        <w:rPr>
          <w:color w:val="000000"/>
          <w:sz w:val="22"/>
          <w:szCs w:val="22"/>
          <w:lang w:val="en-GB"/>
        </w:rPr>
        <w:t>8</w:t>
      </w:r>
      <w:r w:rsidR="00117190" w:rsidRPr="00654EF1">
        <w:rPr>
          <w:color w:val="000000"/>
          <w:sz w:val="22"/>
          <w:szCs w:val="22"/>
          <w:lang w:val="en-GB"/>
        </w:rPr>
        <w:t>00 mg</w:t>
      </w:r>
      <w:r w:rsidR="007151A0" w:rsidRPr="00654EF1">
        <w:rPr>
          <w:color w:val="000000"/>
          <w:sz w:val="22"/>
          <w:szCs w:val="22"/>
          <w:lang w:val="en-GB"/>
        </w:rPr>
        <w:t xml:space="preserve"> with CML and 600 mg with Ph+ALL</w:t>
      </w:r>
      <w:r w:rsidRPr="00654EF1">
        <w:rPr>
          <w:color w:val="000000"/>
          <w:sz w:val="22"/>
          <w:szCs w:val="22"/>
          <w:lang w:val="en-GB"/>
        </w:rPr>
        <w:t>.</w:t>
      </w:r>
      <w:r w:rsidR="00BE5255" w:rsidRPr="00654EF1">
        <w:rPr>
          <w:color w:val="000000"/>
          <w:sz w:val="22"/>
          <w:szCs w:val="22"/>
          <w:lang w:val="en-GB"/>
        </w:rPr>
        <w:t xml:space="preserve"> </w:t>
      </w:r>
      <w:r w:rsidRPr="00654EF1">
        <w:rPr>
          <w:color w:val="000000"/>
          <w:sz w:val="22"/>
          <w:szCs w:val="22"/>
          <w:lang w:val="en-GB"/>
        </w:rPr>
        <w:t>T</w:t>
      </w:r>
      <w:r w:rsidR="002515AD" w:rsidRPr="00654EF1">
        <w:rPr>
          <w:color w:val="000000"/>
          <w:sz w:val="22"/>
          <w:szCs w:val="22"/>
          <w:lang w:val="en-GB"/>
        </w:rPr>
        <w:t>he t</w:t>
      </w:r>
      <w:r w:rsidRPr="00654EF1">
        <w:rPr>
          <w:color w:val="000000"/>
          <w:sz w:val="22"/>
          <w:szCs w:val="22"/>
          <w:lang w:val="en-GB"/>
        </w:rPr>
        <w:t xml:space="preserve">reatment can </w:t>
      </w:r>
      <w:r w:rsidR="002515AD" w:rsidRPr="00654EF1">
        <w:rPr>
          <w:color w:val="000000"/>
          <w:sz w:val="22"/>
          <w:szCs w:val="22"/>
          <w:lang w:val="en-GB"/>
        </w:rPr>
        <w:t xml:space="preserve">either </w:t>
      </w:r>
      <w:r w:rsidRPr="00654EF1">
        <w:rPr>
          <w:color w:val="000000"/>
          <w:sz w:val="22"/>
          <w:szCs w:val="22"/>
          <w:lang w:val="en-GB"/>
        </w:rPr>
        <w:t xml:space="preserve">be given </w:t>
      </w:r>
      <w:r w:rsidR="002515AD" w:rsidRPr="00654EF1">
        <w:rPr>
          <w:color w:val="000000"/>
          <w:sz w:val="22"/>
          <w:szCs w:val="22"/>
          <w:lang w:val="en-GB"/>
        </w:rPr>
        <w:t xml:space="preserve">to your child </w:t>
      </w:r>
      <w:r w:rsidRPr="00654EF1">
        <w:rPr>
          <w:color w:val="000000"/>
          <w:sz w:val="22"/>
          <w:szCs w:val="22"/>
          <w:lang w:val="en-GB"/>
        </w:rPr>
        <w:t xml:space="preserve">as a once-daily dose or alternatively the daily dose </w:t>
      </w:r>
      <w:r w:rsidR="002515AD" w:rsidRPr="00654EF1">
        <w:rPr>
          <w:color w:val="000000"/>
          <w:sz w:val="22"/>
          <w:szCs w:val="22"/>
          <w:lang w:val="en-GB"/>
        </w:rPr>
        <w:t>can</w:t>
      </w:r>
      <w:r w:rsidRPr="00654EF1">
        <w:rPr>
          <w:color w:val="000000"/>
          <w:sz w:val="22"/>
          <w:szCs w:val="22"/>
          <w:lang w:val="en-GB"/>
        </w:rPr>
        <w:t xml:space="preserve"> be split into two administrations (</w:t>
      </w:r>
      <w:r w:rsidR="00213348" w:rsidRPr="00654EF1">
        <w:rPr>
          <w:color w:val="000000"/>
          <w:sz w:val="22"/>
          <w:szCs w:val="22"/>
          <w:lang w:val="en-GB"/>
        </w:rPr>
        <w:t xml:space="preserve">half </w:t>
      </w:r>
      <w:r w:rsidRPr="00654EF1">
        <w:rPr>
          <w:color w:val="000000"/>
          <w:sz w:val="22"/>
          <w:szCs w:val="22"/>
          <w:lang w:val="en-GB"/>
        </w:rPr>
        <w:t xml:space="preserve">in the morning and </w:t>
      </w:r>
      <w:r w:rsidR="00213348" w:rsidRPr="00654EF1">
        <w:rPr>
          <w:color w:val="000000"/>
          <w:sz w:val="22"/>
          <w:szCs w:val="22"/>
          <w:lang w:val="en-GB"/>
        </w:rPr>
        <w:t xml:space="preserve">half </w:t>
      </w:r>
      <w:r w:rsidRPr="00654EF1">
        <w:rPr>
          <w:color w:val="000000"/>
          <w:sz w:val="22"/>
          <w:szCs w:val="22"/>
          <w:lang w:val="en-GB"/>
        </w:rPr>
        <w:t>in the evening).</w:t>
      </w:r>
    </w:p>
    <w:p w14:paraId="1B681045" w14:textId="77777777" w:rsidR="006237AB" w:rsidRPr="00654EF1" w:rsidRDefault="006237AB" w:rsidP="001D5C8C">
      <w:pPr>
        <w:pStyle w:val="Heading2"/>
        <w:keepNext w:val="0"/>
        <w:widowControl w:val="0"/>
        <w:spacing w:before="0" w:after="0" w:line="240" w:lineRule="auto"/>
        <w:rPr>
          <w:rFonts w:ascii="Times New Roman" w:hAnsi="Times New Roman"/>
          <w:b w:val="0"/>
          <w:i w:val="0"/>
          <w:color w:val="000000"/>
          <w:sz w:val="22"/>
          <w:szCs w:val="22"/>
        </w:rPr>
      </w:pPr>
    </w:p>
    <w:p w14:paraId="1B681046" w14:textId="77777777" w:rsidR="006237AB" w:rsidRPr="00654EF1" w:rsidRDefault="006237AB" w:rsidP="001D5C8C">
      <w:pPr>
        <w:pStyle w:val="Text"/>
        <w:keepNext/>
        <w:widowControl w:val="0"/>
        <w:spacing w:before="0"/>
        <w:jc w:val="left"/>
        <w:rPr>
          <w:b/>
          <w:color w:val="000000"/>
          <w:sz w:val="22"/>
          <w:szCs w:val="22"/>
          <w:lang w:val="en-GB"/>
        </w:rPr>
      </w:pPr>
      <w:r w:rsidRPr="00654EF1">
        <w:rPr>
          <w:b/>
          <w:color w:val="000000"/>
          <w:sz w:val="22"/>
          <w:szCs w:val="22"/>
          <w:lang w:val="en-GB"/>
        </w:rPr>
        <w:t>When and how to take Glivec</w:t>
      </w:r>
    </w:p>
    <w:p w14:paraId="1B681047" w14:textId="77777777" w:rsidR="003E7468" w:rsidRPr="00654EF1" w:rsidRDefault="006237AB" w:rsidP="001D5C8C">
      <w:pPr>
        <w:pStyle w:val="Text"/>
        <w:keepNext/>
        <w:widowControl w:val="0"/>
        <w:numPr>
          <w:ilvl w:val="0"/>
          <w:numId w:val="17"/>
        </w:numPr>
        <w:spacing w:before="0"/>
        <w:ind w:left="567" w:hanging="567"/>
        <w:jc w:val="left"/>
        <w:rPr>
          <w:bCs/>
          <w:color w:val="000000"/>
          <w:sz w:val="22"/>
          <w:szCs w:val="22"/>
          <w:lang w:val="en-GB"/>
        </w:rPr>
      </w:pPr>
      <w:r w:rsidRPr="00654EF1">
        <w:rPr>
          <w:b/>
          <w:color w:val="000000"/>
          <w:sz w:val="22"/>
          <w:szCs w:val="22"/>
          <w:lang w:val="en-GB"/>
        </w:rPr>
        <w:t>Take Glivec with a meal</w:t>
      </w:r>
      <w:r w:rsidR="003E7468" w:rsidRPr="00654EF1">
        <w:rPr>
          <w:b/>
          <w:color w:val="000000"/>
          <w:sz w:val="22"/>
          <w:szCs w:val="22"/>
          <w:lang w:val="en-GB"/>
        </w:rPr>
        <w:t>.</w:t>
      </w:r>
      <w:r w:rsidRPr="00654EF1">
        <w:rPr>
          <w:bCs/>
          <w:color w:val="000000"/>
          <w:sz w:val="22"/>
          <w:szCs w:val="22"/>
          <w:lang w:val="en-GB"/>
        </w:rPr>
        <w:t xml:space="preserve"> </w:t>
      </w:r>
      <w:r w:rsidR="003E7468" w:rsidRPr="00654EF1">
        <w:rPr>
          <w:bCs/>
          <w:color w:val="000000"/>
          <w:sz w:val="22"/>
          <w:szCs w:val="22"/>
          <w:lang w:val="en-GB"/>
        </w:rPr>
        <w:t>T</w:t>
      </w:r>
      <w:r w:rsidRPr="00654EF1">
        <w:rPr>
          <w:bCs/>
          <w:color w:val="000000"/>
          <w:sz w:val="22"/>
          <w:szCs w:val="22"/>
          <w:lang w:val="en-GB"/>
        </w:rPr>
        <w:t xml:space="preserve">his will help protect you </w:t>
      </w:r>
      <w:r w:rsidR="003E7468" w:rsidRPr="00654EF1">
        <w:rPr>
          <w:bCs/>
          <w:color w:val="000000"/>
          <w:sz w:val="22"/>
          <w:szCs w:val="22"/>
          <w:lang w:val="en-GB"/>
        </w:rPr>
        <w:t xml:space="preserve">from </w:t>
      </w:r>
      <w:r w:rsidRPr="00654EF1">
        <w:rPr>
          <w:bCs/>
          <w:color w:val="000000"/>
          <w:sz w:val="22"/>
          <w:szCs w:val="22"/>
          <w:lang w:val="en-GB"/>
        </w:rPr>
        <w:t>stomach</w:t>
      </w:r>
      <w:r w:rsidR="003E7468" w:rsidRPr="00654EF1">
        <w:rPr>
          <w:bCs/>
          <w:color w:val="000000"/>
          <w:sz w:val="22"/>
          <w:szCs w:val="22"/>
          <w:lang w:val="en-GB"/>
        </w:rPr>
        <w:t xml:space="preserve"> problems when taking Glivec</w:t>
      </w:r>
      <w:r w:rsidRPr="00654EF1">
        <w:rPr>
          <w:bCs/>
          <w:color w:val="000000"/>
          <w:sz w:val="22"/>
          <w:szCs w:val="22"/>
          <w:lang w:val="en-GB"/>
        </w:rPr>
        <w:t>.</w:t>
      </w:r>
    </w:p>
    <w:p w14:paraId="1B681048" w14:textId="77777777" w:rsidR="00C703BD" w:rsidRPr="00654EF1" w:rsidRDefault="006237AB" w:rsidP="001D5C8C">
      <w:pPr>
        <w:pStyle w:val="Text"/>
        <w:widowControl w:val="0"/>
        <w:numPr>
          <w:ilvl w:val="0"/>
          <w:numId w:val="17"/>
        </w:numPr>
        <w:spacing w:before="0"/>
        <w:ind w:left="567" w:hanging="567"/>
        <w:jc w:val="left"/>
        <w:rPr>
          <w:b/>
          <w:color w:val="000000"/>
          <w:sz w:val="22"/>
          <w:szCs w:val="22"/>
          <w:lang w:val="en-GB"/>
        </w:rPr>
      </w:pPr>
      <w:r w:rsidRPr="00654EF1">
        <w:rPr>
          <w:b/>
          <w:color w:val="000000"/>
          <w:sz w:val="22"/>
          <w:szCs w:val="22"/>
          <w:lang w:val="en-GB"/>
        </w:rPr>
        <w:t>Swallow the tablets whole with a large glass of water.</w:t>
      </w:r>
    </w:p>
    <w:p w14:paraId="1B681049" w14:textId="77777777" w:rsidR="006237AB" w:rsidRPr="00654EF1" w:rsidRDefault="006237AB" w:rsidP="001D5C8C">
      <w:pPr>
        <w:pStyle w:val="EndnoteText"/>
        <w:widowControl w:val="0"/>
        <w:rPr>
          <w:color w:val="000000"/>
          <w:szCs w:val="22"/>
        </w:rPr>
      </w:pPr>
    </w:p>
    <w:p w14:paraId="1B68104A" w14:textId="77777777" w:rsidR="006237AB" w:rsidRPr="00654EF1" w:rsidRDefault="006237AB" w:rsidP="001D5C8C">
      <w:pPr>
        <w:pStyle w:val="Text"/>
        <w:keepNext/>
        <w:widowControl w:val="0"/>
        <w:spacing w:before="0"/>
        <w:jc w:val="left"/>
        <w:rPr>
          <w:color w:val="000000"/>
          <w:sz w:val="22"/>
          <w:szCs w:val="22"/>
          <w:lang w:val="en-GB"/>
        </w:rPr>
      </w:pPr>
      <w:r w:rsidRPr="00654EF1">
        <w:rPr>
          <w:color w:val="000000"/>
          <w:sz w:val="22"/>
          <w:szCs w:val="22"/>
          <w:lang w:val="en-GB"/>
        </w:rPr>
        <w:t xml:space="preserve">If you are unable to swallow the tablets, you can dissolve them in a glass of </w:t>
      </w:r>
      <w:r w:rsidR="00BF7303" w:rsidRPr="00654EF1">
        <w:rPr>
          <w:color w:val="000000"/>
          <w:sz w:val="22"/>
          <w:szCs w:val="22"/>
          <w:lang w:val="en-GB"/>
        </w:rPr>
        <w:t xml:space="preserve">still </w:t>
      </w:r>
      <w:r w:rsidRPr="00654EF1">
        <w:rPr>
          <w:color w:val="000000"/>
          <w:sz w:val="22"/>
          <w:szCs w:val="22"/>
          <w:lang w:val="en-GB"/>
        </w:rPr>
        <w:t>water or apple juice:</w:t>
      </w:r>
    </w:p>
    <w:p w14:paraId="1B68104B" w14:textId="378C8278" w:rsidR="006237AB" w:rsidRPr="00654EF1" w:rsidRDefault="00BF7303" w:rsidP="001D5C8C">
      <w:pPr>
        <w:pStyle w:val="Text"/>
        <w:widowControl w:val="0"/>
        <w:numPr>
          <w:ilvl w:val="0"/>
          <w:numId w:val="4"/>
        </w:numPr>
        <w:tabs>
          <w:tab w:val="clear" w:pos="360"/>
        </w:tabs>
        <w:spacing w:before="0"/>
        <w:ind w:left="567" w:hanging="567"/>
        <w:jc w:val="left"/>
        <w:rPr>
          <w:color w:val="000000"/>
          <w:sz w:val="22"/>
          <w:szCs w:val="22"/>
          <w:lang w:val="en-GB"/>
        </w:rPr>
      </w:pPr>
      <w:r w:rsidRPr="00654EF1">
        <w:rPr>
          <w:color w:val="000000"/>
          <w:sz w:val="22"/>
          <w:szCs w:val="22"/>
          <w:lang w:val="en-GB"/>
        </w:rPr>
        <w:t>Use about</w:t>
      </w:r>
      <w:r w:rsidR="006237AB" w:rsidRPr="00654EF1">
        <w:rPr>
          <w:color w:val="000000"/>
          <w:sz w:val="22"/>
          <w:szCs w:val="22"/>
          <w:lang w:val="en-GB"/>
        </w:rPr>
        <w:t xml:space="preserve"> 50</w:t>
      </w:r>
      <w:r w:rsidR="002D524A" w:rsidRPr="00654EF1">
        <w:rPr>
          <w:color w:val="000000"/>
          <w:sz w:val="22"/>
          <w:szCs w:val="22"/>
          <w:lang w:val="en-GB"/>
        </w:rPr>
        <w:t> ml</w:t>
      </w:r>
      <w:r w:rsidR="006237AB" w:rsidRPr="00654EF1">
        <w:rPr>
          <w:color w:val="000000"/>
          <w:sz w:val="22"/>
          <w:szCs w:val="22"/>
          <w:lang w:val="en-GB"/>
        </w:rPr>
        <w:t xml:space="preserve"> for </w:t>
      </w:r>
      <w:r w:rsidRPr="00654EF1">
        <w:rPr>
          <w:color w:val="000000"/>
          <w:sz w:val="22"/>
          <w:szCs w:val="22"/>
          <w:lang w:val="en-GB"/>
        </w:rPr>
        <w:t xml:space="preserve">each </w:t>
      </w:r>
      <w:r w:rsidR="006237AB" w:rsidRPr="00654EF1">
        <w:rPr>
          <w:color w:val="000000"/>
          <w:sz w:val="22"/>
          <w:szCs w:val="22"/>
          <w:lang w:val="en-GB"/>
        </w:rPr>
        <w:t>100</w:t>
      </w:r>
      <w:r w:rsidR="002D524A" w:rsidRPr="00654EF1">
        <w:rPr>
          <w:color w:val="000000"/>
          <w:sz w:val="22"/>
          <w:szCs w:val="22"/>
          <w:lang w:val="en-GB"/>
        </w:rPr>
        <w:t> mg</w:t>
      </w:r>
      <w:r w:rsidR="006237AB" w:rsidRPr="00654EF1">
        <w:rPr>
          <w:color w:val="000000"/>
          <w:sz w:val="22"/>
          <w:szCs w:val="22"/>
          <w:lang w:val="en-GB"/>
        </w:rPr>
        <w:t xml:space="preserve"> tablet</w:t>
      </w:r>
      <w:r w:rsidR="00D45B57">
        <w:rPr>
          <w:color w:val="000000"/>
          <w:sz w:val="22"/>
          <w:szCs w:val="22"/>
          <w:lang w:val="en-GB"/>
        </w:rPr>
        <w:t xml:space="preserve"> or </w:t>
      </w:r>
      <w:r w:rsidR="00D45B57" w:rsidRPr="00654EF1">
        <w:rPr>
          <w:color w:val="000000"/>
          <w:sz w:val="22"/>
          <w:szCs w:val="22"/>
          <w:lang w:val="en-GB"/>
        </w:rPr>
        <w:t>200 ml for each 400 mg tablet</w:t>
      </w:r>
      <w:r w:rsidRPr="00654EF1">
        <w:rPr>
          <w:color w:val="000000"/>
          <w:sz w:val="22"/>
          <w:szCs w:val="22"/>
          <w:lang w:val="en-GB"/>
        </w:rPr>
        <w:t>.</w:t>
      </w:r>
    </w:p>
    <w:p w14:paraId="1B68104C" w14:textId="77777777" w:rsidR="006237AB" w:rsidRPr="00654EF1" w:rsidRDefault="006237AB" w:rsidP="001D5C8C">
      <w:pPr>
        <w:pStyle w:val="Text"/>
        <w:widowControl w:val="0"/>
        <w:numPr>
          <w:ilvl w:val="0"/>
          <w:numId w:val="4"/>
        </w:numPr>
        <w:tabs>
          <w:tab w:val="clear" w:pos="360"/>
        </w:tabs>
        <w:spacing w:before="0"/>
        <w:ind w:left="567" w:hanging="567"/>
        <w:jc w:val="left"/>
        <w:rPr>
          <w:color w:val="000000"/>
          <w:sz w:val="22"/>
          <w:szCs w:val="22"/>
          <w:lang w:val="en-GB"/>
        </w:rPr>
      </w:pPr>
      <w:r w:rsidRPr="00654EF1">
        <w:rPr>
          <w:color w:val="000000"/>
          <w:sz w:val="22"/>
          <w:szCs w:val="22"/>
          <w:lang w:val="en-GB"/>
        </w:rPr>
        <w:t>Stir with a spoon until the tablets have completely</w:t>
      </w:r>
      <w:r w:rsidR="00BF7303" w:rsidRPr="00654EF1">
        <w:rPr>
          <w:color w:val="000000"/>
          <w:sz w:val="22"/>
          <w:szCs w:val="22"/>
          <w:lang w:val="en-GB"/>
        </w:rPr>
        <w:t xml:space="preserve"> dissolved.</w:t>
      </w:r>
    </w:p>
    <w:p w14:paraId="1B68104D" w14:textId="77777777" w:rsidR="006237AB" w:rsidRPr="00654EF1" w:rsidRDefault="00BF7303" w:rsidP="001D5C8C">
      <w:pPr>
        <w:pStyle w:val="Text"/>
        <w:widowControl w:val="0"/>
        <w:numPr>
          <w:ilvl w:val="0"/>
          <w:numId w:val="4"/>
        </w:numPr>
        <w:tabs>
          <w:tab w:val="clear" w:pos="360"/>
        </w:tabs>
        <w:spacing w:before="0"/>
        <w:ind w:left="567" w:hanging="567"/>
        <w:jc w:val="left"/>
        <w:rPr>
          <w:color w:val="000000"/>
          <w:sz w:val="22"/>
          <w:szCs w:val="22"/>
          <w:lang w:val="en-GB"/>
        </w:rPr>
      </w:pPr>
      <w:r w:rsidRPr="00654EF1">
        <w:rPr>
          <w:color w:val="000000"/>
          <w:sz w:val="22"/>
          <w:szCs w:val="22"/>
          <w:lang w:val="en-GB"/>
        </w:rPr>
        <w:t>Once the tablet has dissolved, drink everything in the glass straight away</w:t>
      </w:r>
      <w:r w:rsidR="006237AB" w:rsidRPr="00654EF1">
        <w:rPr>
          <w:color w:val="000000"/>
          <w:sz w:val="22"/>
          <w:szCs w:val="22"/>
          <w:lang w:val="en-GB"/>
        </w:rPr>
        <w:t>. Traces of the dissolved tablets may be left behind in the glass.</w:t>
      </w:r>
    </w:p>
    <w:p w14:paraId="1B68104E" w14:textId="77777777" w:rsidR="006237AB" w:rsidRPr="00654EF1" w:rsidRDefault="006237AB" w:rsidP="001D5C8C">
      <w:pPr>
        <w:pStyle w:val="Text"/>
        <w:widowControl w:val="0"/>
        <w:spacing w:before="0"/>
        <w:ind w:left="567" w:hanging="567"/>
        <w:jc w:val="left"/>
        <w:rPr>
          <w:color w:val="000000"/>
          <w:sz w:val="22"/>
          <w:szCs w:val="22"/>
          <w:lang w:val="en-GB"/>
        </w:rPr>
      </w:pPr>
    </w:p>
    <w:p w14:paraId="1B68104F" w14:textId="77777777" w:rsidR="006237AB" w:rsidRPr="00654EF1" w:rsidRDefault="006237AB"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How long to take Glivec</w:t>
      </w:r>
    </w:p>
    <w:p w14:paraId="1B681050" w14:textId="77777777" w:rsidR="006237AB" w:rsidRPr="00654EF1" w:rsidRDefault="00827B7C" w:rsidP="001D5C8C">
      <w:pPr>
        <w:pStyle w:val="Text"/>
        <w:widowControl w:val="0"/>
        <w:spacing w:before="0"/>
        <w:jc w:val="left"/>
        <w:rPr>
          <w:color w:val="000000"/>
          <w:sz w:val="22"/>
          <w:szCs w:val="22"/>
          <w:lang w:val="en-GB"/>
        </w:rPr>
      </w:pPr>
      <w:r w:rsidRPr="00654EF1">
        <w:rPr>
          <w:color w:val="000000"/>
          <w:sz w:val="22"/>
          <w:szCs w:val="22"/>
          <w:lang w:val="en-GB"/>
        </w:rPr>
        <w:t>Keep t</w:t>
      </w:r>
      <w:r w:rsidR="006237AB" w:rsidRPr="00654EF1">
        <w:rPr>
          <w:color w:val="000000"/>
          <w:sz w:val="22"/>
          <w:szCs w:val="22"/>
          <w:lang w:val="en-GB"/>
        </w:rPr>
        <w:t>ak</w:t>
      </w:r>
      <w:r w:rsidRPr="00654EF1">
        <w:rPr>
          <w:color w:val="000000"/>
          <w:sz w:val="22"/>
          <w:szCs w:val="22"/>
          <w:lang w:val="en-GB"/>
        </w:rPr>
        <w:t>ing</w:t>
      </w:r>
      <w:r w:rsidR="006237AB" w:rsidRPr="00654EF1">
        <w:rPr>
          <w:color w:val="000000"/>
          <w:sz w:val="22"/>
          <w:szCs w:val="22"/>
          <w:lang w:val="en-GB"/>
        </w:rPr>
        <w:t xml:space="preserve"> Glivec </w:t>
      </w:r>
      <w:r w:rsidRPr="00654EF1">
        <w:rPr>
          <w:color w:val="000000"/>
          <w:sz w:val="22"/>
          <w:szCs w:val="22"/>
          <w:lang w:val="en-GB"/>
        </w:rPr>
        <w:t>every day for as long as</w:t>
      </w:r>
      <w:r w:rsidR="006237AB" w:rsidRPr="00654EF1">
        <w:rPr>
          <w:color w:val="000000"/>
          <w:sz w:val="22"/>
          <w:szCs w:val="22"/>
          <w:lang w:val="en-GB"/>
        </w:rPr>
        <w:t xml:space="preserve"> your doctor tells you.</w:t>
      </w:r>
    </w:p>
    <w:p w14:paraId="1B681051" w14:textId="77777777" w:rsidR="006237AB" w:rsidRPr="00654EF1" w:rsidRDefault="006237AB" w:rsidP="001D5C8C">
      <w:pPr>
        <w:pStyle w:val="Text"/>
        <w:widowControl w:val="0"/>
        <w:spacing w:before="0"/>
        <w:jc w:val="left"/>
        <w:rPr>
          <w:color w:val="000000"/>
          <w:sz w:val="22"/>
          <w:szCs w:val="22"/>
          <w:lang w:val="en-GB"/>
        </w:rPr>
      </w:pPr>
    </w:p>
    <w:p w14:paraId="1B681052" w14:textId="77777777" w:rsidR="006237AB" w:rsidRPr="00654EF1" w:rsidRDefault="006237AB" w:rsidP="001D5C8C">
      <w:pPr>
        <w:keepNext/>
        <w:widowControl w:val="0"/>
        <w:numPr>
          <w:ilvl w:val="12"/>
          <w:numId w:val="0"/>
        </w:numPr>
        <w:tabs>
          <w:tab w:val="clear" w:pos="567"/>
        </w:tabs>
        <w:spacing w:line="240" w:lineRule="auto"/>
        <w:ind w:right="-2"/>
        <w:rPr>
          <w:color w:val="000000"/>
          <w:szCs w:val="22"/>
        </w:rPr>
      </w:pPr>
      <w:r w:rsidRPr="00654EF1">
        <w:rPr>
          <w:b/>
          <w:color w:val="000000"/>
          <w:szCs w:val="22"/>
        </w:rPr>
        <w:t>If you take more Glivec than you should</w:t>
      </w:r>
    </w:p>
    <w:p w14:paraId="1B681053" w14:textId="77777777" w:rsidR="006237AB" w:rsidRPr="00654EF1" w:rsidRDefault="006237AB" w:rsidP="001D5C8C">
      <w:pPr>
        <w:pStyle w:val="Text"/>
        <w:widowControl w:val="0"/>
        <w:spacing w:before="0"/>
        <w:jc w:val="left"/>
        <w:rPr>
          <w:color w:val="000000"/>
          <w:sz w:val="22"/>
          <w:szCs w:val="22"/>
          <w:lang w:val="en-GB"/>
        </w:rPr>
      </w:pPr>
      <w:r w:rsidRPr="00654EF1">
        <w:rPr>
          <w:color w:val="000000"/>
          <w:sz w:val="22"/>
          <w:szCs w:val="22"/>
          <w:lang w:val="en-GB"/>
        </w:rPr>
        <w:t xml:space="preserve">If you have accidentally taken too many tablets, talk to your doctor </w:t>
      </w:r>
      <w:r w:rsidRPr="00654EF1">
        <w:rPr>
          <w:b/>
          <w:color w:val="000000"/>
          <w:sz w:val="22"/>
          <w:szCs w:val="22"/>
          <w:lang w:val="en-GB"/>
        </w:rPr>
        <w:t>straight away</w:t>
      </w:r>
      <w:r w:rsidRPr="00654EF1">
        <w:rPr>
          <w:color w:val="000000"/>
          <w:sz w:val="22"/>
          <w:szCs w:val="22"/>
          <w:lang w:val="en-GB"/>
        </w:rPr>
        <w:t>. You may require medical attention.</w:t>
      </w:r>
      <w:r w:rsidR="0083482A" w:rsidRPr="00654EF1">
        <w:rPr>
          <w:color w:val="000000"/>
          <w:sz w:val="22"/>
          <w:szCs w:val="22"/>
          <w:lang w:val="en-GB"/>
        </w:rPr>
        <w:t xml:space="preserve"> Take the medicine pack with you.</w:t>
      </w:r>
    </w:p>
    <w:p w14:paraId="1B681054" w14:textId="77777777" w:rsidR="006237AB" w:rsidRPr="00654EF1" w:rsidRDefault="006237AB" w:rsidP="001D5C8C">
      <w:pPr>
        <w:widowControl w:val="0"/>
        <w:numPr>
          <w:ilvl w:val="12"/>
          <w:numId w:val="0"/>
        </w:numPr>
        <w:tabs>
          <w:tab w:val="clear" w:pos="567"/>
        </w:tabs>
        <w:spacing w:line="240" w:lineRule="auto"/>
        <w:ind w:right="-2"/>
        <w:rPr>
          <w:color w:val="000000"/>
          <w:szCs w:val="22"/>
        </w:rPr>
      </w:pPr>
    </w:p>
    <w:p w14:paraId="1B681055" w14:textId="77777777" w:rsidR="00E95FB4" w:rsidRPr="00654EF1" w:rsidRDefault="00E95FB4" w:rsidP="001D5C8C">
      <w:pPr>
        <w:pStyle w:val="Text"/>
        <w:keepNext/>
        <w:widowControl w:val="0"/>
        <w:spacing w:before="0"/>
        <w:jc w:val="left"/>
        <w:rPr>
          <w:b/>
          <w:color w:val="000000"/>
          <w:sz w:val="22"/>
          <w:szCs w:val="22"/>
          <w:lang w:val="en-GB"/>
        </w:rPr>
      </w:pPr>
      <w:r w:rsidRPr="00654EF1">
        <w:rPr>
          <w:b/>
          <w:color w:val="000000"/>
          <w:sz w:val="22"/>
          <w:szCs w:val="22"/>
          <w:lang w:val="en-GB"/>
        </w:rPr>
        <w:t>If you forget to take Glivec</w:t>
      </w:r>
    </w:p>
    <w:p w14:paraId="1B681056" w14:textId="77777777" w:rsidR="00FE2265" w:rsidRPr="00654EF1" w:rsidRDefault="00FE2265"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If you forget a dose, take it as soon as you remember. However if it is nearly time for the next dose, skip the missed dose.</w:t>
      </w:r>
    </w:p>
    <w:p w14:paraId="1B681057" w14:textId="77777777" w:rsidR="00FE2265" w:rsidRPr="00654EF1" w:rsidRDefault="00FE2265"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Then continue with your normal schedule.</w:t>
      </w:r>
    </w:p>
    <w:p w14:paraId="1B681058" w14:textId="77777777" w:rsidR="00EA3C06" w:rsidRPr="00654EF1" w:rsidRDefault="00FE2265" w:rsidP="001D5C8C">
      <w:pPr>
        <w:widowControl w:val="0"/>
        <w:numPr>
          <w:ilvl w:val="0"/>
          <w:numId w:val="18"/>
        </w:numPr>
        <w:tabs>
          <w:tab w:val="clear" w:pos="567"/>
        </w:tabs>
        <w:spacing w:line="240" w:lineRule="auto"/>
        <w:ind w:left="567" w:right="-2" w:hanging="567"/>
        <w:rPr>
          <w:color w:val="000000"/>
          <w:szCs w:val="22"/>
        </w:rPr>
      </w:pPr>
      <w:r w:rsidRPr="00654EF1">
        <w:rPr>
          <w:color w:val="000000"/>
          <w:szCs w:val="22"/>
        </w:rPr>
        <w:t xml:space="preserve">Do not take a double dose to make up </w:t>
      </w:r>
      <w:r w:rsidRPr="00654EF1">
        <w:rPr>
          <w:noProof/>
          <w:color w:val="000000"/>
          <w:szCs w:val="22"/>
        </w:rPr>
        <w:t>a forgotten dose</w:t>
      </w:r>
      <w:r w:rsidRPr="00654EF1">
        <w:rPr>
          <w:color w:val="000000"/>
          <w:szCs w:val="22"/>
        </w:rPr>
        <w:t>.</w:t>
      </w:r>
    </w:p>
    <w:p w14:paraId="1B681059" w14:textId="77777777" w:rsidR="00E95FB4" w:rsidRPr="00654EF1" w:rsidRDefault="00E95FB4" w:rsidP="001D5C8C">
      <w:pPr>
        <w:widowControl w:val="0"/>
        <w:numPr>
          <w:ilvl w:val="12"/>
          <w:numId w:val="0"/>
        </w:numPr>
        <w:tabs>
          <w:tab w:val="clear" w:pos="567"/>
        </w:tabs>
        <w:spacing w:line="240" w:lineRule="auto"/>
        <w:ind w:right="-2"/>
        <w:rPr>
          <w:color w:val="000000"/>
          <w:szCs w:val="22"/>
        </w:rPr>
      </w:pPr>
    </w:p>
    <w:p w14:paraId="1B68105A"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r w:rsidRPr="00654EF1">
        <w:rPr>
          <w:color w:val="000000"/>
          <w:szCs w:val="22"/>
        </w:rPr>
        <w:t>If you have any further questions on the use of this medicine, ask your doctor, pharmacist or nurse.</w:t>
      </w:r>
    </w:p>
    <w:p w14:paraId="1B68105B" w14:textId="77777777" w:rsidR="00E95FB4" w:rsidRPr="00654EF1" w:rsidRDefault="00E95FB4" w:rsidP="001D5C8C">
      <w:pPr>
        <w:widowControl w:val="0"/>
        <w:numPr>
          <w:ilvl w:val="12"/>
          <w:numId w:val="0"/>
        </w:numPr>
        <w:tabs>
          <w:tab w:val="clear" w:pos="567"/>
        </w:tabs>
        <w:spacing w:line="240" w:lineRule="auto"/>
        <w:ind w:left="567" w:right="-2" w:hanging="567"/>
        <w:rPr>
          <w:color w:val="000000"/>
          <w:szCs w:val="22"/>
        </w:rPr>
      </w:pPr>
    </w:p>
    <w:p w14:paraId="1B68105C" w14:textId="77777777" w:rsidR="00E95FB4" w:rsidRPr="00654EF1" w:rsidRDefault="00E95FB4" w:rsidP="001D5C8C">
      <w:pPr>
        <w:widowControl w:val="0"/>
        <w:numPr>
          <w:ilvl w:val="12"/>
          <w:numId w:val="0"/>
        </w:numPr>
        <w:tabs>
          <w:tab w:val="clear" w:pos="567"/>
        </w:tabs>
        <w:spacing w:line="240" w:lineRule="auto"/>
        <w:ind w:left="567" w:right="-2" w:hanging="567"/>
        <w:rPr>
          <w:color w:val="000000"/>
          <w:szCs w:val="22"/>
        </w:rPr>
      </w:pPr>
    </w:p>
    <w:p w14:paraId="1B68105D" w14:textId="77777777" w:rsidR="008A04A6" w:rsidRPr="00654EF1" w:rsidRDefault="008A04A6"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4.</w:t>
      </w:r>
      <w:r w:rsidRPr="00654EF1">
        <w:rPr>
          <w:b/>
          <w:color w:val="000000"/>
          <w:szCs w:val="22"/>
        </w:rPr>
        <w:tab/>
        <w:t>Possible side effects</w:t>
      </w:r>
    </w:p>
    <w:p w14:paraId="1B68105E" w14:textId="77777777" w:rsidR="008A04A6" w:rsidRPr="00654EF1" w:rsidRDefault="008A04A6" w:rsidP="001D5C8C">
      <w:pPr>
        <w:pStyle w:val="Text"/>
        <w:keepNext/>
        <w:widowControl w:val="0"/>
        <w:spacing w:before="0"/>
        <w:jc w:val="left"/>
        <w:rPr>
          <w:color w:val="000000"/>
          <w:sz w:val="22"/>
          <w:szCs w:val="22"/>
          <w:lang w:val="en-GB"/>
        </w:rPr>
      </w:pPr>
    </w:p>
    <w:p w14:paraId="1B68105F"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Like all medicines, this medicine can cause side effects, although not everybody gets them. They are usually mild to moderate.</w:t>
      </w:r>
    </w:p>
    <w:p w14:paraId="1B681060" w14:textId="77777777" w:rsidR="008A04A6" w:rsidRPr="00654EF1" w:rsidRDefault="008A04A6" w:rsidP="001D5C8C">
      <w:pPr>
        <w:pStyle w:val="Text"/>
        <w:widowControl w:val="0"/>
        <w:spacing w:before="0"/>
        <w:jc w:val="left"/>
        <w:rPr>
          <w:color w:val="000000"/>
          <w:sz w:val="22"/>
          <w:szCs w:val="22"/>
          <w:lang w:val="en-GB"/>
        </w:rPr>
      </w:pPr>
    </w:p>
    <w:p w14:paraId="1B681061" w14:textId="77777777" w:rsidR="008A04A6" w:rsidRPr="00654EF1" w:rsidRDefault="008A04A6" w:rsidP="001D5C8C">
      <w:pPr>
        <w:pStyle w:val="Heading4"/>
        <w:widowControl w:val="0"/>
        <w:spacing w:line="240" w:lineRule="auto"/>
        <w:rPr>
          <w:noProof w:val="0"/>
          <w:color w:val="000000"/>
          <w:szCs w:val="22"/>
        </w:rPr>
      </w:pPr>
      <w:r w:rsidRPr="00654EF1">
        <w:rPr>
          <w:noProof w:val="0"/>
          <w:color w:val="000000"/>
          <w:szCs w:val="22"/>
        </w:rPr>
        <w:t>Some side effects may be serious. Tell your doctor straight away if you get any of the following:</w:t>
      </w:r>
    </w:p>
    <w:p w14:paraId="1B681062" w14:textId="77777777" w:rsidR="008A04A6" w:rsidRPr="00654EF1" w:rsidRDefault="008A04A6" w:rsidP="001D5C8C">
      <w:pPr>
        <w:pStyle w:val="Heading4"/>
        <w:widowControl w:val="0"/>
        <w:spacing w:line="240" w:lineRule="auto"/>
        <w:jc w:val="left"/>
        <w:rPr>
          <w:b w:val="0"/>
          <w:bCs/>
          <w:noProof w:val="0"/>
          <w:color w:val="000000"/>
          <w:szCs w:val="22"/>
        </w:rPr>
      </w:pPr>
    </w:p>
    <w:p w14:paraId="1B681063" w14:textId="77777777" w:rsidR="00FF19FF" w:rsidRPr="00654EF1" w:rsidRDefault="00FF19FF" w:rsidP="001D5C8C">
      <w:pPr>
        <w:keepNext/>
        <w:widowControl w:val="0"/>
        <w:spacing w:line="240" w:lineRule="auto"/>
        <w:rPr>
          <w:b/>
          <w:color w:val="000000"/>
          <w:szCs w:val="22"/>
        </w:rPr>
      </w:pPr>
      <w:r w:rsidRPr="00654EF1">
        <w:rPr>
          <w:b/>
          <w:iCs/>
          <w:color w:val="000000"/>
          <w:szCs w:val="22"/>
        </w:rPr>
        <w:t>Very common</w:t>
      </w:r>
      <w:r w:rsidRPr="00654EF1">
        <w:rPr>
          <w:iCs/>
          <w:color w:val="000000"/>
          <w:szCs w:val="22"/>
        </w:rPr>
        <w:t xml:space="preserve"> (</w:t>
      </w:r>
      <w:r w:rsidRPr="00654EF1">
        <w:rPr>
          <w:color w:val="000000"/>
          <w:szCs w:val="22"/>
        </w:rPr>
        <w:t>may affect more than 1 in 10 people)</w:t>
      </w:r>
      <w:r w:rsidRPr="00654EF1">
        <w:rPr>
          <w:b/>
          <w:iCs/>
          <w:color w:val="000000"/>
          <w:szCs w:val="22"/>
        </w:rPr>
        <w:t xml:space="preserve"> or common</w:t>
      </w:r>
      <w:r w:rsidRPr="00654EF1">
        <w:rPr>
          <w:iCs/>
          <w:color w:val="000000"/>
          <w:szCs w:val="22"/>
        </w:rPr>
        <w:t xml:space="preserve"> (</w:t>
      </w:r>
      <w:r w:rsidRPr="00654EF1">
        <w:rPr>
          <w:rFonts w:eastAsia="SimSun"/>
          <w:color w:val="000000"/>
          <w:szCs w:val="22"/>
          <w:lang w:val="en-US" w:eastAsia="zh-CN"/>
        </w:rPr>
        <w:t>may affect up to 1 in 10 people</w:t>
      </w:r>
      <w:r w:rsidRPr="00654EF1">
        <w:rPr>
          <w:iCs/>
          <w:color w:val="000000"/>
          <w:szCs w:val="22"/>
        </w:rPr>
        <w:t>):</w:t>
      </w:r>
    </w:p>
    <w:p w14:paraId="1B681064" w14:textId="77777777" w:rsidR="008A04A6" w:rsidRPr="00654EF1" w:rsidRDefault="008A04A6"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Rapid weight gain.</w:t>
      </w:r>
      <w:r w:rsidRPr="00654EF1">
        <w:rPr>
          <w:bCs/>
          <w:color w:val="000000"/>
          <w:sz w:val="22"/>
          <w:szCs w:val="22"/>
          <w:lang w:val="en-GB"/>
        </w:rPr>
        <w:t xml:space="preserve"> </w:t>
      </w:r>
      <w:r w:rsidRPr="00654EF1">
        <w:rPr>
          <w:color w:val="000000"/>
          <w:sz w:val="22"/>
          <w:szCs w:val="22"/>
          <w:lang w:val="en-GB"/>
        </w:rPr>
        <w:t>Glivec may cause your body to retain water (severe fluid retention).</w:t>
      </w:r>
    </w:p>
    <w:p w14:paraId="1B681065" w14:textId="77777777" w:rsidR="008A04A6" w:rsidRPr="00654EF1" w:rsidRDefault="008A04A6"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Signs of infection such as fever, severe chills, sore throat or mouth ulcers. Glivec can reduce the number of white blood cells, so you might get infections more easily.</w:t>
      </w:r>
    </w:p>
    <w:p w14:paraId="1B681066" w14:textId="77777777" w:rsidR="008A04A6" w:rsidRPr="00654EF1" w:rsidRDefault="008A04A6" w:rsidP="001D5C8C">
      <w:pPr>
        <w:pStyle w:val="Text"/>
        <w:widowControl w:val="0"/>
        <w:numPr>
          <w:ilvl w:val="0"/>
          <w:numId w:val="22"/>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Unexpected bleeding or bruising (when you have not hurt yourself).</w:t>
      </w:r>
    </w:p>
    <w:p w14:paraId="1B681067" w14:textId="77777777" w:rsidR="008A04A6" w:rsidRPr="00654EF1" w:rsidRDefault="008A04A6" w:rsidP="001D5C8C">
      <w:pPr>
        <w:pStyle w:val="Text"/>
        <w:widowControl w:val="0"/>
        <w:spacing w:before="0"/>
        <w:jc w:val="left"/>
        <w:rPr>
          <w:color w:val="000000"/>
          <w:sz w:val="22"/>
          <w:szCs w:val="22"/>
          <w:lang w:val="en-GB"/>
        </w:rPr>
      </w:pPr>
    </w:p>
    <w:p w14:paraId="1B681068" w14:textId="77777777" w:rsidR="00FF19FF" w:rsidRPr="00654EF1" w:rsidRDefault="00FF19FF" w:rsidP="001D5C8C">
      <w:pPr>
        <w:pStyle w:val="Text"/>
        <w:keepNext/>
        <w:widowControl w:val="0"/>
        <w:spacing w:before="0"/>
        <w:jc w:val="left"/>
        <w:rPr>
          <w:color w:val="000000"/>
          <w:sz w:val="22"/>
          <w:szCs w:val="22"/>
          <w:lang w:val="en-GB"/>
        </w:rPr>
      </w:pPr>
      <w:r w:rsidRPr="00654EF1">
        <w:rPr>
          <w:b/>
          <w:iCs/>
          <w:color w:val="000000"/>
          <w:sz w:val="22"/>
          <w:szCs w:val="22"/>
          <w:lang w:val="en-GB"/>
        </w:rPr>
        <w:t xml:space="preserve">Uncommon </w:t>
      </w:r>
      <w:r w:rsidRPr="00654EF1">
        <w:rPr>
          <w:iCs/>
          <w:color w:val="000000"/>
          <w:sz w:val="22"/>
          <w:szCs w:val="22"/>
          <w:lang w:val="en-GB"/>
        </w:rPr>
        <w:t>(</w:t>
      </w:r>
      <w:r w:rsidRPr="00654EF1">
        <w:rPr>
          <w:color w:val="000000"/>
          <w:sz w:val="22"/>
          <w:szCs w:val="22"/>
          <w:lang w:val="en-GB"/>
        </w:rPr>
        <w:t>may affect up to 1 in 100 people)</w:t>
      </w:r>
      <w:r w:rsidRPr="00654EF1">
        <w:rPr>
          <w:b/>
          <w:iCs/>
          <w:color w:val="000000"/>
          <w:sz w:val="22"/>
          <w:szCs w:val="22"/>
          <w:lang w:val="en-GB"/>
        </w:rPr>
        <w:t xml:space="preserve"> or rare</w:t>
      </w:r>
      <w:r w:rsidRPr="00654EF1">
        <w:rPr>
          <w:iCs/>
          <w:color w:val="000000"/>
          <w:sz w:val="22"/>
          <w:szCs w:val="22"/>
          <w:lang w:val="en-GB"/>
        </w:rPr>
        <w:t xml:space="preserve"> (</w:t>
      </w:r>
      <w:r w:rsidRPr="00654EF1">
        <w:rPr>
          <w:color w:val="000000"/>
          <w:sz w:val="22"/>
          <w:szCs w:val="22"/>
          <w:lang w:val="en-GB"/>
        </w:rPr>
        <w:t>may affect up to 1 in 1,000 people</w:t>
      </w:r>
      <w:r w:rsidRPr="00654EF1">
        <w:rPr>
          <w:iCs/>
          <w:color w:val="000000"/>
          <w:sz w:val="22"/>
          <w:szCs w:val="22"/>
          <w:lang w:val="en-GB"/>
        </w:rPr>
        <w:t>)</w:t>
      </w:r>
      <w:r w:rsidRPr="00654EF1">
        <w:rPr>
          <w:bCs/>
          <w:color w:val="000000"/>
          <w:sz w:val="22"/>
          <w:szCs w:val="22"/>
          <w:lang w:val="en-GB"/>
        </w:rPr>
        <w:t>:</w:t>
      </w:r>
    </w:p>
    <w:p w14:paraId="1B681069"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Chest pain, irregular heart rhythm (signs of heart problems).</w:t>
      </w:r>
    </w:p>
    <w:p w14:paraId="1B68106A"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lastRenderedPageBreak/>
        <w:t>Cough,</w:t>
      </w:r>
      <w:r w:rsidRPr="00654EF1">
        <w:rPr>
          <w:color w:val="000000"/>
          <w:sz w:val="22"/>
          <w:szCs w:val="22"/>
          <w:lang w:val="en-GB"/>
        </w:rPr>
        <w:t xml:space="preserve"> having difficulty breathing or painful breathing (signs of lung problems).</w:t>
      </w:r>
    </w:p>
    <w:p w14:paraId="1B68106B"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Feeling light-headed, dizzy or fainting (signs of low blood pressure).</w:t>
      </w:r>
    </w:p>
    <w:p w14:paraId="1B68106C"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 xml:space="preserve">Feeling sick (nausea), with loss of appetite, </w:t>
      </w:r>
      <w:r w:rsidR="007F35BE" w:rsidRPr="00654EF1">
        <w:rPr>
          <w:color w:val="000000"/>
          <w:sz w:val="22"/>
          <w:szCs w:val="22"/>
          <w:lang w:val="en-GB"/>
        </w:rPr>
        <w:t>dark</w:t>
      </w:r>
      <w:r w:rsidRPr="00654EF1">
        <w:rPr>
          <w:color w:val="000000"/>
          <w:sz w:val="22"/>
          <w:szCs w:val="22"/>
          <w:lang w:val="en-GB"/>
        </w:rPr>
        <w:t>-coloured urine, yellow skin or eyes (signs of liver problems).</w:t>
      </w:r>
    </w:p>
    <w:p w14:paraId="1B68106D"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Rash</w:t>
      </w:r>
      <w:r w:rsidRPr="00654EF1">
        <w:rPr>
          <w:color w:val="000000"/>
          <w:sz w:val="22"/>
          <w:szCs w:val="22"/>
          <w:lang w:val="en-GB"/>
        </w:rPr>
        <w:t>, red skin with blisters on the lips, eyes, skin or mouth, peeling skin, fever, raised red or purple skin patches, itching, burning sensation, pustular eruption (signs of skin problems).</w:t>
      </w:r>
    </w:p>
    <w:p w14:paraId="1B68106E"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w:t>
      </w:r>
      <w:r w:rsidRPr="00654EF1">
        <w:rPr>
          <w:color w:val="000000"/>
          <w:sz w:val="22"/>
          <w:szCs w:val="22"/>
          <w:lang w:val="en-GB"/>
        </w:rPr>
        <w:t xml:space="preserve"> abdominal pain, blood in your vomit, stools or urine, black stools (signs of gastrointestinal disorders).</w:t>
      </w:r>
    </w:p>
    <w:p w14:paraId="1B68106F"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Severely</w:t>
      </w:r>
      <w:r w:rsidRPr="00654EF1">
        <w:rPr>
          <w:color w:val="000000"/>
          <w:sz w:val="22"/>
          <w:szCs w:val="22"/>
          <w:lang w:val="en-GB"/>
        </w:rPr>
        <w:t xml:space="preserve"> decreased urine output, feeling thirsty (signs of kidney problems).</w:t>
      </w:r>
    </w:p>
    <w:p w14:paraId="1B681070"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Feeling sick (nausea) with diarrhoea and vomiting, abdominal pain or fever (signs of bowel problems).</w:t>
      </w:r>
    </w:p>
    <w:p w14:paraId="1B681071"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Severe</w:t>
      </w:r>
      <w:r w:rsidRPr="00654EF1">
        <w:rPr>
          <w:color w:val="000000"/>
          <w:sz w:val="22"/>
          <w:szCs w:val="22"/>
          <w:lang w:val="en-GB"/>
        </w:rPr>
        <w:t xml:space="preserve"> headache, weakness or paralysis of limbs or face, difficulty speaking, sudden loss of consciousness (signs of nervous system problems</w:t>
      </w:r>
      <w:r w:rsidR="006928B7" w:rsidRPr="00654EF1">
        <w:rPr>
          <w:color w:val="000000"/>
          <w:sz w:val="22"/>
          <w:szCs w:val="22"/>
          <w:lang w:val="en-GB"/>
        </w:rPr>
        <w:t xml:space="preserve"> such as bleeding or swelling in skull/brain</w:t>
      </w:r>
      <w:r w:rsidRPr="00654EF1">
        <w:rPr>
          <w:color w:val="000000"/>
          <w:sz w:val="22"/>
          <w:szCs w:val="22"/>
          <w:lang w:val="en-GB"/>
        </w:rPr>
        <w:t>).</w:t>
      </w:r>
    </w:p>
    <w:p w14:paraId="1B681072"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Pale</w:t>
      </w:r>
      <w:r w:rsidRPr="00654EF1">
        <w:rPr>
          <w:color w:val="000000"/>
          <w:sz w:val="22"/>
          <w:szCs w:val="22"/>
          <w:lang w:val="en-GB"/>
        </w:rPr>
        <w:t xml:space="preserve"> skin, feeling tired and breathlessness and having dark urine (signs of low levels of red blood cells).</w:t>
      </w:r>
    </w:p>
    <w:p w14:paraId="1B681073"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Eye pain or deterioration in vision</w:t>
      </w:r>
      <w:r w:rsidR="00FF19FF" w:rsidRPr="00654EF1">
        <w:rPr>
          <w:color w:val="000000"/>
          <w:sz w:val="22"/>
          <w:szCs w:val="22"/>
          <w:lang w:val="en-GB"/>
        </w:rPr>
        <w:t>, bleeding in the eyes</w:t>
      </w:r>
      <w:r w:rsidRPr="00654EF1">
        <w:rPr>
          <w:color w:val="000000"/>
          <w:sz w:val="22"/>
          <w:szCs w:val="22"/>
          <w:lang w:val="en-GB"/>
        </w:rPr>
        <w:t>.</w:t>
      </w:r>
    </w:p>
    <w:p w14:paraId="1B681074"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Pain in your hips or difficulty walking.</w:t>
      </w:r>
    </w:p>
    <w:p w14:paraId="1B681075"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Numb</w:t>
      </w:r>
      <w:r w:rsidRPr="00654EF1">
        <w:rPr>
          <w:color w:val="000000"/>
          <w:szCs w:val="22"/>
        </w:rPr>
        <w:t xml:space="preserve"> </w:t>
      </w:r>
      <w:r w:rsidRPr="00654EF1">
        <w:rPr>
          <w:color w:val="000000"/>
          <w:sz w:val="22"/>
          <w:szCs w:val="22"/>
          <w:lang w:val="en-GB"/>
        </w:rPr>
        <w:t>or cold toes and fingers (signs of Raynaud’s syndrome).</w:t>
      </w:r>
    </w:p>
    <w:p w14:paraId="1B681076" w14:textId="77777777" w:rsidR="008A04A6" w:rsidRPr="00654EF1" w:rsidRDefault="008A04A6" w:rsidP="001D5C8C">
      <w:pPr>
        <w:pStyle w:val="Text"/>
        <w:widowControl w:val="0"/>
        <w:numPr>
          <w:ilvl w:val="0"/>
          <w:numId w:val="3"/>
        </w:numPr>
        <w:tabs>
          <w:tab w:val="clear" w:pos="360"/>
          <w:tab w:val="num" w:pos="567"/>
        </w:tabs>
        <w:spacing w:before="0"/>
        <w:ind w:left="567" w:hanging="567"/>
        <w:jc w:val="left"/>
        <w:rPr>
          <w:color w:val="000000"/>
          <w:sz w:val="22"/>
          <w:szCs w:val="22"/>
        </w:rPr>
      </w:pPr>
      <w:r w:rsidRPr="00654EF1">
        <w:rPr>
          <w:color w:val="000000"/>
          <w:sz w:val="22"/>
          <w:szCs w:val="22"/>
          <w:lang w:val="en-GB"/>
        </w:rPr>
        <w:t xml:space="preserve">Sudden swelling and redness of the skin </w:t>
      </w:r>
      <w:r w:rsidRPr="00654EF1">
        <w:rPr>
          <w:color w:val="000000"/>
          <w:sz w:val="22"/>
          <w:szCs w:val="22"/>
        </w:rPr>
        <w:t xml:space="preserve">(signs of </w:t>
      </w:r>
      <w:r w:rsidRPr="00654EF1">
        <w:rPr>
          <w:color w:val="000000"/>
          <w:sz w:val="22"/>
          <w:szCs w:val="22"/>
          <w:lang w:val="en-GB"/>
        </w:rPr>
        <w:t xml:space="preserve">a skin infection called </w:t>
      </w:r>
      <w:r w:rsidRPr="00654EF1">
        <w:rPr>
          <w:color w:val="000000"/>
          <w:sz w:val="22"/>
          <w:szCs w:val="22"/>
        </w:rPr>
        <w:t>cellulit</w:t>
      </w:r>
      <w:r w:rsidR="00132B6E" w:rsidRPr="00654EF1">
        <w:rPr>
          <w:color w:val="000000"/>
          <w:sz w:val="22"/>
          <w:szCs w:val="22"/>
        </w:rPr>
        <w:t>i</w:t>
      </w:r>
      <w:r w:rsidRPr="00654EF1">
        <w:rPr>
          <w:color w:val="000000"/>
          <w:sz w:val="22"/>
          <w:szCs w:val="22"/>
        </w:rPr>
        <w:t>s).</w:t>
      </w:r>
    </w:p>
    <w:p w14:paraId="1B681077" w14:textId="77777777" w:rsidR="008A04A6" w:rsidRPr="00654EF1" w:rsidRDefault="008A04A6" w:rsidP="001D5C8C">
      <w:pPr>
        <w:pStyle w:val="Text"/>
        <w:widowControl w:val="0"/>
        <w:numPr>
          <w:ilvl w:val="0"/>
          <w:numId w:val="23"/>
        </w:numPr>
        <w:tabs>
          <w:tab w:val="clear" w:pos="357"/>
          <w:tab w:val="num" w:pos="567"/>
        </w:tabs>
        <w:spacing w:before="0"/>
        <w:ind w:left="567" w:hanging="567"/>
        <w:jc w:val="left"/>
        <w:rPr>
          <w:color w:val="000000"/>
          <w:sz w:val="22"/>
          <w:szCs w:val="22"/>
          <w:lang w:val="en-GB"/>
        </w:rPr>
      </w:pPr>
      <w:r w:rsidRPr="00654EF1">
        <w:rPr>
          <w:color w:val="000000"/>
          <w:sz w:val="22"/>
          <w:szCs w:val="22"/>
        </w:rPr>
        <w:t>Difficulty</w:t>
      </w:r>
      <w:r w:rsidRPr="00654EF1">
        <w:rPr>
          <w:color w:val="000000"/>
          <w:sz w:val="22"/>
          <w:szCs w:val="22"/>
          <w:lang w:val="en-GB"/>
        </w:rPr>
        <w:t xml:space="preserve"> hearing.</w:t>
      </w:r>
    </w:p>
    <w:p w14:paraId="1B681078" w14:textId="77777777" w:rsidR="008A04A6" w:rsidRPr="00654EF1" w:rsidRDefault="008A04A6"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bCs/>
          <w:color w:val="000000"/>
          <w:sz w:val="22"/>
          <w:szCs w:val="22"/>
        </w:rPr>
        <w:t>Muscle</w:t>
      </w:r>
      <w:r w:rsidRPr="00654EF1">
        <w:rPr>
          <w:bCs/>
          <w:color w:val="000000"/>
          <w:sz w:val="22"/>
          <w:szCs w:val="22"/>
          <w:lang w:val="en-GB"/>
        </w:rPr>
        <w:t xml:space="preserve"> weakness and spasms with an abnormal heart rhythm (signs of changes in the amount of potassium in your blood).</w:t>
      </w:r>
    </w:p>
    <w:p w14:paraId="1B681079" w14:textId="77777777" w:rsidR="008A04A6" w:rsidRPr="00654EF1" w:rsidRDefault="008A04A6" w:rsidP="001D5C8C">
      <w:pPr>
        <w:pStyle w:val="Listlevel1"/>
        <w:widowControl w:val="0"/>
        <w:numPr>
          <w:ilvl w:val="0"/>
          <w:numId w:val="3"/>
        </w:numPr>
        <w:tabs>
          <w:tab w:val="clear" w:pos="360"/>
          <w:tab w:val="num" w:pos="567"/>
        </w:tabs>
        <w:spacing w:before="0" w:after="0"/>
        <w:ind w:left="567" w:hanging="567"/>
        <w:rPr>
          <w:bCs/>
          <w:color w:val="000000"/>
          <w:sz w:val="22"/>
          <w:szCs w:val="22"/>
        </w:rPr>
      </w:pPr>
      <w:r w:rsidRPr="00654EF1">
        <w:rPr>
          <w:bCs/>
          <w:color w:val="000000"/>
          <w:sz w:val="22"/>
          <w:szCs w:val="22"/>
        </w:rPr>
        <w:t>Bruising.</w:t>
      </w:r>
    </w:p>
    <w:p w14:paraId="1B68107A" w14:textId="77777777" w:rsidR="008A04A6" w:rsidRPr="00654EF1" w:rsidRDefault="008A04A6"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color w:val="000000"/>
          <w:sz w:val="22"/>
          <w:szCs w:val="22"/>
        </w:rPr>
        <w:t>Stomach pain with feeling sick (nausea).</w:t>
      </w:r>
    </w:p>
    <w:p w14:paraId="1B68107B" w14:textId="77777777" w:rsidR="008A04A6" w:rsidRPr="00654EF1" w:rsidRDefault="008A04A6" w:rsidP="001D5C8C">
      <w:pPr>
        <w:pStyle w:val="Listlevel1"/>
        <w:widowControl w:val="0"/>
        <w:numPr>
          <w:ilvl w:val="0"/>
          <w:numId w:val="23"/>
        </w:numPr>
        <w:tabs>
          <w:tab w:val="clear" w:pos="357"/>
          <w:tab w:val="num" w:pos="567"/>
        </w:tabs>
        <w:spacing w:before="0" w:after="0"/>
        <w:ind w:left="567" w:hanging="567"/>
        <w:rPr>
          <w:bCs/>
          <w:color w:val="000000"/>
          <w:sz w:val="22"/>
          <w:szCs w:val="22"/>
          <w:lang w:val="en-GB"/>
        </w:rPr>
      </w:pPr>
      <w:r w:rsidRPr="00654EF1">
        <w:rPr>
          <w:bCs/>
          <w:color w:val="000000"/>
          <w:sz w:val="22"/>
          <w:szCs w:val="22"/>
        </w:rPr>
        <w:t>M</w:t>
      </w:r>
      <w:r w:rsidRPr="00654EF1">
        <w:rPr>
          <w:bCs/>
          <w:color w:val="000000"/>
          <w:sz w:val="22"/>
          <w:szCs w:val="22"/>
          <w:lang w:val="en-GB"/>
        </w:rPr>
        <w:t>uscle spasms with a fever, red-brown urine, pain or weakness in your muscles (signs of muscle problems).</w:t>
      </w:r>
    </w:p>
    <w:p w14:paraId="1B68107C" w14:textId="77777777" w:rsidR="008A04A6" w:rsidRPr="00654EF1" w:rsidRDefault="008A04A6" w:rsidP="001D5C8C">
      <w:pPr>
        <w:widowControl w:val="0"/>
        <w:numPr>
          <w:ilvl w:val="0"/>
          <w:numId w:val="23"/>
        </w:numPr>
        <w:tabs>
          <w:tab w:val="clear" w:pos="357"/>
          <w:tab w:val="num" w:pos="567"/>
        </w:tabs>
        <w:autoSpaceDE w:val="0"/>
        <w:autoSpaceDN w:val="0"/>
        <w:adjustRightInd w:val="0"/>
        <w:spacing w:line="240" w:lineRule="auto"/>
        <w:ind w:left="567" w:hanging="567"/>
        <w:rPr>
          <w:color w:val="000000"/>
          <w:szCs w:val="22"/>
          <w:lang w:bidi="th-TH"/>
        </w:rPr>
      </w:pPr>
      <w:r w:rsidRPr="00654EF1">
        <w:rPr>
          <w:color w:val="000000"/>
          <w:szCs w:val="22"/>
          <w:lang w:bidi="th-TH"/>
        </w:rPr>
        <w:t>Pelvic pain sometimes with nausea and vomiting, with unexpected vaginal bleeding, feeling dizzy or fainting due to low blood pressure (</w:t>
      </w:r>
      <w:r w:rsidRPr="00654EF1">
        <w:rPr>
          <w:bCs/>
          <w:color w:val="000000"/>
          <w:szCs w:val="22"/>
        </w:rPr>
        <w:t xml:space="preserve">signs of </w:t>
      </w:r>
      <w:r w:rsidRPr="00654EF1">
        <w:rPr>
          <w:color w:val="000000"/>
          <w:szCs w:val="22"/>
          <w:lang w:bidi="th-TH"/>
        </w:rPr>
        <w:t>problems with your ovaries or womb).</w:t>
      </w:r>
    </w:p>
    <w:p w14:paraId="1B68107D" w14:textId="77777777" w:rsidR="008A04A6" w:rsidRPr="00654EF1" w:rsidRDefault="008A04A6" w:rsidP="001D5C8C">
      <w:pPr>
        <w:widowControl w:val="0"/>
        <w:numPr>
          <w:ilvl w:val="0"/>
          <w:numId w:val="23"/>
        </w:numPr>
        <w:tabs>
          <w:tab w:val="clear" w:pos="357"/>
          <w:tab w:val="clear" w:pos="567"/>
        </w:tabs>
        <w:autoSpaceDE w:val="0"/>
        <w:autoSpaceDN w:val="0"/>
        <w:adjustRightInd w:val="0"/>
        <w:spacing w:line="240" w:lineRule="auto"/>
        <w:ind w:left="567" w:hanging="567"/>
        <w:rPr>
          <w:color w:val="000000"/>
          <w:szCs w:val="22"/>
          <w:lang w:bidi="th-TH"/>
        </w:rPr>
      </w:pPr>
      <w:r w:rsidRPr="00654EF1">
        <w:rPr>
          <w:szCs w:val="22"/>
        </w:rPr>
        <w:t>Nausea, shortness of breath, irregular heartbeat, clouding of urine, tiredness and/or joint discomfort</w:t>
      </w:r>
      <w:r w:rsidRPr="00654EF1">
        <w:rPr>
          <w:color w:val="000000"/>
          <w:szCs w:val="22"/>
        </w:rPr>
        <w:t xml:space="preserve"> associated with </w:t>
      </w:r>
      <w:r w:rsidRPr="00654EF1">
        <w:rPr>
          <w:szCs w:val="22"/>
        </w:rPr>
        <w:t xml:space="preserve">abnormal laboratory test results (eg. high potassium, uric acid and </w:t>
      </w:r>
      <w:r w:rsidR="00663B8B" w:rsidRPr="00654EF1">
        <w:rPr>
          <w:szCs w:val="22"/>
        </w:rPr>
        <w:t xml:space="preserve">calcium </w:t>
      </w:r>
      <w:r w:rsidRPr="00654EF1">
        <w:rPr>
          <w:szCs w:val="22"/>
        </w:rPr>
        <w:t xml:space="preserve">levels and low </w:t>
      </w:r>
      <w:r w:rsidR="00663B8B" w:rsidRPr="00654EF1">
        <w:rPr>
          <w:szCs w:val="22"/>
        </w:rPr>
        <w:t xml:space="preserve">phosphorous </w:t>
      </w:r>
      <w:r w:rsidRPr="00654EF1">
        <w:rPr>
          <w:szCs w:val="22"/>
        </w:rPr>
        <w:t>levels in the blood).</w:t>
      </w:r>
    </w:p>
    <w:p w14:paraId="1B68107E" w14:textId="77777777" w:rsidR="005355AC" w:rsidRPr="00654EF1" w:rsidRDefault="005355AC" w:rsidP="001D5C8C">
      <w:pPr>
        <w:widowControl w:val="0"/>
        <w:numPr>
          <w:ilvl w:val="0"/>
          <w:numId w:val="23"/>
        </w:numPr>
        <w:tabs>
          <w:tab w:val="clear" w:pos="357"/>
          <w:tab w:val="clear" w:pos="567"/>
        </w:tabs>
        <w:autoSpaceDE w:val="0"/>
        <w:autoSpaceDN w:val="0"/>
        <w:adjustRightInd w:val="0"/>
        <w:spacing w:line="240" w:lineRule="auto"/>
        <w:ind w:left="567" w:hanging="567"/>
        <w:rPr>
          <w:color w:val="000000"/>
          <w:szCs w:val="22"/>
          <w:lang w:bidi="th-TH"/>
        </w:rPr>
      </w:pPr>
      <w:r w:rsidRPr="00654EF1">
        <w:rPr>
          <w:szCs w:val="22"/>
        </w:rPr>
        <w:t>Blood clots in small blood vessels (thrombotic microangiopathy)</w:t>
      </w:r>
      <w:r w:rsidR="0020074E" w:rsidRPr="00654EF1">
        <w:rPr>
          <w:szCs w:val="22"/>
        </w:rPr>
        <w:t>.</w:t>
      </w:r>
    </w:p>
    <w:p w14:paraId="1B68107F" w14:textId="77777777" w:rsidR="007151A0" w:rsidRPr="00654EF1" w:rsidRDefault="007151A0" w:rsidP="001D5C8C">
      <w:pPr>
        <w:pStyle w:val="Text"/>
        <w:widowControl w:val="0"/>
        <w:spacing w:before="0"/>
        <w:jc w:val="left"/>
        <w:rPr>
          <w:color w:val="000000"/>
          <w:sz w:val="22"/>
          <w:szCs w:val="22"/>
          <w:lang w:val="en-GB"/>
        </w:rPr>
      </w:pPr>
    </w:p>
    <w:p w14:paraId="1B681080" w14:textId="77777777" w:rsidR="007151A0" w:rsidRPr="00654EF1" w:rsidRDefault="007151A0" w:rsidP="001D5C8C">
      <w:pPr>
        <w:pStyle w:val="Text"/>
        <w:keepNext/>
        <w:widowControl w:val="0"/>
        <w:spacing w:before="0"/>
        <w:jc w:val="left"/>
        <w:rPr>
          <w:b/>
          <w:color w:val="000000"/>
          <w:sz w:val="22"/>
          <w:szCs w:val="22"/>
          <w:lang w:val="en-GB"/>
        </w:rPr>
      </w:pPr>
      <w:r w:rsidRPr="00654EF1">
        <w:rPr>
          <w:b/>
          <w:color w:val="000000"/>
          <w:sz w:val="22"/>
          <w:szCs w:val="22"/>
          <w:lang w:val="en-GB"/>
        </w:rPr>
        <w:t>Not known</w:t>
      </w:r>
      <w:r w:rsidR="00C556CF" w:rsidRPr="00654EF1">
        <w:rPr>
          <w:b/>
          <w:color w:val="000000"/>
          <w:sz w:val="22"/>
          <w:szCs w:val="22"/>
          <w:lang w:val="en-GB"/>
        </w:rPr>
        <w:t xml:space="preserve"> </w:t>
      </w:r>
      <w:r w:rsidR="00C556CF" w:rsidRPr="00654EF1">
        <w:rPr>
          <w:bCs/>
          <w:color w:val="000000"/>
          <w:sz w:val="22"/>
          <w:szCs w:val="22"/>
          <w:lang w:val="en-GB"/>
        </w:rPr>
        <w:t>(</w:t>
      </w:r>
      <w:r w:rsidR="00C556CF" w:rsidRPr="00654EF1">
        <w:rPr>
          <w:color w:val="000000"/>
          <w:sz w:val="22"/>
          <w:szCs w:val="22"/>
          <w:lang w:val="en-GB"/>
        </w:rPr>
        <w:t>frequency cannot be estimated from the available data</w:t>
      </w:r>
      <w:r w:rsidR="00C556CF" w:rsidRPr="00654EF1">
        <w:rPr>
          <w:bCs/>
          <w:color w:val="000000"/>
          <w:sz w:val="22"/>
          <w:szCs w:val="22"/>
          <w:lang w:val="en-GB"/>
        </w:rPr>
        <w:t>):</w:t>
      </w:r>
    </w:p>
    <w:p w14:paraId="1B681081" w14:textId="77777777" w:rsidR="007151A0" w:rsidRPr="00654EF1" w:rsidRDefault="007151A0"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sz w:val="22"/>
          <w:szCs w:val="22"/>
        </w:rPr>
        <w:t>Combination of a widespread severe rash, feeling sick, fever, high level of certain white blood cells or yellow skin or eyes (signs of jaundice) with breathlessness, chest pain/discomfort, severely decreased urine output and feeling thirsty etc. (signs of a treatment-related allergic reaction).</w:t>
      </w:r>
    </w:p>
    <w:p w14:paraId="1B681082" w14:textId="77777777" w:rsidR="00FF7AE4" w:rsidRPr="00654EF1" w:rsidRDefault="00FF7AE4"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sz w:val="22"/>
          <w:szCs w:val="22"/>
        </w:rPr>
        <w:t>Chronic renal failure</w:t>
      </w:r>
      <w:r w:rsidR="007B18B8" w:rsidRPr="00654EF1">
        <w:rPr>
          <w:sz w:val="22"/>
          <w:szCs w:val="22"/>
        </w:rPr>
        <w:t>.</w:t>
      </w:r>
    </w:p>
    <w:p w14:paraId="1B681083" w14:textId="77777777" w:rsidR="007B18B8" w:rsidRPr="00654EF1" w:rsidRDefault="007B18B8"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color w:val="000000"/>
          <w:sz w:val="22"/>
          <w:szCs w:val="22"/>
        </w:rPr>
        <w:t>Recurrence (reactivation) of hepatitis B infection when you have had hepatitis B in the past (a liver infection).</w:t>
      </w:r>
    </w:p>
    <w:p w14:paraId="1B681084" w14:textId="77777777" w:rsidR="007151A0" w:rsidRPr="00654EF1" w:rsidRDefault="007151A0" w:rsidP="001D5C8C">
      <w:pPr>
        <w:pStyle w:val="Text"/>
        <w:keepNext/>
        <w:widowControl w:val="0"/>
        <w:spacing w:before="0"/>
        <w:jc w:val="left"/>
        <w:rPr>
          <w:color w:val="000000"/>
          <w:sz w:val="22"/>
          <w:szCs w:val="22"/>
          <w:lang w:val="en-GB"/>
        </w:rPr>
      </w:pPr>
    </w:p>
    <w:p w14:paraId="1B681085"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 xml:space="preserve">If you get any of the above, </w:t>
      </w:r>
      <w:r w:rsidRPr="00654EF1">
        <w:rPr>
          <w:b/>
          <w:color w:val="000000"/>
          <w:sz w:val="22"/>
          <w:szCs w:val="22"/>
          <w:lang w:val="en-GB"/>
        </w:rPr>
        <w:t>tell your doctor straight away.</w:t>
      </w:r>
    </w:p>
    <w:p w14:paraId="1B681086" w14:textId="77777777" w:rsidR="008A04A6" w:rsidRPr="00654EF1" w:rsidRDefault="008A04A6" w:rsidP="001D5C8C">
      <w:pPr>
        <w:pStyle w:val="Text"/>
        <w:widowControl w:val="0"/>
        <w:spacing w:before="0"/>
        <w:jc w:val="left"/>
        <w:rPr>
          <w:color w:val="000000"/>
          <w:sz w:val="22"/>
          <w:szCs w:val="22"/>
          <w:lang w:val="en-GB"/>
        </w:rPr>
      </w:pPr>
    </w:p>
    <w:p w14:paraId="1B681087" w14:textId="77777777" w:rsidR="008A04A6" w:rsidRPr="00654EF1" w:rsidRDefault="008A04A6" w:rsidP="001D5C8C">
      <w:pPr>
        <w:pStyle w:val="Text"/>
        <w:keepNext/>
        <w:widowControl w:val="0"/>
        <w:spacing w:before="0"/>
        <w:jc w:val="left"/>
        <w:rPr>
          <w:b/>
          <w:color w:val="000000"/>
          <w:sz w:val="22"/>
          <w:szCs w:val="22"/>
          <w:lang w:val="en-GB"/>
        </w:rPr>
      </w:pPr>
      <w:r w:rsidRPr="00654EF1">
        <w:rPr>
          <w:b/>
          <w:color w:val="000000"/>
          <w:sz w:val="22"/>
          <w:szCs w:val="22"/>
          <w:lang w:val="en-GB"/>
        </w:rPr>
        <w:t>Other side effects may include:</w:t>
      </w:r>
    </w:p>
    <w:p w14:paraId="1B681088" w14:textId="77777777" w:rsidR="008A04A6" w:rsidRPr="00654EF1" w:rsidRDefault="008A04A6" w:rsidP="001D5C8C">
      <w:pPr>
        <w:pStyle w:val="Text"/>
        <w:keepNext/>
        <w:widowControl w:val="0"/>
        <w:spacing w:before="0"/>
        <w:jc w:val="left"/>
        <w:rPr>
          <w:color w:val="000000"/>
          <w:sz w:val="22"/>
          <w:szCs w:val="22"/>
          <w:lang w:val="en-GB"/>
        </w:rPr>
      </w:pPr>
    </w:p>
    <w:p w14:paraId="1B681089" w14:textId="77777777" w:rsidR="00FF19FF" w:rsidRPr="00654EF1" w:rsidRDefault="00FF19FF" w:rsidP="001D5C8C">
      <w:pPr>
        <w:pStyle w:val="Text"/>
        <w:keepNext/>
        <w:widowControl w:val="0"/>
        <w:spacing w:before="0"/>
        <w:rPr>
          <w:b/>
          <w:i/>
          <w:color w:val="000000"/>
          <w:sz w:val="22"/>
          <w:szCs w:val="22"/>
          <w:lang w:val="en-GB"/>
        </w:rPr>
      </w:pPr>
      <w:r w:rsidRPr="00654EF1">
        <w:rPr>
          <w:b/>
          <w:color w:val="000000"/>
          <w:sz w:val="22"/>
          <w:szCs w:val="22"/>
          <w:lang w:val="en-GB"/>
        </w:rPr>
        <w:t>Very common</w:t>
      </w:r>
      <w:r w:rsidRPr="00654EF1">
        <w:rPr>
          <w:color w:val="000000"/>
          <w:sz w:val="22"/>
          <w:szCs w:val="22"/>
          <w:lang w:val="en-GB"/>
        </w:rPr>
        <w:t xml:space="preserve"> (may affect more than 1 in 10 people):</w:t>
      </w:r>
    </w:p>
    <w:p w14:paraId="1B68108A" w14:textId="77777777" w:rsidR="008A04A6" w:rsidRPr="00654EF1" w:rsidRDefault="008A04A6" w:rsidP="001D5C8C">
      <w:pPr>
        <w:pStyle w:val="Text"/>
        <w:widowControl w:val="0"/>
        <w:numPr>
          <w:ilvl w:val="0"/>
          <w:numId w:val="25"/>
        </w:numPr>
        <w:tabs>
          <w:tab w:val="clear" w:pos="357"/>
          <w:tab w:val="num" w:pos="567"/>
        </w:tabs>
        <w:spacing w:before="0"/>
        <w:ind w:left="567" w:hanging="567"/>
        <w:jc w:val="left"/>
        <w:rPr>
          <w:color w:val="000000"/>
          <w:sz w:val="22"/>
          <w:szCs w:val="22"/>
          <w:lang w:val="en-GB"/>
        </w:rPr>
      </w:pPr>
      <w:r w:rsidRPr="00654EF1">
        <w:rPr>
          <w:color w:val="000000"/>
          <w:sz w:val="22"/>
          <w:szCs w:val="22"/>
          <w:lang w:val="en-GB"/>
        </w:rPr>
        <w:t>Headache or feeling tired.</w:t>
      </w:r>
    </w:p>
    <w:p w14:paraId="1B68108B" w14:textId="77777777" w:rsidR="008A04A6" w:rsidRPr="00654EF1" w:rsidRDefault="008A04A6"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Feeling sick (nausea), being sick (vomiting), diarrhoea or indigestion.</w:t>
      </w:r>
    </w:p>
    <w:p w14:paraId="1B68108C" w14:textId="77777777" w:rsidR="008A04A6" w:rsidRPr="00654EF1" w:rsidRDefault="008A04A6"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Rash.</w:t>
      </w:r>
    </w:p>
    <w:p w14:paraId="1B68108D" w14:textId="77777777" w:rsidR="008A04A6" w:rsidRPr="00654EF1" w:rsidRDefault="008A04A6"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Muscle cramps or joint, muscle or bone pain</w:t>
      </w:r>
      <w:r w:rsidR="005F2EF7" w:rsidRPr="00654EF1">
        <w:rPr>
          <w:color w:val="000000"/>
          <w:sz w:val="22"/>
          <w:szCs w:val="22"/>
          <w:lang w:val="en-GB"/>
        </w:rPr>
        <w:t>, during Glivec treatment or after you have stopped taking Glivec</w:t>
      </w:r>
      <w:r w:rsidRPr="00654EF1">
        <w:rPr>
          <w:color w:val="000000"/>
          <w:sz w:val="22"/>
          <w:szCs w:val="22"/>
          <w:lang w:val="en-GB"/>
        </w:rPr>
        <w:t>.</w:t>
      </w:r>
    </w:p>
    <w:p w14:paraId="1B68108E" w14:textId="77777777" w:rsidR="008A04A6" w:rsidRPr="00654EF1" w:rsidRDefault="008A04A6" w:rsidP="001D5C8C">
      <w:pPr>
        <w:pStyle w:val="T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Swelling such as round your ankles or puffy eyes.</w:t>
      </w:r>
    </w:p>
    <w:p w14:paraId="1B68108F" w14:textId="77777777" w:rsidR="008A04A6" w:rsidRPr="00654EF1" w:rsidRDefault="008A04A6" w:rsidP="00841297">
      <w:pPr>
        <w:pStyle w:val="Text"/>
        <w:keepNext/>
        <w:widowControl w:val="0"/>
        <w:numPr>
          <w:ilvl w:val="0"/>
          <w:numId w:val="20"/>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Weight gain.</w:t>
      </w:r>
    </w:p>
    <w:p w14:paraId="1B681090" w14:textId="77777777" w:rsidR="008A04A6" w:rsidRPr="00654EF1" w:rsidRDefault="008A04A6" w:rsidP="001D5C8C">
      <w:pPr>
        <w:pStyle w:val="Text"/>
        <w:widowControl w:val="0"/>
        <w:spacing w:before="0"/>
        <w:jc w:val="left"/>
        <w:rPr>
          <w:color w:val="000000"/>
          <w:sz w:val="22"/>
          <w:szCs w:val="22"/>
          <w:lang w:val="en-GB"/>
        </w:rPr>
      </w:pPr>
      <w:r w:rsidRPr="00654EF1">
        <w:rPr>
          <w:color w:val="000000"/>
          <w:sz w:val="22"/>
          <w:szCs w:val="22"/>
          <w:lang w:val="en-GB"/>
        </w:rPr>
        <w:t xml:space="preserve">If any of these affects you severely, </w:t>
      </w:r>
      <w:r w:rsidRPr="00654EF1">
        <w:rPr>
          <w:b/>
          <w:color w:val="000000"/>
          <w:sz w:val="22"/>
          <w:szCs w:val="22"/>
          <w:lang w:val="en-GB"/>
        </w:rPr>
        <w:t>tell your doctor</w:t>
      </w:r>
      <w:r w:rsidRPr="00654EF1">
        <w:rPr>
          <w:color w:val="000000"/>
          <w:sz w:val="22"/>
          <w:szCs w:val="22"/>
          <w:lang w:val="en-GB"/>
        </w:rPr>
        <w:t>.</w:t>
      </w:r>
    </w:p>
    <w:p w14:paraId="1B681091" w14:textId="77777777" w:rsidR="008A04A6" w:rsidRPr="00654EF1" w:rsidRDefault="008A04A6" w:rsidP="001D5C8C">
      <w:pPr>
        <w:pStyle w:val="Text"/>
        <w:widowControl w:val="0"/>
        <w:spacing w:before="0"/>
        <w:jc w:val="left"/>
        <w:rPr>
          <w:color w:val="000000"/>
          <w:sz w:val="22"/>
          <w:szCs w:val="22"/>
          <w:lang w:val="en-GB"/>
        </w:rPr>
      </w:pPr>
    </w:p>
    <w:p w14:paraId="1B681092" w14:textId="77777777" w:rsidR="00FF19FF" w:rsidRPr="00654EF1" w:rsidRDefault="00FF19FF" w:rsidP="001D5C8C">
      <w:pPr>
        <w:pStyle w:val="Text"/>
        <w:keepNext/>
        <w:widowControl w:val="0"/>
        <w:spacing w:before="0"/>
        <w:jc w:val="left"/>
        <w:rPr>
          <w:b/>
          <w:i/>
          <w:color w:val="000000"/>
          <w:sz w:val="22"/>
          <w:szCs w:val="22"/>
          <w:lang w:val="en-GB"/>
        </w:rPr>
      </w:pPr>
      <w:r w:rsidRPr="00654EF1">
        <w:rPr>
          <w:b/>
          <w:color w:val="000000"/>
          <w:sz w:val="22"/>
          <w:szCs w:val="22"/>
          <w:lang w:val="en-GB"/>
        </w:rPr>
        <w:t>Common</w:t>
      </w:r>
      <w:r w:rsidRPr="00654EF1">
        <w:rPr>
          <w:color w:val="000000"/>
          <w:sz w:val="22"/>
          <w:szCs w:val="22"/>
          <w:lang w:val="en-GB"/>
        </w:rPr>
        <w:t xml:space="preserve"> (may affect up to 1 in 10 people):</w:t>
      </w:r>
    </w:p>
    <w:p w14:paraId="1B681093" w14:textId="77777777" w:rsidR="008A04A6" w:rsidRPr="00654EF1" w:rsidRDefault="008A04A6" w:rsidP="001D5C8C">
      <w:pPr>
        <w:pStyle w:val="Text"/>
        <w:widowControl w:val="0"/>
        <w:numPr>
          <w:ilvl w:val="0"/>
          <w:numId w:val="24"/>
        </w:numPr>
        <w:tabs>
          <w:tab w:val="clear" w:pos="357"/>
        </w:tabs>
        <w:spacing w:before="0"/>
        <w:ind w:left="567" w:hanging="567"/>
        <w:jc w:val="left"/>
        <w:rPr>
          <w:color w:val="000000"/>
          <w:sz w:val="22"/>
          <w:szCs w:val="22"/>
          <w:lang w:val="en-GB"/>
        </w:rPr>
      </w:pPr>
      <w:r w:rsidRPr="00654EF1">
        <w:rPr>
          <w:color w:val="000000"/>
          <w:sz w:val="22"/>
          <w:szCs w:val="22"/>
        </w:rPr>
        <w:t>Anorexia,</w:t>
      </w:r>
      <w:r w:rsidRPr="00654EF1">
        <w:rPr>
          <w:color w:val="000000"/>
          <w:sz w:val="22"/>
          <w:szCs w:val="22"/>
          <w:lang w:val="en-GB"/>
        </w:rPr>
        <w:t xml:space="preserve"> weight loss or a disturbed sense of taste.</w:t>
      </w:r>
    </w:p>
    <w:p w14:paraId="1B681094"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Feeling dizzy or weak.</w:t>
      </w:r>
    </w:p>
    <w:p w14:paraId="1B681095"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Difficulty in sleeping (insomnia).</w:t>
      </w:r>
    </w:p>
    <w:p w14:paraId="1B681096"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Discharge from the eye with itching, redness and swelling (conjunctivitis), watery eyes or having blurred vision.</w:t>
      </w:r>
    </w:p>
    <w:p w14:paraId="1B681097"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Nose bleeds.</w:t>
      </w:r>
    </w:p>
    <w:p w14:paraId="1B681098"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Pain or swelling in your abdomen, flatulence, heartburn or constipation.</w:t>
      </w:r>
    </w:p>
    <w:p w14:paraId="1B681099"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Itching.</w:t>
      </w:r>
    </w:p>
    <w:p w14:paraId="1B68109A"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Unusual hair loss or thinning.</w:t>
      </w:r>
    </w:p>
    <w:p w14:paraId="1B68109B"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Numbness of the hands or feet.</w:t>
      </w:r>
    </w:p>
    <w:p w14:paraId="1B68109C"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Mouth ulcers.</w:t>
      </w:r>
    </w:p>
    <w:p w14:paraId="1B68109D"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Joint pain with swelling.</w:t>
      </w:r>
    </w:p>
    <w:p w14:paraId="1B68109E"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Dry mouth, dry skin or dry eye.</w:t>
      </w:r>
    </w:p>
    <w:p w14:paraId="1B68109F" w14:textId="77777777" w:rsidR="008A04A6" w:rsidRPr="00654EF1" w:rsidRDefault="008A04A6" w:rsidP="001D5C8C">
      <w:pPr>
        <w:pStyle w:val="T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Decreased or increased skin sensitivity.</w:t>
      </w:r>
    </w:p>
    <w:p w14:paraId="1B6810A0" w14:textId="77777777" w:rsidR="008A04A6" w:rsidRPr="00654EF1" w:rsidRDefault="008A04A6" w:rsidP="001D5C8C">
      <w:pPr>
        <w:pStyle w:val="Text"/>
        <w:keepNext/>
        <w:widowControl w:val="0"/>
        <w:numPr>
          <w:ilvl w:val="0"/>
          <w:numId w:val="21"/>
        </w:numPr>
        <w:tabs>
          <w:tab w:val="clear" w:pos="717"/>
          <w:tab w:val="num" w:pos="567"/>
        </w:tabs>
        <w:spacing w:before="0"/>
        <w:ind w:left="567" w:hanging="567"/>
        <w:jc w:val="left"/>
        <w:rPr>
          <w:color w:val="000000"/>
          <w:sz w:val="22"/>
          <w:szCs w:val="22"/>
          <w:lang w:val="en-GB"/>
        </w:rPr>
      </w:pPr>
      <w:r w:rsidRPr="00654EF1">
        <w:rPr>
          <w:color w:val="000000"/>
          <w:sz w:val="22"/>
          <w:szCs w:val="22"/>
          <w:lang w:val="en-GB"/>
        </w:rPr>
        <w:t>Hot flushes, chills or night sweats.</w:t>
      </w:r>
    </w:p>
    <w:p w14:paraId="1B6810A1" w14:textId="77777777" w:rsidR="008A04A6" w:rsidRPr="00654EF1" w:rsidRDefault="008A04A6" w:rsidP="001D5C8C">
      <w:pPr>
        <w:pStyle w:val="Text"/>
        <w:widowControl w:val="0"/>
        <w:spacing w:before="0"/>
        <w:jc w:val="left"/>
        <w:rPr>
          <w:b/>
          <w:color w:val="000000"/>
          <w:sz w:val="22"/>
          <w:szCs w:val="22"/>
          <w:lang w:val="en-GB"/>
        </w:rPr>
      </w:pPr>
      <w:r w:rsidRPr="00654EF1">
        <w:rPr>
          <w:color w:val="000000"/>
          <w:sz w:val="22"/>
          <w:szCs w:val="22"/>
          <w:lang w:val="en-GB"/>
        </w:rPr>
        <w:t xml:space="preserve">If any of these affects you severely, </w:t>
      </w:r>
      <w:r w:rsidRPr="00654EF1">
        <w:rPr>
          <w:b/>
          <w:color w:val="000000"/>
          <w:sz w:val="22"/>
          <w:szCs w:val="22"/>
          <w:lang w:val="en-GB"/>
        </w:rPr>
        <w:t>tell your doctor.</w:t>
      </w:r>
    </w:p>
    <w:p w14:paraId="1B6810A2" w14:textId="77777777" w:rsidR="008A04A6" w:rsidRPr="00654EF1" w:rsidRDefault="008A04A6" w:rsidP="001D5C8C">
      <w:pPr>
        <w:pStyle w:val="Text"/>
        <w:widowControl w:val="0"/>
        <w:spacing w:before="0"/>
        <w:jc w:val="left"/>
        <w:rPr>
          <w:color w:val="000000"/>
          <w:sz w:val="22"/>
          <w:szCs w:val="22"/>
          <w:lang w:val="en-GB"/>
        </w:rPr>
      </w:pPr>
    </w:p>
    <w:p w14:paraId="1B6810A3" w14:textId="77777777" w:rsidR="00FF19FF" w:rsidRPr="00654EF1" w:rsidRDefault="00FF19FF" w:rsidP="001D5C8C">
      <w:pPr>
        <w:pStyle w:val="Text"/>
        <w:keepNext/>
        <w:widowControl w:val="0"/>
        <w:spacing w:before="0"/>
        <w:jc w:val="left"/>
        <w:rPr>
          <w:b/>
          <w:bCs/>
          <w:color w:val="000000"/>
          <w:sz w:val="22"/>
          <w:szCs w:val="22"/>
          <w:lang w:val="en-GB"/>
        </w:rPr>
      </w:pPr>
      <w:r w:rsidRPr="00654EF1">
        <w:rPr>
          <w:b/>
          <w:bCs/>
          <w:color w:val="000000"/>
          <w:sz w:val="22"/>
          <w:szCs w:val="22"/>
          <w:lang w:val="en-GB"/>
        </w:rPr>
        <w:t>Not known</w:t>
      </w:r>
      <w:r w:rsidRPr="00654EF1">
        <w:rPr>
          <w:bCs/>
          <w:color w:val="000000"/>
          <w:sz w:val="22"/>
          <w:szCs w:val="22"/>
          <w:lang w:val="en-GB"/>
        </w:rPr>
        <w:t xml:space="preserve"> (</w:t>
      </w:r>
      <w:r w:rsidRPr="00654EF1">
        <w:rPr>
          <w:color w:val="000000"/>
          <w:sz w:val="22"/>
          <w:szCs w:val="22"/>
          <w:lang w:val="en-GB"/>
        </w:rPr>
        <w:t>frequency cannot be estimated from the available data</w:t>
      </w:r>
      <w:r w:rsidRPr="00654EF1">
        <w:rPr>
          <w:bCs/>
          <w:color w:val="000000"/>
          <w:sz w:val="22"/>
          <w:szCs w:val="22"/>
          <w:lang w:val="en-GB"/>
        </w:rPr>
        <w:t>):</w:t>
      </w:r>
    </w:p>
    <w:p w14:paraId="1B6810A4" w14:textId="77777777" w:rsidR="008A04A6" w:rsidRPr="00654EF1" w:rsidRDefault="008A04A6" w:rsidP="001D5C8C">
      <w:pPr>
        <w:pStyle w:val="Text"/>
        <w:keepNext/>
        <w:widowControl w:val="0"/>
        <w:numPr>
          <w:ilvl w:val="0"/>
          <w:numId w:val="27"/>
        </w:numPr>
        <w:tabs>
          <w:tab w:val="clear" w:pos="357"/>
          <w:tab w:val="num" w:pos="567"/>
        </w:tabs>
        <w:spacing w:before="0"/>
        <w:ind w:left="567" w:hanging="567"/>
        <w:jc w:val="left"/>
        <w:rPr>
          <w:color w:val="000000"/>
          <w:sz w:val="22"/>
          <w:szCs w:val="22"/>
        </w:rPr>
      </w:pPr>
      <w:r w:rsidRPr="00654EF1">
        <w:rPr>
          <w:color w:val="000000"/>
          <w:sz w:val="22"/>
          <w:szCs w:val="22"/>
          <w:lang w:val="en-GB"/>
        </w:rPr>
        <w:t xml:space="preserve">Reddening and/or swelling on the palms of the hands and soles of the feet </w:t>
      </w:r>
      <w:r w:rsidRPr="00654EF1">
        <w:rPr>
          <w:color w:val="000000"/>
          <w:sz w:val="22"/>
          <w:szCs w:val="22"/>
        </w:rPr>
        <w:t>which may be accompanied by tingling sensation and burning pain.</w:t>
      </w:r>
    </w:p>
    <w:p w14:paraId="1B6810A5" w14:textId="77777777" w:rsidR="004162B1" w:rsidRPr="00654EF1" w:rsidRDefault="004162B1" w:rsidP="001D5C8C">
      <w:pPr>
        <w:pStyle w:val="Text"/>
        <w:widowControl w:val="0"/>
        <w:numPr>
          <w:ilvl w:val="0"/>
          <w:numId w:val="27"/>
        </w:numPr>
        <w:tabs>
          <w:tab w:val="clear" w:pos="357"/>
          <w:tab w:val="num" w:pos="567"/>
        </w:tabs>
        <w:spacing w:before="0"/>
        <w:ind w:left="567" w:hanging="567"/>
        <w:jc w:val="left"/>
        <w:rPr>
          <w:color w:val="000000"/>
          <w:sz w:val="22"/>
          <w:szCs w:val="22"/>
        </w:rPr>
      </w:pPr>
      <w:r w:rsidRPr="00654EF1">
        <w:rPr>
          <w:color w:val="000000"/>
          <w:sz w:val="22"/>
          <w:szCs w:val="22"/>
        </w:rPr>
        <w:t>Painful and/or blistering skin lesions</w:t>
      </w:r>
      <w:r w:rsidR="004E3C11" w:rsidRPr="00654EF1">
        <w:rPr>
          <w:color w:val="000000"/>
          <w:sz w:val="22"/>
          <w:szCs w:val="22"/>
        </w:rPr>
        <w:t>.</w:t>
      </w:r>
    </w:p>
    <w:p w14:paraId="1B6810A6" w14:textId="77777777" w:rsidR="00A03427" w:rsidRPr="00654EF1" w:rsidRDefault="008A04A6" w:rsidP="001D5C8C">
      <w:pPr>
        <w:pStyle w:val="Text"/>
        <w:keepNext/>
        <w:widowControl w:val="0"/>
        <w:numPr>
          <w:ilvl w:val="0"/>
          <w:numId w:val="27"/>
        </w:numPr>
        <w:tabs>
          <w:tab w:val="clear" w:pos="357"/>
        </w:tabs>
        <w:spacing w:before="0"/>
        <w:ind w:left="567" w:hanging="567"/>
        <w:jc w:val="left"/>
        <w:rPr>
          <w:sz w:val="22"/>
          <w:szCs w:val="22"/>
          <w:lang w:val="en-GB"/>
        </w:rPr>
      </w:pPr>
      <w:r w:rsidRPr="00654EF1">
        <w:rPr>
          <w:sz w:val="22"/>
          <w:szCs w:val="22"/>
          <w:lang w:val="en-GB"/>
        </w:rPr>
        <w:t>Slowing of growth in children and adolescents.</w:t>
      </w:r>
    </w:p>
    <w:p w14:paraId="1B6810A7" w14:textId="77777777" w:rsidR="008A04A6" w:rsidRPr="00654EF1" w:rsidRDefault="008A04A6" w:rsidP="001D5C8C">
      <w:pPr>
        <w:pStyle w:val="Text"/>
        <w:widowControl w:val="0"/>
        <w:spacing w:before="0"/>
        <w:jc w:val="left"/>
        <w:rPr>
          <w:color w:val="000000"/>
          <w:sz w:val="22"/>
          <w:szCs w:val="22"/>
        </w:rPr>
      </w:pPr>
      <w:r w:rsidRPr="00654EF1">
        <w:rPr>
          <w:color w:val="000000"/>
          <w:sz w:val="22"/>
          <w:szCs w:val="22"/>
          <w:lang w:val="en-GB"/>
        </w:rPr>
        <w:t xml:space="preserve">If any of these affects you severely, </w:t>
      </w:r>
      <w:r w:rsidRPr="00654EF1">
        <w:rPr>
          <w:b/>
          <w:color w:val="000000"/>
          <w:sz w:val="22"/>
          <w:szCs w:val="22"/>
          <w:lang w:val="en-GB"/>
        </w:rPr>
        <w:t>tell your doctor.</w:t>
      </w:r>
    </w:p>
    <w:p w14:paraId="1B6810A8" w14:textId="77777777" w:rsidR="00FF19FF" w:rsidRPr="00654EF1" w:rsidRDefault="00FF19FF" w:rsidP="001D5C8C">
      <w:pPr>
        <w:pStyle w:val="Text"/>
        <w:widowControl w:val="0"/>
        <w:spacing w:before="0"/>
        <w:jc w:val="left"/>
        <w:rPr>
          <w:color w:val="000000"/>
          <w:sz w:val="22"/>
          <w:szCs w:val="22"/>
        </w:rPr>
      </w:pPr>
    </w:p>
    <w:p w14:paraId="1B6810A9" w14:textId="77777777" w:rsidR="00FF19FF" w:rsidRPr="00654EF1" w:rsidRDefault="00FF19FF" w:rsidP="001D5C8C">
      <w:pPr>
        <w:pStyle w:val="Text"/>
        <w:keepNext/>
        <w:widowControl w:val="0"/>
        <w:spacing w:before="0"/>
        <w:jc w:val="left"/>
        <w:rPr>
          <w:b/>
          <w:color w:val="000000"/>
          <w:sz w:val="22"/>
          <w:szCs w:val="22"/>
          <w:lang w:val="en-GB"/>
        </w:rPr>
      </w:pPr>
      <w:r w:rsidRPr="00654EF1">
        <w:rPr>
          <w:b/>
          <w:color w:val="000000"/>
          <w:sz w:val="22"/>
          <w:szCs w:val="22"/>
          <w:lang w:val="en-GB"/>
        </w:rPr>
        <w:t>Reporting of side effects</w:t>
      </w:r>
    </w:p>
    <w:p w14:paraId="1B6810AA" w14:textId="77777777" w:rsidR="00FF19FF" w:rsidRPr="00654EF1" w:rsidRDefault="00FF19FF" w:rsidP="001D5C8C">
      <w:pPr>
        <w:pStyle w:val="Text"/>
        <w:widowControl w:val="0"/>
        <w:spacing w:before="0"/>
        <w:jc w:val="left"/>
        <w:rPr>
          <w:color w:val="000000"/>
          <w:sz w:val="22"/>
          <w:szCs w:val="22"/>
          <w:lang w:val="en-GB"/>
        </w:rPr>
      </w:pPr>
      <w:r w:rsidRPr="00654EF1">
        <w:rPr>
          <w:color w:val="000000"/>
          <w:sz w:val="22"/>
          <w:szCs w:val="22"/>
          <w:lang w:val="en-GB"/>
        </w:rPr>
        <w:t xml:space="preserve">If you get any side effects, talk to your doctor, pharmacist or nurse. This includes any possible side effects not listed in this leaflet. You can also report side effects directly </w:t>
      </w:r>
      <w:r w:rsidRPr="00654EF1">
        <w:rPr>
          <w:color w:val="000000"/>
          <w:sz w:val="22"/>
          <w:szCs w:val="22"/>
          <w:shd w:val="clear" w:color="auto" w:fill="D9D9D9"/>
          <w:lang w:val="en-GB"/>
        </w:rPr>
        <w:t xml:space="preserve">via the national reporting system listed in </w:t>
      </w:r>
      <w:hyperlink r:id="rId17" w:history="1">
        <w:r w:rsidRPr="00654EF1">
          <w:rPr>
            <w:rStyle w:val="Hyperlink"/>
            <w:sz w:val="22"/>
            <w:szCs w:val="22"/>
            <w:shd w:val="clear" w:color="auto" w:fill="D9D9D9"/>
            <w:lang w:val="en-GB"/>
          </w:rPr>
          <w:t>Appendix V</w:t>
        </w:r>
      </w:hyperlink>
      <w:r w:rsidRPr="00654EF1">
        <w:rPr>
          <w:color w:val="000000"/>
          <w:sz w:val="22"/>
          <w:szCs w:val="22"/>
          <w:shd w:val="clear" w:color="auto" w:fill="FFFFFF"/>
          <w:lang w:val="en-GB"/>
        </w:rPr>
        <w:t>.</w:t>
      </w:r>
      <w:r w:rsidRPr="00654EF1">
        <w:rPr>
          <w:color w:val="000000"/>
          <w:sz w:val="22"/>
          <w:szCs w:val="22"/>
          <w:lang w:val="en-GB"/>
        </w:rPr>
        <w:t xml:space="preserve"> By reporting side effects you can help provide more information on the safety of this medicine.</w:t>
      </w:r>
    </w:p>
    <w:p w14:paraId="1B6810AB" w14:textId="77777777" w:rsidR="00FF19FF" w:rsidRPr="00654EF1" w:rsidRDefault="00FF19FF" w:rsidP="001D5C8C">
      <w:pPr>
        <w:widowControl w:val="0"/>
        <w:numPr>
          <w:ilvl w:val="12"/>
          <w:numId w:val="0"/>
        </w:numPr>
        <w:tabs>
          <w:tab w:val="clear" w:pos="567"/>
        </w:tabs>
        <w:spacing w:line="240" w:lineRule="auto"/>
        <w:ind w:right="-2"/>
        <w:rPr>
          <w:color w:val="000000"/>
          <w:szCs w:val="22"/>
        </w:rPr>
      </w:pPr>
    </w:p>
    <w:p w14:paraId="1B6810AC"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10AD" w14:textId="77777777" w:rsidR="008A04A6" w:rsidRPr="00654EF1" w:rsidRDefault="008A04A6" w:rsidP="001D5C8C">
      <w:pPr>
        <w:keepNext/>
        <w:widowControl w:val="0"/>
        <w:numPr>
          <w:ilvl w:val="12"/>
          <w:numId w:val="0"/>
        </w:numPr>
        <w:tabs>
          <w:tab w:val="clear" w:pos="567"/>
        </w:tabs>
        <w:spacing w:line="240" w:lineRule="auto"/>
        <w:ind w:left="567" w:right="-2" w:hanging="567"/>
        <w:rPr>
          <w:color w:val="000000"/>
          <w:szCs w:val="22"/>
        </w:rPr>
      </w:pPr>
      <w:r w:rsidRPr="00654EF1">
        <w:rPr>
          <w:b/>
          <w:color w:val="000000"/>
          <w:szCs w:val="22"/>
        </w:rPr>
        <w:t>5.</w:t>
      </w:r>
      <w:r w:rsidRPr="00654EF1">
        <w:rPr>
          <w:b/>
          <w:color w:val="000000"/>
          <w:szCs w:val="22"/>
        </w:rPr>
        <w:tab/>
        <w:t>How to store Glivec</w:t>
      </w:r>
    </w:p>
    <w:p w14:paraId="1B6810AE" w14:textId="77777777" w:rsidR="008A04A6" w:rsidRPr="00654EF1" w:rsidRDefault="008A04A6" w:rsidP="001D5C8C">
      <w:pPr>
        <w:keepNext/>
        <w:widowControl w:val="0"/>
        <w:numPr>
          <w:ilvl w:val="12"/>
          <w:numId w:val="0"/>
        </w:numPr>
        <w:tabs>
          <w:tab w:val="clear" w:pos="567"/>
        </w:tabs>
        <w:spacing w:line="240" w:lineRule="auto"/>
        <w:ind w:right="-2"/>
        <w:rPr>
          <w:color w:val="000000"/>
          <w:szCs w:val="22"/>
        </w:rPr>
      </w:pPr>
    </w:p>
    <w:p w14:paraId="1B6810AF" w14:textId="77777777" w:rsidR="008A04A6" w:rsidRPr="00654EF1" w:rsidRDefault="008A04A6" w:rsidP="00841297">
      <w:pPr>
        <w:pStyle w:val="Text"/>
        <w:widowControl w:val="0"/>
        <w:numPr>
          <w:ilvl w:val="0"/>
          <w:numId w:val="2"/>
        </w:numPr>
        <w:tabs>
          <w:tab w:val="clear" w:pos="360"/>
          <w:tab w:val="num" w:pos="567"/>
        </w:tabs>
        <w:spacing w:before="0"/>
        <w:ind w:left="567" w:hanging="567"/>
        <w:rPr>
          <w:color w:val="000000"/>
          <w:sz w:val="22"/>
          <w:szCs w:val="22"/>
          <w:lang w:val="en-GB"/>
        </w:rPr>
      </w:pPr>
      <w:r w:rsidRPr="00654EF1">
        <w:rPr>
          <w:color w:val="000000"/>
          <w:sz w:val="22"/>
          <w:szCs w:val="22"/>
          <w:lang w:val="en-GB"/>
        </w:rPr>
        <w:t>Keep this medicine out of the sight and reach of children.</w:t>
      </w:r>
    </w:p>
    <w:p w14:paraId="1B6810B0" w14:textId="77777777" w:rsidR="008A04A6" w:rsidRPr="00654EF1" w:rsidRDefault="008A04A6" w:rsidP="00841297">
      <w:pPr>
        <w:pStyle w:val="Text"/>
        <w:widowControl w:val="0"/>
        <w:numPr>
          <w:ilvl w:val="0"/>
          <w:numId w:val="2"/>
        </w:numPr>
        <w:tabs>
          <w:tab w:val="clear" w:pos="360"/>
          <w:tab w:val="num" w:pos="567"/>
        </w:tabs>
        <w:spacing w:before="0"/>
        <w:ind w:left="567" w:hanging="567"/>
        <w:jc w:val="left"/>
        <w:rPr>
          <w:color w:val="000000"/>
          <w:sz w:val="22"/>
          <w:szCs w:val="22"/>
          <w:lang w:val="en-GB"/>
        </w:rPr>
      </w:pPr>
      <w:r w:rsidRPr="00654EF1">
        <w:rPr>
          <w:color w:val="000000"/>
          <w:sz w:val="22"/>
          <w:szCs w:val="22"/>
          <w:lang w:val="en-GB"/>
        </w:rPr>
        <w:t>Do not use this medicine after the expiry date which is stated on the carton</w:t>
      </w:r>
      <w:r w:rsidR="00322854" w:rsidRPr="00654EF1">
        <w:rPr>
          <w:color w:val="000000"/>
          <w:sz w:val="22"/>
          <w:szCs w:val="22"/>
          <w:lang w:val="en-GB"/>
        </w:rPr>
        <w:t xml:space="preserve"> after EXP</w:t>
      </w:r>
      <w:r w:rsidRPr="00654EF1">
        <w:rPr>
          <w:color w:val="000000"/>
          <w:sz w:val="22"/>
          <w:szCs w:val="22"/>
          <w:lang w:val="en-GB"/>
        </w:rPr>
        <w:t>.</w:t>
      </w:r>
    </w:p>
    <w:p w14:paraId="1B6810B1" w14:textId="77777777" w:rsidR="008A04A6" w:rsidRPr="00654EF1" w:rsidRDefault="008A04A6" w:rsidP="00841297">
      <w:pPr>
        <w:pStyle w:val="Text"/>
        <w:widowControl w:val="0"/>
        <w:numPr>
          <w:ilvl w:val="0"/>
          <w:numId w:val="2"/>
        </w:numPr>
        <w:tabs>
          <w:tab w:val="clear" w:pos="360"/>
          <w:tab w:val="num" w:pos="567"/>
        </w:tabs>
        <w:spacing w:before="0"/>
        <w:ind w:left="567" w:hanging="567"/>
        <w:jc w:val="left"/>
        <w:rPr>
          <w:color w:val="000000"/>
          <w:sz w:val="22"/>
          <w:szCs w:val="22"/>
          <w:lang w:val="en-GB"/>
        </w:rPr>
      </w:pPr>
      <w:r w:rsidRPr="00654EF1">
        <w:rPr>
          <w:color w:val="000000"/>
          <w:sz w:val="22"/>
          <w:szCs w:val="22"/>
          <w:lang w:val="en-GB"/>
        </w:rPr>
        <w:t>Do not store above 30°C.</w:t>
      </w:r>
    </w:p>
    <w:p w14:paraId="1B6810B2" w14:textId="77777777" w:rsidR="008A04A6" w:rsidRPr="00654EF1" w:rsidRDefault="008A04A6" w:rsidP="00841297">
      <w:pPr>
        <w:pStyle w:val="Text"/>
        <w:widowControl w:val="0"/>
        <w:numPr>
          <w:ilvl w:val="0"/>
          <w:numId w:val="2"/>
        </w:numPr>
        <w:tabs>
          <w:tab w:val="clear" w:pos="360"/>
          <w:tab w:val="num" w:pos="567"/>
        </w:tabs>
        <w:spacing w:before="0"/>
        <w:ind w:left="567" w:hanging="567"/>
        <w:jc w:val="left"/>
        <w:rPr>
          <w:color w:val="000000"/>
          <w:sz w:val="22"/>
          <w:szCs w:val="22"/>
          <w:lang w:val="en-GB"/>
        </w:rPr>
      </w:pPr>
      <w:r w:rsidRPr="00654EF1">
        <w:rPr>
          <w:color w:val="000000"/>
          <w:sz w:val="22"/>
          <w:szCs w:val="22"/>
          <w:lang w:val="en-GB"/>
        </w:rPr>
        <w:t>Store in the original package in order to protect from moisture.</w:t>
      </w:r>
    </w:p>
    <w:p w14:paraId="1B6810B3" w14:textId="77777777" w:rsidR="008A04A6" w:rsidRPr="00654EF1" w:rsidRDefault="008A04A6" w:rsidP="00841297">
      <w:pPr>
        <w:pStyle w:val="Text"/>
        <w:widowControl w:val="0"/>
        <w:numPr>
          <w:ilvl w:val="0"/>
          <w:numId w:val="2"/>
        </w:numPr>
        <w:tabs>
          <w:tab w:val="clear" w:pos="360"/>
          <w:tab w:val="num" w:pos="567"/>
        </w:tabs>
        <w:spacing w:before="0"/>
        <w:ind w:left="567" w:hanging="567"/>
        <w:jc w:val="left"/>
        <w:rPr>
          <w:color w:val="000000"/>
          <w:sz w:val="22"/>
          <w:szCs w:val="22"/>
          <w:lang w:val="en-GB"/>
        </w:rPr>
      </w:pPr>
      <w:r w:rsidRPr="00654EF1">
        <w:rPr>
          <w:color w:val="000000"/>
          <w:sz w:val="22"/>
          <w:szCs w:val="22"/>
          <w:lang w:val="en-GB"/>
        </w:rPr>
        <w:t>Do not use any pack that is damaged or shows signs of tampering.</w:t>
      </w:r>
    </w:p>
    <w:p w14:paraId="1B6810B4" w14:textId="77777777" w:rsidR="008A04A6" w:rsidRPr="00654EF1" w:rsidRDefault="007F35BE" w:rsidP="001D5C8C">
      <w:pPr>
        <w:pStyle w:val="Text"/>
        <w:widowControl w:val="0"/>
        <w:numPr>
          <w:ilvl w:val="0"/>
          <w:numId w:val="2"/>
        </w:numPr>
        <w:tabs>
          <w:tab w:val="clear" w:pos="360"/>
        </w:tabs>
        <w:spacing w:before="0"/>
        <w:ind w:left="567" w:hanging="567"/>
        <w:jc w:val="left"/>
        <w:rPr>
          <w:color w:val="000000"/>
          <w:sz w:val="22"/>
          <w:szCs w:val="22"/>
          <w:lang w:val="en-GB"/>
        </w:rPr>
      </w:pPr>
      <w:r w:rsidRPr="00654EF1">
        <w:rPr>
          <w:color w:val="000000"/>
          <w:sz w:val="22"/>
          <w:szCs w:val="22"/>
          <w:lang w:val="en-GB"/>
        </w:rPr>
        <w:t>Do not throw away any medicines via wastewater or household waste. Ask your pharmacist how to throw away medicines you no longer use. These measures will help protect the environment.</w:t>
      </w:r>
    </w:p>
    <w:p w14:paraId="1B6810B5" w14:textId="77777777" w:rsidR="008A04A6" w:rsidRPr="00654EF1" w:rsidRDefault="008A04A6" w:rsidP="001D5C8C">
      <w:pPr>
        <w:widowControl w:val="0"/>
        <w:numPr>
          <w:ilvl w:val="12"/>
          <w:numId w:val="0"/>
        </w:numPr>
        <w:tabs>
          <w:tab w:val="clear" w:pos="567"/>
        </w:tabs>
        <w:spacing w:line="240" w:lineRule="auto"/>
        <w:ind w:right="-2"/>
        <w:rPr>
          <w:color w:val="000000"/>
          <w:szCs w:val="22"/>
        </w:rPr>
      </w:pPr>
    </w:p>
    <w:p w14:paraId="1B6810B6" w14:textId="77777777" w:rsidR="004C3AFB" w:rsidRPr="00654EF1" w:rsidRDefault="004C3AFB" w:rsidP="001D5C8C">
      <w:pPr>
        <w:widowControl w:val="0"/>
        <w:numPr>
          <w:ilvl w:val="12"/>
          <w:numId w:val="0"/>
        </w:numPr>
        <w:tabs>
          <w:tab w:val="clear" w:pos="567"/>
        </w:tabs>
        <w:spacing w:line="240" w:lineRule="auto"/>
        <w:ind w:right="-2"/>
        <w:rPr>
          <w:color w:val="000000"/>
          <w:szCs w:val="22"/>
        </w:rPr>
      </w:pPr>
    </w:p>
    <w:p w14:paraId="1B6810B7" w14:textId="77777777" w:rsidR="008A04A6" w:rsidRPr="00654EF1" w:rsidRDefault="008A04A6" w:rsidP="001D5C8C">
      <w:pPr>
        <w:keepNext/>
        <w:widowControl w:val="0"/>
        <w:numPr>
          <w:ilvl w:val="12"/>
          <w:numId w:val="0"/>
        </w:numPr>
        <w:tabs>
          <w:tab w:val="clear" w:pos="567"/>
        </w:tabs>
        <w:spacing w:line="240" w:lineRule="auto"/>
        <w:ind w:right="-2"/>
        <w:rPr>
          <w:caps/>
          <w:color w:val="000000"/>
          <w:szCs w:val="22"/>
        </w:rPr>
      </w:pPr>
      <w:r w:rsidRPr="00654EF1">
        <w:rPr>
          <w:b/>
          <w:caps/>
          <w:color w:val="000000"/>
          <w:szCs w:val="22"/>
        </w:rPr>
        <w:t>6.</w:t>
      </w:r>
      <w:r w:rsidRPr="00654EF1">
        <w:rPr>
          <w:b/>
          <w:caps/>
          <w:color w:val="000000"/>
          <w:szCs w:val="22"/>
        </w:rPr>
        <w:tab/>
      </w:r>
      <w:r w:rsidRPr="00654EF1">
        <w:rPr>
          <w:b/>
          <w:color w:val="000000"/>
          <w:szCs w:val="22"/>
        </w:rPr>
        <w:t>Contents of the pack and other information</w:t>
      </w:r>
    </w:p>
    <w:p w14:paraId="1B6810B8" w14:textId="77777777" w:rsidR="006237AB" w:rsidRPr="00654EF1" w:rsidRDefault="006237AB" w:rsidP="001D5C8C">
      <w:pPr>
        <w:keepNext/>
        <w:widowControl w:val="0"/>
        <w:numPr>
          <w:ilvl w:val="12"/>
          <w:numId w:val="0"/>
        </w:numPr>
        <w:tabs>
          <w:tab w:val="clear" w:pos="567"/>
        </w:tabs>
        <w:spacing w:line="240" w:lineRule="auto"/>
        <w:ind w:right="-2"/>
        <w:rPr>
          <w:color w:val="000000"/>
          <w:szCs w:val="22"/>
        </w:rPr>
      </w:pPr>
    </w:p>
    <w:p w14:paraId="1B6810B9" w14:textId="77777777" w:rsidR="00E95FB4" w:rsidRPr="00654EF1" w:rsidRDefault="002E028E" w:rsidP="001D5C8C">
      <w:pPr>
        <w:pStyle w:val="EndnoteText"/>
        <w:keepNext/>
        <w:widowControl w:val="0"/>
        <w:tabs>
          <w:tab w:val="clear" w:pos="567"/>
        </w:tabs>
        <w:rPr>
          <w:b/>
          <w:color w:val="000000"/>
          <w:szCs w:val="22"/>
        </w:rPr>
      </w:pPr>
      <w:r w:rsidRPr="00654EF1">
        <w:rPr>
          <w:b/>
          <w:color w:val="000000"/>
          <w:szCs w:val="22"/>
        </w:rPr>
        <w:t>What Glivec contains</w:t>
      </w:r>
    </w:p>
    <w:p w14:paraId="4427F109" w14:textId="77777777" w:rsidR="00D45B57" w:rsidRDefault="00E95FB4"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The active substance is imatinib mesilate.</w:t>
      </w:r>
    </w:p>
    <w:p w14:paraId="1B6810BA" w14:textId="64F114AD" w:rsidR="00E95FB4" w:rsidRPr="00654EF1" w:rsidRDefault="00621BDD" w:rsidP="00D45B57">
      <w:pPr>
        <w:widowControl w:val="0"/>
        <w:numPr>
          <w:ilvl w:val="0"/>
          <w:numId w:val="1"/>
        </w:numPr>
        <w:tabs>
          <w:tab w:val="clear" w:pos="567"/>
        </w:tabs>
        <w:spacing w:line="240" w:lineRule="auto"/>
        <w:ind w:left="1134" w:right="-2" w:hanging="567"/>
        <w:rPr>
          <w:color w:val="000000"/>
          <w:szCs w:val="22"/>
        </w:rPr>
      </w:pPr>
      <w:r w:rsidRPr="00654EF1">
        <w:rPr>
          <w:color w:val="000000"/>
          <w:szCs w:val="22"/>
        </w:rPr>
        <w:t xml:space="preserve">Each </w:t>
      </w:r>
      <w:r w:rsidR="00D45B57">
        <w:rPr>
          <w:color w:val="000000"/>
          <w:szCs w:val="22"/>
        </w:rPr>
        <w:t xml:space="preserve">100 mg </w:t>
      </w:r>
      <w:r w:rsidRPr="00654EF1">
        <w:rPr>
          <w:color w:val="000000"/>
          <w:szCs w:val="22"/>
        </w:rPr>
        <w:t>tablet of Glivec contains 100 mg imatinib</w:t>
      </w:r>
      <w:r w:rsidR="008A04A6" w:rsidRPr="00654EF1">
        <w:rPr>
          <w:color w:val="000000"/>
          <w:szCs w:val="22"/>
        </w:rPr>
        <w:t xml:space="preserve"> (as</w:t>
      </w:r>
      <w:r w:rsidRPr="00654EF1">
        <w:rPr>
          <w:color w:val="000000"/>
          <w:szCs w:val="22"/>
        </w:rPr>
        <w:t xml:space="preserve"> mesilate</w:t>
      </w:r>
      <w:r w:rsidR="008A04A6" w:rsidRPr="00654EF1">
        <w:rPr>
          <w:color w:val="000000"/>
          <w:szCs w:val="22"/>
        </w:rPr>
        <w:t>)</w:t>
      </w:r>
      <w:r w:rsidRPr="00654EF1">
        <w:rPr>
          <w:color w:val="000000"/>
          <w:szCs w:val="22"/>
        </w:rPr>
        <w:t>.</w:t>
      </w:r>
    </w:p>
    <w:p w14:paraId="19E3F9DF" w14:textId="77777777" w:rsidR="00D45B57" w:rsidRPr="00654EF1" w:rsidRDefault="00D45B57" w:rsidP="00D45B57">
      <w:pPr>
        <w:widowControl w:val="0"/>
        <w:numPr>
          <w:ilvl w:val="0"/>
          <w:numId w:val="1"/>
        </w:numPr>
        <w:tabs>
          <w:tab w:val="clear" w:pos="567"/>
        </w:tabs>
        <w:spacing w:line="240" w:lineRule="auto"/>
        <w:ind w:left="1134" w:right="-2" w:hanging="567"/>
        <w:rPr>
          <w:color w:val="000000"/>
          <w:szCs w:val="22"/>
        </w:rPr>
      </w:pPr>
      <w:r w:rsidRPr="00654EF1">
        <w:rPr>
          <w:color w:val="000000"/>
          <w:szCs w:val="22"/>
        </w:rPr>
        <w:t xml:space="preserve">Each </w:t>
      </w:r>
      <w:r>
        <w:rPr>
          <w:color w:val="000000"/>
          <w:szCs w:val="22"/>
        </w:rPr>
        <w:t xml:space="preserve">400 mg </w:t>
      </w:r>
      <w:r w:rsidRPr="00654EF1">
        <w:rPr>
          <w:color w:val="000000"/>
          <w:szCs w:val="22"/>
        </w:rPr>
        <w:t>tablet of Glivec contains 400 mg imatinib (as mesilate).</w:t>
      </w:r>
    </w:p>
    <w:p w14:paraId="1B6810BB" w14:textId="77777777" w:rsidR="00E95FB4" w:rsidRPr="00654EF1" w:rsidRDefault="00E95FB4"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The other ingredients are microcrystalline cellulose, crospovidone, hypromellose, magnesium stearate and anhydrous colloidal silica.</w:t>
      </w:r>
    </w:p>
    <w:p w14:paraId="1B6810BC" w14:textId="77777777" w:rsidR="00E95FB4" w:rsidRPr="00654EF1" w:rsidRDefault="00E95FB4" w:rsidP="001D5C8C">
      <w:pPr>
        <w:widowControl w:val="0"/>
        <w:numPr>
          <w:ilvl w:val="0"/>
          <w:numId w:val="1"/>
        </w:numPr>
        <w:tabs>
          <w:tab w:val="clear" w:pos="567"/>
        </w:tabs>
        <w:spacing w:line="240" w:lineRule="auto"/>
        <w:ind w:left="567" w:right="-2" w:hanging="567"/>
        <w:rPr>
          <w:color w:val="000000"/>
          <w:szCs w:val="22"/>
        </w:rPr>
      </w:pPr>
      <w:r w:rsidRPr="00654EF1">
        <w:rPr>
          <w:color w:val="000000"/>
          <w:szCs w:val="22"/>
        </w:rPr>
        <w:t xml:space="preserve">The </w:t>
      </w:r>
      <w:r w:rsidR="00621BDD" w:rsidRPr="00654EF1">
        <w:rPr>
          <w:color w:val="000000"/>
          <w:szCs w:val="22"/>
        </w:rPr>
        <w:t xml:space="preserve">tablet </w:t>
      </w:r>
      <w:r w:rsidRPr="00654EF1">
        <w:rPr>
          <w:color w:val="000000"/>
          <w:szCs w:val="22"/>
        </w:rPr>
        <w:t xml:space="preserve">coating is </w:t>
      </w:r>
      <w:r w:rsidR="00621BDD" w:rsidRPr="00654EF1">
        <w:rPr>
          <w:color w:val="000000"/>
          <w:szCs w:val="22"/>
        </w:rPr>
        <w:t xml:space="preserve">made </w:t>
      </w:r>
      <w:r w:rsidRPr="00654EF1">
        <w:rPr>
          <w:color w:val="000000"/>
          <w:szCs w:val="22"/>
        </w:rPr>
        <w:t>of red iron oxide (E172), yellow iron oxide (E172), macrogol, talc and hypromellose.</w:t>
      </w:r>
    </w:p>
    <w:p w14:paraId="1B6810BD" w14:textId="77777777" w:rsidR="002E028E" w:rsidRPr="00654EF1" w:rsidRDefault="002E028E" w:rsidP="001D5C8C">
      <w:pPr>
        <w:pStyle w:val="Text"/>
        <w:widowControl w:val="0"/>
        <w:spacing w:before="0"/>
        <w:jc w:val="left"/>
        <w:rPr>
          <w:color w:val="000000"/>
          <w:sz w:val="22"/>
          <w:szCs w:val="22"/>
          <w:lang w:val="en-GB"/>
        </w:rPr>
      </w:pPr>
    </w:p>
    <w:p w14:paraId="1B6810BE" w14:textId="77777777" w:rsidR="002E028E" w:rsidRPr="00654EF1" w:rsidRDefault="002E028E" w:rsidP="001D5C8C">
      <w:pPr>
        <w:pStyle w:val="Text"/>
        <w:keepNext/>
        <w:widowControl w:val="0"/>
        <w:spacing w:before="0"/>
        <w:jc w:val="left"/>
        <w:rPr>
          <w:b/>
          <w:color w:val="000000"/>
          <w:sz w:val="22"/>
          <w:szCs w:val="22"/>
          <w:lang w:val="en-GB"/>
        </w:rPr>
      </w:pPr>
      <w:r w:rsidRPr="00654EF1">
        <w:rPr>
          <w:b/>
          <w:color w:val="000000"/>
          <w:sz w:val="22"/>
          <w:szCs w:val="22"/>
          <w:lang w:val="en-GB"/>
        </w:rPr>
        <w:lastRenderedPageBreak/>
        <w:t>What Glivec looks like and contents of the pack</w:t>
      </w:r>
    </w:p>
    <w:p w14:paraId="1B6810BF" w14:textId="77777777" w:rsidR="00E95FB4" w:rsidRPr="00654EF1" w:rsidRDefault="002E028E" w:rsidP="001D5C8C">
      <w:pPr>
        <w:pStyle w:val="EndnoteText"/>
        <w:widowControl w:val="0"/>
        <w:numPr>
          <w:ilvl w:val="12"/>
          <w:numId w:val="0"/>
        </w:numPr>
        <w:tabs>
          <w:tab w:val="clear" w:pos="567"/>
        </w:tabs>
        <w:rPr>
          <w:color w:val="000000"/>
          <w:szCs w:val="22"/>
        </w:rPr>
      </w:pPr>
      <w:r w:rsidRPr="00654EF1">
        <w:rPr>
          <w:color w:val="000000"/>
          <w:szCs w:val="22"/>
        </w:rPr>
        <w:t>Glivec 100 mg film-coated tablets are very dark yellow to brownish-orange round tablets</w:t>
      </w:r>
      <w:r w:rsidR="00621BDD" w:rsidRPr="00654EF1">
        <w:rPr>
          <w:color w:val="000000"/>
          <w:szCs w:val="22"/>
        </w:rPr>
        <w:t xml:space="preserve">. They have </w:t>
      </w:r>
      <w:r w:rsidRPr="00654EF1">
        <w:rPr>
          <w:color w:val="000000"/>
          <w:szCs w:val="22"/>
        </w:rPr>
        <w:t>“</w:t>
      </w:r>
      <w:smartTag w:uri="urn:schemas-microsoft-com:office:smarttags" w:element="stockticker">
        <w:r w:rsidRPr="00654EF1">
          <w:rPr>
            <w:color w:val="000000"/>
            <w:szCs w:val="22"/>
          </w:rPr>
          <w:t>NVR</w:t>
        </w:r>
      </w:smartTag>
      <w:r w:rsidRPr="00654EF1">
        <w:rPr>
          <w:color w:val="000000"/>
          <w:szCs w:val="22"/>
        </w:rPr>
        <w:t>” on one side and “SA” and a score line on the other side.</w:t>
      </w:r>
    </w:p>
    <w:p w14:paraId="79F2C1BC" w14:textId="77777777" w:rsidR="00D45B57" w:rsidRPr="00654EF1" w:rsidRDefault="00D45B57" w:rsidP="00D45B57">
      <w:pPr>
        <w:widowControl w:val="0"/>
        <w:tabs>
          <w:tab w:val="clear" w:pos="567"/>
        </w:tabs>
        <w:spacing w:line="240" w:lineRule="auto"/>
        <w:rPr>
          <w:color w:val="000000"/>
          <w:szCs w:val="22"/>
        </w:rPr>
      </w:pPr>
      <w:r w:rsidRPr="00654EF1">
        <w:rPr>
          <w:color w:val="000000"/>
          <w:szCs w:val="22"/>
        </w:rPr>
        <w:t>Glivec 400 mg film-coated tablets are very dark yellow to brownish-orange oval tablets. They have “glivec” on one side.</w:t>
      </w:r>
    </w:p>
    <w:p w14:paraId="1B6810C0" w14:textId="77777777" w:rsidR="002E028E" w:rsidRPr="00654EF1" w:rsidRDefault="002E028E" w:rsidP="001D5C8C">
      <w:pPr>
        <w:pStyle w:val="EndnoteText"/>
        <w:widowControl w:val="0"/>
        <w:numPr>
          <w:ilvl w:val="12"/>
          <w:numId w:val="0"/>
        </w:numPr>
        <w:tabs>
          <w:tab w:val="clear" w:pos="567"/>
        </w:tabs>
        <w:rPr>
          <w:color w:val="000000"/>
          <w:szCs w:val="22"/>
        </w:rPr>
      </w:pPr>
    </w:p>
    <w:p w14:paraId="1DE34600" w14:textId="0FB31003" w:rsidR="00D45B57" w:rsidRDefault="00D45B57" w:rsidP="001D5C8C">
      <w:pPr>
        <w:pStyle w:val="Text"/>
        <w:widowControl w:val="0"/>
        <w:spacing w:before="0"/>
        <w:jc w:val="left"/>
        <w:rPr>
          <w:color w:val="000000"/>
          <w:sz w:val="22"/>
          <w:szCs w:val="22"/>
        </w:rPr>
      </w:pPr>
      <w:r>
        <w:rPr>
          <w:color w:val="000000"/>
          <w:sz w:val="22"/>
          <w:szCs w:val="22"/>
        </w:rPr>
        <w:t>Glivec 100 mg film-coated tablets</w:t>
      </w:r>
      <w:r w:rsidR="002E028E" w:rsidRPr="00654EF1">
        <w:rPr>
          <w:color w:val="000000"/>
          <w:sz w:val="22"/>
          <w:szCs w:val="22"/>
        </w:rPr>
        <w:t xml:space="preserve"> are supplied in packs containing 20, 60, 120 or 180 tablets</w:t>
      </w:r>
      <w:r w:rsidR="003101EE">
        <w:rPr>
          <w:color w:val="000000"/>
          <w:sz w:val="22"/>
          <w:szCs w:val="22"/>
        </w:rPr>
        <w:t>.</w:t>
      </w:r>
    </w:p>
    <w:p w14:paraId="3F84EBDE" w14:textId="77777777" w:rsidR="00D45B57" w:rsidRDefault="00D45B57" w:rsidP="00D45B57">
      <w:pPr>
        <w:pStyle w:val="Text"/>
        <w:widowControl w:val="0"/>
        <w:spacing w:before="0"/>
        <w:jc w:val="left"/>
        <w:rPr>
          <w:color w:val="000000"/>
          <w:sz w:val="22"/>
          <w:szCs w:val="22"/>
        </w:rPr>
      </w:pPr>
      <w:r>
        <w:rPr>
          <w:color w:val="000000"/>
          <w:sz w:val="22"/>
          <w:szCs w:val="22"/>
        </w:rPr>
        <w:t xml:space="preserve">Glivec 400 mg film-coated tablets </w:t>
      </w:r>
      <w:r w:rsidRPr="00654EF1">
        <w:rPr>
          <w:color w:val="000000"/>
          <w:sz w:val="22"/>
          <w:szCs w:val="22"/>
        </w:rPr>
        <w:t>are supplied in packs containing</w:t>
      </w:r>
      <w:r>
        <w:rPr>
          <w:color w:val="000000"/>
          <w:sz w:val="22"/>
          <w:szCs w:val="22"/>
        </w:rPr>
        <w:t xml:space="preserve"> </w:t>
      </w:r>
      <w:r w:rsidRPr="00654EF1">
        <w:rPr>
          <w:color w:val="000000"/>
          <w:sz w:val="22"/>
          <w:szCs w:val="22"/>
        </w:rPr>
        <w:t>10, 30 or 90 table</w:t>
      </w:r>
      <w:r>
        <w:rPr>
          <w:color w:val="000000"/>
          <w:sz w:val="22"/>
          <w:szCs w:val="22"/>
        </w:rPr>
        <w:t>ts.</w:t>
      </w:r>
    </w:p>
    <w:p w14:paraId="1B6810C1" w14:textId="6379EA6D" w:rsidR="002E028E" w:rsidRPr="00654EF1" w:rsidRDefault="00D45B57" w:rsidP="001D5C8C">
      <w:pPr>
        <w:pStyle w:val="Text"/>
        <w:widowControl w:val="0"/>
        <w:spacing w:before="0"/>
        <w:jc w:val="left"/>
        <w:rPr>
          <w:color w:val="000000"/>
          <w:sz w:val="22"/>
          <w:szCs w:val="22"/>
          <w:lang w:val="en-GB"/>
        </w:rPr>
      </w:pPr>
      <w:r>
        <w:rPr>
          <w:color w:val="000000"/>
          <w:sz w:val="22"/>
          <w:szCs w:val="22"/>
        </w:rPr>
        <w:t>T</w:t>
      </w:r>
      <w:r w:rsidR="002E028E" w:rsidRPr="00654EF1">
        <w:rPr>
          <w:color w:val="000000"/>
          <w:sz w:val="22"/>
          <w:szCs w:val="22"/>
        </w:rPr>
        <w:t>hese may not all be available in your country.</w:t>
      </w:r>
    </w:p>
    <w:p w14:paraId="1B6810C2" w14:textId="77777777" w:rsidR="002E028E" w:rsidRPr="00654EF1" w:rsidRDefault="002E028E" w:rsidP="001D5C8C">
      <w:pPr>
        <w:pStyle w:val="EndnoteText"/>
        <w:widowControl w:val="0"/>
        <w:numPr>
          <w:ilvl w:val="12"/>
          <w:numId w:val="0"/>
        </w:numPr>
        <w:tabs>
          <w:tab w:val="clear" w:pos="567"/>
        </w:tabs>
        <w:rPr>
          <w:color w:val="000000"/>
          <w:szCs w:val="22"/>
        </w:rPr>
      </w:pPr>
    </w:p>
    <w:p w14:paraId="1B6810C3" w14:textId="77777777" w:rsidR="00E95FB4" w:rsidRPr="00654EF1" w:rsidRDefault="00E95FB4" w:rsidP="001D5C8C">
      <w:pPr>
        <w:pStyle w:val="Heading2"/>
        <w:widowControl w:val="0"/>
        <w:spacing w:before="0" w:after="0" w:line="240" w:lineRule="auto"/>
        <w:rPr>
          <w:rFonts w:ascii="Times New Roman" w:hAnsi="Times New Roman"/>
          <w:i w:val="0"/>
          <w:color w:val="000000"/>
          <w:sz w:val="22"/>
          <w:szCs w:val="22"/>
        </w:rPr>
      </w:pPr>
      <w:r w:rsidRPr="00654EF1">
        <w:rPr>
          <w:rFonts w:ascii="Times New Roman" w:hAnsi="Times New Roman"/>
          <w:i w:val="0"/>
          <w:color w:val="000000"/>
          <w:sz w:val="22"/>
          <w:szCs w:val="22"/>
        </w:rPr>
        <w:t>Marketing Authorisation Holder</w:t>
      </w:r>
    </w:p>
    <w:p w14:paraId="1B6810C4" w14:textId="77777777" w:rsidR="00D52268" w:rsidRPr="00654EF1" w:rsidRDefault="00D52268" w:rsidP="001D5C8C">
      <w:pPr>
        <w:keepNext/>
        <w:widowControl w:val="0"/>
        <w:tabs>
          <w:tab w:val="clear" w:pos="567"/>
        </w:tabs>
        <w:autoSpaceDE w:val="0"/>
        <w:autoSpaceDN w:val="0"/>
        <w:adjustRightInd w:val="0"/>
        <w:spacing w:line="240" w:lineRule="auto"/>
        <w:rPr>
          <w:rFonts w:eastAsia="SimSun"/>
          <w:szCs w:val="22"/>
          <w:lang w:val="en-US"/>
        </w:rPr>
      </w:pPr>
      <w:r w:rsidRPr="00654EF1">
        <w:rPr>
          <w:rFonts w:eastAsia="SimSun"/>
          <w:szCs w:val="22"/>
          <w:lang w:val="en-US"/>
        </w:rPr>
        <w:t>Novartis Europharm Limited</w:t>
      </w:r>
    </w:p>
    <w:p w14:paraId="1B6810C5" w14:textId="77777777" w:rsidR="005716CE" w:rsidRPr="00654EF1" w:rsidRDefault="005716CE" w:rsidP="001D5C8C">
      <w:pPr>
        <w:keepNext/>
        <w:widowControl w:val="0"/>
        <w:spacing w:line="240" w:lineRule="auto"/>
        <w:rPr>
          <w:color w:val="000000"/>
        </w:rPr>
      </w:pPr>
      <w:r w:rsidRPr="00654EF1">
        <w:rPr>
          <w:color w:val="000000"/>
        </w:rPr>
        <w:t>Vista Building</w:t>
      </w:r>
    </w:p>
    <w:p w14:paraId="1B6810C6" w14:textId="77777777" w:rsidR="005716CE" w:rsidRPr="00654EF1" w:rsidRDefault="005716CE" w:rsidP="001D5C8C">
      <w:pPr>
        <w:keepNext/>
        <w:widowControl w:val="0"/>
        <w:spacing w:line="240" w:lineRule="auto"/>
        <w:rPr>
          <w:color w:val="000000"/>
        </w:rPr>
      </w:pPr>
      <w:r w:rsidRPr="00654EF1">
        <w:rPr>
          <w:color w:val="000000"/>
        </w:rPr>
        <w:t>Elm Park, Merrion Road</w:t>
      </w:r>
    </w:p>
    <w:p w14:paraId="1B6810C7" w14:textId="77777777" w:rsidR="005716CE" w:rsidRPr="00654EF1" w:rsidRDefault="005716CE" w:rsidP="001D5C8C">
      <w:pPr>
        <w:keepNext/>
        <w:widowControl w:val="0"/>
        <w:spacing w:line="240" w:lineRule="auto"/>
        <w:rPr>
          <w:color w:val="000000"/>
        </w:rPr>
      </w:pPr>
      <w:r w:rsidRPr="00654EF1">
        <w:rPr>
          <w:color w:val="000000"/>
        </w:rPr>
        <w:t>Dublin 4</w:t>
      </w:r>
    </w:p>
    <w:p w14:paraId="1B6810C8" w14:textId="77777777" w:rsidR="005716CE" w:rsidRPr="00654EF1" w:rsidRDefault="005716CE" w:rsidP="001D5C8C">
      <w:pPr>
        <w:spacing w:line="240" w:lineRule="auto"/>
        <w:rPr>
          <w:color w:val="000000"/>
        </w:rPr>
      </w:pPr>
      <w:r w:rsidRPr="00654EF1">
        <w:rPr>
          <w:color w:val="000000"/>
        </w:rPr>
        <w:t>Ireland</w:t>
      </w:r>
    </w:p>
    <w:p w14:paraId="1B6810C9" w14:textId="77777777" w:rsidR="00E95FB4" w:rsidRPr="00654EF1" w:rsidRDefault="00E95FB4" w:rsidP="001D5C8C">
      <w:pPr>
        <w:pStyle w:val="Text"/>
        <w:widowControl w:val="0"/>
        <w:spacing w:before="0"/>
        <w:jc w:val="left"/>
        <w:rPr>
          <w:color w:val="000000"/>
          <w:sz w:val="22"/>
          <w:szCs w:val="22"/>
          <w:lang w:val="en-GB"/>
        </w:rPr>
      </w:pPr>
    </w:p>
    <w:p w14:paraId="1B6810CA" w14:textId="77777777" w:rsidR="00E95FB4" w:rsidRPr="00654EF1" w:rsidRDefault="00E95FB4" w:rsidP="001D5C8C">
      <w:pPr>
        <w:pStyle w:val="Heading2"/>
        <w:widowControl w:val="0"/>
        <w:spacing w:before="0" w:after="0" w:line="240" w:lineRule="auto"/>
        <w:rPr>
          <w:rFonts w:ascii="Times New Roman" w:hAnsi="Times New Roman"/>
          <w:i w:val="0"/>
          <w:color w:val="000000"/>
          <w:sz w:val="22"/>
          <w:szCs w:val="22"/>
          <w:lang w:val="en-US"/>
        </w:rPr>
      </w:pPr>
      <w:r w:rsidRPr="00654EF1">
        <w:rPr>
          <w:rFonts w:ascii="Times New Roman" w:hAnsi="Times New Roman"/>
          <w:i w:val="0"/>
          <w:color w:val="000000"/>
          <w:sz w:val="22"/>
          <w:szCs w:val="22"/>
          <w:lang w:val="en-US"/>
        </w:rPr>
        <w:t>Manufacturer</w:t>
      </w:r>
    </w:p>
    <w:p w14:paraId="1B6810CB" w14:textId="77777777" w:rsidR="00F304A0" w:rsidRPr="00801D10" w:rsidRDefault="00F304A0" w:rsidP="001D5C8C">
      <w:pPr>
        <w:keepNext/>
        <w:widowControl w:val="0"/>
        <w:tabs>
          <w:tab w:val="left" w:pos="7513"/>
        </w:tabs>
        <w:spacing w:line="240" w:lineRule="auto"/>
        <w:rPr>
          <w:color w:val="000000"/>
          <w:szCs w:val="22"/>
          <w:lang w:val="en-US"/>
        </w:rPr>
      </w:pPr>
      <w:r w:rsidRPr="00801D10">
        <w:rPr>
          <w:color w:val="000000"/>
          <w:szCs w:val="22"/>
          <w:lang w:val="en-US"/>
        </w:rPr>
        <w:t>Lek d.d, PE PROIZVODNJA LENDAVA</w:t>
      </w:r>
    </w:p>
    <w:p w14:paraId="1B6810CC" w14:textId="77777777" w:rsidR="00F304A0" w:rsidRPr="00011E43" w:rsidRDefault="00F304A0" w:rsidP="001D5C8C">
      <w:pPr>
        <w:keepNext/>
        <w:widowControl w:val="0"/>
        <w:tabs>
          <w:tab w:val="left" w:pos="7513"/>
        </w:tabs>
        <w:spacing w:line="240" w:lineRule="auto"/>
        <w:rPr>
          <w:color w:val="000000"/>
          <w:szCs w:val="22"/>
          <w:lang w:val="it-IT"/>
        </w:rPr>
      </w:pPr>
      <w:r w:rsidRPr="00011E43">
        <w:rPr>
          <w:color w:val="000000"/>
          <w:szCs w:val="22"/>
          <w:lang w:val="it-IT"/>
        </w:rPr>
        <w:t>Trimlini 2D</w:t>
      </w:r>
    </w:p>
    <w:p w14:paraId="1B6810CD" w14:textId="77777777" w:rsidR="00F304A0" w:rsidRPr="00011E43" w:rsidRDefault="00F304A0" w:rsidP="001D5C8C">
      <w:pPr>
        <w:keepNext/>
        <w:widowControl w:val="0"/>
        <w:tabs>
          <w:tab w:val="left" w:pos="7513"/>
        </w:tabs>
        <w:spacing w:line="240" w:lineRule="auto"/>
        <w:rPr>
          <w:color w:val="000000"/>
          <w:szCs w:val="22"/>
          <w:lang w:val="it-IT"/>
        </w:rPr>
      </w:pPr>
      <w:r w:rsidRPr="00011E43">
        <w:rPr>
          <w:color w:val="000000"/>
          <w:szCs w:val="22"/>
          <w:lang w:val="it-IT"/>
        </w:rPr>
        <w:t>Lendava, 9220</w:t>
      </w:r>
    </w:p>
    <w:p w14:paraId="1B6810CE" w14:textId="77777777" w:rsidR="00F304A0" w:rsidRPr="00011E43" w:rsidRDefault="00F304A0" w:rsidP="001D5C8C">
      <w:pPr>
        <w:pStyle w:val="Text"/>
        <w:widowControl w:val="0"/>
        <w:spacing w:before="0"/>
        <w:jc w:val="left"/>
        <w:rPr>
          <w:color w:val="000000"/>
          <w:sz w:val="22"/>
          <w:szCs w:val="22"/>
          <w:lang w:val="it-IT"/>
        </w:rPr>
      </w:pPr>
      <w:r w:rsidRPr="00011E43">
        <w:rPr>
          <w:color w:val="000000"/>
          <w:sz w:val="22"/>
          <w:szCs w:val="22"/>
          <w:lang w:val="it-IT"/>
        </w:rPr>
        <w:t>Slovenia</w:t>
      </w:r>
    </w:p>
    <w:p w14:paraId="1B6810CF" w14:textId="77777777" w:rsidR="00F304A0" w:rsidRPr="00011E43" w:rsidRDefault="00F304A0" w:rsidP="001D5C8C">
      <w:pPr>
        <w:widowControl w:val="0"/>
        <w:tabs>
          <w:tab w:val="clear" w:pos="567"/>
        </w:tabs>
        <w:spacing w:line="240" w:lineRule="auto"/>
        <w:ind w:right="-2"/>
        <w:rPr>
          <w:color w:val="000000"/>
          <w:szCs w:val="22"/>
          <w:lang w:val="it-IT"/>
        </w:rPr>
      </w:pPr>
    </w:p>
    <w:p w14:paraId="1B6810D0" w14:textId="77777777" w:rsidR="00E95FB4" w:rsidRPr="00011E43" w:rsidRDefault="00E95FB4" w:rsidP="001D5C8C">
      <w:pPr>
        <w:keepNext/>
        <w:widowControl w:val="0"/>
        <w:tabs>
          <w:tab w:val="clear" w:pos="567"/>
        </w:tabs>
        <w:spacing w:line="240" w:lineRule="auto"/>
        <w:ind w:right="-2"/>
        <w:rPr>
          <w:color w:val="000000"/>
          <w:szCs w:val="22"/>
          <w:shd w:val="pct15" w:color="auto" w:fill="auto"/>
          <w:lang w:val="it-IT"/>
        </w:rPr>
      </w:pPr>
      <w:r w:rsidRPr="00011E43">
        <w:rPr>
          <w:color w:val="000000"/>
          <w:szCs w:val="22"/>
          <w:shd w:val="pct15" w:color="auto" w:fill="auto"/>
          <w:lang w:val="it-IT"/>
        </w:rPr>
        <w:t>Novartis Pharma GmbH</w:t>
      </w:r>
    </w:p>
    <w:p w14:paraId="1B6810D1" w14:textId="77777777" w:rsidR="00E95FB4" w:rsidRPr="0026351A" w:rsidRDefault="00E95FB4" w:rsidP="001D5C8C">
      <w:pPr>
        <w:keepNext/>
        <w:widowControl w:val="0"/>
        <w:tabs>
          <w:tab w:val="clear" w:pos="567"/>
        </w:tabs>
        <w:spacing w:line="240" w:lineRule="auto"/>
        <w:ind w:right="-2"/>
        <w:rPr>
          <w:color w:val="000000"/>
          <w:szCs w:val="22"/>
          <w:shd w:val="pct15" w:color="auto" w:fill="auto"/>
          <w:lang w:val="en-US"/>
        </w:rPr>
      </w:pPr>
      <w:r w:rsidRPr="0026351A">
        <w:rPr>
          <w:color w:val="000000"/>
          <w:szCs w:val="22"/>
          <w:shd w:val="pct15" w:color="auto" w:fill="auto"/>
          <w:lang w:val="en-US"/>
        </w:rPr>
        <w:t>Roonstra</w:t>
      </w:r>
      <w:r w:rsidR="008571EB" w:rsidRPr="0026351A">
        <w:rPr>
          <w:color w:val="000000"/>
          <w:szCs w:val="22"/>
          <w:shd w:val="pct15" w:color="auto" w:fill="auto"/>
          <w:lang w:val="en-US"/>
        </w:rPr>
        <w:t>ss</w:t>
      </w:r>
      <w:r w:rsidRPr="0026351A">
        <w:rPr>
          <w:color w:val="000000"/>
          <w:szCs w:val="22"/>
          <w:shd w:val="pct15" w:color="auto" w:fill="auto"/>
          <w:lang w:val="en-US"/>
        </w:rPr>
        <w:t>e 25</w:t>
      </w:r>
    </w:p>
    <w:p w14:paraId="1B6810D2" w14:textId="77777777" w:rsidR="00E95FB4" w:rsidRPr="0026351A" w:rsidRDefault="00E95FB4" w:rsidP="001D5C8C">
      <w:pPr>
        <w:keepNext/>
        <w:widowControl w:val="0"/>
        <w:tabs>
          <w:tab w:val="clear" w:pos="567"/>
        </w:tabs>
        <w:spacing w:line="240" w:lineRule="auto"/>
        <w:ind w:right="-2"/>
        <w:rPr>
          <w:color w:val="000000"/>
          <w:szCs w:val="22"/>
          <w:shd w:val="pct15" w:color="auto" w:fill="auto"/>
          <w:lang w:val="en-US"/>
        </w:rPr>
      </w:pPr>
      <w:r w:rsidRPr="0026351A">
        <w:rPr>
          <w:color w:val="000000"/>
          <w:szCs w:val="22"/>
          <w:shd w:val="pct15" w:color="auto" w:fill="auto"/>
          <w:lang w:val="en-US"/>
        </w:rPr>
        <w:t xml:space="preserve">D-90429 </w:t>
      </w:r>
      <w:smartTag w:uri="urn:schemas-microsoft-com:office:smarttags" w:element="City">
        <w:smartTag w:uri="urn:schemas-microsoft-com:office:smarttags" w:element="place">
          <w:r w:rsidRPr="0026351A">
            <w:rPr>
              <w:color w:val="000000"/>
              <w:szCs w:val="22"/>
              <w:shd w:val="pct15" w:color="auto" w:fill="auto"/>
              <w:lang w:val="en-US"/>
            </w:rPr>
            <w:t>Nuremberg</w:t>
          </w:r>
        </w:smartTag>
      </w:smartTag>
    </w:p>
    <w:p w14:paraId="1B6810D3" w14:textId="77777777" w:rsidR="00E95FB4" w:rsidRPr="00654EF1" w:rsidRDefault="00E95FB4" w:rsidP="001D5C8C">
      <w:pPr>
        <w:widowControl w:val="0"/>
        <w:tabs>
          <w:tab w:val="clear" w:pos="567"/>
        </w:tabs>
        <w:spacing w:line="240" w:lineRule="auto"/>
        <w:ind w:right="-2"/>
        <w:rPr>
          <w:color w:val="000000"/>
          <w:szCs w:val="22"/>
          <w:lang w:val="en-US"/>
        </w:rPr>
      </w:pPr>
      <w:smartTag w:uri="urn:schemas-microsoft-com:office:smarttags" w:element="country-region">
        <w:smartTag w:uri="urn:schemas-microsoft-com:office:smarttags" w:element="place">
          <w:r w:rsidRPr="0026351A">
            <w:rPr>
              <w:color w:val="000000"/>
              <w:szCs w:val="22"/>
              <w:shd w:val="pct15" w:color="auto" w:fill="auto"/>
              <w:lang w:val="en-US"/>
            </w:rPr>
            <w:t>Germany</w:t>
          </w:r>
        </w:smartTag>
      </w:smartTag>
    </w:p>
    <w:p w14:paraId="1B6810D4" w14:textId="77777777" w:rsidR="006822C7" w:rsidRPr="001B4689" w:rsidRDefault="006822C7" w:rsidP="001D5C8C">
      <w:pPr>
        <w:pStyle w:val="Text"/>
        <w:widowControl w:val="0"/>
        <w:spacing w:before="0"/>
        <w:jc w:val="left"/>
        <w:rPr>
          <w:color w:val="000000"/>
          <w:sz w:val="22"/>
          <w:szCs w:val="22"/>
          <w:lang w:val="en-GB"/>
        </w:rPr>
      </w:pPr>
    </w:p>
    <w:p w14:paraId="1B6810D5" w14:textId="77777777" w:rsidR="006237AB" w:rsidRPr="00654EF1" w:rsidRDefault="002E028E" w:rsidP="001D5C8C">
      <w:pPr>
        <w:widowControl w:val="0"/>
        <w:numPr>
          <w:ilvl w:val="12"/>
          <w:numId w:val="0"/>
        </w:numPr>
        <w:tabs>
          <w:tab w:val="clear" w:pos="567"/>
        </w:tabs>
        <w:spacing w:line="240" w:lineRule="auto"/>
        <w:ind w:right="-2"/>
        <w:rPr>
          <w:color w:val="000000"/>
          <w:szCs w:val="22"/>
        </w:rPr>
      </w:pPr>
      <w:r w:rsidRPr="00654EF1">
        <w:rPr>
          <w:color w:val="000000"/>
          <w:szCs w:val="22"/>
        </w:rPr>
        <w:t xml:space="preserve">For any information </w:t>
      </w:r>
      <w:r w:rsidR="006237AB" w:rsidRPr="00654EF1">
        <w:rPr>
          <w:color w:val="000000"/>
          <w:szCs w:val="22"/>
        </w:rPr>
        <w:t>about this medicin</w:t>
      </w:r>
      <w:r w:rsidR="003B2202" w:rsidRPr="00654EF1">
        <w:rPr>
          <w:color w:val="000000"/>
          <w:szCs w:val="22"/>
        </w:rPr>
        <w:t>e</w:t>
      </w:r>
      <w:r w:rsidR="006237AB" w:rsidRPr="00654EF1">
        <w:rPr>
          <w:color w:val="000000"/>
          <w:szCs w:val="22"/>
        </w:rPr>
        <w:t>, please contact the local representative of the Marketing Authorisation Holder.</w:t>
      </w:r>
    </w:p>
    <w:p w14:paraId="1B6810D6" w14:textId="77777777" w:rsidR="0000054D" w:rsidRPr="00654EF1" w:rsidRDefault="0000054D" w:rsidP="001D5C8C">
      <w:pPr>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00054D" w:rsidRPr="00654EF1" w14:paraId="1B6810DF" w14:textId="77777777" w:rsidTr="007F373C">
        <w:trPr>
          <w:cantSplit/>
        </w:trPr>
        <w:tc>
          <w:tcPr>
            <w:tcW w:w="4650" w:type="dxa"/>
          </w:tcPr>
          <w:p w14:paraId="1B6810D7"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België/Belgique/Belgien</w:t>
            </w:r>
          </w:p>
          <w:p w14:paraId="1B6810D8"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N.V.</w:t>
            </w:r>
          </w:p>
          <w:p w14:paraId="1B6810D9" w14:textId="77777777" w:rsidR="0000054D" w:rsidRPr="00654EF1" w:rsidRDefault="0000054D" w:rsidP="001D5C8C">
            <w:pPr>
              <w:widowControl w:val="0"/>
              <w:spacing w:line="240" w:lineRule="auto"/>
              <w:rPr>
                <w:color w:val="000000"/>
                <w:szCs w:val="22"/>
              </w:rPr>
            </w:pPr>
            <w:r w:rsidRPr="00654EF1">
              <w:rPr>
                <w:color w:val="000000"/>
                <w:szCs w:val="22"/>
              </w:rPr>
              <w:t>Tél/Tel: +32 2 246 16 11</w:t>
            </w:r>
          </w:p>
          <w:p w14:paraId="1B6810DA" w14:textId="77777777" w:rsidR="0000054D" w:rsidRPr="00654EF1" w:rsidRDefault="0000054D" w:rsidP="001D5C8C">
            <w:pPr>
              <w:widowControl w:val="0"/>
              <w:spacing w:line="240" w:lineRule="auto"/>
              <w:rPr>
                <w:b/>
                <w:color w:val="000000"/>
                <w:szCs w:val="22"/>
              </w:rPr>
            </w:pPr>
          </w:p>
        </w:tc>
        <w:tc>
          <w:tcPr>
            <w:tcW w:w="4650" w:type="dxa"/>
          </w:tcPr>
          <w:p w14:paraId="1B6810DB" w14:textId="77777777" w:rsidR="0000054D" w:rsidRPr="00654EF1" w:rsidRDefault="0000054D" w:rsidP="001D5C8C">
            <w:pPr>
              <w:widowControl w:val="0"/>
              <w:spacing w:line="240" w:lineRule="auto"/>
              <w:rPr>
                <w:b/>
                <w:color w:val="000000"/>
                <w:szCs w:val="22"/>
                <w:lang w:val="es-ES"/>
              </w:rPr>
            </w:pPr>
            <w:r w:rsidRPr="00654EF1">
              <w:rPr>
                <w:b/>
                <w:color w:val="000000"/>
                <w:szCs w:val="22"/>
                <w:lang w:val="es-ES"/>
              </w:rPr>
              <w:t>Lietuva</w:t>
            </w:r>
          </w:p>
          <w:p w14:paraId="1B6810DC" w14:textId="7E402F6E" w:rsidR="0000054D" w:rsidRPr="00654EF1" w:rsidRDefault="0061458F" w:rsidP="001D5C8C">
            <w:pPr>
              <w:widowControl w:val="0"/>
              <w:spacing w:line="240" w:lineRule="auto"/>
              <w:rPr>
                <w:color w:val="000000"/>
                <w:szCs w:val="22"/>
                <w:lang w:val="es-ES"/>
              </w:rPr>
            </w:pPr>
            <w:r w:rsidRPr="00654EF1">
              <w:rPr>
                <w:szCs w:val="22"/>
                <w:lang w:val="es-ES"/>
              </w:rPr>
              <w:t>SIA Novartis Baltics Lietuvos filialas</w:t>
            </w:r>
          </w:p>
          <w:p w14:paraId="1B6810DD" w14:textId="77777777" w:rsidR="0000054D" w:rsidRPr="00654EF1" w:rsidRDefault="0000054D" w:rsidP="001D5C8C">
            <w:pPr>
              <w:widowControl w:val="0"/>
              <w:spacing w:line="240" w:lineRule="auto"/>
              <w:rPr>
                <w:color w:val="000000"/>
                <w:szCs w:val="22"/>
                <w:lang w:val="es-ES"/>
              </w:rPr>
            </w:pPr>
            <w:r w:rsidRPr="00654EF1">
              <w:rPr>
                <w:color w:val="000000"/>
                <w:szCs w:val="22"/>
                <w:lang w:val="es-ES"/>
              </w:rPr>
              <w:t>Tel: +370 5 269 16 50</w:t>
            </w:r>
          </w:p>
          <w:p w14:paraId="1B6810DE" w14:textId="77777777" w:rsidR="0000054D" w:rsidRPr="00654EF1" w:rsidRDefault="0000054D" w:rsidP="001D5C8C">
            <w:pPr>
              <w:widowControl w:val="0"/>
              <w:spacing w:line="240" w:lineRule="auto"/>
              <w:rPr>
                <w:color w:val="000000"/>
                <w:szCs w:val="22"/>
                <w:lang w:val="es-ES"/>
              </w:rPr>
            </w:pPr>
          </w:p>
        </w:tc>
      </w:tr>
      <w:tr w:rsidR="0000054D" w:rsidRPr="00654EF1" w14:paraId="1B6810E8" w14:textId="77777777" w:rsidTr="007F373C">
        <w:trPr>
          <w:cantSplit/>
        </w:trPr>
        <w:tc>
          <w:tcPr>
            <w:tcW w:w="4650" w:type="dxa"/>
          </w:tcPr>
          <w:p w14:paraId="1B6810E0" w14:textId="77777777" w:rsidR="0000054D" w:rsidRPr="00801D10" w:rsidRDefault="0000054D" w:rsidP="001D5C8C">
            <w:pPr>
              <w:widowControl w:val="0"/>
              <w:spacing w:line="240" w:lineRule="auto"/>
              <w:rPr>
                <w:b/>
                <w:noProof/>
                <w:color w:val="000000"/>
                <w:szCs w:val="22"/>
              </w:rPr>
            </w:pPr>
            <w:r w:rsidRPr="00654EF1">
              <w:rPr>
                <w:b/>
                <w:noProof/>
                <w:color w:val="000000"/>
                <w:szCs w:val="22"/>
              </w:rPr>
              <w:t>България</w:t>
            </w:r>
          </w:p>
          <w:p w14:paraId="1B6810E1" w14:textId="77777777" w:rsidR="0000054D" w:rsidRPr="00801D10" w:rsidRDefault="004E3C11" w:rsidP="001D5C8C">
            <w:pPr>
              <w:widowControl w:val="0"/>
              <w:spacing w:line="240" w:lineRule="auto"/>
              <w:rPr>
                <w:noProof/>
                <w:color w:val="000000"/>
                <w:szCs w:val="22"/>
              </w:rPr>
            </w:pPr>
            <w:r w:rsidRPr="00801D10">
              <w:rPr>
                <w:szCs w:val="22"/>
              </w:rPr>
              <w:t>Novartis Bulgaria EOOD</w:t>
            </w:r>
          </w:p>
          <w:p w14:paraId="1B6810E2" w14:textId="77777777" w:rsidR="0000054D" w:rsidRPr="00F03236" w:rsidRDefault="0000054D" w:rsidP="001D5C8C">
            <w:pPr>
              <w:widowControl w:val="0"/>
              <w:spacing w:line="240" w:lineRule="auto"/>
              <w:rPr>
                <w:noProof/>
                <w:color w:val="000000"/>
                <w:szCs w:val="22"/>
              </w:rPr>
            </w:pPr>
            <w:r w:rsidRPr="00654EF1">
              <w:rPr>
                <w:noProof/>
                <w:color w:val="000000"/>
                <w:szCs w:val="22"/>
              </w:rPr>
              <w:t>Тел</w:t>
            </w:r>
            <w:r w:rsidRPr="00F03236">
              <w:rPr>
                <w:noProof/>
                <w:color w:val="000000"/>
                <w:szCs w:val="22"/>
              </w:rPr>
              <w:t>.: +359 2 489 98 28</w:t>
            </w:r>
          </w:p>
          <w:p w14:paraId="1B6810E3" w14:textId="77777777" w:rsidR="0000054D" w:rsidRPr="00654EF1" w:rsidRDefault="0000054D" w:rsidP="001D5C8C">
            <w:pPr>
              <w:widowControl w:val="0"/>
              <w:spacing w:line="240" w:lineRule="auto"/>
              <w:rPr>
                <w:b/>
                <w:color w:val="000000"/>
                <w:szCs w:val="22"/>
                <w:lang w:val="pt-BR"/>
              </w:rPr>
            </w:pPr>
          </w:p>
        </w:tc>
        <w:tc>
          <w:tcPr>
            <w:tcW w:w="4650" w:type="dxa"/>
          </w:tcPr>
          <w:p w14:paraId="1B6810E4"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Luxembourg/Luxemburg</w:t>
            </w:r>
          </w:p>
          <w:p w14:paraId="1B6810E5"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N.V.</w:t>
            </w:r>
          </w:p>
          <w:p w14:paraId="1B6810E6"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Tél/Tel: +32 2 246 16 11</w:t>
            </w:r>
          </w:p>
          <w:p w14:paraId="1B6810E7" w14:textId="77777777" w:rsidR="0000054D" w:rsidRPr="00654EF1" w:rsidRDefault="0000054D" w:rsidP="001D5C8C">
            <w:pPr>
              <w:widowControl w:val="0"/>
              <w:spacing w:line="240" w:lineRule="auto"/>
              <w:rPr>
                <w:color w:val="000000"/>
                <w:szCs w:val="22"/>
                <w:lang w:val="de-CH"/>
              </w:rPr>
            </w:pPr>
          </w:p>
        </w:tc>
      </w:tr>
      <w:tr w:rsidR="0000054D" w:rsidRPr="00654EF1" w14:paraId="1B6810F0" w14:textId="77777777" w:rsidTr="007F373C">
        <w:trPr>
          <w:cantSplit/>
        </w:trPr>
        <w:tc>
          <w:tcPr>
            <w:tcW w:w="4650" w:type="dxa"/>
          </w:tcPr>
          <w:p w14:paraId="1B6810E9"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Česká republika</w:t>
            </w:r>
          </w:p>
          <w:p w14:paraId="1B6810EA"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s.r.o.</w:t>
            </w:r>
          </w:p>
          <w:p w14:paraId="1B6810EB" w14:textId="77777777" w:rsidR="0000054D" w:rsidRPr="00654EF1" w:rsidRDefault="0000054D" w:rsidP="001D5C8C">
            <w:pPr>
              <w:widowControl w:val="0"/>
              <w:spacing w:line="240" w:lineRule="auto"/>
              <w:rPr>
                <w:color w:val="000000"/>
                <w:szCs w:val="22"/>
              </w:rPr>
            </w:pPr>
            <w:r w:rsidRPr="00654EF1">
              <w:rPr>
                <w:color w:val="000000"/>
                <w:szCs w:val="22"/>
              </w:rPr>
              <w:t>Tel: +420 225 775 111</w:t>
            </w:r>
          </w:p>
          <w:p w14:paraId="1B6810EC" w14:textId="77777777" w:rsidR="0000054D" w:rsidRPr="00654EF1" w:rsidRDefault="0000054D" w:rsidP="001D5C8C">
            <w:pPr>
              <w:widowControl w:val="0"/>
              <w:spacing w:line="240" w:lineRule="auto"/>
              <w:rPr>
                <w:b/>
                <w:color w:val="000000"/>
                <w:szCs w:val="22"/>
              </w:rPr>
            </w:pPr>
          </w:p>
        </w:tc>
        <w:tc>
          <w:tcPr>
            <w:tcW w:w="4650" w:type="dxa"/>
          </w:tcPr>
          <w:p w14:paraId="1B6810ED" w14:textId="77777777" w:rsidR="0000054D" w:rsidRPr="00011E43" w:rsidRDefault="0000054D" w:rsidP="001D5C8C">
            <w:pPr>
              <w:widowControl w:val="0"/>
              <w:spacing w:line="240" w:lineRule="auto"/>
              <w:rPr>
                <w:b/>
                <w:color w:val="000000"/>
                <w:szCs w:val="22"/>
              </w:rPr>
            </w:pPr>
            <w:r w:rsidRPr="00011E43">
              <w:rPr>
                <w:b/>
                <w:color w:val="000000"/>
                <w:szCs w:val="22"/>
              </w:rPr>
              <w:t>Magyarország</w:t>
            </w:r>
          </w:p>
          <w:p w14:paraId="1B6810EE" w14:textId="77777777" w:rsidR="0000054D" w:rsidRPr="00011E43" w:rsidRDefault="0000054D" w:rsidP="001D5C8C">
            <w:pPr>
              <w:widowControl w:val="0"/>
              <w:spacing w:line="240" w:lineRule="auto"/>
              <w:rPr>
                <w:color w:val="000000"/>
                <w:szCs w:val="22"/>
              </w:rPr>
            </w:pPr>
            <w:r w:rsidRPr="00011E43">
              <w:rPr>
                <w:color w:val="000000"/>
                <w:szCs w:val="22"/>
              </w:rPr>
              <w:t>Novartis Hungária Kft.</w:t>
            </w:r>
          </w:p>
          <w:p w14:paraId="1B6810EF" w14:textId="77777777" w:rsidR="0000054D" w:rsidRPr="00011E43" w:rsidRDefault="0000054D" w:rsidP="001D5C8C">
            <w:pPr>
              <w:widowControl w:val="0"/>
              <w:spacing w:line="240" w:lineRule="auto"/>
              <w:rPr>
                <w:color w:val="000000"/>
                <w:szCs w:val="22"/>
              </w:rPr>
            </w:pPr>
            <w:r w:rsidRPr="00011E43">
              <w:rPr>
                <w:color w:val="000000"/>
                <w:szCs w:val="22"/>
              </w:rPr>
              <w:t>Tel.: +36 1 457 65 00</w:t>
            </w:r>
          </w:p>
        </w:tc>
      </w:tr>
      <w:tr w:rsidR="0000054D" w:rsidRPr="00654EF1" w14:paraId="1B6810F8" w14:textId="77777777" w:rsidTr="007F373C">
        <w:trPr>
          <w:cantSplit/>
        </w:trPr>
        <w:tc>
          <w:tcPr>
            <w:tcW w:w="4650" w:type="dxa"/>
          </w:tcPr>
          <w:p w14:paraId="1B6810F1" w14:textId="77777777" w:rsidR="0000054D" w:rsidRPr="00654EF1" w:rsidRDefault="0000054D" w:rsidP="001D5C8C">
            <w:pPr>
              <w:widowControl w:val="0"/>
              <w:spacing w:line="240" w:lineRule="auto"/>
              <w:rPr>
                <w:b/>
                <w:color w:val="000000"/>
                <w:szCs w:val="22"/>
              </w:rPr>
            </w:pPr>
            <w:r w:rsidRPr="00654EF1">
              <w:rPr>
                <w:b/>
                <w:color w:val="000000"/>
                <w:szCs w:val="22"/>
              </w:rPr>
              <w:t>Danmark</w:t>
            </w:r>
          </w:p>
          <w:p w14:paraId="1B6810F2" w14:textId="77777777" w:rsidR="0000054D" w:rsidRPr="00654EF1" w:rsidRDefault="0000054D" w:rsidP="001D5C8C">
            <w:pPr>
              <w:widowControl w:val="0"/>
              <w:spacing w:line="240" w:lineRule="auto"/>
              <w:rPr>
                <w:color w:val="000000"/>
                <w:szCs w:val="22"/>
              </w:rPr>
            </w:pPr>
            <w:r w:rsidRPr="00654EF1">
              <w:rPr>
                <w:color w:val="000000"/>
                <w:szCs w:val="22"/>
              </w:rPr>
              <w:t>Novartis Healthcare A/S</w:t>
            </w:r>
          </w:p>
          <w:p w14:paraId="1B6810F3" w14:textId="77777777" w:rsidR="0000054D" w:rsidRPr="00654EF1" w:rsidRDefault="0000054D" w:rsidP="001D5C8C">
            <w:pPr>
              <w:widowControl w:val="0"/>
              <w:spacing w:line="240" w:lineRule="auto"/>
              <w:rPr>
                <w:color w:val="000000"/>
                <w:szCs w:val="22"/>
              </w:rPr>
            </w:pPr>
            <w:r w:rsidRPr="00654EF1">
              <w:rPr>
                <w:color w:val="000000"/>
                <w:szCs w:val="22"/>
              </w:rPr>
              <w:t>Tlf: +45 39 16 84 00</w:t>
            </w:r>
          </w:p>
          <w:p w14:paraId="1B6810F4" w14:textId="77777777" w:rsidR="0000054D" w:rsidRPr="00654EF1" w:rsidRDefault="0000054D" w:rsidP="001D5C8C">
            <w:pPr>
              <w:widowControl w:val="0"/>
              <w:spacing w:line="240" w:lineRule="auto"/>
              <w:rPr>
                <w:b/>
                <w:color w:val="000000"/>
                <w:szCs w:val="22"/>
              </w:rPr>
            </w:pPr>
          </w:p>
        </w:tc>
        <w:tc>
          <w:tcPr>
            <w:tcW w:w="4650" w:type="dxa"/>
          </w:tcPr>
          <w:p w14:paraId="1B6810F5"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Malta</w:t>
            </w:r>
          </w:p>
          <w:p w14:paraId="1B6810F6"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Pharma Services Inc.</w:t>
            </w:r>
          </w:p>
          <w:p w14:paraId="1B6810F7" w14:textId="77777777" w:rsidR="0000054D" w:rsidRPr="00654EF1" w:rsidRDefault="0000054D" w:rsidP="001D5C8C">
            <w:pPr>
              <w:widowControl w:val="0"/>
              <w:spacing w:line="240" w:lineRule="auto"/>
              <w:rPr>
                <w:color w:val="000000"/>
                <w:szCs w:val="22"/>
              </w:rPr>
            </w:pPr>
            <w:r w:rsidRPr="00654EF1">
              <w:rPr>
                <w:color w:val="000000"/>
                <w:szCs w:val="22"/>
              </w:rPr>
              <w:t xml:space="preserve">Tel: +356 </w:t>
            </w:r>
            <w:r w:rsidRPr="00654EF1">
              <w:rPr>
                <w:color w:val="000000"/>
              </w:rPr>
              <w:t>2122 2872</w:t>
            </w:r>
          </w:p>
        </w:tc>
      </w:tr>
      <w:tr w:rsidR="0000054D" w:rsidRPr="00491367" w14:paraId="1B681100" w14:textId="77777777" w:rsidTr="007F373C">
        <w:trPr>
          <w:cantSplit/>
        </w:trPr>
        <w:tc>
          <w:tcPr>
            <w:tcW w:w="4650" w:type="dxa"/>
          </w:tcPr>
          <w:p w14:paraId="1B6810F9"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Deutschland</w:t>
            </w:r>
          </w:p>
          <w:p w14:paraId="1B6810FA"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GmbH</w:t>
            </w:r>
          </w:p>
          <w:p w14:paraId="1B6810FB"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+49 911 273 0</w:t>
            </w:r>
          </w:p>
          <w:p w14:paraId="1B6810FC" w14:textId="77777777" w:rsidR="0000054D" w:rsidRPr="00654EF1" w:rsidRDefault="0000054D" w:rsidP="001D5C8C">
            <w:pPr>
              <w:widowControl w:val="0"/>
              <w:spacing w:line="240" w:lineRule="auto"/>
              <w:rPr>
                <w:b/>
                <w:color w:val="000000"/>
                <w:szCs w:val="22"/>
                <w:lang w:val="de-CH"/>
              </w:rPr>
            </w:pPr>
          </w:p>
        </w:tc>
        <w:tc>
          <w:tcPr>
            <w:tcW w:w="4650" w:type="dxa"/>
          </w:tcPr>
          <w:p w14:paraId="1B6810FD"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Nederland</w:t>
            </w:r>
          </w:p>
          <w:p w14:paraId="1B6810FE"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B.V.</w:t>
            </w:r>
          </w:p>
          <w:p w14:paraId="1B6810FF" w14:textId="7F689395" w:rsidR="0000054D" w:rsidRPr="00801D10" w:rsidRDefault="0000054D" w:rsidP="001D5C8C">
            <w:pPr>
              <w:widowControl w:val="0"/>
              <w:spacing w:line="240" w:lineRule="auto"/>
              <w:rPr>
                <w:color w:val="000000"/>
                <w:szCs w:val="22"/>
                <w:lang w:val="de-CH"/>
              </w:rPr>
            </w:pPr>
            <w:r w:rsidRPr="00801D10">
              <w:rPr>
                <w:color w:val="000000"/>
                <w:szCs w:val="22"/>
                <w:lang w:val="de-CH"/>
              </w:rPr>
              <w:t xml:space="preserve">Tel: +31 </w:t>
            </w:r>
            <w:r w:rsidR="006F623A" w:rsidRPr="006F623A">
              <w:rPr>
                <w:color w:val="000000"/>
                <w:szCs w:val="22"/>
                <w:lang w:val="de-CH"/>
              </w:rPr>
              <w:t>88 04 52</w:t>
            </w:r>
            <w:r w:rsidRPr="00801D10">
              <w:rPr>
                <w:color w:val="000000"/>
                <w:szCs w:val="22"/>
                <w:lang w:val="de-CH"/>
              </w:rPr>
              <w:t xml:space="preserve"> </w:t>
            </w:r>
            <w:r w:rsidR="00FF19FF" w:rsidRPr="00801D10">
              <w:rPr>
                <w:color w:val="000000"/>
                <w:szCs w:val="22"/>
                <w:lang w:val="de-CH"/>
              </w:rPr>
              <w:t>555</w:t>
            </w:r>
          </w:p>
        </w:tc>
      </w:tr>
      <w:tr w:rsidR="0000054D" w:rsidRPr="00654EF1" w14:paraId="1B681108" w14:textId="77777777" w:rsidTr="007F373C">
        <w:trPr>
          <w:cantSplit/>
        </w:trPr>
        <w:tc>
          <w:tcPr>
            <w:tcW w:w="4650" w:type="dxa"/>
          </w:tcPr>
          <w:p w14:paraId="1B681101" w14:textId="77777777" w:rsidR="0000054D" w:rsidRPr="00654EF1" w:rsidRDefault="0000054D" w:rsidP="001D5C8C">
            <w:pPr>
              <w:widowControl w:val="0"/>
              <w:spacing w:line="240" w:lineRule="auto"/>
              <w:rPr>
                <w:b/>
                <w:color w:val="000000"/>
                <w:szCs w:val="22"/>
                <w:lang w:val="it-IT"/>
              </w:rPr>
            </w:pPr>
            <w:r w:rsidRPr="00654EF1">
              <w:rPr>
                <w:b/>
                <w:color w:val="000000"/>
                <w:szCs w:val="22"/>
                <w:lang w:val="it-IT"/>
              </w:rPr>
              <w:t>Eesti</w:t>
            </w:r>
          </w:p>
          <w:p w14:paraId="1B681102" w14:textId="77777777" w:rsidR="0000054D" w:rsidRPr="00654EF1" w:rsidRDefault="0061458F" w:rsidP="001D5C8C">
            <w:pPr>
              <w:widowControl w:val="0"/>
              <w:spacing w:line="240" w:lineRule="auto"/>
              <w:rPr>
                <w:color w:val="000000"/>
                <w:szCs w:val="22"/>
                <w:lang w:val="it-IT"/>
              </w:rPr>
            </w:pPr>
            <w:r w:rsidRPr="00654EF1">
              <w:rPr>
                <w:szCs w:val="22"/>
                <w:lang w:val="it-IT"/>
              </w:rPr>
              <w:t>SIA Novartis Baltics Eesti filiaal</w:t>
            </w:r>
          </w:p>
          <w:p w14:paraId="1B681103" w14:textId="77777777" w:rsidR="0000054D" w:rsidRPr="00654EF1" w:rsidRDefault="0000054D" w:rsidP="001D5C8C">
            <w:pPr>
              <w:widowControl w:val="0"/>
              <w:spacing w:line="240" w:lineRule="auto"/>
              <w:rPr>
                <w:color w:val="000000"/>
                <w:szCs w:val="22"/>
                <w:lang w:val="it-IT"/>
              </w:rPr>
            </w:pPr>
            <w:r w:rsidRPr="00654EF1">
              <w:rPr>
                <w:color w:val="000000"/>
                <w:szCs w:val="22"/>
                <w:lang w:val="it-IT"/>
              </w:rPr>
              <w:t>Tel: +372 66 30 810</w:t>
            </w:r>
          </w:p>
          <w:p w14:paraId="1B681104" w14:textId="77777777" w:rsidR="0000054D" w:rsidRPr="00654EF1" w:rsidRDefault="0000054D" w:rsidP="001D5C8C">
            <w:pPr>
              <w:widowControl w:val="0"/>
              <w:spacing w:line="240" w:lineRule="auto"/>
              <w:rPr>
                <w:b/>
                <w:color w:val="000000"/>
                <w:szCs w:val="22"/>
                <w:lang w:val="it-IT"/>
              </w:rPr>
            </w:pPr>
          </w:p>
        </w:tc>
        <w:tc>
          <w:tcPr>
            <w:tcW w:w="4650" w:type="dxa"/>
          </w:tcPr>
          <w:p w14:paraId="1B681105"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Norge</w:t>
            </w:r>
          </w:p>
          <w:p w14:paraId="1B681106"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Norge AS</w:t>
            </w:r>
          </w:p>
          <w:p w14:paraId="1B681107"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Tlf: +47 23 05 20 00</w:t>
            </w:r>
          </w:p>
        </w:tc>
      </w:tr>
      <w:tr w:rsidR="0000054D" w:rsidRPr="00011E43" w14:paraId="1B681110" w14:textId="77777777" w:rsidTr="007F373C">
        <w:trPr>
          <w:cantSplit/>
        </w:trPr>
        <w:tc>
          <w:tcPr>
            <w:tcW w:w="4650" w:type="dxa"/>
          </w:tcPr>
          <w:p w14:paraId="1B681109" w14:textId="77777777" w:rsidR="0000054D" w:rsidRPr="00654EF1" w:rsidRDefault="0000054D" w:rsidP="001D5C8C">
            <w:pPr>
              <w:widowControl w:val="0"/>
              <w:spacing w:line="240" w:lineRule="auto"/>
              <w:rPr>
                <w:b/>
                <w:color w:val="000000"/>
                <w:szCs w:val="22"/>
                <w:lang w:val="pt-BR"/>
              </w:rPr>
            </w:pPr>
            <w:r w:rsidRPr="00654EF1">
              <w:rPr>
                <w:b/>
                <w:color w:val="000000"/>
                <w:szCs w:val="22"/>
              </w:rPr>
              <w:lastRenderedPageBreak/>
              <w:t>Ελλάδα</w:t>
            </w:r>
          </w:p>
          <w:p w14:paraId="1B68110A"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(Hellas) A.E.B.E.</w:t>
            </w:r>
          </w:p>
          <w:p w14:paraId="1B68110B" w14:textId="77777777" w:rsidR="0000054D" w:rsidRPr="00654EF1" w:rsidRDefault="0000054D" w:rsidP="001D5C8C">
            <w:pPr>
              <w:widowControl w:val="0"/>
              <w:spacing w:line="240" w:lineRule="auto"/>
              <w:rPr>
                <w:color w:val="000000"/>
                <w:szCs w:val="22"/>
                <w:lang w:val="pt-BR"/>
              </w:rPr>
            </w:pPr>
            <w:r w:rsidRPr="00654EF1">
              <w:rPr>
                <w:color w:val="000000"/>
                <w:szCs w:val="22"/>
              </w:rPr>
              <w:t>Τηλ</w:t>
            </w:r>
            <w:r w:rsidRPr="00654EF1">
              <w:rPr>
                <w:color w:val="000000"/>
                <w:szCs w:val="22"/>
                <w:lang w:val="pt-BR"/>
              </w:rPr>
              <w:t>: +30 210 281 17 12</w:t>
            </w:r>
          </w:p>
          <w:p w14:paraId="1B68110C" w14:textId="77777777" w:rsidR="0000054D" w:rsidRPr="00654EF1" w:rsidRDefault="0000054D" w:rsidP="001D5C8C">
            <w:pPr>
              <w:widowControl w:val="0"/>
              <w:spacing w:line="240" w:lineRule="auto"/>
              <w:rPr>
                <w:b/>
                <w:color w:val="000000"/>
                <w:szCs w:val="22"/>
                <w:lang w:val="pt-BR"/>
              </w:rPr>
            </w:pPr>
          </w:p>
        </w:tc>
        <w:tc>
          <w:tcPr>
            <w:tcW w:w="4650" w:type="dxa"/>
          </w:tcPr>
          <w:p w14:paraId="1B68110D"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Österreich</w:t>
            </w:r>
          </w:p>
          <w:p w14:paraId="1B68110E"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Pharma GmbH</w:t>
            </w:r>
          </w:p>
          <w:p w14:paraId="1B68110F"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+43 1 86 6570</w:t>
            </w:r>
          </w:p>
        </w:tc>
      </w:tr>
      <w:tr w:rsidR="0000054D" w:rsidRPr="00654EF1" w14:paraId="1B681118" w14:textId="77777777" w:rsidTr="007F373C">
        <w:trPr>
          <w:cantSplit/>
        </w:trPr>
        <w:tc>
          <w:tcPr>
            <w:tcW w:w="4650" w:type="dxa"/>
          </w:tcPr>
          <w:p w14:paraId="1B681111" w14:textId="77777777" w:rsidR="0000054D" w:rsidRPr="00011E43" w:rsidRDefault="0000054D" w:rsidP="001D5C8C">
            <w:pPr>
              <w:widowControl w:val="0"/>
              <w:spacing w:line="240" w:lineRule="auto"/>
              <w:rPr>
                <w:b/>
                <w:color w:val="000000"/>
                <w:szCs w:val="22"/>
                <w:lang w:val="es-ES_tradnl"/>
              </w:rPr>
            </w:pPr>
            <w:r w:rsidRPr="00011E43">
              <w:rPr>
                <w:b/>
                <w:color w:val="000000"/>
                <w:szCs w:val="22"/>
                <w:lang w:val="es-ES_tradnl"/>
              </w:rPr>
              <w:t>España</w:t>
            </w:r>
          </w:p>
          <w:p w14:paraId="1B681112" w14:textId="77777777" w:rsidR="0000054D" w:rsidRPr="00011E43" w:rsidRDefault="0000054D" w:rsidP="001D5C8C">
            <w:pPr>
              <w:widowControl w:val="0"/>
              <w:spacing w:line="240" w:lineRule="auto"/>
              <w:rPr>
                <w:color w:val="000000"/>
                <w:szCs w:val="22"/>
                <w:lang w:val="es-ES_tradnl"/>
              </w:rPr>
            </w:pPr>
            <w:r w:rsidRPr="00011E43">
              <w:rPr>
                <w:color w:val="000000"/>
                <w:szCs w:val="22"/>
                <w:lang w:val="es-ES_tradnl"/>
              </w:rPr>
              <w:t>Novartis Farmacéutica, S.A.</w:t>
            </w:r>
          </w:p>
          <w:p w14:paraId="1B681113" w14:textId="77777777" w:rsidR="0000054D" w:rsidRPr="00654EF1" w:rsidRDefault="0000054D" w:rsidP="001D5C8C">
            <w:pPr>
              <w:widowControl w:val="0"/>
              <w:spacing w:line="240" w:lineRule="auto"/>
              <w:rPr>
                <w:color w:val="000000"/>
                <w:szCs w:val="22"/>
              </w:rPr>
            </w:pPr>
            <w:r w:rsidRPr="00654EF1">
              <w:rPr>
                <w:color w:val="000000"/>
                <w:szCs w:val="22"/>
              </w:rPr>
              <w:t>Tel: +34 93 306 42 00</w:t>
            </w:r>
          </w:p>
          <w:p w14:paraId="1B681114" w14:textId="77777777" w:rsidR="0000054D" w:rsidRPr="00654EF1" w:rsidRDefault="0000054D" w:rsidP="001D5C8C">
            <w:pPr>
              <w:widowControl w:val="0"/>
              <w:spacing w:line="240" w:lineRule="auto"/>
              <w:rPr>
                <w:b/>
                <w:color w:val="000000"/>
                <w:szCs w:val="22"/>
              </w:rPr>
            </w:pPr>
          </w:p>
        </w:tc>
        <w:tc>
          <w:tcPr>
            <w:tcW w:w="4650" w:type="dxa"/>
          </w:tcPr>
          <w:p w14:paraId="1B681115" w14:textId="77777777" w:rsidR="0000054D" w:rsidRPr="00011E43" w:rsidRDefault="0000054D" w:rsidP="001D5C8C">
            <w:pPr>
              <w:widowControl w:val="0"/>
              <w:spacing w:line="240" w:lineRule="auto"/>
              <w:rPr>
                <w:b/>
                <w:color w:val="000000"/>
                <w:szCs w:val="22"/>
                <w:lang w:val="pl-PL"/>
              </w:rPr>
            </w:pPr>
            <w:r w:rsidRPr="00011E43">
              <w:rPr>
                <w:b/>
                <w:color w:val="000000"/>
                <w:szCs w:val="22"/>
                <w:lang w:val="pl-PL"/>
              </w:rPr>
              <w:t>Polska</w:t>
            </w:r>
          </w:p>
          <w:p w14:paraId="1B681116" w14:textId="77777777" w:rsidR="0000054D" w:rsidRPr="00011E43" w:rsidRDefault="0000054D" w:rsidP="001D5C8C">
            <w:pPr>
              <w:widowControl w:val="0"/>
              <w:spacing w:line="240" w:lineRule="auto"/>
              <w:rPr>
                <w:color w:val="000000"/>
                <w:szCs w:val="22"/>
                <w:lang w:val="pl-PL"/>
              </w:rPr>
            </w:pPr>
            <w:r w:rsidRPr="00011E43">
              <w:rPr>
                <w:color w:val="000000"/>
                <w:szCs w:val="22"/>
                <w:lang w:val="pl-PL"/>
              </w:rPr>
              <w:t>Novartis Poland Sp. z o.o.</w:t>
            </w:r>
          </w:p>
          <w:p w14:paraId="1B681117"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 xml:space="preserve">Tel.: +48 22 </w:t>
            </w:r>
            <w:r w:rsidRPr="00654EF1">
              <w:rPr>
                <w:szCs w:val="22"/>
              </w:rPr>
              <w:t>375 4888</w:t>
            </w:r>
          </w:p>
        </w:tc>
      </w:tr>
      <w:tr w:rsidR="0000054D" w:rsidRPr="00654EF1" w14:paraId="1B681120" w14:textId="77777777" w:rsidTr="007F373C">
        <w:trPr>
          <w:cantSplit/>
        </w:trPr>
        <w:tc>
          <w:tcPr>
            <w:tcW w:w="4650" w:type="dxa"/>
          </w:tcPr>
          <w:p w14:paraId="1B681119"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France</w:t>
            </w:r>
          </w:p>
          <w:p w14:paraId="1B68111A"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S.A.S.</w:t>
            </w:r>
          </w:p>
          <w:p w14:paraId="1B68111B"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Tél: +33 1 55 47 66 00</w:t>
            </w:r>
          </w:p>
          <w:p w14:paraId="1B68111C" w14:textId="77777777" w:rsidR="0000054D" w:rsidRPr="00654EF1" w:rsidRDefault="0000054D" w:rsidP="001D5C8C">
            <w:pPr>
              <w:widowControl w:val="0"/>
              <w:spacing w:line="240" w:lineRule="auto"/>
              <w:rPr>
                <w:b/>
                <w:color w:val="000000"/>
                <w:szCs w:val="22"/>
                <w:lang w:val="fr-FR"/>
              </w:rPr>
            </w:pPr>
          </w:p>
        </w:tc>
        <w:tc>
          <w:tcPr>
            <w:tcW w:w="4650" w:type="dxa"/>
          </w:tcPr>
          <w:p w14:paraId="1B68111D"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Portugal</w:t>
            </w:r>
          </w:p>
          <w:p w14:paraId="1B68111E"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Farma - Produtos Farmacêuticos, S.A.</w:t>
            </w:r>
          </w:p>
          <w:p w14:paraId="1B68111F" w14:textId="77777777" w:rsidR="0000054D" w:rsidRPr="00654EF1" w:rsidRDefault="0000054D" w:rsidP="001D5C8C">
            <w:pPr>
              <w:widowControl w:val="0"/>
              <w:spacing w:line="240" w:lineRule="auto"/>
              <w:rPr>
                <w:color w:val="000000"/>
                <w:szCs w:val="22"/>
              </w:rPr>
            </w:pPr>
            <w:r w:rsidRPr="00654EF1">
              <w:rPr>
                <w:color w:val="000000"/>
                <w:szCs w:val="22"/>
              </w:rPr>
              <w:t>Tel: +351 21 000 8600</w:t>
            </w:r>
          </w:p>
        </w:tc>
      </w:tr>
      <w:tr w:rsidR="0000054D" w:rsidRPr="00654EF1" w14:paraId="1B681128" w14:textId="77777777" w:rsidTr="007F373C">
        <w:trPr>
          <w:cantSplit/>
        </w:trPr>
        <w:tc>
          <w:tcPr>
            <w:tcW w:w="4650" w:type="dxa"/>
          </w:tcPr>
          <w:p w14:paraId="1B681121" w14:textId="77777777" w:rsidR="0000054D" w:rsidRPr="00011E43" w:rsidRDefault="0000054D" w:rsidP="001D5C8C">
            <w:pPr>
              <w:widowControl w:val="0"/>
              <w:spacing w:line="240" w:lineRule="auto"/>
              <w:rPr>
                <w:rFonts w:eastAsia="PMingLiU"/>
                <w:b/>
                <w:lang w:val="sv-SE"/>
              </w:rPr>
            </w:pPr>
            <w:r w:rsidRPr="00011E43">
              <w:rPr>
                <w:rFonts w:eastAsia="PMingLiU"/>
                <w:b/>
                <w:lang w:val="sv-SE"/>
              </w:rPr>
              <w:t>Hrvatska</w:t>
            </w:r>
          </w:p>
          <w:p w14:paraId="1B681122" w14:textId="77777777" w:rsidR="0000054D" w:rsidRPr="00011E43" w:rsidRDefault="0000054D" w:rsidP="001D5C8C">
            <w:pPr>
              <w:widowControl w:val="0"/>
              <w:spacing w:line="240" w:lineRule="auto"/>
              <w:rPr>
                <w:lang w:val="sv-SE"/>
              </w:rPr>
            </w:pPr>
            <w:r w:rsidRPr="00011E43">
              <w:rPr>
                <w:lang w:val="sv-SE"/>
              </w:rPr>
              <w:t>Novartis Hrvatska d.o.o.</w:t>
            </w:r>
          </w:p>
          <w:p w14:paraId="1B681123" w14:textId="77777777" w:rsidR="0000054D" w:rsidRPr="00654EF1" w:rsidRDefault="0000054D" w:rsidP="001D5C8C">
            <w:pPr>
              <w:widowControl w:val="0"/>
              <w:spacing w:line="240" w:lineRule="auto"/>
            </w:pPr>
            <w:r w:rsidRPr="00654EF1">
              <w:t>Tel. +385 1 6274 220</w:t>
            </w:r>
          </w:p>
          <w:p w14:paraId="1B681124" w14:textId="77777777" w:rsidR="0000054D" w:rsidRPr="00654EF1" w:rsidRDefault="0000054D" w:rsidP="001D5C8C">
            <w:pPr>
              <w:widowControl w:val="0"/>
              <w:spacing w:line="240" w:lineRule="auto"/>
              <w:rPr>
                <w:b/>
                <w:color w:val="000000"/>
                <w:szCs w:val="22"/>
                <w:lang w:val="fr-FR"/>
              </w:rPr>
            </w:pPr>
          </w:p>
        </w:tc>
        <w:tc>
          <w:tcPr>
            <w:tcW w:w="4650" w:type="dxa"/>
          </w:tcPr>
          <w:p w14:paraId="1B681125" w14:textId="77777777" w:rsidR="0000054D" w:rsidRPr="00654EF1" w:rsidRDefault="0000054D" w:rsidP="001D5C8C">
            <w:pPr>
              <w:widowControl w:val="0"/>
              <w:spacing w:line="240" w:lineRule="auto"/>
              <w:rPr>
                <w:b/>
                <w:noProof/>
                <w:color w:val="000000"/>
                <w:szCs w:val="22"/>
                <w:lang w:val="it-IT"/>
              </w:rPr>
            </w:pPr>
            <w:r w:rsidRPr="00654EF1">
              <w:rPr>
                <w:b/>
                <w:noProof/>
                <w:color w:val="000000"/>
                <w:szCs w:val="22"/>
                <w:lang w:val="it-IT"/>
              </w:rPr>
              <w:t>România</w:t>
            </w:r>
          </w:p>
          <w:p w14:paraId="1B681126" w14:textId="77777777" w:rsidR="0000054D" w:rsidRPr="00654EF1" w:rsidRDefault="0000054D" w:rsidP="001D5C8C">
            <w:pPr>
              <w:widowControl w:val="0"/>
              <w:spacing w:line="240" w:lineRule="auto"/>
              <w:rPr>
                <w:noProof/>
                <w:color w:val="000000"/>
                <w:szCs w:val="22"/>
                <w:lang w:val="it-IT"/>
              </w:rPr>
            </w:pPr>
            <w:r w:rsidRPr="00654EF1">
              <w:rPr>
                <w:noProof/>
                <w:color w:val="000000"/>
                <w:szCs w:val="22"/>
                <w:lang w:val="it-IT"/>
              </w:rPr>
              <w:t xml:space="preserve">Novartis Pharma Services </w:t>
            </w:r>
            <w:r w:rsidRPr="00801D10">
              <w:rPr>
                <w:color w:val="2F2F2F"/>
                <w:szCs w:val="22"/>
                <w:lang w:val="fr-CH"/>
              </w:rPr>
              <w:t>Romania SRL</w:t>
            </w:r>
          </w:p>
          <w:p w14:paraId="1B681127" w14:textId="77777777" w:rsidR="0000054D" w:rsidRPr="00654EF1" w:rsidRDefault="0000054D" w:rsidP="001D5C8C">
            <w:pPr>
              <w:widowControl w:val="0"/>
              <w:spacing w:line="240" w:lineRule="auto"/>
              <w:rPr>
                <w:color w:val="000000"/>
                <w:szCs w:val="22"/>
              </w:rPr>
            </w:pPr>
            <w:r w:rsidRPr="00654EF1">
              <w:rPr>
                <w:noProof/>
                <w:color w:val="000000"/>
                <w:szCs w:val="22"/>
                <w:lang w:val="it-IT"/>
              </w:rPr>
              <w:t>Tel: +40 21 31299 01</w:t>
            </w:r>
          </w:p>
        </w:tc>
      </w:tr>
      <w:tr w:rsidR="0000054D" w:rsidRPr="00654EF1" w14:paraId="1B681130" w14:textId="77777777" w:rsidTr="007F373C">
        <w:trPr>
          <w:cantSplit/>
        </w:trPr>
        <w:tc>
          <w:tcPr>
            <w:tcW w:w="4650" w:type="dxa"/>
          </w:tcPr>
          <w:p w14:paraId="1B681129" w14:textId="77777777" w:rsidR="0000054D" w:rsidRPr="00654EF1" w:rsidRDefault="0000054D" w:rsidP="001D5C8C">
            <w:pPr>
              <w:widowControl w:val="0"/>
              <w:spacing w:line="240" w:lineRule="auto"/>
              <w:rPr>
                <w:b/>
                <w:color w:val="000000"/>
                <w:szCs w:val="22"/>
              </w:rPr>
            </w:pPr>
            <w:smartTag w:uri="urn:schemas-microsoft-com:office:smarttags" w:element="country-region">
              <w:smartTag w:uri="urn:schemas-microsoft-com:office:smarttags" w:element="place">
                <w:r w:rsidRPr="00654EF1">
                  <w:rPr>
                    <w:b/>
                    <w:color w:val="000000"/>
                    <w:szCs w:val="22"/>
                  </w:rPr>
                  <w:t>Ireland</w:t>
                </w:r>
              </w:smartTag>
            </w:smartTag>
          </w:p>
          <w:p w14:paraId="1B68112A" w14:textId="77777777" w:rsidR="0000054D" w:rsidRPr="00654EF1" w:rsidRDefault="0000054D" w:rsidP="001D5C8C">
            <w:pPr>
              <w:widowControl w:val="0"/>
              <w:spacing w:line="240" w:lineRule="auto"/>
              <w:rPr>
                <w:color w:val="000000"/>
                <w:szCs w:val="22"/>
              </w:rPr>
            </w:pPr>
            <w:r w:rsidRPr="00654EF1">
              <w:rPr>
                <w:color w:val="000000"/>
                <w:szCs w:val="22"/>
              </w:rPr>
              <w:t>Novartis Ireland Limited</w:t>
            </w:r>
          </w:p>
          <w:p w14:paraId="1B68112B" w14:textId="77777777" w:rsidR="0000054D" w:rsidRPr="00654EF1" w:rsidRDefault="0000054D" w:rsidP="001D5C8C">
            <w:pPr>
              <w:widowControl w:val="0"/>
              <w:spacing w:line="240" w:lineRule="auto"/>
              <w:rPr>
                <w:color w:val="000000"/>
                <w:szCs w:val="22"/>
              </w:rPr>
            </w:pPr>
            <w:r w:rsidRPr="00654EF1">
              <w:rPr>
                <w:color w:val="000000"/>
                <w:szCs w:val="22"/>
              </w:rPr>
              <w:t>Tel: +353 1 260 12 55</w:t>
            </w:r>
          </w:p>
          <w:p w14:paraId="1B68112C" w14:textId="77777777" w:rsidR="0000054D" w:rsidRPr="00654EF1" w:rsidRDefault="0000054D" w:rsidP="001D5C8C">
            <w:pPr>
              <w:widowControl w:val="0"/>
              <w:spacing w:line="240" w:lineRule="auto"/>
              <w:rPr>
                <w:b/>
                <w:color w:val="000000"/>
                <w:szCs w:val="22"/>
              </w:rPr>
            </w:pPr>
          </w:p>
        </w:tc>
        <w:tc>
          <w:tcPr>
            <w:tcW w:w="4650" w:type="dxa"/>
          </w:tcPr>
          <w:p w14:paraId="1B68112D" w14:textId="77777777" w:rsidR="0000054D" w:rsidRPr="00654EF1" w:rsidRDefault="0000054D" w:rsidP="001D5C8C">
            <w:pPr>
              <w:widowControl w:val="0"/>
              <w:spacing w:line="240" w:lineRule="auto"/>
              <w:rPr>
                <w:b/>
                <w:color w:val="000000"/>
                <w:szCs w:val="22"/>
                <w:lang w:val="fr-FR"/>
              </w:rPr>
            </w:pPr>
            <w:r w:rsidRPr="00654EF1">
              <w:rPr>
                <w:b/>
                <w:color w:val="000000"/>
                <w:szCs w:val="22"/>
                <w:lang w:val="fr-FR"/>
              </w:rPr>
              <w:t>Slovenija</w:t>
            </w:r>
          </w:p>
          <w:p w14:paraId="1B68112E"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Novartis Pharma Services Inc.</w:t>
            </w:r>
          </w:p>
          <w:p w14:paraId="1B68112F" w14:textId="77777777" w:rsidR="0000054D" w:rsidRPr="00654EF1" w:rsidRDefault="0000054D" w:rsidP="001D5C8C">
            <w:pPr>
              <w:widowControl w:val="0"/>
              <w:spacing w:line="240" w:lineRule="auto"/>
              <w:rPr>
                <w:color w:val="000000"/>
                <w:szCs w:val="22"/>
                <w:lang w:val="fr-FR"/>
              </w:rPr>
            </w:pPr>
            <w:r w:rsidRPr="00654EF1">
              <w:rPr>
                <w:color w:val="000000"/>
                <w:szCs w:val="22"/>
                <w:lang w:val="fr-FR"/>
              </w:rPr>
              <w:t>Tel: +386 1 300 75 50</w:t>
            </w:r>
          </w:p>
        </w:tc>
      </w:tr>
      <w:tr w:rsidR="0000054D" w:rsidRPr="00654EF1" w14:paraId="1B681139" w14:textId="77777777" w:rsidTr="007F373C">
        <w:trPr>
          <w:cantSplit/>
        </w:trPr>
        <w:tc>
          <w:tcPr>
            <w:tcW w:w="4650" w:type="dxa"/>
          </w:tcPr>
          <w:p w14:paraId="1B681131" w14:textId="77777777" w:rsidR="0000054D" w:rsidRPr="00654EF1" w:rsidRDefault="0000054D" w:rsidP="001D5C8C">
            <w:pPr>
              <w:widowControl w:val="0"/>
              <w:spacing w:line="240" w:lineRule="auto"/>
              <w:rPr>
                <w:b/>
                <w:color w:val="000000"/>
                <w:szCs w:val="22"/>
              </w:rPr>
            </w:pPr>
            <w:r w:rsidRPr="00654EF1">
              <w:rPr>
                <w:b/>
                <w:color w:val="000000"/>
                <w:szCs w:val="22"/>
              </w:rPr>
              <w:t>Ísland</w:t>
            </w:r>
          </w:p>
          <w:p w14:paraId="1B681132" w14:textId="77777777" w:rsidR="0000054D" w:rsidRPr="00654EF1" w:rsidRDefault="0000054D" w:rsidP="001D5C8C">
            <w:pPr>
              <w:widowControl w:val="0"/>
              <w:spacing w:line="240" w:lineRule="auto"/>
              <w:rPr>
                <w:color w:val="000000"/>
                <w:szCs w:val="22"/>
              </w:rPr>
            </w:pPr>
            <w:r w:rsidRPr="00654EF1">
              <w:rPr>
                <w:color w:val="000000"/>
                <w:szCs w:val="22"/>
              </w:rPr>
              <w:t>Vistor hf.</w:t>
            </w:r>
          </w:p>
          <w:p w14:paraId="1B681133" w14:textId="77777777" w:rsidR="0000054D" w:rsidRPr="00654EF1" w:rsidRDefault="0000054D" w:rsidP="001D5C8C">
            <w:pPr>
              <w:widowControl w:val="0"/>
              <w:spacing w:line="240" w:lineRule="auto"/>
              <w:rPr>
                <w:color w:val="000000"/>
                <w:szCs w:val="22"/>
              </w:rPr>
            </w:pPr>
            <w:r w:rsidRPr="00654EF1">
              <w:rPr>
                <w:noProof/>
                <w:color w:val="000000"/>
                <w:lang w:val="it-IT"/>
              </w:rPr>
              <w:t>S</w:t>
            </w:r>
            <w:r w:rsidRPr="00654EF1">
              <w:rPr>
                <w:noProof/>
                <w:color w:val="000000"/>
                <w:lang w:val="cs-CZ"/>
              </w:rPr>
              <w:t>í</w:t>
            </w:r>
            <w:r w:rsidRPr="00654EF1">
              <w:rPr>
                <w:noProof/>
                <w:color w:val="000000"/>
                <w:lang w:val="it-IT"/>
              </w:rPr>
              <w:t>mi</w:t>
            </w:r>
            <w:r w:rsidRPr="00654EF1">
              <w:rPr>
                <w:color w:val="000000"/>
                <w:szCs w:val="22"/>
              </w:rPr>
              <w:t>: +354 535 7000</w:t>
            </w:r>
          </w:p>
          <w:p w14:paraId="1B681134" w14:textId="77777777" w:rsidR="0000054D" w:rsidRPr="00654EF1" w:rsidRDefault="0000054D" w:rsidP="001D5C8C">
            <w:pPr>
              <w:widowControl w:val="0"/>
              <w:spacing w:line="240" w:lineRule="auto"/>
              <w:rPr>
                <w:b/>
                <w:color w:val="000000"/>
                <w:szCs w:val="22"/>
              </w:rPr>
            </w:pPr>
          </w:p>
        </w:tc>
        <w:tc>
          <w:tcPr>
            <w:tcW w:w="4650" w:type="dxa"/>
          </w:tcPr>
          <w:p w14:paraId="1B681135" w14:textId="77777777" w:rsidR="0000054D" w:rsidRPr="00011E43" w:rsidRDefault="0000054D" w:rsidP="001D5C8C">
            <w:pPr>
              <w:widowControl w:val="0"/>
              <w:spacing w:line="240" w:lineRule="auto"/>
              <w:rPr>
                <w:b/>
                <w:color w:val="000000"/>
                <w:szCs w:val="22"/>
              </w:rPr>
            </w:pPr>
            <w:r w:rsidRPr="00011E43">
              <w:rPr>
                <w:b/>
                <w:color w:val="000000"/>
                <w:szCs w:val="22"/>
              </w:rPr>
              <w:t>Slovenská republika</w:t>
            </w:r>
          </w:p>
          <w:p w14:paraId="1B681136" w14:textId="77777777" w:rsidR="0000054D" w:rsidRPr="00011E43" w:rsidRDefault="0000054D" w:rsidP="001D5C8C">
            <w:pPr>
              <w:widowControl w:val="0"/>
              <w:spacing w:line="240" w:lineRule="auto"/>
              <w:rPr>
                <w:color w:val="000000"/>
                <w:szCs w:val="22"/>
              </w:rPr>
            </w:pPr>
            <w:r w:rsidRPr="00011E43">
              <w:rPr>
                <w:color w:val="000000"/>
                <w:szCs w:val="22"/>
              </w:rPr>
              <w:t>Novartis Slovakia s.r.o.</w:t>
            </w:r>
          </w:p>
          <w:p w14:paraId="1B681137" w14:textId="77777777" w:rsidR="0000054D" w:rsidRPr="00654EF1" w:rsidRDefault="0000054D" w:rsidP="001D5C8C">
            <w:pPr>
              <w:widowControl w:val="0"/>
              <w:spacing w:line="240" w:lineRule="auto"/>
              <w:rPr>
                <w:color w:val="000000"/>
                <w:szCs w:val="22"/>
              </w:rPr>
            </w:pPr>
            <w:r w:rsidRPr="00654EF1">
              <w:rPr>
                <w:color w:val="000000"/>
                <w:szCs w:val="22"/>
              </w:rPr>
              <w:t>Tel: +421 2 5542 5439</w:t>
            </w:r>
          </w:p>
          <w:p w14:paraId="1B681138" w14:textId="77777777" w:rsidR="0000054D" w:rsidRPr="00654EF1" w:rsidRDefault="0000054D" w:rsidP="001D5C8C">
            <w:pPr>
              <w:widowControl w:val="0"/>
              <w:spacing w:line="240" w:lineRule="auto"/>
              <w:rPr>
                <w:color w:val="000000"/>
                <w:szCs w:val="22"/>
              </w:rPr>
            </w:pPr>
          </w:p>
        </w:tc>
      </w:tr>
      <w:tr w:rsidR="0000054D" w:rsidRPr="00011E43" w14:paraId="1B681141" w14:textId="77777777" w:rsidTr="007F373C">
        <w:trPr>
          <w:cantSplit/>
        </w:trPr>
        <w:tc>
          <w:tcPr>
            <w:tcW w:w="4650" w:type="dxa"/>
          </w:tcPr>
          <w:p w14:paraId="1B68113A" w14:textId="77777777" w:rsidR="0000054D" w:rsidRPr="00654EF1" w:rsidRDefault="0000054D" w:rsidP="001D5C8C">
            <w:pPr>
              <w:widowControl w:val="0"/>
              <w:spacing w:line="240" w:lineRule="auto"/>
              <w:rPr>
                <w:b/>
                <w:color w:val="000000"/>
                <w:szCs w:val="22"/>
                <w:lang w:val="pt-BR"/>
              </w:rPr>
            </w:pPr>
            <w:r w:rsidRPr="00654EF1">
              <w:rPr>
                <w:b/>
                <w:color w:val="000000"/>
                <w:szCs w:val="22"/>
                <w:lang w:val="pt-BR"/>
              </w:rPr>
              <w:t>Italia</w:t>
            </w:r>
          </w:p>
          <w:p w14:paraId="1B68113B" w14:textId="77777777" w:rsidR="0000054D" w:rsidRPr="00654EF1" w:rsidRDefault="0000054D" w:rsidP="001D5C8C">
            <w:pPr>
              <w:widowControl w:val="0"/>
              <w:spacing w:line="240" w:lineRule="auto"/>
              <w:rPr>
                <w:color w:val="000000"/>
                <w:szCs w:val="22"/>
                <w:lang w:val="pt-BR"/>
              </w:rPr>
            </w:pPr>
            <w:r w:rsidRPr="00654EF1">
              <w:rPr>
                <w:color w:val="000000"/>
                <w:szCs w:val="22"/>
                <w:lang w:val="pt-BR"/>
              </w:rPr>
              <w:t>Novartis Farma S.p.A.</w:t>
            </w:r>
          </w:p>
          <w:p w14:paraId="1B68113C" w14:textId="77777777" w:rsidR="0000054D" w:rsidRPr="00654EF1" w:rsidRDefault="0000054D" w:rsidP="001D5C8C">
            <w:pPr>
              <w:widowControl w:val="0"/>
              <w:spacing w:line="240" w:lineRule="auto"/>
              <w:rPr>
                <w:b/>
                <w:color w:val="000000"/>
                <w:szCs w:val="22"/>
              </w:rPr>
            </w:pPr>
            <w:r w:rsidRPr="00654EF1">
              <w:rPr>
                <w:color w:val="000000"/>
                <w:szCs w:val="22"/>
              </w:rPr>
              <w:t>Tel: +39 02 96 54 1</w:t>
            </w:r>
          </w:p>
        </w:tc>
        <w:tc>
          <w:tcPr>
            <w:tcW w:w="4650" w:type="dxa"/>
          </w:tcPr>
          <w:p w14:paraId="1B68113D" w14:textId="77777777" w:rsidR="0000054D" w:rsidRPr="00011E43" w:rsidRDefault="0000054D" w:rsidP="001D5C8C">
            <w:pPr>
              <w:widowControl w:val="0"/>
              <w:spacing w:line="240" w:lineRule="auto"/>
              <w:rPr>
                <w:b/>
                <w:color w:val="000000"/>
                <w:szCs w:val="22"/>
                <w:lang w:val="sv-SE"/>
              </w:rPr>
            </w:pPr>
            <w:r w:rsidRPr="00011E43">
              <w:rPr>
                <w:b/>
                <w:color w:val="000000"/>
                <w:szCs w:val="22"/>
                <w:lang w:val="sv-SE"/>
              </w:rPr>
              <w:t>Suomi/Finland</w:t>
            </w:r>
          </w:p>
          <w:p w14:paraId="1B68113E" w14:textId="77777777" w:rsidR="0000054D" w:rsidRPr="00011E43" w:rsidRDefault="0000054D" w:rsidP="001D5C8C">
            <w:pPr>
              <w:widowControl w:val="0"/>
              <w:spacing w:line="240" w:lineRule="auto"/>
              <w:rPr>
                <w:color w:val="000000"/>
                <w:szCs w:val="22"/>
                <w:lang w:val="sv-SE"/>
              </w:rPr>
            </w:pPr>
            <w:r w:rsidRPr="00011E43">
              <w:rPr>
                <w:color w:val="000000"/>
                <w:szCs w:val="22"/>
                <w:lang w:val="sv-SE"/>
              </w:rPr>
              <w:t>Novartis Finland Oy</w:t>
            </w:r>
          </w:p>
          <w:p w14:paraId="1B68113F" w14:textId="77777777" w:rsidR="0000054D" w:rsidRPr="00011E43" w:rsidRDefault="0000054D" w:rsidP="001D5C8C">
            <w:pPr>
              <w:widowControl w:val="0"/>
              <w:spacing w:line="240" w:lineRule="auto"/>
              <w:rPr>
                <w:color w:val="000000"/>
                <w:szCs w:val="22"/>
                <w:lang w:val="sv-SE"/>
              </w:rPr>
            </w:pPr>
            <w:r w:rsidRPr="00011E43">
              <w:rPr>
                <w:color w:val="000000"/>
                <w:szCs w:val="22"/>
                <w:lang w:val="sv-SE"/>
              </w:rPr>
              <w:t xml:space="preserve">Puh/Tel: </w:t>
            </w:r>
            <w:r w:rsidRPr="00011E43">
              <w:rPr>
                <w:color w:val="000000"/>
                <w:szCs w:val="22"/>
                <w:lang w:val="sv-SE" w:bidi="he-IL"/>
              </w:rPr>
              <w:t>+358 (0)10 6133 200</w:t>
            </w:r>
          </w:p>
          <w:p w14:paraId="1B681140" w14:textId="77777777" w:rsidR="0000054D" w:rsidRPr="00011E43" w:rsidRDefault="0000054D" w:rsidP="001D5C8C">
            <w:pPr>
              <w:widowControl w:val="0"/>
              <w:spacing w:line="240" w:lineRule="auto"/>
              <w:rPr>
                <w:color w:val="000000"/>
                <w:szCs w:val="22"/>
                <w:lang w:val="sv-SE"/>
              </w:rPr>
            </w:pPr>
          </w:p>
        </w:tc>
      </w:tr>
      <w:tr w:rsidR="0000054D" w:rsidRPr="00491367" w14:paraId="1B68114A" w14:textId="77777777" w:rsidTr="007F373C">
        <w:trPr>
          <w:cantSplit/>
        </w:trPr>
        <w:tc>
          <w:tcPr>
            <w:tcW w:w="4650" w:type="dxa"/>
          </w:tcPr>
          <w:p w14:paraId="1B681142" w14:textId="77777777" w:rsidR="0000054D" w:rsidRPr="00654EF1" w:rsidRDefault="0000054D" w:rsidP="001D5C8C">
            <w:pPr>
              <w:widowControl w:val="0"/>
              <w:spacing w:line="240" w:lineRule="auto"/>
              <w:rPr>
                <w:b/>
                <w:color w:val="000000"/>
                <w:szCs w:val="22"/>
                <w:lang w:val="fr-FR"/>
              </w:rPr>
            </w:pPr>
            <w:r w:rsidRPr="00654EF1">
              <w:rPr>
                <w:b/>
                <w:color w:val="000000"/>
                <w:szCs w:val="22"/>
              </w:rPr>
              <w:t>Κύπρος</w:t>
            </w:r>
          </w:p>
          <w:p w14:paraId="1B681143" w14:textId="77777777" w:rsidR="0000054D" w:rsidRPr="00654EF1" w:rsidRDefault="0000054D" w:rsidP="001D5C8C">
            <w:pPr>
              <w:widowControl w:val="0"/>
              <w:spacing w:line="240" w:lineRule="auto"/>
              <w:rPr>
                <w:color w:val="000000"/>
                <w:szCs w:val="22"/>
                <w:lang w:val="fr-FR"/>
              </w:rPr>
            </w:pPr>
            <w:r w:rsidRPr="00654EF1">
              <w:rPr>
                <w:color w:val="000000"/>
                <w:szCs w:val="22"/>
                <w:lang w:val="fr-FR" w:bidi="he-IL"/>
              </w:rPr>
              <w:t>Novartis Pharma Services Inc.</w:t>
            </w:r>
          </w:p>
          <w:p w14:paraId="1B681144" w14:textId="77777777" w:rsidR="0000054D" w:rsidRPr="00654EF1" w:rsidRDefault="0000054D" w:rsidP="001D5C8C">
            <w:pPr>
              <w:widowControl w:val="0"/>
              <w:spacing w:line="240" w:lineRule="auto"/>
              <w:rPr>
                <w:color w:val="000000"/>
                <w:szCs w:val="22"/>
                <w:lang w:val="fr-FR"/>
              </w:rPr>
            </w:pPr>
            <w:r w:rsidRPr="00654EF1">
              <w:rPr>
                <w:color w:val="000000"/>
                <w:szCs w:val="22"/>
              </w:rPr>
              <w:t>Τηλ</w:t>
            </w:r>
            <w:r w:rsidRPr="00654EF1">
              <w:rPr>
                <w:color w:val="000000"/>
                <w:szCs w:val="22"/>
                <w:lang w:val="fr-FR"/>
              </w:rPr>
              <w:t>: +357 22 690 690</w:t>
            </w:r>
          </w:p>
          <w:p w14:paraId="1B681145" w14:textId="77777777" w:rsidR="0000054D" w:rsidRPr="00654EF1" w:rsidRDefault="0000054D" w:rsidP="001D5C8C">
            <w:pPr>
              <w:widowControl w:val="0"/>
              <w:spacing w:line="240" w:lineRule="auto"/>
              <w:rPr>
                <w:b/>
                <w:color w:val="000000"/>
                <w:szCs w:val="22"/>
                <w:lang w:val="fr-FR"/>
              </w:rPr>
            </w:pPr>
          </w:p>
        </w:tc>
        <w:tc>
          <w:tcPr>
            <w:tcW w:w="4650" w:type="dxa"/>
          </w:tcPr>
          <w:p w14:paraId="1B681146" w14:textId="77777777" w:rsidR="0000054D" w:rsidRPr="00654EF1" w:rsidRDefault="0000054D" w:rsidP="001D5C8C">
            <w:pPr>
              <w:widowControl w:val="0"/>
              <w:spacing w:line="240" w:lineRule="auto"/>
              <w:rPr>
                <w:b/>
                <w:color w:val="000000"/>
                <w:szCs w:val="22"/>
                <w:lang w:val="de-CH"/>
              </w:rPr>
            </w:pPr>
            <w:r w:rsidRPr="00654EF1">
              <w:rPr>
                <w:b/>
                <w:color w:val="000000"/>
                <w:szCs w:val="22"/>
                <w:lang w:val="de-CH"/>
              </w:rPr>
              <w:t>Sverige</w:t>
            </w:r>
          </w:p>
          <w:p w14:paraId="1B681147"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Novartis Sverige AB</w:t>
            </w:r>
          </w:p>
          <w:p w14:paraId="1B681148" w14:textId="77777777" w:rsidR="0000054D" w:rsidRPr="00654EF1" w:rsidRDefault="0000054D" w:rsidP="001D5C8C">
            <w:pPr>
              <w:widowControl w:val="0"/>
              <w:spacing w:line="240" w:lineRule="auto"/>
              <w:rPr>
                <w:color w:val="000000"/>
                <w:szCs w:val="22"/>
                <w:lang w:val="de-CH"/>
              </w:rPr>
            </w:pPr>
            <w:r w:rsidRPr="00654EF1">
              <w:rPr>
                <w:color w:val="000000"/>
                <w:szCs w:val="22"/>
                <w:lang w:val="de-CH"/>
              </w:rPr>
              <w:t>Tel: +46 8 732 32 00</w:t>
            </w:r>
          </w:p>
          <w:p w14:paraId="1B681149" w14:textId="77777777" w:rsidR="0000054D" w:rsidRPr="00654EF1" w:rsidRDefault="0000054D" w:rsidP="001D5C8C">
            <w:pPr>
              <w:widowControl w:val="0"/>
              <w:spacing w:line="240" w:lineRule="auto"/>
              <w:rPr>
                <w:color w:val="000000"/>
                <w:szCs w:val="22"/>
                <w:lang w:val="de-CH"/>
              </w:rPr>
            </w:pPr>
          </w:p>
        </w:tc>
      </w:tr>
      <w:tr w:rsidR="0000054D" w:rsidRPr="00654EF1" w14:paraId="1B681153" w14:textId="77777777" w:rsidTr="007F373C">
        <w:trPr>
          <w:cantSplit/>
        </w:trPr>
        <w:tc>
          <w:tcPr>
            <w:tcW w:w="4650" w:type="dxa"/>
          </w:tcPr>
          <w:p w14:paraId="1B68114B" w14:textId="77777777" w:rsidR="0000054D" w:rsidRPr="00654EF1" w:rsidRDefault="0000054D" w:rsidP="001D5C8C">
            <w:pPr>
              <w:widowControl w:val="0"/>
              <w:spacing w:line="240" w:lineRule="auto"/>
              <w:rPr>
                <w:b/>
                <w:color w:val="000000"/>
                <w:szCs w:val="22"/>
                <w:lang w:val="it-IT"/>
              </w:rPr>
            </w:pPr>
            <w:r w:rsidRPr="00654EF1">
              <w:rPr>
                <w:b/>
                <w:color w:val="000000"/>
                <w:szCs w:val="22"/>
                <w:lang w:val="it-IT"/>
              </w:rPr>
              <w:t>Latvija</w:t>
            </w:r>
          </w:p>
          <w:p w14:paraId="1B68114C" w14:textId="1D351E38" w:rsidR="0000054D" w:rsidRPr="00654EF1" w:rsidRDefault="004E3C11" w:rsidP="001D5C8C">
            <w:pPr>
              <w:widowControl w:val="0"/>
              <w:spacing w:line="240" w:lineRule="auto"/>
              <w:rPr>
                <w:color w:val="000000"/>
                <w:szCs w:val="22"/>
                <w:lang w:val="it-IT"/>
              </w:rPr>
            </w:pPr>
            <w:r w:rsidRPr="00654EF1">
              <w:rPr>
                <w:szCs w:val="22"/>
                <w:lang w:val="it-IT"/>
              </w:rPr>
              <w:t>SIA Novartis Baltics</w:t>
            </w:r>
          </w:p>
          <w:p w14:paraId="1B68114D" w14:textId="77777777" w:rsidR="0000054D" w:rsidRPr="00654EF1" w:rsidRDefault="0000054D" w:rsidP="001D5C8C">
            <w:pPr>
              <w:widowControl w:val="0"/>
              <w:spacing w:line="240" w:lineRule="auto"/>
              <w:rPr>
                <w:color w:val="000000"/>
                <w:szCs w:val="22"/>
                <w:lang w:val="it-IT"/>
              </w:rPr>
            </w:pPr>
            <w:r w:rsidRPr="00654EF1">
              <w:rPr>
                <w:color w:val="000000"/>
                <w:szCs w:val="22"/>
                <w:lang w:val="it-IT"/>
              </w:rPr>
              <w:t>Tel: +371 67 887 070</w:t>
            </w:r>
          </w:p>
          <w:p w14:paraId="1B68114E" w14:textId="77777777" w:rsidR="0000054D" w:rsidRPr="00654EF1" w:rsidRDefault="0000054D" w:rsidP="001D5C8C">
            <w:pPr>
              <w:widowControl w:val="0"/>
              <w:spacing w:line="240" w:lineRule="auto"/>
              <w:rPr>
                <w:b/>
                <w:color w:val="000000"/>
                <w:szCs w:val="22"/>
                <w:lang w:val="it-IT"/>
              </w:rPr>
            </w:pPr>
          </w:p>
        </w:tc>
        <w:tc>
          <w:tcPr>
            <w:tcW w:w="4650" w:type="dxa"/>
          </w:tcPr>
          <w:p w14:paraId="1B68114F" w14:textId="77777777" w:rsidR="0000054D" w:rsidRPr="00011E43" w:rsidRDefault="0000054D" w:rsidP="001D5C8C">
            <w:pPr>
              <w:widowControl w:val="0"/>
              <w:spacing w:line="240" w:lineRule="auto"/>
              <w:rPr>
                <w:b/>
                <w:color w:val="000000"/>
                <w:szCs w:val="22"/>
                <w:lang w:val="it-IT"/>
              </w:rPr>
            </w:pPr>
            <w:r w:rsidRPr="00011E43">
              <w:rPr>
                <w:b/>
                <w:color w:val="000000"/>
                <w:szCs w:val="22"/>
                <w:lang w:val="it-IT"/>
              </w:rPr>
              <w:t>United Kingdom</w:t>
            </w:r>
          </w:p>
          <w:p w14:paraId="1B681150" w14:textId="77777777" w:rsidR="0000054D" w:rsidRPr="00011E43" w:rsidRDefault="0000054D" w:rsidP="001D5C8C">
            <w:pPr>
              <w:widowControl w:val="0"/>
              <w:spacing w:line="240" w:lineRule="auto"/>
              <w:rPr>
                <w:color w:val="000000"/>
                <w:szCs w:val="22"/>
                <w:lang w:val="it-IT"/>
              </w:rPr>
            </w:pPr>
            <w:r w:rsidRPr="00011E43">
              <w:rPr>
                <w:color w:val="000000"/>
                <w:szCs w:val="22"/>
                <w:lang w:val="it-IT"/>
              </w:rPr>
              <w:t>Novartis Pharmaceuticals UK Ltd.</w:t>
            </w:r>
          </w:p>
          <w:p w14:paraId="1B681151" w14:textId="77777777" w:rsidR="0000054D" w:rsidRPr="00654EF1" w:rsidRDefault="0000054D" w:rsidP="001D5C8C">
            <w:pPr>
              <w:widowControl w:val="0"/>
              <w:spacing w:line="240" w:lineRule="auto"/>
              <w:rPr>
                <w:color w:val="000000"/>
                <w:szCs w:val="22"/>
              </w:rPr>
            </w:pPr>
            <w:r w:rsidRPr="00654EF1">
              <w:rPr>
                <w:color w:val="000000"/>
                <w:szCs w:val="22"/>
              </w:rPr>
              <w:t>Tel: +44 1276 698370</w:t>
            </w:r>
          </w:p>
          <w:p w14:paraId="1B681152" w14:textId="77777777" w:rsidR="0000054D" w:rsidRPr="00654EF1" w:rsidRDefault="0000054D" w:rsidP="001D5C8C">
            <w:pPr>
              <w:widowControl w:val="0"/>
              <w:spacing w:line="240" w:lineRule="auto"/>
              <w:rPr>
                <w:color w:val="000000"/>
                <w:szCs w:val="22"/>
              </w:rPr>
            </w:pPr>
          </w:p>
        </w:tc>
      </w:tr>
    </w:tbl>
    <w:p w14:paraId="1B681154" w14:textId="77777777" w:rsidR="0000054D" w:rsidRPr="00654EF1" w:rsidRDefault="0000054D" w:rsidP="001D5C8C">
      <w:pPr>
        <w:widowControl w:val="0"/>
        <w:tabs>
          <w:tab w:val="clear" w:pos="567"/>
        </w:tabs>
        <w:spacing w:line="240" w:lineRule="auto"/>
        <w:ind w:right="-449"/>
        <w:rPr>
          <w:color w:val="000000"/>
          <w:szCs w:val="22"/>
        </w:rPr>
      </w:pPr>
    </w:p>
    <w:p w14:paraId="1B681155" w14:textId="77777777" w:rsidR="008571EB" w:rsidRPr="00654EF1" w:rsidRDefault="008571EB" w:rsidP="001D5C8C">
      <w:pPr>
        <w:widowControl w:val="0"/>
        <w:numPr>
          <w:ilvl w:val="12"/>
          <w:numId w:val="0"/>
        </w:numPr>
        <w:tabs>
          <w:tab w:val="clear" w:pos="567"/>
        </w:tabs>
        <w:spacing w:line="240" w:lineRule="auto"/>
        <w:ind w:right="-2"/>
        <w:rPr>
          <w:b/>
          <w:color w:val="000000"/>
          <w:szCs w:val="22"/>
        </w:rPr>
      </w:pPr>
      <w:r w:rsidRPr="00654EF1">
        <w:rPr>
          <w:b/>
          <w:color w:val="000000"/>
          <w:szCs w:val="22"/>
        </w:rPr>
        <w:t xml:space="preserve">This leaflet was last </w:t>
      </w:r>
      <w:r w:rsidR="008A04A6" w:rsidRPr="00654EF1">
        <w:rPr>
          <w:b/>
          <w:color w:val="000000"/>
          <w:szCs w:val="22"/>
        </w:rPr>
        <w:t>revised</w:t>
      </w:r>
      <w:r w:rsidRPr="00654EF1">
        <w:rPr>
          <w:b/>
          <w:color w:val="000000"/>
          <w:szCs w:val="22"/>
        </w:rPr>
        <w:t xml:space="preserve"> in</w:t>
      </w:r>
    </w:p>
    <w:p w14:paraId="1B681156" w14:textId="77777777" w:rsidR="008A04A6" w:rsidRPr="00654EF1" w:rsidRDefault="008A04A6" w:rsidP="001D5C8C">
      <w:pPr>
        <w:pStyle w:val="Date"/>
        <w:widowControl w:val="0"/>
        <w:rPr>
          <w:color w:val="000000"/>
        </w:rPr>
      </w:pPr>
    </w:p>
    <w:p w14:paraId="1B681157" w14:textId="77777777" w:rsidR="008571EB" w:rsidRPr="00654EF1" w:rsidRDefault="008A04A6" w:rsidP="001D5C8C">
      <w:pPr>
        <w:pStyle w:val="Date"/>
        <w:keepNext/>
        <w:widowControl w:val="0"/>
        <w:rPr>
          <w:color w:val="000000"/>
        </w:rPr>
      </w:pPr>
      <w:r w:rsidRPr="00654EF1">
        <w:rPr>
          <w:b/>
        </w:rPr>
        <w:t>Other sources of information</w:t>
      </w:r>
    </w:p>
    <w:p w14:paraId="1B681158" w14:textId="77777777" w:rsidR="008571EB" w:rsidRPr="00654EF1" w:rsidRDefault="008571EB" w:rsidP="001D5C8C">
      <w:pPr>
        <w:widowControl w:val="0"/>
        <w:spacing w:line="240" w:lineRule="auto"/>
        <w:rPr>
          <w:color w:val="000000"/>
        </w:rPr>
      </w:pPr>
      <w:r w:rsidRPr="00654EF1">
        <w:rPr>
          <w:iCs/>
          <w:noProof/>
          <w:color w:val="000000"/>
        </w:rPr>
        <w:t>Detailed information on this medicine is available on the E</w:t>
      </w:r>
      <w:r w:rsidR="00916784" w:rsidRPr="00654EF1">
        <w:rPr>
          <w:iCs/>
          <w:noProof/>
          <w:color w:val="000000"/>
        </w:rPr>
        <w:t>uropean Medicines Agency web</w:t>
      </w:r>
      <w:r w:rsidRPr="00654EF1">
        <w:rPr>
          <w:iCs/>
          <w:noProof/>
          <w:color w:val="000000"/>
        </w:rPr>
        <w:t xml:space="preserve">site: </w:t>
      </w:r>
      <w:r w:rsidR="00916784" w:rsidRPr="00654EF1">
        <w:rPr>
          <w:noProof/>
          <w:color w:val="000000"/>
        </w:rPr>
        <w:t>http://www.em</w:t>
      </w:r>
      <w:r w:rsidRPr="00654EF1">
        <w:rPr>
          <w:noProof/>
          <w:color w:val="000000"/>
        </w:rPr>
        <w:t>a.europa.eu</w:t>
      </w:r>
    </w:p>
    <w:p w14:paraId="1B681159" w14:textId="77777777" w:rsidR="008571EB" w:rsidRPr="00654EF1" w:rsidRDefault="008571EB" w:rsidP="001D5C8C">
      <w:pPr>
        <w:widowControl w:val="0"/>
        <w:numPr>
          <w:ilvl w:val="12"/>
          <w:numId w:val="0"/>
        </w:numPr>
        <w:tabs>
          <w:tab w:val="clear" w:pos="567"/>
        </w:tabs>
        <w:spacing w:line="240" w:lineRule="auto"/>
        <w:ind w:right="-2"/>
        <w:rPr>
          <w:color w:val="000000"/>
          <w:szCs w:val="22"/>
        </w:rPr>
      </w:pPr>
    </w:p>
    <w:p w14:paraId="1B6812EC" w14:textId="6765116F" w:rsidR="0031400B" w:rsidRPr="00415635" w:rsidRDefault="0031400B" w:rsidP="008637D0">
      <w:pPr>
        <w:widowControl w:val="0"/>
        <w:tabs>
          <w:tab w:val="clear" w:pos="567"/>
        </w:tabs>
        <w:spacing w:line="240" w:lineRule="auto"/>
        <w:jc w:val="center"/>
        <w:rPr>
          <w:color w:val="000000"/>
        </w:rPr>
      </w:pPr>
    </w:p>
    <w:sectPr w:rsidR="0031400B" w:rsidRPr="00415635" w:rsidSect="00762045">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8934" w14:textId="77777777" w:rsidR="00F150E6" w:rsidRDefault="00F150E6" w:rsidP="00D174E8">
      <w:pPr>
        <w:spacing w:line="240" w:lineRule="auto"/>
      </w:pPr>
      <w:r>
        <w:separator/>
      </w:r>
    </w:p>
  </w:endnote>
  <w:endnote w:type="continuationSeparator" w:id="0">
    <w:p w14:paraId="3BB08126" w14:textId="77777777" w:rsidR="00F150E6" w:rsidRDefault="00F150E6" w:rsidP="00D17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TimesNewRomanPSMT">
    <w:altName w:val="Yu Gothic UI"/>
    <w:panose1 w:val="00000000000000000000"/>
    <w:charset w:val="00"/>
    <w:family w:val="roman"/>
    <w:notTrueType/>
    <w:pitch w:val="default"/>
    <w:sig w:usb0="00000003" w:usb1="00000000" w:usb2="00000000" w:usb3="00000000" w:csb0="00000001" w:csb1="00000000"/>
  </w:font>
  <w:font w:name="TimesNewRoman">
    <w:altName w:val="Yu Gothic UI"/>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434A" w14:textId="77777777" w:rsidR="00B97E8A" w:rsidRDefault="00B97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131D" w14:textId="3309ABE7" w:rsidR="00B97E8A" w:rsidRPr="00762045" w:rsidRDefault="00B97E8A">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762045">
      <w:rPr>
        <w:rStyle w:val="PageNumber"/>
        <w:rFonts w:ascii="Arial" w:hAnsi="Arial" w:cs="Arial"/>
      </w:rPr>
      <w:fldChar w:fldCharType="begin"/>
    </w:r>
    <w:r w:rsidRPr="00762045">
      <w:rPr>
        <w:rStyle w:val="PageNumber"/>
        <w:rFonts w:ascii="Arial" w:hAnsi="Arial" w:cs="Arial"/>
      </w:rPr>
      <w:instrText xml:space="preserve">PAGE  </w:instrText>
    </w:r>
    <w:r w:rsidRPr="00762045">
      <w:rPr>
        <w:rStyle w:val="PageNumber"/>
        <w:rFonts w:ascii="Arial" w:hAnsi="Arial" w:cs="Arial"/>
      </w:rPr>
      <w:fldChar w:fldCharType="separate"/>
    </w:r>
    <w:r w:rsidR="00B06F09">
      <w:rPr>
        <w:rStyle w:val="PageNumber"/>
        <w:rFonts w:ascii="Arial" w:hAnsi="Arial" w:cs="Arial"/>
        <w:noProof/>
      </w:rPr>
      <w:t>96</w:t>
    </w:r>
    <w:r w:rsidRPr="00762045">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131E" w14:textId="77777777" w:rsidR="00B97E8A" w:rsidRDefault="00B97E8A" w:rsidP="0076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68131F" w14:textId="77777777" w:rsidR="00B97E8A" w:rsidRDefault="00B97E8A">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477B" w14:textId="77777777" w:rsidR="00F150E6" w:rsidRDefault="00F150E6" w:rsidP="00D174E8">
      <w:pPr>
        <w:spacing w:line="240" w:lineRule="auto"/>
      </w:pPr>
      <w:r>
        <w:separator/>
      </w:r>
    </w:p>
  </w:footnote>
  <w:footnote w:type="continuationSeparator" w:id="0">
    <w:p w14:paraId="67BE7B81" w14:textId="77777777" w:rsidR="00F150E6" w:rsidRDefault="00F150E6" w:rsidP="00D17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E9EF5" w14:textId="77777777" w:rsidR="00B97E8A" w:rsidRDefault="00B97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C2AA7" w14:textId="77777777" w:rsidR="00B97E8A" w:rsidRDefault="00B97E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299A" w14:textId="77777777" w:rsidR="00B97E8A" w:rsidRDefault="00B97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E4F06"/>
    <w:multiLevelType w:val="hybridMultilevel"/>
    <w:tmpl w:val="C010B570"/>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07AB"/>
    <w:multiLevelType w:val="hybridMultilevel"/>
    <w:tmpl w:val="C7F0CD3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85E6A"/>
    <w:multiLevelType w:val="hybridMultilevel"/>
    <w:tmpl w:val="C1B24C64"/>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D04E8"/>
    <w:multiLevelType w:val="hybridMultilevel"/>
    <w:tmpl w:val="B5C0F43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6F380F"/>
    <w:multiLevelType w:val="hybridMultilevel"/>
    <w:tmpl w:val="C3B4859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9034C3"/>
    <w:multiLevelType w:val="hybridMultilevel"/>
    <w:tmpl w:val="3A5093DC"/>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7E196B"/>
    <w:multiLevelType w:val="hybridMultilevel"/>
    <w:tmpl w:val="A964D06C"/>
    <w:lvl w:ilvl="0" w:tplc="23443C8A">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5460B7"/>
    <w:multiLevelType w:val="hybridMultilevel"/>
    <w:tmpl w:val="323CA61A"/>
    <w:lvl w:ilvl="0" w:tplc="E3608AC0">
      <w:start w:val="2"/>
      <w:numFmt w:val="bullet"/>
      <w:lvlText w:val="-"/>
      <w:lvlJc w:val="left"/>
      <w:pPr>
        <w:tabs>
          <w:tab w:val="num" w:pos="1197"/>
        </w:tabs>
        <w:ind w:left="1197" w:hanging="570"/>
      </w:pPr>
      <w:rPr>
        <w:rFonts w:hint="default"/>
        <w:b w:val="0"/>
        <w:i w:val="0"/>
      </w:rPr>
    </w:lvl>
    <w:lvl w:ilvl="1" w:tplc="FFFFFFFF">
      <w:start w:val="1"/>
      <w:numFmt w:val="bullet"/>
      <w:lvlText w:val="-"/>
      <w:legacy w:legacy="1" w:legacySpace="6" w:legacyIndent="360"/>
      <w:lvlJc w:val="left"/>
      <w:pPr>
        <w:ind w:left="2061" w:hanging="360"/>
      </w:pPr>
      <w:rPr>
        <w:rFonts w:hint="default"/>
        <w:b w:val="0"/>
        <w:i w:val="0"/>
      </w:rPr>
    </w:lvl>
    <w:lvl w:ilvl="2" w:tplc="04090005" w:tentative="1">
      <w:start w:val="1"/>
      <w:numFmt w:val="bullet"/>
      <w:lvlText w:val=""/>
      <w:lvlJc w:val="left"/>
      <w:pPr>
        <w:tabs>
          <w:tab w:val="num" w:pos="2781"/>
        </w:tabs>
        <w:ind w:left="2781" w:hanging="360"/>
      </w:pPr>
      <w:rPr>
        <w:rFonts w:ascii="Wingdings" w:hAnsi="Wingdings" w:hint="default"/>
      </w:rPr>
    </w:lvl>
    <w:lvl w:ilvl="3" w:tplc="04090001" w:tentative="1">
      <w:start w:val="1"/>
      <w:numFmt w:val="bullet"/>
      <w:lvlText w:val=""/>
      <w:lvlJc w:val="left"/>
      <w:pPr>
        <w:tabs>
          <w:tab w:val="num" w:pos="3501"/>
        </w:tabs>
        <w:ind w:left="3501" w:hanging="360"/>
      </w:pPr>
      <w:rPr>
        <w:rFonts w:ascii="Symbol" w:hAnsi="Symbol" w:hint="default"/>
      </w:rPr>
    </w:lvl>
    <w:lvl w:ilvl="4" w:tplc="04090003" w:tentative="1">
      <w:start w:val="1"/>
      <w:numFmt w:val="bullet"/>
      <w:lvlText w:val="o"/>
      <w:lvlJc w:val="left"/>
      <w:pPr>
        <w:tabs>
          <w:tab w:val="num" w:pos="4221"/>
        </w:tabs>
        <w:ind w:left="4221" w:hanging="360"/>
      </w:pPr>
      <w:rPr>
        <w:rFonts w:ascii="Courier New" w:hAnsi="Courier New" w:cs="Courier New" w:hint="default"/>
      </w:rPr>
    </w:lvl>
    <w:lvl w:ilvl="5" w:tplc="04090005" w:tentative="1">
      <w:start w:val="1"/>
      <w:numFmt w:val="bullet"/>
      <w:lvlText w:val=""/>
      <w:lvlJc w:val="left"/>
      <w:pPr>
        <w:tabs>
          <w:tab w:val="num" w:pos="4941"/>
        </w:tabs>
        <w:ind w:left="4941" w:hanging="360"/>
      </w:pPr>
      <w:rPr>
        <w:rFonts w:ascii="Wingdings" w:hAnsi="Wingdings" w:hint="default"/>
      </w:rPr>
    </w:lvl>
    <w:lvl w:ilvl="6" w:tplc="04090001" w:tentative="1">
      <w:start w:val="1"/>
      <w:numFmt w:val="bullet"/>
      <w:lvlText w:val=""/>
      <w:lvlJc w:val="left"/>
      <w:pPr>
        <w:tabs>
          <w:tab w:val="num" w:pos="5661"/>
        </w:tabs>
        <w:ind w:left="5661" w:hanging="360"/>
      </w:pPr>
      <w:rPr>
        <w:rFonts w:ascii="Symbol" w:hAnsi="Symbol" w:hint="default"/>
      </w:rPr>
    </w:lvl>
    <w:lvl w:ilvl="7" w:tplc="04090003" w:tentative="1">
      <w:start w:val="1"/>
      <w:numFmt w:val="bullet"/>
      <w:lvlText w:val="o"/>
      <w:lvlJc w:val="left"/>
      <w:pPr>
        <w:tabs>
          <w:tab w:val="num" w:pos="6381"/>
        </w:tabs>
        <w:ind w:left="6381" w:hanging="360"/>
      </w:pPr>
      <w:rPr>
        <w:rFonts w:ascii="Courier New" w:hAnsi="Courier New" w:cs="Courier New" w:hint="default"/>
      </w:rPr>
    </w:lvl>
    <w:lvl w:ilvl="8" w:tplc="04090005" w:tentative="1">
      <w:start w:val="1"/>
      <w:numFmt w:val="bullet"/>
      <w:lvlText w:val=""/>
      <w:lvlJc w:val="left"/>
      <w:pPr>
        <w:tabs>
          <w:tab w:val="num" w:pos="7101"/>
        </w:tabs>
        <w:ind w:left="7101" w:hanging="360"/>
      </w:pPr>
      <w:rPr>
        <w:rFonts w:ascii="Wingdings" w:hAnsi="Wingdings" w:hint="default"/>
      </w:rPr>
    </w:lvl>
  </w:abstractNum>
  <w:abstractNum w:abstractNumId="12" w15:restartNumberingAfterBreak="0">
    <w:nsid w:val="2204392B"/>
    <w:multiLevelType w:val="hybridMultilevel"/>
    <w:tmpl w:val="9DD0B6C4"/>
    <w:lvl w:ilvl="0" w:tplc="D588565C">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4130BA"/>
    <w:multiLevelType w:val="hybridMultilevel"/>
    <w:tmpl w:val="122EBCCE"/>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B63049"/>
    <w:multiLevelType w:val="hybridMultilevel"/>
    <w:tmpl w:val="1366A3C8"/>
    <w:lvl w:ilvl="0" w:tplc="BEAA04CE">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FEE5B4C"/>
    <w:multiLevelType w:val="hybridMultilevel"/>
    <w:tmpl w:val="8DE069A2"/>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4361985"/>
    <w:multiLevelType w:val="hybridMultilevel"/>
    <w:tmpl w:val="534E4E7E"/>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E548ED"/>
    <w:multiLevelType w:val="hybridMultilevel"/>
    <w:tmpl w:val="0574A6E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EA4BE9"/>
    <w:multiLevelType w:val="hybridMultilevel"/>
    <w:tmpl w:val="768066A8"/>
    <w:lvl w:ilvl="0" w:tplc="FB7671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CD451C"/>
    <w:multiLevelType w:val="hybridMultilevel"/>
    <w:tmpl w:val="018A7F76"/>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125C81"/>
    <w:multiLevelType w:val="hybridMultilevel"/>
    <w:tmpl w:val="0FEC4686"/>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D0206C"/>
    <w:multiLevelType w:val="hybridMultilevel"/>
    <w:tmpl w:val="4EB6253A"/>
    <w:lvl w:ilvl="0" w:tplc="FB76711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9337D0"/>
    <w:multiLevelType w:val="hybridMultilevel"/>
    <w:tmpl w:val="11844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C77669"/>
    <w:multiLevelType w:val="hybridMultilevel"/>
    <w:tmpl w:val="BADACE8C"/>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5"/>
  </w:num>
  <w:num w:numId="3">
    <w:abstractNumId w:val="2"/>
  </w:num>
  <w:num w:numId="4">
    <w:abstractNumId w:val="17"/>
  </w:num>
  <w:num w:numId="5">
    <w:abstractNumId w:val="4"/>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2"/>
  </w:num>
  <w:num w:numId="9">
    <w:abstractNumId w:val="19"/>
  </w:num>
  <w:num w:numId="10">
    <w:abstractNumId w:val="9"/>
  </w:num>
  <w:num w:numId="11">
    <w:abstractNumId w:val="18"/>
  </w:num>
  <w:num w:numId="12">
    <w:abstractNumId w:val="11"/>
  </w:num>
  <w:num w:numId="13">
    <w:abstractNumId w:val="1"/>
  </w:num>
  <w:num w:numId="14">
    <w:abstractNumId w:val="24"/>
  </w:num>
  <w:num w:numId="15">
    <w:abstractNumId w:val="28"/>
  </w:num>
  <w:num w:numId="16">
    <w:abstractNumId w:val="25"/>
  </w:num>
  <w:num w:numId="17">
    <w:abstractNumId w:val="21"/>
  </w:num>
  <w:num w:numId="18">
    <w:abstractNumId w:val="13"/>
  </w:num>
  <w:num w:numId="19">
    <w:abstractNumId w:val="20"/>
  </w:num>
  <w:num w:numId="20">
    <w:abstractNumId w:val="5"/>
  </w:num>
  <w:num w:numId="21">
    <w:abstractNumId w:val="29"/>
  </w:num>
  <w:num w:numId="22">
    <w:abstractNumId w:val="10"/>
  </w:num>
  <w:num w:numId="23">
    <w:abstractNumId w:val="14"/>
  </w:num>
  <w:num w:numId="24">
    <w:abstractNumId w:val="16"/>
  </w:num>
  <w:num w:numId="25">
    <w:abstractNumId w:val="22"/>
  </w:num>
  <w:num w:numId="26">
    <w:abstractNumId w:val="8"/>
  </w:num>
  <w:num w:numId="27">
    <w:abstractNumId w:val="7"/>
  </w:num>
  <w:num w:numId="28">
    <w:abstractNumId w:val="26"/>
  </w:num>
  <w:num w:numId="29">
    <w:abstractNumId w:val="23"/>
  </w:num>
  <w:num w:numId="30">
    <w:abstractNumId w:val="3"/>
  </w:num>
  <w:num w:numId="31">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pt-BR"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es-ES" w:vendorID="64" w:dllVersion="6" w:nlCheck="1" w:checkStyle="0"/>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pt-PT" w:vendorID="64" w:dllVersion="6"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it-IT" w:vendorID="3" w:dllVersion="517" w:checkStyle="1"/>
  <w:activeWritingStyle w:appName="MSWord" w:lang="pt-PT" w:vendorID="13" w:dllVersion="513" w:checkStyle="1"/>
  <w:activeWritingStyle w:appName="MSWord" w:lang="pt-PT" w:vendorID="75" w:dllVersion="513" w:checkStyle="1"/>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787672"/>
    <w:rsid w:val="0000054D"/>
    <w:rsid w:val="00000C8F"/>
    <w:rsid w:val="00001E7B"/>
    <w:rsid w:val="00001FF5"/>
    <w:rsid w:val="000030C4"/>
    <w:rsid w:val="00003B63"/>
    <w:rsid w:val="00006D3C"/>
    <w:rsid w:val="000076A6"/>
    <w:rsid w:val="000079FE"/>
    <w:rsid w:val="00011A24"/>
    <w:rsid w:val="00011E43"/>
    <w:rsid w:val="000135E1"/>
    <w:rsid w:val="00014027"/>
    <w:rsid w:val="0001416A"/>
    <w:rsid w:val="0001455F"/>
    <w:rsid w:val="00014633"/>
    <w:rsid w:val="00014AD2"/>
    <w:rsid w:val="000152B5"/>
    <w:rsid w:val="00020F47"/>
    <w:rsid w:val="0002261D"/>
    <w:rsid w:val="00023876"/>
    <w:rsid w:val="0002416F"/>
    <w:rsid w:val="00024D12"/>
    <w:rsid w:val="00025611"/>
    <w:rsid w:val="00026B70"/>
    <w:rsid w:val="00027466"/>
    <w:rsid w:val="000277C8"/>
    <w:rsid w:val="00030FC3"/>
    <w:rsid w:val="00031711"/>
    <w:rsid w:val="000319BC"/>
    <w:rsid w:val="00031A2D"/>
    <w:rsid w:val="00031DE1"/>
    <w:rsid w:val="0003488C"/>
    <w:rsid w:val="00034F58"/>
    <w:rsid w:val="00036AAE"/>
    <w:rsid w:val="00041CA2"/>
    <w:rsid w:val="00041F0B"/>
    <w:rsid w:val="00043FD1"/>
    <w:rsid w:val="00044326"/>
    <w:rsid w:val="0004668E"/>
    <w:rsid w:val="00050935"/>
    <w:rsid w:val="00050FB1"/>
    <w:rsid w:val="0005105D"/>
    <w:rsid w:val="000519CC"/>
    <w:rsid w:val="00054B64"/>
    <w:rsid w:val="00055E42"/>
    <w:rsid w:val="00056DBB"/>
    <w:rsid w:val="00061025"/>
    <w:rsid w:val="000618C9"/>
    <w:rsid w:val="00061CCB"/>
    <w:rsid w:val="0006472C"/>
    <w:rsid w:val="00064AAC"/>
    <w:rsid w:val="00065485"/>
    <w:rsid w:val="0006749E"/>
    <w:rsid w:val="00067F9D"/>
    <w:rsid w:val="00071297"/>
    <w:rsid w:val="00071B46"/>
    <w:rsid w:val="00072823"/>
    <w:rsid w:val="00074C9D"/>
    <w:rsid w:val="00076C2B"/>
    <w:rsid w:val="00080696"/>
    <w:rsid w:val="00081996"/>
    <w:rsid w:val="00083917"/>
    <w:rsid w:val="00083AC4"/>
    <w:rsid w:val="000852F8"/>
    <w:rsid w:val="00092978"/>
    <w:rsid w:val="00092A42"/>
    <w:rsid w:val="00094CDB"/>
    <w:rsid w:val="0009525D"/>
    <w:rsid w:val="00096D82"/>
    <w:rsid w:val="000979DA"/>
    <w:rsid w:val="00097E67"/>
    <w:rsid w:val="000A0197"/>
    <w:rsid w:val="000A164C"/>
    <w:rsid w:val="000A2B04"/>
    <w:rsid w:val="000A321A"/>
    <w:rsid w:val="000A3998"/>
    <w:rsid w:val="000A45F7"/>
    <w:rsid w:val="000A5179"/>
    <w:rsid w:val="000A57E2"/>
    <w:rsid w:val="000A5E83"/>
    <w:rsid w:val="000A6464"/>
    <w:rsid w:val="000A6648"/>
    <w:rsid w:val="000B1F27"/>
    <w:rsid w:val="000B217E"/>
    <w:rsid w:val="000B2609"/>
    <w:rsid w:val="000B442F"/>
    <w:rsid w:val="000B4A7E"/>
    <w:rsid w:val="000B59EA"/>
    <w:rsid w:val="000B60A3"/>
    <w:rsid w:val="000B6E81"/>
    <w:rsid w:val="000C0A1E"/>
    <w:rsid w:val="000C48CC"/>
    <w:rsid w:val="000C5055"/>
    <w:rsid w:val="000C66C5"/>
    <w:rsid w:val="000C6E10"/>
    <w:rsid w:val="000C7BBF"/>
    <w:rsid w:val="000D1E38"/>
    <w:rsid w:val="000D2060"/>
    <w:rsid w:val="000D340A"/>
    <w:rsid w:val="000D7EEE"/>
    <w:rsid w:val="000E116B"/>
    <w:rsid w:val="000E15F1"/>
    <w:rsid w:val="000E26D8"/>
    <w:rsid w:val="000E58FA"/>
    <w:rsid w:val="000E7081"/>
    <w:rsid w:val="000F0FE8"/>
    <w:rsid w:val="000F29F0"/>
    <w:rsid w:val="000F50C3"/>
    <w:rsid w:val="000F5DED"/>
    <w:rsid w:val="000F7857"/>
    <w:rsid w:val="00101131"/>
    <w:rsid w:val="0010142A"/>
    <w:rsid w:val="00101A8F"/>
    <w:rsid w:val="00101F1B"/>
    <w:rsid w:val="00103758"/>
    <w:rsid w:val="00103C2F"/>
    <w:rsid w:val="001045C5"/>
    <w:rsid w:val="00104D01"/>
    <w:rsid w:val="00104EEE"/>
    <w:rsid w:val="0010741C"/>
    <w:rsid w:val="001074F0"/>
    <w:rsid w:val="0011008C"/>
    <w:rsid w:val="00110523"/>
    <w:rsid w:val="001116EF"/>
    <w:rsid w:val="0011170E"/>
    <w:rsid w:val="00113813"/>
    <w:rsid w:val="00113E7A"/>
    <w:rsid w:val="00115E67"/>
    <w:rsid w:val="00117190"/>
    <w:rsid w:val="001177D5"/>
    <w:rsid w:val="00117F49"/>
    <w:rsid w:val="00120F58"/>
    <w:rsid w:val="00121D49"/>
    <w:rsid w:val="001246EC"/>
    <w:rsid w:val="00124E3E"/>
    <w:rsid w:val="00125A98"/>
    <w:rsid w:val="00126ADB"/>
    <w:rsid w:val="00131B51"/>
    <w:rsid w:val="00132233"/>
    <w:rsid w:val="0013274D"/>
    <w:rsid w:val="00132B6E"/>
    <w:rsid w:val="001337A2"/>
    <w:rsid w:val="00134D02"/>
    <w:rsid w:val="00135694"/>
    <w:rsid w:val="00140A01"/>
    <w:rsid w:val="00141587"/>
    <w:rsid w:val="00141792"/>
    <w:rsid w:val="00142DE1"/>
    <w:rsid w:val="00143339"/>
    <w:rsid w:val="00150DE6"/>
    <w:rsid w:val="00152EF0"/>
    <w:rsid w:val="00153EB5"/>
    <w:rsid w:val="00155EF9"/>
    <w:rsid w:val="00156AEB"/>
    <w:rsid w:val="001614E6"/>
    <w:rsid w:val="00165F31"/>
    <w:rsid w:val="00166C19"/>
    <w:rsid w:val="00167EDE"/>
    <w:rsid w:val="00171FAC"/>
    <w:rsid w:val="001730DC"/>
    <w:rsid w:val="00173983"/>
    <w:rsid w:val="00173A21"/>
    <w:rsid w:val="00174389"/>
    <w:rsid w:val="001756BA"/>
    <w:rsid w:val="00175E85"/>
    <w:rsid w:val="00175F90"/>
    <w:rsid w:val="0017601F"/>
    <w:rsid w:val="001835E7"/>
    <w:rsid w:val="00183A86"/>
    <w:rsid w:val="00183AD9"/>
    <w:rsid w:val="00185515"/>
    <w:rsid w:val="00186C1D"/>
    <w:rsid w:val="001871C8"/>
    <w:rsid w:val="00190E6C"/>
    <w:rsid w:val="001934AE"/>
    <w:rsid w:val="00194356"/>
    <w:rsid w:val="00194E7E"/>
    <w:rsid w:val="0019534A"/>
    <w:rsid w:val="0019538E"/>
    <w:rsid w:val="00196A83"/>
    <w:rsid w:val="00196B07"/>
    <w:rsid w:val="00196D1B"/>
    <w:rsid w:val="001973AB"/>
    <w:rsid w:val="00197E16"/>
    <w:rsid w:val="001A006E"/>
    <w:rsid w:val="001A0418"/>
    <w:rsid w:val="001A14E6"/>
    <w:rsid w:val="001A4CCC"/>
    <w:rsid w:val="001A6382"/>
    <w:rsid w:val="001A7F2B"/>
    <w:rsid w:val="001B0362"/>
    <w:rsid w:val="001B0777"/>
    <w:rsid w:val="001B0C17"/>
    <w:rsid w:val="001B1B40"/>
    <w:rsid w:val="001B3283"/>
    <w:rsid w:val="001B427A"/>
    <w:rsid w:val="001B4689"/>
    <w:rsid w:val="001B4AB6"/>
    <w:rsid w:val="001C00BD"/>
    <w:rsid w:val="001C4A41"/>
    <w:rsid w:val="001C4ED0"/>
    <w:rsid w:val="001C654B"/>
    <w:rsid w:val="001D445B"/>
    <w:rsid w:val="001D4DF6"/>
    <w:rsid w:val="001D5C8C"/>
    <w:rsid w:val="001D623C"/>
    <w:rsid w:val="001D7FEA"/>
    <w:rsid w:val="001E1052"/>
    <w:rsid w:val="001E1155"/>
    <w:rsid w:val="001E1469"/>
    <w:rsid w:val="001E42D3"/>
    <w:rsid w:val="001E444B"/>
    <w:rsid w:val="001E4820"/>
    <w:rsid w:val="001E5C13"/>
    <w:rsid w:val="001E5E70"/>
    <w:rsid w:val="001E68BF"/>
    <w:rsid w:val="001E76F3"/>
    <w:rsid w:val="001F16AB"/>
    <w:rsid w:val="001F21A3"/>
    <w:rsid w:val="001F2B41"/>
    <w:rsid w:val="001F2D3F"/>
    <w:rsid w:val="001F31D9"/>
    <w:rsid w:val="001F729F"/>
    <w:rsid w:val="001F7BC0"/>
    <w:rsid w:val="0020074E"/>
    <w:rsid w:val="0020274C"/>
    <w:rsid w:val="002050F5"/>
    <w:rsid w:val="00205B08"/>
    <w:rsid w:val="00205D08"/>
    <w:rsid w:val="00205E68"/>
    <w:rsid w:val="00206E2D"/>
    <w:rsid w:val="002101A3"/>
    <w:rsid w:val="0021220C"/>
    <w:rsid w:val="002129A0"/>
    <w:rsid w:val="00212B21"/>
    <w:rsid w:val="00213348"/>
    <w:rsid w:val="0021410A"/>
    <w:rsid w:val="00214F66"/>
    <w:rsid w:val="00216354"/>
    <w:rsid w:val="002200D3"/>
    <w:rsid w:val="0022016D"/>
    <w:rsid w:val="00223E77"/>
    <w:rsid w:val="00224133"/>
    <w:rsid w:val="002252CD"/>
    <w:rsid w:val="0022650E"/>
    <w:rsid w:val="00226B5C"/>
    <w:rsid w:val="00227C51"/>
    <w:rsid w:val="00230B88"/>
    <w:rsid w:val="00232F47"/>
    <w:rsid w:val="00233A75"/>
    <w:rsid w:val="00234650"/>
    <w:rsid w:val="0023552E"/>
    <w:rsid w:val="00235D24"/>
    <w:rsid w:val="002361DC"/>
    <w:rsid w:val="00236564"/>
    <w:rsid w:val="00237C03"/>
    <w:rsid w:val="002409B7"/>
    <w:rsid w:val="00240A30"/>
    <w:rsid w:val="00240E1F"/>
    <w:rsid w:val="00241B33"/>
    <w:rsid w:val="00242DA0"/>
    <w:rsid w:val="00243F2F"/>
    <w:rsid w:val="00244ABD"/>
    <w:rsid w:val="00245725"/>
    <w:rsid w:val="00245C2C"/>
    <w:rsid w:val="00245D37"/>
    <w:rsid w:val="00247EDE"/>
    <w:rsid w:val="002500DA"/>
    <w:rsid w:val="0025067D"/>
    <w:rsid w:val="002515AD"/>
    <w:rsid w:val="002516ED"/>
    <w:rsid w:val="00254208"/>
    <w:rsid w:val="00255C03"/>
    <w:rsid w:val="00256026"/>
    <w:rsid w:val="00257416"/>
    <w:rsid w:val="00257730"/>
    <w:rsid w:val="0025785C"/>
    <w:rsid w:val="00257B62"/>
    <w:rsid w:val="00260628"/>
    <w:rsid w:val="002626EE"/>
    <w:rsid w:val="00262DC0"/>
    <w:rsid w:val="0026351A"/>
    <w:rsid w:val="002644FF"/>
    <w:rsid w:val="00264DA0"/>
    <w:rsid w:val="002664DE"/>
    <w:rsid w:val="0026681F"/>
    <w:rsid w:val="00267118"/>
    <w:rsid w:val="00267307"/>
    <w:rsid w:val="00267D64"/>
    <w:rsid w:val="002719D5"/>
    <w:rsid w:val="00273494"/>
    <w:rsid w:val="002742DF"/>
    <w:rsid w:val="00276E76"/>
    <w:rsid w:val="00280050"/>
    <w:rsid w:val="002802A0"/>
    <w:rsid w:val="002823B9"/>
    <w:rsid w:val="002833DE"/>
    <w:rsid w:val="00283606"/>
    <w:rsid w:val="00283851"/>
    <w:rsid w:val="00283CB5"/>
    <w:rsid w:val="00283FB5"/>
    <w:rsid w:val="00284874"/>
    <w:rsid w:val="00285394"/>
    <w:rsid w:val="00286082"/>
    <w:rsid w:val="00286B6C"/>
    <w:rsid w:val="00291227"/>
    <w:rsid w:val="00291441"/>
    <w:rsid w:val="00293C73"/>
    <w:rsid w:val="00295800"/>
    <w:rsid w:val="002963EF"/>
    <w:rsid w:val="00296BA8"/>
    <w:rsid w:val="00297D31"/>
    <w:rsid w:val="00297E68"/>
    <w:rsid w:val="002A218B"/>
    <w:rsid w:val="002A44F6"/>
    <w:rsid w:val="002A52BA"/>
    <w:rsid w:val="002A7435"/>
    <w:rsid w:val="002A7527"/>
    <w:rsid w:val="002B04AE"/>
    <w:rsid w:val="002B0D5C"/>
    <w:rsid w:val="002B4CBC"/>
    <w:rsid w:val="002B5150"/>
    <w:rsid w:val="002C1058"/>
    <w:rsid w:val="002C5F93"/>
    <w:rsid w:val="002C67C5"/>
    <w:rsid w:val="002C6F55"/>
    <w:rsid w:val="002D0DDD"/>
    <w:rsid w:val="002D3A17"/>
    <w:rsid w:val="002D414F"/>
    <w:rsid w:val="002D4334"/>
    <w:rsid w:val="002D48D9"/>
    <w:rsid w:val="002D524A"/>
    <w:rsid w:val="002D600A"/>
    <w:rsid w:val="002D671D"/>
    <w:rsid w:val="002D7783"/>
    <w:rsid w:val="002E028E"/>
    <w:rsid w:val="002E040A"/>
    <w:rsid w:val="002E1E1B"/>
    <w:rsid w:val="002E2278"/>
    <w:rsid w:val="002E2EC5"/>
    <w:rsid w:val="002E2F39"/>
    <w:rsid w:val="002E45F6"/>
    <w:rsid w:val="002E4C30"/>
    <w:rsid w:val="002E51FF"/>
    <w:rsid w:val="002E56D6"/>
    <w:rsid w:val="002E608B"/>
    <w:rsid w:val="002E65D1"/>
    <w:rsid w:val="002E6D66"/>
    <w:rsid w:val="002E726C"/>
    <w:rsid w:val="002F085B"/>
    <w:rsid w:val="002F08FA"/>
    <w:rsid w:val="002F3958"/>
    <w:rsid w:val="002F45F3"/>
    <w:rsid w:val="002F4D89"/>
    <w:rsid w:val="002F5282"/>
    <w:rsid w:val="002F5E1A"/>
    <w:rsid w:val="002F61D5"/>
    <w:rsid w:val="002F65E8"/>
    <w:rsid w:val="002F7195"/>
    <w:rsid w:val="002F7C3B"/>
    <w:rsid w:val="003032E4"/>
    <w:rsid w:val="00304332"/>
    <w:rsid w:val="0030485F"/>
    <w:rsid w:val="003059E7"/>
    <w:rsid w:val="0030654B"/>
    <w:rsid w:val="00306988"/>
    <w:rsid w:val="003101EE"/>
    <w:rsid w:val="003113B7"/>
    <w:rsid w:val="003129E5"/>
    <w:rsid w:val="003136E6"/>
    <w:rsid w:val="0031400B"/>
    <w:rsid w:val="003144D3"/>
    <w:rsid w:val="003173A9"/>
    <w:rsid w:val="00317823"/>
    <w:rsid w:val="00320A51"/>
    <w:rsid w:val="00321153"/>
    <w:rsid w:val="00322854"/>
    <w:rsid w:val="00322A77"/>
    <w:rsid w:val="00323483"/>
    <w:rsid w:val="003239AA"/>
    <w:rsid w:val="00325D91"/>
    <w:rsid w:val="003268EB"/>
    <w:rsid w:val="003274FE"/>
    <w:rsid w:val="00330365"/>
    <w:rsid w:val="00331088"/>
    <w:rsid w:val="003328C2"/>
    <w:rsid w:val="00332A53"/>
    <w:rsid w:val="00333230"/>
    <w:rsid w:val="003346B2"/>
    <w:rsid w:val="003358E4"/>
    <w:rsid w:val="00335A6E"/>
    <w:rsid w:val="00336043"/>
    <w:rsid w:val="00341013"/>
    <w:rsid w:val="00341BF4"/>
    <w:rsid w:val="0034395B"/>
    <w:rsid w:val="00343DCC"/>
    <w:rsid w:val="0034498E"/>
    <w:rsid w:val="00344E20"/>
    <w:rsid w:val="003458D3"/>
    <w:rsid w:val="003464BC"/>
    <w:rsid w:val="00346E5E"/>
    <w:rsid w:val="0034730B"/>
    <w:rsid w:val="00347578"/>
    <w:rsid w:val="0035057D"/>
    <w:rsid w:val="00350746"/>
    <w:rsid w:val="0035198D"/>
    <w:rsid w:val="00351A2B"/>
    <w:rsid w:val="00352425"/>
    <w:rsid w:val="00352803"/>
    <w:rsid w:val="0035309C"/>
    <w:rsid w:val="00353847"/>
    <w:rsid w:val="00353D3F"/>
    <w:rsid w:val="00353FB7"/>
    <w:rsid w:val="00354455"/>
    <w:rsid w:val="00356F51"/>
    <w:rsid w:val="00362199"/>
    <w:rsid w:val="00362551"/>
    <w:rsid w:val="00362732"/>
    <w:rsid w:val="0036337E"/>
    <w:rsid w:val="00363525"/>
    <w:rsid w:val="00363CD4"/>
    <w:rsid w:val="003646EC"/>
    <w:rsid w:val="003659CE"/>
    <w:rsid w:val="003671EC"/>
    <w:rsid w:val="0036730A"/>
    <w:rsid w:val="003707D0"/>
    <w:rsid w:val="00372F8F"/>
    <w:rsid w:val="00373EB0"/>
    <w:rsid w:val="0037618F"/>
    <w:rsid w:val="00377438"/>
    <w:rsid w:val="0037757A"/>
    <w:rsid w:val="00377E84"/>
    <w:rsid w:val="00380A0E"/>
    <w:rsid w:val="003830D4"/>
    <w:rsid w:val="00383791"/>
    <w:rsid w:val="003839C5"/>
    <w:rsid w:val="003862ED"/>
    <w:rsid w:val="003865A6"/>
    <w:rsid w:val="00386EC6"/>
    <w:rsid w:val="0038764D"/>
    <w:rsid w:val="00387CB2"/>
    <w:rsid w:val="003914B4"/>
    <w:rsid w:val="00391717"/>
    <w:rsid w:val="00391FA4"/>
    <w:rsid w:val="00392DC4"/>
    <w:rsid w:val="003937AD"/>
    <w:rsid w:val="00394E9C"/>
    <w:rsid w:val="0039525E"/>
    <w:rsid w:val="00396738"/>
    <w:rsid w:val="003A1A7D"/>
    <w:rsid w:val="003A34B6"/>
    <w:rsid w:val="003A35AD"/>
    <w:rsid w:val="003A4327"/>
    <w:rsid w:val="003A5B6A"/>
    <w:rsid w:val="003B02CC"/>
    <w:rsid w:val="003B03C5"/>
    <w:rsid w:val="003B1661"/>
    <w:rsid w:val="003B2202"/>
    <w:rsid w:val="003B3918"/>
    <w:rsid w:val="003B398F"/>
    <w:rsid w:val="003B5309"/>
    <w:rsid w:val="003B68A4"/>
    <w:rsid w:val="003C0776"/>
    <w:rsid w:val="003C25DA"/>
    <w:rsid w:val="003C31F4"/>
    <w:rsid w:val="003C6A7B"/>
    <w:rsid w:val="003C76D4"/>
    <w:rsid w:val="003D0248"/>
    <w:rsid w:val="003D0E64"/>
    <w:rsid w:val="003D32EA"/>
    <w:rsid w:val="003D3E19"/>
    <w:rsid w:val="003D4F3A"/>
    <w:rsid w:val="003D6B8E"/>
    <w:rsid w:val="003D79B4"/>
    <w:rsid w:val="003E0200"/>
    <w:rsid w:val="003E2B81"/>
    <w:rsid w:val="003E57A6"/>
    <w:rsid w:val="003E5952"/>
    <w:rsid w:val="003E722D"/>
    <w:rsid w:val="003E7468"/>
    <w:rsid w:val="003F0D40"/>
    <w:rsid w:val="003F165F"/>
    <w:rsid w:val="003F1B96"/>
    <w:rsid w:val="003F217A"/>
    <w:rsid w:val="003F23F7"/>
    <w:rsid w:val="003F5DD0"/>
    <w:rsid w:val="003F6008"/>
    <w:rsid w:val="003F6295"/>
    <w:rsid w:val="003F7D18"/>
    <w:rsid w:val="004007C0"/>
    <w:rsid w:val="00400BE4"/>
    <w:rsid w:val="00400C5C"/>
    <w:rsid w:val="00401842"/>
    <w:rsid w:val="00401F2C"/>
    <w:rsid w:val="004028B9"/>
    <w:rsid w:val="00402EC6"/>
    <w:rsid w:val="004032FF"/>
    <w:rsid w:val="004045D4"/>
    <w:rsid w:val="00406283"/>
    <w:rsid w:val="004103BD"/>
    <w:rsid w:val="004110C6"/>
    <w:rsid w:val="00411CFC"/>
    <w:rsid w:val="0041264B"/>
    <w:rsid w:val="004126A4"/>
    <w:rsid w:val="0041363F"/>
    <w:rsid w:val="00413C1A"/>
    <w:rsid w:val="00415120"/>
    <w:rsid w:val="00415150"/>
    <w:rsid w:val="00415635"/>
    <w:rsid w:val="00416124"/>
    <w:rsid w:val="004162B1"/>
    <w:rsid w:val="004207C2"/>
    <w:rsid w:val="00422E15"/>
    <w:rsid w:val="0042381E"/>
    <w:rsid w:val="00423DD3"/>
    <w:rsid w:val="00424BE8"/>
    <w:rsid w:val="00425AAE"/>
    <w:rsid w:val="00426C17"/>
    <w:rsid w:val="0043013C"/>
    <w:rsid w:val="00430152"/>
    <w:rsid w:val="00430F01"/>
    <w:rsid w:val="00430F28"/>
    <w:rsid w:val="00431387"/>
    <w:rsid w:val="00431628"/>
    <w:rsid w:val="00432191"/>
    <w:rsid w:val="0043292F"/>
    <w:rsid w:val="00432D3D"/>
    <w:rsid w:val="00433BE3"/>
    <w:rsid w:val="00433E94"/>
    <w:rsid w:val="004361DC"/>
    <w:rsid w:val="0044103E"/>
    <w:rsid w:val="00442E4D"/>
    <w:rsid w:val="0044334F"/>
    <w:rsid w:val="004449B7"/>
    <w:rsid w:val="00444F6D"/>
    <w:rsid w:val="0044597E"/>
    <w:rsid w:val="00446CE2"/>
    <w:rsid w:val="00447366"/>
    <w:rsid w:val="00447888"/>
    <w:rsid w:val="004503B6"/>
    <w:rsid w:val="004507CE"/>
    <w:rsid w:val="0045095E"/>
    <w:rsid w:val="00450B86"/>
    <w:rsid w:val="0045212B"/>
    <w:rsid w:val="00454DBC"/>
    <w:rsid w:val="00456A2C"/>
    <w:rsid w:val="00460398"/>
    <w:rsid w:val="00460D0D"/>
    <w:rsid w:val="00464A5C"/>
    <w:rsid w:val="00465994"/>
    <w:rsid w:val="004674EB"/>
    <w:rsid w:val="00470CA1"/>
    <w:rsid w:val="00471955"/>
    <w:rsid w:val="004751E8"/>
    <w:rsid w:val="00482352"/>
    <w:rsid w:val="0048286C"/>
    <w:rsid w:val="00484870"/>
    <w:rsid w:val="0048664B"/>
    <w:rsid w:val="00487685"/>
    <w:rsid w:val="0048785C"/>
    <w:rsid w:val="00491367"/>
    <w:rsid w:val="00492EC4"/>
    <w:rsid w:val="0049334F"/>
    <w:rsid w:val="00494B5A"/>
    <w:rsid w:val="00495BF3"/>
    <w:rsid w:val="00495E7C"/>
    <w:rsid w:val="00497F4F"/>
    <w:rsid w:val="004A0AB4"/>
    <w:rsid w:val="004A0DDD"/>
    <w:rsid w:val="004A1482"/>
    <w:rsid w:val="004A4055"/>
    <w:rsid w:val="004A4ACA"/>
    <w:rsid w:val="004A58DC"/>
    <w:rsid w:val="004A5978"/>
    <w:rsid w:val="004A67B1"/>
    <w:rsid w:val="004B0B92"/>
    <w:rsid w:val="004B1294"/>
    <w:rsid w:val="004B219C"/>
    <w:rsid w:val="004B2983"/>
    <w:rsid w:val="004B2BC2"/>
    <w:rsid w:val="004B4C1E"/>
    <w:rsid w:val="004B5202"/>
    <w:rsid w:val="004B57BD"/>
    <w:rsid w:val="004B71AC"/>
    <w:rsid w:val="004B71F2"/>
    <w:rsid w:val="004B7CD8"/>
    <w:rsid w:val="004C3AFB"/>
    <w:rsid w:val="004C3E4C"/>
    <w:rsid w:val="004C5C42"/>
    <w:rsid w:val="004C5EED"/>
    <w:rsid w:val="004D0467"/>
    <w:rsid w:val="004D0E4C"/>
    <w:rsid w:val="004D16F9"/>
    <w:rsid w:val="004D1FA1"/>
    <w:rsid w:val="004D3ADB"/>
    <w:rsid w:val="004D4E6E"/>
    <w:rsid w:val="004D53F4"/>
    <w:rsid w:val="004D5831"/>
    <w:rsid w:val="004D7B1F"/>
    <w:rsid w:val="004E13E9"/>
    <w:rsid w:val="004E1888"/>
    <w:rsid w:val="004E18A8"/>
    <w:rsid w:val="004E1A61"/>
    <w:rsid w:val="004E2847"/>
    <w:rsid w:val="004E3104"/>
    <w:rsid w:val="004E3C11"/>
    <w:rsid w:val="004E3E63"/>
    <w:rsid w:val="004E4A30"/>
    <w:rsid w:val="004F00BA"/>
    <w:rsid w:val="004F1046"/>
    <w:rsid w:val="004F1646"/>
    <w:rsid w:val="004F3612"/>
    <w:rsid w:val="004F6C6B"/>
    <w:rsid w:val="004F6EC8"/>
    <w:rsid w:val="004F77BB"/>
    <w:rsid w:val="004F7B91"/>
    <w:rsid w:val="00500869"/>
    <w:rsid w:val="005026D3"/>
    <w:rsid w:val="00504007"/>
    <w:rsid w:val="00504D3E"/>
    <w:rsid w:val="0050545F"/>
    <w:rsid w:val="00505A96"/>
    <w:rsid w:val="00505F51"/>
    <w:rsid w:val="00507081"/>
    <w:rsid w:val="0051085C"/>
    <w:rsid w:val="00512C40"/>
    <w:rsid w:val="00513D26"/>
    <w:rsid w:val="00514B81"/>
    <w:rsid w:val="00514E5A"/>
    <w:rsid w:val="00515177"/>
    <w:rsid w:val="005158FC"/>
    <w:rsid w:val="005177AF"/>
    <w:rsid w:val="00521948"/>
    <w:rsid w:val="00522EE9"/>
    <w:rsid w:val="005236FD"/>
    <w:rsid w:val="005238B7"/>
    <w:rsid w:val="00526068"/>
    <w:rsid w:val="00526912"/>
    <w:rsid w:val="0053122B"/>
    <w:rsid w:val="00531796"/>
    <w:rsid w:val="005349E4"/>
    <w:rsid w:val="005355AC"/>
    <w:rsid w:val="00536F82"/>
    <w:rsid w:val="00540D5A"/>
    <w:rsid w:val="00541D18"/>
    <w:rsid w:val="0054393E"/>
    <w:rsid w:val="00544516"/>
    <w:rsid w:val="005473DA"/>
    <w:rsid w:val="00550520"/>
    <w:rsid w:val="005522DC"/>
    <w:rsid w:val="005545AE"/>
    <w:rsid w:val="00554D55"/>
    <w:rsid w:val="00554FA4"/>
    <w:rsid w:val="00555103"/>
    <w:rsid w:val="00555F6F"/>
    <w:rsid w:val="0055678E"/>
    <w:rsid w:val="00557184"/>
    <w:rsid w:val="005572C7"/>
    <w:rsid w:val="005600D0"/>
    <w:rsid w:val="00561375"/>
    <w:rsid w:val="00561566"/>
    <w:rsid w:val="005616DA"/>
    <w:rsid w:val="00561B4E"/>
    <w:rsid w:val="00562624"/>
    <w:rsid w:val="00562FB2"/>
    <w:rsid w:val="005632B0"/>
    <w:rsid w:val="00563733"/>
    <w:rsid w:val="00564328"/>
    <w:rsid w:val="0056496E"/>
    <w:rsid w:val="00564C31"/>
    <w:rsid w:val="00567A89"/>
    <w:rsid w:val="005701BF"/>
    <w:rsid w:val="0057061F"/>
    <w:rsid w:val="005716CE"/>
    <w:rsid w:val="005743F8"/>
    <w:rsid w:val="00581E00"/>
    <w:rsid w:val="00582A41"/>
    <w:rsid w:val="00583433"/>
    <w:rsid w:val="00584D87"/>
    <w:rsid w:val="00586AD4"/>
    <w:rsid w:val="00587080"/>
    <w:rsid w:val="00590697"/>
    <w:rsid w:val="0059223B"/>
    <w:rsid w:val="00595F3E"/>
    <w:rsid w:val="0059790E"/>
    <w:rsid w:val="005A0778"/>
    <w:rsid w:val="005A2101"/>
    <w:rsid w:val="005A31EF"/>
    <w:rsid w:val="005A35B3"/>
    <w:rsid w:val="005A3C04"/>
    <w:rsid w:val="005A468F"/>
    <w:rsid w:val="005A56FB"/>
    <w:rsid w:val="005A5825"/>
    <w:rsid w:val="005B0780"/>
    <w:rsid w:val="005B2733"/>
    <w:rsid w:val="005B4C46"/>
    <w:rsid w:val="005B4DAF"/>
    <w:rsid w:val="005B6585"/>
    <w:rsid w:val="005B6879"/>
    <w:rsid w:val="005B6DF7"/>
    <w:rsid w:val="005B7A57"/>
    <w:rsid w:val="005C1E8C"/>
    <w:rsid w:val="005C3486"/>
    <w:rsid w:val="005C6BB3"/>
    <w:rsid w:val="005D0A4D"/>
    <w:rsid w:val="005D1A3D"/>
    <w:rsid w:val="005D1BCD"/>
    <w:rsid w:val="005D25BD"/>
    <w:rsid w:val="005D2D13"/>
    <w:rsid w:val="005D3F99"/>
    <w:rsid w:val="005D6159"/>
    <w:rsid w:val="005D78E4"/>
    <w:rsid w:val="005E0002"/>
    <w:rsid w:val="005E0C34"/>
    <w:rsid w:val="005E1CDC"/>
    <w:rsid w:val="005E777C"/>
    <w:rsid w:val="005E7BE5"/>
    <w:rsid w:val="005F2055"/>
    <w:rsid w:val="005F2EF7"/>
    <w:rsid w:val="005F4617"/>
    <w:rsid w:val="005F6EA4"/>
    <w:rsid w:val="005F6F3C"/>
    <w:rsid w:val="005F799E"/>
    <w:rsid w:val="00600DA1"/>
    <w:rsid w:val="0060215F"/>
    <w:rsid w:val="0060229E"/>
    <w:rsid w:val="00602A14"/>
    <w:rsid w:val="00603010"/>
    <w:rsid w:val="006064D7"/>
    <w:rsid w:val="006074C2"/>
    <w:rsid w:val="00610775"/>
    <w:rsid w:val="00613FFC"/>
    <w:rsid w:val="0061458F"/>
    <w:rsid w:val="00614DEB"/>
    <w:rsid w:val="00616012"/>
    <w:rsid w:val="00616310"/>
    <w:rsid w:val="00620731"/>
    <w:rsid w:val="00621BDD"/>
    <w:rsid w:val="0062214C"/>
    <w:rsid w:val="006234D7"/>
    <w:rsid w:val="006237AB"/>
    <w:rsid w:val="00625777"/>
    <w:rsid w:val="0063006E"/>
    <w:rsid w:val="00631BEB"/>
    <w:rsid w:val="0063214B"/>
    <w:rsid w:val="00632833"/>
    <w:rsid w:val="00633416"/>
    <w:rsid w:val="00633C4F"/>
    <w:rsid w:val="00633EAB"/>
    <w:rsid w:val="006360BE"/>
    <w:rsid w:val="00636FF7"/>
    <w:rsid w:val="00637B47"/>
    <w:rsid w:val="00637CCA"/>
    <w:rsid w:val="0064000A"/>
    <w:rsid w:val="00640DFF"/>
    <w:rsid w:val="00640E4F"/>
    <w:rsid w:val="00641A8D"/>
    <w:rsid w:val="00642B32"/>
    <w:rsid w:val="00642E13"/>
    <w:rsid w:val="0064383E"/>
    <w:rsid w:val="00645A4C"/>
    <w:rsid w:val="006461E0"/>
    <w:rsid w:val="00646539"/>
    <w:rsid w:val="006518B5"/>
    <w:rsid w:val="00652AD5"/>
    <w:rsid w:val="00653B4E"/>
    <w:rsid w:val="00654026"/>
    <w:rsid w:val="00654E1F"/>
    <w:rsid w:val="00654EF1"/>
    <w:rsid w:val="00655175"/>
    <w:rsid w:val="006570E8"/>
    <w:rsid w:val="00657308"/>
    <w:rsid w:val="00657A7E"/>
    <w:rsid w:val="00657B9B"/>
    <w:rsid w:val="00657FAB"/>
    <w:rsid w:val="006620C5"/>
    <w:rsid w:val="00662992"/>
    <w:rsid w:val="00663B8B"/>
    <w:rsid w:val="00664496"/>
    <w:rsid w:val="006651D0"/>
    <w:rsid w:val="006655D1"/>
    <w:rsid w:val="00666171"/>
    <w:rsid w:val="006667B0"/>
    <w:rsid w:val="0067296D"/>
    <w:rsid w:val="006760E1"/>
    <w:rsid w:val="00676D5B"/>
    <w:rsid w:val="00681006"/>
    <w:rsid w:val="006813D4"/>
    <w:rsid w:val="006822C7"/>
    <w:rsid w:val="006823D3"/>
    <w:rsid w:val="00683B56"/>
    <w:rsid w:val="00684B14"/>
    <w:rsid w:val="00692277"/>
    <w:rsid w:val="006928B7"/>
    <w:rsid w:val="00692D50"/>
    <w:rsid w:val="00694271"/>
    <w:rsid w:val="00694368"/>
    <w:rsid w:val="00695044"/>
    <w:rsid w:val="0069549B"/>
    <w:rsid w:val="006A0A11"/>
    <w:rsid w:val="006A23DF"/>
    <w:rsid w:val="006A2F70"/>
    <w:rsid w:val="006A5AAB"/>
    <w:rsid w:val="006A5BD3"/>
    <w:rsid w:val="006A6B02"/>
    <w:rsid w:val="006B23E2"/>
    <w:rsid w:val="006B347B"/>
    <w:rsid w:val="006B64C0"/>
    <w:rsid w:val="006B68DD"/>
    <w:rsid w:val="006B6A18"/>
    <w:rsid w:val="006B6B37"/>
    <w:rsid w:val="006B706C"/>
    <w:rsid w:val="006B732B"/>
    <w:rsid w:val="006B74EA"/>
    <w:rsid w:val="006C05A8"/>
    <w:rsid w:val="006C05BB"/>
    <w:rsid w:val="006C075C"/>
    <w:rsid w:val="006C0B80"/>
    <w:rsid w:val="006C3731"/>
    <w:rsid w:val="006C447E"/>
    <w:rsid w:val="006C4A9B"/>
    <w:rsid w:val="006C683C"/>
    <w:rsid w:val="006C7008"/>
    <w:rsid w:val="006C7CC9"/>
    <w:rsid w:val="006D02B8"/>
    <w:rsid w:val="006D0B80"/>
    <w:rsid w:val="006D1EAF"/>
    <w:rsid w:val="006D3453"/>
    <w:rsid w:val="006D4AAA"/>
    <w:rsid w:val="006D6023"/>
    <w:rsid w:val="006D79CC"/>
    <w:rsid w:val="006D7A6B"/>
    <w:rsid w:val="006D7D90"/>
    <w:rsid w:val="006E0EF5"/>
    <w:rsid w:val="006E1170"/>
    <w:rsid w:val="006E1367"/>
    <w:rsid w:val="006E18B0"/>
    <w:rsid w:val="006E1E9E"/>
    <w:rsid w:val="006E255C"/>
    <w:rsid w:val="006E2580"/>
    <w:rsid w:val="006E2B23"/>
    <w:rsid w:val="006E2CEF"/>
    <w:rsid w:val="006E4052"/>
    <w:rsid w:val="006E5D15"/>
    <w:rsid w:val="006E682D"/>
    <w:rsid w:val="006F17F8"/>
    <w:rsid w:val="006F2087"/>
    <w:rsid w:val="006F27F5"/>
    <w:rsid w:val="006F3324"/>
    <w:rsid w:val="006F623A"/>
    <w:rsid w:val="006F6436"/>
    <w:rsid w:val="006F65E3"/>
    <w:rsid w:val="00701E9B"/>
    <w:rsid w:val="00703061"/>
    <w:rsid w:val="00704F4C"/>
    <w:rsid w:val="007054E3"/>
    <w:rsid w:val="00705B41"/>
    <w:rsid w:val="007102A9"/>
    <w:rsid w:val="00711421"/>
    <w:rsid w:val="00711614"/>
    <w:rsid w:val="00712026"/>
    <w:rsid w:val="00714003"/>
    <w:rsid w:val="007151A0"/>
    <w:rsid w:val="0071522A"/>
    <w:rsid w:val="00716259"/>
    <w:rsid w:val="00716F96"/>
    <w:rsid w:val="007179B9"/>
    <w:rsid w:val="00717E24"/>
    <w:rsid w:val="007209CB"/>
    <w:rsid w:val="00721F27"/>
    <w:rsid w:val="00723AB5"/>
    <w:rsid w:val="00723B99"/>
    <w:rsid w:val="00725FFF"/>
    <w:rsid w:val="007302D4"/>
    <w:rsid w:val="00731475"/>
    <w:rsid w:val="00731821"/>
    <w:rsid w:val="00731CFA"/>
    <w:rsid w:val="007327ED"/>
    <w:rsid w:val="00732A28"/>
    <w:rsid w:val="007344D2"/>
    <w:rsid w:val="00736838"/>
    <w:rsid w:val="0073738D"/>
    <w:rsid w:val="00740EEE"/>
    <w:rsid w:val="00741BC4"/>
    <w:rsid w:val="007429FA"/>
    <w:rsid w:val="00742B76"/>
    <w:rsid w:val="007432E4"/>
    <w:rsid w:val="007505E1"/>
    <w:rsid w:val="00751AD6"/>
    <w:rsid w:val="00752F25"/>
    <w:rsid w:val="0075357A"/>
    <w:rsid w:val="0075401E"/>
    <w:rsid w:val="00755318"/>
    <w:rsid w:val="007569BA"/>
    <w:rsid w:val="007616E4"/>
    <w:rsid w:val="00762045"/>
    <w:rsid w:val="007627D8"/>
    <w:rsid w:val="00763451"/>
    <w:rsid w:val="007648A7"/>
    <w:rsid w:val="007651A8"/>
    <w:rsid w:val="00765B18"/>
    <w:rsid w:val="00766AA0"/>
    <w:rsid w:val="00767676"/>
    <w:rsid w:val="00770213"/>
    <w:rsid w:val="00770AD8"/>
    <w:rsid w:val="0077258C"/>
    <w:rsid w:val="0077478D"/>
    <w:rsid w:val="007774B7"/>
    <w:rsid w:val="0077796E"/>
    <w:rsid w:val="00777B71"/>
    <w:rsid w:val="00782EEE"/>
    <w:rsid w:val="007848E7"/>
    <w:rsid w:val="00785166"/>
    <w:rsid w:val="00785CAB"/>
    <w:rsid w:val="00785F25"/>
    <w:rsid w:val="00786FC3"/>
    <w:rsid w:val="00787672"/>
    <w:rsid w:val="0078783A"/>
    <w:rsid w:val="00790209"/>
    <w:rsid w:val="0079090C"/>
    <w:rsid w:val="007917F2"/>
    <w:rsid w:val="00792848"/>
    <w:rsid w:val="00792BD9"/>
    <w:rsid w:val="007A0BD0"/>
    <w:rsid w:val="007A1B58"/>
    <w:rsid w:val="007A200C"/>
    <w:rsid w:val="007A24A7"/>
    <w:rsid w:val="007A4771"/>
    <w:rsid w:val="007A4A7A"/>
    <w:rsid w:val="007A5358"/>
    <w:rsid w:val="007A7041"/>
    <w:rsid w:val="007A7188"/>
    <w:rsid w:val="007A7AA8"/>
    <w:rsid w:val="007B18B8"/>
    <w:rsid w:val="007B2FBC"/>
    <w:rsid w:val="007B5123"/>
    <w:rsid w:val="007B60C3"/>
    <w:rsid w:val="007B7C05"/>
    <w:rsid w:val="007C011C"/>
    <w:rsid w:val="007C419D"/>
    <w:rsid w:val="007C439B"/>
    <w:rsid w:val="007C4AB0"/>
    <w:rsid w:val="007C5803"/>
    <w:rsid w:val="007C663A"/>
    <w:rsid w:val="007C6697"/>
    <w:rsid w:val="007C676D"/>
    <w:rsid w:val="007C6847"/>
    <w:rsid w:val="007C7583"/>
    <w:rsid w:val="007D0548"/>
    <w:rsid w:val="007D0E05"/>
    <w:rsid w:val="007D1099"/>
    <w:rsid w:val="007D1341"/>
    <w:rsid w:val="007D1557"/>
    <w:rsid w:val="007D18D8"/>
    <w:rsid w:val="007D3B5F"/>
    <w:rsid w:val="007D3B69"/>
    <w:rsid w:val="007D448F"/>
    <w:rsid w:val="007D634C"/>
    <w:rsid w:val="007D6AD2"/>
    <w:rsid w:val="007D7273"/>
    <w:rsid w:val="007E08BA"/>
    <w:rsid w:val="007E0B43"/>
    <w:rsid w:val="007E1607"/>
    <w:rsid w:val="007E1D1E"/>
    <w:rsid w:val="007E4EB8"/>
    <w:rsid w:val="007E73D8"/>
    <w:rsid w:val="007E7623"/>
    <w:rsid w:val="007E790D"/>
    <w:rsid w:val="007E7B15"/>
    <w:rsid w:val="007F1047"/>
    <w:rsid w:val="007F22BD"/>
    <w:rsid w:val="007F24CA"/>
    <w:rsid w:val="007F35BE"/>
    <w:rsid w:val="007F373C"/>
    <w:rsid w:val="007F4AB1"/>
    <w:rsid w:val="007F63BB"/>
    <w:rsid w:val="007F7202"/>
    <w:rsid w:val="008007C5"/>
    <w:rsid w:val="00801D10"/>
    <w:rsid w:val="008026BE"/>
    <w:rsid w:val="00803A1B"/>
    <w:rsid w:val="00803A2A"/>
    <w:rsid w:val="008047B6"/>
    <w:rsid w:val="00804CCE"/>
    <w:rsid w:val="00805125"/>
    <w:rsid w:val="00806498"/>
    <w:rsid w:val="00806737"/>
    <w:rsid w:val="0081208E"/>
    <w:rsid w:val="008120B1"/>
    <w:rsid w:val="008146C1"/>
    <w:rsid w:val="00814FAE"/>
    <w:rsid w:val="00815E5E"/>
    <w:rsid w:val="00821343"/>
    <w:rsid w:val="00823116"/>
    <w:rsid w:val="00823650"/>
    <w:rsid w:val="00824406"/>
    <w:rsid w:val="0082535D"/>
    <w:rsid w:val="0082580F"/>
    <w:rsid w:val="00827B7C"/>
    <w:rsid w:val="008302E9"/>
    <w:rsid w:val="00830F9C"/>
    <w:rsid w:val="00833C58"/>
    <w:rsid w:val="00834530"/>
    <w:rsid w:val="0083482A"/>
    <w:rsid w:val="00835607"/>
    <w:rsid w:val="00835E82"/>
    <w:rsid w:val="00836591"/>
    <w:rsid w:val="00836B4E"/>
    <w:rsid w:val="008376F8"/>
    <w:rsid w:val="008377D1"/>
    <w:rsid w:val="00841297"/>
    <w:rsid w:val="00841EE8"/>
    <w:rsid w:val="00842681"/>
    <w:rsid w:val="00843881"/>
    <w:rsid w:val="0084505D"/>
    <w:rsid w:val="00845693"/>
    <w:rsid w:val="00846274"/>
    <w:rsid w:val="0085049F"/>
    <w:rsid w:val="00850CF6"/>
    <w:rsid w:val="00851DE8"/>
    <w:rsid w:val="008526B7"/>
    <w:rsid w:val="008531EC"/>
    <w:rsid w:val="00854280"/>
    <w:rsid w:val="00855B27"/>
    <w:rsid w:val="008560A0"/>
    <w:rsid w:val="008571EB"/>
    <w:rsid w:val="00861108"/>
    <w:rsid w:val="00861282"/>
    <w:rsid w:val="008613F4"/>
    <w:rsid w:val="00861545"/>
    <w:rsid w:val="008637D0"/>
    <w:rsid w:val="00863F5D"/>
    <w:rsid w:val="00864651"/>
    <w:rsid w:val="00866A35"/>
    <w:rsid w:val="00866FDE"/>
    <w:rsid w:val="00870894"/>
    <w:rsid w:val="00871AF9"/>
    <w:rsid w:val="008725D9"/>
    <w:rsid w:val="00872A6C"/>
    <w:rsid w:val="00873A29"/>
    <w:rsid w:val="008742D8"/>
    <w:rsid w:val="00876172"/>
    <w:rsid w:val="00876D4F"/>
    <w:rsid w:val="008808E5"/>
    <w:rsid w:val="008816A8"/>
    <w:rsid w:val="008826F9"/>
    <w:rsid w:val="00883ADB"/>
    <w:rsid w:val="00885B4E"/>
    <w:rsid w:val="00887BA2"/>
    <w:rsid w:val="008905F9"/>
    <w:rsid w:val="008962DD"/>
    <w:rsid w:val="008A04A6"/>
    <w:rsid w:val="008A1B05"/>
    <w:rsid w:val="008A48D5"/>
    <w:rsid w:val="008A4A4A"/>
    <w:rsid w:val="008A520D"/>
    <w:rsid w:val="008A6A02"/>
    <w:rsid w:val="008A7CC5"/>
    <w:rsid w:val="008B2049"/>
    <w:rsid w:val="008B32CE"/>
    <w:rsid w:val="008B62E7"/>
    <w:rsid w:val="008B6A91"/>
    <w:rsid w:val="008B73B3"/>
    <w:rsid w:val="008C0309"/>
    <w:rsid w:val="008C0663"/>
    <w:rsid w:val="008C269C"/>
    <w:rsid w:val="008C2CD1"/>
    <w:rsid w:val="008C547E"/>
    <w:rsid w:val="008C643B"/>
    <w:rsid w:val="008C7928"/>
    <w:rsid w:val="008D0BBB"/>
    <w:rsid w:val="008D1571"/>
    <w:rsid w:val="008D1CCC"/>
    <w:rsid w:val="008D403E"/>
    <w:rsid w:val="008D45F6"/>
    <w:rsid w:val="008D469C"/>
    <w:rsid w:val="008D6F5C"/>
    <w:rsid w:val="008D7F7A"/>
    <w:rsid w:val="008D7F87"/>
    <w:rsid w:val="008E0223"/>
    <w:rsid w:val="008E0D9A"/>
    <w:rsid w:val="008E0FF8"/>
    <w:rsid w:val="008E119D"/>
    <w:rsid w:val="008E13B1"/>
    <w:rsid w:val="008E1F0E"/>
    <w:rsid w:val="008E2475"/>
    <w:rsid w:val="008E3D97"/>
    <w:rsid w:val="008E3E00"/>
    <w:rsid w:val="008E6740"/>
    <w:rsid w:val="008E6A03"/>
    <w:rsid w:val="008E7A2E"/>
    <w:rsid w:val="008E7E6E"/>
    <w:rsid w:val="008F0ED7"/>
    <w:rsid w:val="008F1C56"/>
    <w:rsid w:val="008F2DE5"/>
    <w:rsid w:val="008F38FC"/>
    <w:rsid w:val="008F6C1B"/>
    <w:rsid w:val="0090046D"/>
    <w:rsid w:val="00901762"/>
    <w:rsid w:val="00901DE1"/>
    <w:rsid w:val="00902A28"/>
    <w:rsid w:val="00905B60"/>
    <w:rsid w:val="00906F75"/>
    <w:rsid w:val="00910E53"/>
    <w:rsid w:val="00911D6F"/>
    <w:rsid w:val="00912D77"/>
    <w:rsid w:val="00914202"/>
    <w:rsid w:val="009165E8"/>
    <w:rsid w:val="00916784"/>
    <w:rsid w:val="009169F8"/>
    <w:rsid w:val="009208C0"/>
    <w:rsid w:val="00923F45"/>
    <w:rsid w:val="00924731"/>
    <w:rsid w:val="009259B1"/>
    <w:rsid w:val="00927291"/>
    <w:rsid w:val="009309DF"/>
    <w:rsid w:val="00931948"/>
    <w:rsid w:val="00936EF9"/>
    <w:rsid w:val="009372C7"/>
    <w:rsid w:val="00940C7E"/>
    <w:rsid w:val="00944752"/>
    <w:rsid w:val="00944A87"/>
    <w:rsid w:val="00945C62"/>
    <w:rsid w:val="0094621D"/>
    <w:rsid w:val="009465D7"/>
    <w:rsid w:val="00947ACB"/>
    <w:rsid w:val="00947C06"/>
    <w:rsid w:val="009516DB"/>
    <w:rsid w:val="00952C5A"/>
    <w:rsid w:val="00955BD0"/>
    <w:rsid w:val="00956C36"/>
    <w:rsid w:val="00957282"/>
    <w:rsid w:val="009574E1"/>
    <w:rsid w:val="009609E0"/>
    <w:rsid w:val="00961B9F"/>
    <w:rsid w:val="00962238"/>
    <w:rsid w:val="00966F38"/>
    <w:rsid w:val="0097057C"/>
    <w:rsid w:val="00971326"/>
    <w:rsid w:val="00971F21"/>
    <w:rsid w:val="00973729"/>
    <w:rsid w:val="00975048"/>
    <w:rsid w:val="00975A28"/>
    <w:rsid w:val="00975D18"/>
    <w:rsid w:val="00976543"/>
    <w:rsid w:val="009819BE"/>
    <w:rsid w:val="0098266B"/>
    <w:rsid w:val="00982A28"/>
    <w:rsid w:val="00982EF9"/>
    <w:rsid w:val="009845D2"/>
    <w:rsid w:val="009848B3"/>
    <w:rsid w:val="00984AAC"/>
    <w:rsid w:val="009862DE"/>
    <w:rsid w:val="00986918"/>
    <w:rsid w:val="00987B41"/>
    <w:rsid w:val="00990A25"/>
    <w:rsid w:val="00991009"/>
    <w:rsid w:val="009911E0"/>
    <w:rsid w:val="0099292A"/>
    <w:rsid w:val="009941BD"/>
    <w:rsid w:val="009975D6"/>
    <w:rsid w:val="00997C9B"/>
    <w:rsid w:val="009A0EC4"/>
    <w:rsid w:val="009A47CF"/>
    <w:rsid w:val="009A5088"/>
    <w:rsid w:val="009A515F"/>
    <w:rsid w:val="009B01F0"/>
    <w:rsid w:val="009B2B09"/>
    <w:rsid w:val="009B4426"/>
    <w:rsid w:val="009B57ED"/>
    <w:rsid w:val="009B5815"/>
    <w:rsid w:val="009B5889"/>
    <w:rsid w:val="009B7935"/>
    <w:rsid w:val="009C1229"/>
    <w:rsid w:val="009C1383"/>
    <w:rsid w:val="009C1C87"/>
    <w:rsid w:val="009C2339"/>
    <w:rsid w:val="009C3524"/>
    <w:rsid w:val="009C3C5C"/>
    <w:rsid w:val="009C5EB0"/>
    <w:rsid w:val="009C7F42"/>
    <w:rsid w:val="009D0033"/>
    <w:rsid w:val="009D293D"/>
    <w:rsid w:val="009D38D9"/>
    <w:rsid w:val="009D3F81"/>
    <w:rsid w:val="009D433D"/>
    <w:rsid w:val="009D4B9E"/>
    <w:rsid w:val="009D52EC"/>
    <w:rsid w:val="009D58C1"/>
    <w:rsid w:val="009D5F1D"/>
    <w:rsid w:val="009D6704"/>
    <w:rsid w:val="009D72DD"/>
    <w:rsid w:val="009D7F9F"/>
    <w:rsid w:val="009E1758"/>
    <w:rsid w:val="009E5A0E"/>
    <w:rsid w:val="009E7652"/>
    <w:rsid w:val="009E77B1"/>
    <w:rsid w:val="009E7FEF"/>
    <w:rsid w:val="009F0509"/>
    <w:rsid w:val="009F3B5A"/>
    <w:rsid w:val="009F3E73"/>
    <w:rsid w:val="009F4CC5"/>
    <w:rsid w:val="009F4D9A"/>
    <w:rsid w:val="009F59F7"/>
    <w:rsid w:val="00A012F1"/>
    <w:rsid w:val="00A0132D"/>
    <w:rsid w:val="00A0159B"/>
    <w:rsid w:val="00A0171A"/>
    <w:rsid w:val="00A0200E"/>
    <w:rsid w:val="00A03427"/>
    <w:rsid w:val="00A03C50"/>
    <w:rsid w:val="00A043E0"/>
    <w:rsid w:val="00A050AC"/>
    <w:rsid w:val="00A054C3"/>
    <w:rsid w:val="00A06EDB"/>
    <w:rsid w:val="00A07DE8"/>
    <w:rsid w:val="00A10BEC"/>
    <w:rsid w:val="00A145E3"/>
    <w:rsid w:val="00A1568D"/>
    <w:rsid w:val="00A15EB2"/>
    <w:rsid w:val="00A165EC"/>
    <w:rsid w:val="00A20131"/>
    <w:rsid w:val="00A234A6"/>
    <w:rsid w:val="00A2476B"/>
    <w:rsid w:val="00A2786F"/>
    <w:rsid w:val="00A300D5"/>
    <w:rsid w:val="00A337EC"/>
    <w:rsid w:val="00A33FF4"/>
    <w:rsid w:val="00A3470D"/>
    <w:rsid w:val="00A34F5C"/>
    <w:rsid w:val="00A35F96"/>
    <w:rsid w:val="00A36A10"/>
    <w:rsid w:val="00A36C70"/>
    <w:rsid w:val="00A373EF"/>
    <w:rsid w:val="00A37F74"/>
    <w:rsid w:val="00A40BA1"/>
    <w:rsid w:val="00A42657"/>
    <w:rsid w:val="00A4314F"/>
    <w:rsid w:val="00A440CF"/>
    <w:rsid w:val="00A44369"/>
    <w:rsid w:val="00A44823"/>
    <w:rsid w:val="00A44AE0"/>
    <w:rsid w:val="00A46CE3"/>
    <w:rsid w:val="00A4787E"/>
    <w:rsid w:val="00A509D8"/>
    <w:rsid w:val="00A50F5C"/>
    <w:rsid w:val="00A52384"/>
    <w:rsid w:val="00A54568"/>
    <w:rsid w:val="00A54DFA"/>
    <w:rsid w:val="00A61129"/>
    <w:rsid w:val="00A61816"/>
    <w:rsid w:val="00A64CD2"/>
    <w:rsid w:val="00A6500B"/>
    <w:rsid w:val="00A669FF"/>
    <w:rsid w:val="00A67FD2"/>
    <w:rsid w:val="00A70CD7"/>
    <w:rsid w:val="00A71340"/>
    <w:rsid w:val="00A72812"/>
    <w:rsid w:val="00A7319D"/>
    <w:rsid w:val="00A746D6"/>
    <w:rsid w:val="00A74BB8"/>
    <w:rsid w:val="00A7511C"/>
    <w:rsid w:val="00A76839"/>
    <w:rsid w:val="00A80181"/>
    <w:rsid w:val="00A822C0"/>
    <w:rsid w:val="00A8397A"/>
    <w:rsid w:val="00A84AFD"/>
    <w:rsid w:val="00A85104"/>
    <w:rsid w:val="00A8632E"/>
    <w:rsid w:val="00A86D6E"/>
    <w:rsid w:val="00A87B81"/>
    <w:rsid w:val="00A918FA"/>
    <w:rsid w:val="00A96646"/>
    <w:rsid w:val="00AA10D7"/>
    <w:rsid w:val="00AA2B89"/>
    <w:rsid w:val="00AA2DE2"/>
    <w:rsid w:val="00AA2FC9"/>
    <w:rsid w:val="00AA48AB"/>
    <w:rsid w:val="00AA4EE6"/>
    <w:rsid w:val="00AA52D6"/>
    <w:rsid w:val="00AA54AB"/>
    <w:rsid w:val="00AA6F1A"/>
    <w:rsid w:val="00AA700A"/>
    <w:rsid w:val="00AB04AB"/>
    <w:rsid w:val="00AB0B1A"/>
    <w:rsid w:val="00AB152B"/>
    <w:rsid w:val="00AB1E3F"/>
    <w:rsid w:val="00AB244E"/>
    <w:rsid w:val="00AB3594"/>
    <w:rsid w:val="00AB3AFE"/>
    <w:rsid w:val="00AB40A2"/>
    <w:rsid w:val="00AB7A8B"/>
    <w:rsid w:val="00AC030E"/>
    <w:rsid w:val="00AC0ADE"/>
    <w:rsid w:val="00AC0C51"/>
    <w:rsid w:val="00AC251D"/>
    <w:rsid w:val="00AC2E3D"/>
    <w:rsid w:val="00AC3649"/>
    <w:rsid w:val="00AC446E"/>
    <w:rsid w:val="00AC4479"/>
    <w:rsid w:val="00AC5AA6"/>
    <w:rsid w:val="00AC6289"/>
    <w:rsid w:val="00AC6857"/>
    <w:rsid w:val="00AC6E92"/>
    <w:rsid w:val="00AC7556"/>
    <w:rsid w:val="00AC769D"/>
    <w:rsid w:val="00AD102E"/>
    <w:rsid w:val="00AD1C4E"/>
    <w:rsid w:val="00AD22BB"/>
    <w:rsid w:val="00AD304D"/>
    <w:rsid w:val="00AD35F4"/>
    <w:rsid w:val="00AD3D75"/>
    <w:rsid w:val="00AD5CF8"/>
    <w:rsid w:val="00AD66FD"/>
    <w:rsid w:val="00AD7E74"/>
    <w:rsid w:val="00AE028B"/>
    <w:rsid w:val="00AE1D76"/>
    <w:rsid w:val="00AE2E9A"/>
    <w:rsid w:val="00AE31D3"/>
    <w:rsid w:val="00AE389E"/>
    <w:rsid w:val="00AE3C81"/>
    <w:rsid w:val="00AE4483"/>
    <w:rsid w:val="00AE493C"/>
    <w:rsid w:val="00AF07F8"/>
    <w:rsid w:val="00AF1561"/>
    <w:rsid w:val="00AF1D36"/>
    <w:rsid w:val="00AF1EDB"/>
    <w:rsid w:val="00AF2D8B"/>
    <w:rsid w:val="00AF3A95"/>
    <w:rsid w:val="00AF6D5D"/>
    <w:rsid w:val="00B0058A"/>
    <w:rsid w:val="00B009D5"/>
    <w:rsid w:val="00B014D4"/>
    <w:rsid w:val="00B0187E"/>
    <w:rsid w:val="00B02D97"/>
    <w:rsid w:val="00B02E3F"/>
    <w:rsid w:val="00B03541"/>
    <w:rsid w:val="00B06DF7"/>
    <w:rsid w:val="00B06F09"/>
    <w:rsid w:val="00B113FB"/>
    <w:rsid w:val="00B114F5"/>
    <w:rsid w:val="00B120EF"/>
    <w:rsid w:val="00B137EB"/>
    <w:rsid w:val="00B13A9E"/>
    <w:rsid w:val="00B14B4E"/>
    <w:rsid w:val="00B1589C"/>
    <w:rsid w:val="00B171A5"/>
    <w:rsid w:val="00B17C8A"/>
    <w:rsid w:val="00B20F7E"/>
    <w:rsid w:val="00B22515"/>
    <w:rsid w:val="00B24CF8"/>
    <w:rsid w:val="00B24DD3"/>
    <w:rsid w:val="00B26CB2"/>
    <w:rsid w:val="00B26EE8"/>
    <w:rsid w:val="00B2798D"/>
    <w:rsid w:val="00B306EC"/>
    <w:rsid w:val="00B31046"/>
    <w:rsid w:val="00B31243"/>
    <w:rsid w:val="00B31B02"/>
    <w:rsid w:val="00B33CB9"/>
    <w:rsid w:val="00B34366"/>
    <w:rsid w:val="00B34CDC"/>
    <w:rsid w:val="00B356BE"/>
    <w:rsid w:val="00B358BA"/>
    <w:rsid w:val="00B35E52"/>
    <w:rsid w:val="00B36BF4"/>
    <w:rsid w:val="00B37508"/>
    <w:rsid w:val="00B3758B"/>
    <w:rsid w:val="00B37FD8"/>
    <w:rsid w:val="00B42EBA"/>
    <w:rsid w:val="00B4331F"/>
    <w:rsid w:val="00B4457B"/>
    <w:rsid w:val="00B45DF7"/>
    <w:rsid w:val="00B50ACE"/>
    <w:rsid w:val="00B51C67"/>
    <w:rsid w:val="00B5249E"/>
    <w:rsid w:val="00B52E73"/>
    <w:rsid w:val="00B53E7A"/>
    <w:rsid w:val="00B54310"/>
    <w:rsid w:val="00B56471"/>
    <w:rsid w:val="00B56810"/>
    <w:rsid w:val="00B56BA6"/>
    <w:rsid w:val="00B56E00"/>
    <w:rsid w:val="00B60638"/>
    <w:rsid w:val="00B6130A"/>
    <w:rsid w:val="00B62252"/>
    <w:rsid w:val="00B624B7"/>
    <w:rsid w:val="00B63E37"/>
    <w:rsid w:val="00B657BE"/>
    <w:rsid w:val="00B65F6F"/>
    <w:rsid w:val="00B676F0"/>
    <w:rsid w:val="00B7021B"/>
    <w:rsid w:val="00B713DA"/>
    <w:rsid w:val="00B72287"/>
    <w:rsid w:val="00B74583"/>
    <w:rsid w:val="00B76186"/>
    <w:rsid w:val="00B822B4"/>
    <w:rsid w:val="00B82D5A"/>
    <w:rsid w:val="00B83401"/>
    <w:rsid w:val="00B83798"/>
    <w:rsid w:val="00B84977"/>
    <w:rsid w:val="00B84DE1"/>
    <w:rsid w:val="00B854D2"/>
    <w:rsid w:val="00B86DCF"/>
    <w:rsid w:val="00B9093C"/>
    <w:rsid w:val="00B91B77"/>
    <w:rsid w:val="00B92CBB"/>
    <w:rsid w:val="00B93651"/>
    <w:rsid w:val="00B952D6"/>
    <w:rsid w:val="00B97A77"/>
    <w:rsid w:val="00B97E8A"/>
    <w:rsid w:val="00BA1643"/>
    <w:rsid w:val="00BA335F"/>
    <w:rsid w:val="00BA4D84"/>
    <w:rsid w:val="00BA5219"/>
    <w:rsid w:val="00BA78FB"/>
    <w:rsid w:val="00BB0BCF"/>
    <w:rsid w:val="00BB2ACC"/>
    <w:rsid w:val="00BB2F7A"/>
    <w:rsid w:val="00BB30F2"/>
    <w:rsid w:val="00BB32E0"/>
    <w:rsid w:val="00BB34D8"/>
    <w:rsid w:val="00BB38B5"/>
    <w:rsid w:val="00BB56BB"/>
    <w:rsid w:val="00BB5E95"/>
    <w:rsid w:val="00BB7BC6"/>
    <w:rsid w:val="00BB7FBF"/>
    <w:rsid w:val="00BC0C17"/>
    <w:rsid w:val="00BC1920"/>
    <w:rsid w:val="00BC2A87"/>
    <w:rsid w:val="00BC3202"/>
    <w:rsid w:val="00BC4307"/>
    <w:rsid w:val="00BC4896"/>
    <w:rsid w:val="00BC5318"/>
    <w:rsid w:val="00BC60A8"/>
    <w:rsid w:val="00BC7538"/>
    <w:rsid w:val="00BD0C9E"/>
    <w:rsid w:val="00BD0E99"/>
    <w:rsid w:val="00BD17B5"/>
    <w:rsid w:val="00BD27A3"/>
    <w:rsid w:val="00BD2B57"/>
    <w:rsid w:val="00BD3F8C"/>
    <w:rsid w:val="00BD3FA7"/>
    <w:rsid w:val="00BD5BB7"/>
    <w:rsid w:val="00BD7C09"/>
    <w:rsid w:val="00BE0981"/>
    <w:rsid w:val="00BE0FA4"/>
    <w:rsid w:val="00BE1ED5"/>
    <w:rsid w:val="00BE2245"/>
    <w:rsid w:val="00BE32A0"/>
    <w:rsid w:val="00BE384C"/>
    <w:rsid w:val="00BE5255"/>
    <w:rsid w:val="00BE52AA"/>
    <w:rsid w:val="00BE7113"/>
    <w:rsid w:val="00BE7570"/>
    <w:rsid w:val="00BE77AD"/>
    <w:rsid w:val="00BF47AA"/>
    <w:rsid w:val="00BF4C70"/>
    <w:rsid w:val="00BF6330"/>
    <w:rsid w:val="00BF7303"/>
    <w:rsid w:val="00C009F3"/>
    <w:rsid w:val="00C03214"/>
    <w:rsid w:val="00C0396A"/>
    <w:rsid w:val="00C0522E"/>
    <w:rsid w:val="00C0636E"/>
    <w:rsid w:val="00C06D6A"/>
    <w:rsid w:val="00C076A2"/>
    <w:rsid w:val="00C114B4"/>
    <w:rsid w:val="00C11599"/>
    <w:rsid w:val="00C11938"/>
    <w:rsid w:val="00C11A66"/>
    <w:rsid w:val="00C11D72"/>
    <w:rsid w:val="00C1235A"/>
    <w:rsid w:val="00C15E23"/>
    <w:rsid w:val="00C16B17"/>
    <w:rsid w:val="00C2099C"/>
    <w:rsid w:val="00C20F82"/>
    <w:rsid w:val="00C217FC"/>
    <w:rsid w:val="00C21A0B"/>
    <w:rsid w:val="00C22CC0"/>
    <w:rsid w:val="00C248D6"/>
    <w:rsid w:val="00C260D8"/>
    <w:rsid w:val="00C268BE"/>
    <w:rsid w:val="00C26DBC"/>
    <w:rsid w:val="00C272A9"/>
    <w:rsid w:val="00C32BC9"/>
    <w:rsid w:val="00C34236"/>
    <w:rsid w:val="00C36B69"/>
    <w:rsid w:val="00C402AD"/>
    <w:rsid w:val="00C4078B"/>
    <w:rsid w:val="00C407D7"/>
    <w:rsid w:val="00C410FB"/>
    <w:rsid w:val="00C42502"/>
    <w:rsid w:val="00C42547"/>
    <w:rsid w:val="00C4263F"/>
    <w:rsid w:val="00C429C8"/>
    <w:rsid w:val="00C42F4A"/>
    <w:rsid w:val="00C50B43"/>
    <w:rsid w:val="00C517E0"/>
    <w:rsid w:val="00C5266A"/>
    <w:rsid w:val="00C53602"/>
    <w:rsid w:val="00C53BAB"/>
    <w:rsid w:val="00C54001"/>
    <w:rsid w:val="00C556CF"/>
    <w:rsid w:val="00C562A2"/>
    <w:rsid w:val="00C568F1"/>
    <w:rsid w:val="00C578B6"/>
    <w:rsid w:val="00C60512"/>
    <w:rsid w:val="00C61F35"/>
    <w:rsid w:val="00C6398C"/>
    <w:rsid w:val="00C63FE3"/>
    <w:rsid w:val="00C6490C"/>
    <w:rsid w:val="00C64CE5"/>
    <w:rsid w:val="00C65032"/>
    <w:rsid w:val="00C6515D"/>
    <w:rsid w:val="00C655DA"/>
    <w:rsid w:val="00C65CDC"/>
    <w:rsid w:val="00C703BD"/>
    <w:rsid w:val="00C71047"/>
    <w:rsid w:val="00C71EF7"/>
    <w:rsid w:val="00C759DD"/>
    <w:rsid w:val="00C76B4F"/>
    <w:rsid w:val="00C77D80"/>
    <w:rsid w:val="00C81915"/>
    <w:rsid w:val="00C82420"/>
    <w:rsid w:val="00C82AB5"/>
    <w:rsid w:val="00C83CB4"/>
    <w:rsid w:val="00C85F13"/>
    <w:rsid w:val="00C860F5"/>
    <w:rsid w:val="00C86AFD"/>
    <w:rsid w:val="00C86EA1"/>
    <w:rsid w:val="00C87E48"/>
    <w:rsid w:val="00C9079D"/>
    <w:rsid w:val="00C93D59"/>
    <w:rsid w:val="00C9530B"/>
    <w:rsid w:val="00C95617"/>
    <w:rsid w:val="00C96502"/>
    <w:rsid w:val="00C96BA5"/>
    <w:rsid w:val="00CA02F1"/>
    <w:rsid w:val="00CA10D3"/>
    <w:rsid w:val="00CA2158"/>
    <w:rsid w:val="00CA270B"/>
    <w:rsid w:val="00CA454D"/>
    <w:rsid w:val="00CA7F1F"/>
    <w:rsid w:val="00CB2B84"/>
    <w:rsid w:val="00CB2D6D"/>
    <w:rsid w:val="00CB5E4B"/>
    <w:rsid w:val="00CB6585"/>
    <w:rsid w:val="00CC0254"/>
    <w:rsid w:val="00CC0562"/>
    <w:rsid w:val="00CC0A7E"/>
    <w:rsid w:val="00CC0B5F"/>
    <w:rsid w:val="00CC352C"/>
    <w:rsid w:val="00CC3A63"/>
    <w:rsid w:val="00CC4BB5"/>
    <w:rsid w:val="00CC52E3"/>
    <w:rsid w:val="00CC535E"/>
    <w:rsid w:val="00CC6126"/>
    <w:rsid w:val="00CC6733"/>
    <w:rsid w:val="00CC7787"/>
    <w:rsid w:val="00CD072B"/>
    <w:rsid w:val="00CD1451"/>
    <w:rsid w:val="00CD26AF"/>
    <w:rsid w:val="00CD2C17"/>
    <w:rsid w:val="00CD5BCB"/>
    <w:rsid w:val="00CD5F0A"/>
    <w:rsid w:val="00CD67F8"/>
    <w:rsid w:val="00CD689B"/>
    <w:rsid w:val="00CD7A92"/>
    <w:rsid w:val="00CE033E"/>
    <w:rsid w:val="00CE2E2B"/>
    <w:rsid w:val="00CE30BA"/>
    <w:rsid w:val="00CE4752"/>
    <w:rsid w:val="00CE49B2"/>
    <w:rsid w:val="00CE4E6A"/>
    <w:rsid w:val="00CE7139"/>
    <w:rsid w:val="00CF149B"/>
    <w:rsid w:val="00CF1AD7"/>
    <w:rsid w:val="00CF1E3C"/>
    <w:rsid w:val="00CF4A74"/>
    <w:rsid w:val="00CF5273"/>
    <w:rsid w:val="00CF5727"/>
    <w:rsid w:val="00CF70C4"/>
    <w:rsid w:val="00CF74CF"/>
    <w:rsid w:val="00D01B2F"/>
    <w:rsid w:val="00D0218A"/>
    <w:rsid w:val="00D03133"/>
    <w:rsid w:val="00D03CE2"/>
    <w:rsid w:val="00D03FB9"/>
    <w:rsid w:val="00D04540"/>
    <w:rsid w:val="00D0555F"/>
    <w:rsid w:val="00D0639E"/>
    <w:rsid w:val="00D10776"/>
    <w:rsid w:val="00D119F9"/>
    <w:rsid w:val="00D13BB8"/>
    <w:rsid w:val="00D1481D"/>
    <w:rsid w:val="00D15584"/>
    <w:rsid w:val="00D1632D"/>
    <w:rsid w:val="00D174E8"/>
    <w:rsid w:val="00D1778A"/>
    <w:rsid w:val="00D17B30"/>
    <w:rsid w:val="00D21942"/>
    <w:rsid w:val="00D2235A"/>
    <w:rsid w:val="00D22366"/>
    <w:rsid w:val="00D24793"/>
    <w:rsid w:val="00D27A40"/>
    <w:rsid w:val="00D30A0C"/>
    <w:rsid w:val="00D318EB"/>
    <w:rsid w:val="00D364D7"/>
    <w:rsid w:val="00D36CA2"/>
    <w:rsid w:val="00D37830"/>
    <w:rsid w:val="00D40523"/>
    <w:rsid w:val="00D40EFA"/>
    <w:rsid w:val="00D4105E"/>
    <w:rsid w:val="00D4200D"/>
    <w:rsid w:val="00D42BBC"/>
    <w:rsid w:val="00D45B57"/>
    <w:rsid w:val="00D462C6"/>
    <w:rsid w:val="00D46775"/>
    <w:rsid w:val="00D47BCF"/>
    <w:rsid w:val="00D50367"/>
    <w:rsid w:val="00D50875"/>
    <w:rsid w:val="00D51040"/>
    <w:rsid w:val="00D516D3"/>
    <w:rsid w:val="00D52268"/>
    <w:rsid w:val="00D52C82"/>
    <w:rsid w:val="00D54B6B"/>
    <w:rsid w:val="00D54DEA"/>
    <w:rsid w:val="00D54FB2"/>
    <w:rsid w:val="00D55171"/>
    <w:rsid w:val="00D56438"/>
    <w:rsid w:val="00D56C82"/>
    <w:rsid w:val="00D601B2"/>
    <w:rsid w:val="00D604BB"/>
    <w:rsid w:val="00D61499"/>
    <w:rsid w:val="00D61994"/>
    <w:rsid w:val="00D63913"/>
    <w:rsid w:val="00D64201"/>
    <w:rsid w:val="00D64EB9"/>
    <w:rsid w:val="00D65241"/>
    <w:rsid w:val="00D66D37"/>
    <w:rsid w:val="00D671A8"/>
    <w:rsid w:val="00D70B50"/>
    <w:rsid w:val="00D70DF9"/>
    <w:rsid w:val="00D71BA9"/>
    <w:rsid w:val="00D71E33"/>
    <w:rsid w:val="00D73D21"/>
    <w:rsid w:val="00D749EE"/>
    <w:rsid w:val="00D7589E"/>
    <w:rsid w:val="00D75BB4"/>
    <w:rsid w:val="00D77574"/>
    <w:rsid w:val="00D7769D"/>
    <w:rsid w:val="00D77F29"/>
    <w:rsid w:val="00D8039B"/>
    <w:rsid w:val="00D80B40"/>
    <w:rsid w:val="00D84EF9"/>
    <w:rsid w:val="00D86130"/>
    <w:rsid w:val="00D87646"/>
    <w:rsid w:val="00D876D1"/>
    <w:rsid w:val="00D91A9E"/>
    <w:rsid w:val="00D93C80"/>
    <w:rsid w:val="00D93E01"/>
    <w:rsid w:val="00D93EFB"/>
    <w:rsid w:val="00D94FAD"/>
    <w:rsid w:val="00D96800"/>
    <w:rsid w:val="00D974BB"/>
    <w:rsid w:val="00DA1E60"/>
    <w:rsid w:val="00DA2AE7"/>
    <w:rsid w:val="00DA3AD1"/>
    <w:rsid w:val="00DA4443"/>
    <w:rsid w:val="00DB12A6"/>
    <w:rsid w:val="00DB4205"/>
    <w:rsid w:val="00DB6B10"/>
    <w:rsid w:val="00DC0821"/>
    <w:rsid w:val="00DC169D"/>
    <w:rsid w:val="00DC1D09"/>
    <w:rsid w:val="00DC36DE"/>
    <w:rsid w:val="00DC385B"/>
    <w:rsid w:val="00DC3E38"/>
    <w:rsid w:val="00DC4268"/>
    <w:rsid w:val="00DC572A"/>
    <w:rsid w:val="00DC624A"/>
    <w:rsid w:val="00DC63AF"/>
    <w:rsid w:val="00DC653A"/>
    <w:rsid w:val="00DC6F2F"/>
    <w:rsid w:val="00DD2380"/>
    <w:rsid w:val="00DD74BD"/>
    <w:rsid w:val="00DE0B6D"/>
    <w:rsid w:val="00DE25B9"/>
    <w:rsid w:val="00DE2FA8"/>
    <w:rsid w:val="00DE3745"/>
    <w:rsid w:val="00DE38DF"/>
    <w:rsid w:val="00DE42B7"/>
    <w:rsid w:val="00DE60D8"/>
    <w:rsid w:val="00DE6421"/>
    <w:rsid w:val="00DE6B02"/>
    <w:rsid w:val="00DE6CAD"/>
    <w:rsid w:val="00DE718D"/>
    <w:rsid w:val="00DF030E"/>
    <w:rsid w:val="00DF172C"/>
    <w:rsid w:val="00DF52EE"/>
    <w:rsid w:val="00DF6AC4"/>
    <w:rsid w:val="00E00128"/>
    <w:rsid w:val="00E00D14"/>
    <w:rsid w:val="00E0118B"/>
    <w:rsid w:val="00E01AA0"/>
    <w:rsid w:val="00E0240C"/>
    <w:rsid w:val="00E0269A"/>
    <w:rsid w:val="00E02C42"/>
    <w:rsid w:val="00E03E3F"/>
    <w:rsid w:val="00E04C06"/>
    <w:rsid w:val="00E10246"/>
    <w:rsid w:val="00E11C22"/>
    <w:rsid w:val="00E12200"/>
    <w:rsid w:val="00E12E6C"/>
    <w:rsid w:val="00E15DE1"/>
    <w:rsid w:val="00E166CE"/>
    <w:rsid w:val="00E1727E"/>
    <w:rsid w:val="00E17B26"/>
    <w:rsid w:val="00E212FF"/>
    <w:rsid w:val="00E214DC"/>
    <w:rsid w:val="00E238DB"/>
    <w:rsid w:val="00E257E2"/>
    <w:rsid w:val="00E25F3F"/>
    <w:rsid w:val="00E264CE"/>
    <w:rsid w:val="00E27339"/>
    <w:rsid w:val="00E27663"/>
    <w:rsid w:val="00E30204"/>
    <w:rsid w:val="00E31678"/>
    <w:rsid w:val="00E31AC3"/>
    <w:rsid w:val="00E31CB9"/>
    <w:rsid w:val="00E334CF"/>
    <w:rsid w:val="00E33A8D"/>
    <w:rsid w:val="00E40CF9"/>
    <w:rsid w:val="00E42323"/>
    <w:rsid w:val="00E429AA"/>
    <w:rsid w:val="00E42FAE"/>
    <w:rsid w:val="00E430D8"/>
    <w:rsid w:val="00E439FF"/>
    <w:rsid w:val="00E44AA4"/>
    <w:rsid w:val="00E45C38"/>
    <w:rsid w:val="00E46BD8"/>
    <w:rsid w:val="00E46FC5"/>
    <w:rsid w:val="00E47DEA"/>
    <w:rsid w:val="00E501B6"/>
    <w:rsid w:val="00E525AA"/>
    <w:rsid w:val="00E539BC"/>
    <w:rsid w:val="00E55AC3"/>
    <w:rsid w:val="00E55B81"/>
    <w:rsid w:val="00E55E04"/>
    <w:rsid w:val="00E5627A"/>
    <w:rsid w:val="00E57607"/>
    <w:rsid w:val="00E57D81"/>
    <w:rsid w:val="00E633C1"/>
    <w:rsid w:val="00E636F4"/>
    <w:rsid w:val="00E63F0B"/>
    <w:rsid w:val="00E64AB1"/>
    <w:rsid w:val="00E65265"/>
    <w:rsid w:val="00E7064F"/>
    <w:rsid w:val="00E7083A"/>
    <w:rsid w:val="00E70B3D"/>
    <w:rsid w:val="00E71651"/>
    <w:rsid w:val="00E73B2B"/>
    <w:rsid w:val="00E749AB"/>
    <w:rsid w:val="00E7562B"/>
    <w:rsid w:val="00E7584C"/>
    <w:rsid w:val="00E76BF2"/>
    <w:rsid w:val="00E76D3D"/>
    <w:rsid w:val="00E76FE4"/>
    <w:rsid w:val="00E8043C"/>
    <w:rsid w:val="00E81348"/>
    <w:rsid w:val="00E8172A"/>
    <w:rsid w:val="00E81AEA"/>
    <w:rsid w:val="00E81C0F"/>
    <w:rsid w:val="00E81E3F"/>
    <w:rsid w:val="00E83036"/>
    <w:rsid w:val="00E83C95"/>
    <w:rsid w:val="00E84541"/>
    <w:rsid w:val="00E863ED"/>
    <w:rsid w:val="00E8695C"/>
    <w:rsid w:val="00E86C02"/>
    <w:rsid w:val="00E87A65"/>
    <w:rsid w:val="00E90C49"/>
    <w:rsid w:val="00E90E67"/>
    <w:rsid w:val="00E91712"/>
    <w:rsid w:val="00E92B2B"/>
    <w:rsid w:val="00E940D1"/>
    <w:rsid w:val="00E945C1"/>
    <w:rsid w:val="00E948D0"/>
    <w:rsid w:val="00E956C2"/>
    <w:rsid w:val="00E95AA6"/>
    <w:rsid w:val="00E95FB4"/>
    <w:rsid w:val="00E96BF1"/>
    <w:rsid w:val="00E979A4"/>
    <w:rsid w:val="00E97CD1"/>
    <w:rsid w:val="00EA009D"/>
    <w:rsid w:val="00EA14DB"/>
    <w:rsid w:val="00EA2562"/>
    <w:rsid w:val="00EA3C06"/>
    <w:rsid w:val="00EA474C"/>
    <w:rsid w:val="00EA497E"/>
    <w:rsid w:val="00EB044B"/>
    <w:rsid w:val="00EB21C1"/>
    <w:rsid w:val="00EB4AD2"/>
    <w:rsid w:val="00EB5799"/>
    <w:rsid w:val="00EB5AC1"/>
    <w:rsid w:val="00EB5C92"/>
    <w:rsid w:val="00EB6DFA"/>
    <w:rsid w:val="00EB7C09"/>
    <w:rsid w:val="00EC1162"/>
    <w:rsid w:val="00EC14E0"/>
    <w:rsid w:val="00EC26D6"/>
    <w:rsid w:val="00EC3052"/>
    <w:rsid w:val="00EC3F1D"/>
    <w:rsid w:val="00EC499F"/>
    <w:rsid w:val="00EC4E67"/>
    <w:rsid w:val="00ED0243"/>
    <w:rsid w:val="00ED1C68"/>
    <w:rsid w:val="00ED4F39"/>
    <w:rsid w:val="00ED598A"/>
    <w:rsid w:val="00ED645C"/>
    <w:rsid w:val="00ED692C"/>
    <w:rsid w:val="00ED6BC2"/>
    <w:rsid w:val="00ED6BF2"/>
    <w:rsid w:val="00EE12F8"/>
    <w:rsid w:val="00EE24BE"/>
    <w:rsid w:val="00EE2638"/>
    <w:rsid w:val="00EE2854"/>
    <w:rsid w:val="00EE2B53"/>
    <w:rsid w:val="00EE2C25"/>
    <w:rsid w:val="00EE2F1B"/>
    <w:rsid w:val="00EE3722"/>
    <w:rsid w:val="00EE4B13"/>
    <w:rsid w:val="00EE5566"/>
    <w:rsid w:val="00EE5D89"/>
    <w:rsid w:val="00EE6169"/>
    <w:rsid w:val="00EE63AA"/>
    <w:rsid w:val="00EE67FA"/>
    <w:rsid w:val="00EF247A"/>
    <w:rsid w:val="00EF4CFC"/>
    <w:rsid w:val="00EF65BF"/>
    <w:rsid w:val="00F00A1F"/>
    <w:rsid w:val="00F011F8"/>
    <w:rsid w:val="00F023A8"/>
    <w:rsid w:val="00F03236"/>
    <w:rsid w:val="00F03A9E"/>
    <w:rsid w:val="00F0437B"/>
    <w:rsid w:val="00F11614"/>
    <w:rsid w:val="00F1218D"/>
    <w:rsid w:val="00F121FF"/>
    <w:rsid w:val="00F1260C"/>
    <w:rsid w:val="00F134E4"/>
    <w:rsid w:val="00F13864"/>
    <w:rsid w:val="00F13E9E"/>
    <w:rsid w:val="00F14CAB"/>
    <w:rsid w:val="00F150E6"/>
    <w:rsid w:val="00F156E5"/>
    <w:rsid w:val="00F15B98"/>
    <w:rsid w:val="00F206D8"/>
    <w:rsid w:val="00F21C84"/>
    <w:rsid w:val="00F21F39"/>
    <w:rsid w:val="00F220FF"/>
    <w:rsid w:val="00F2274F"/>
    <w:rsid w:val="00F2378A"/>
    <w:rsid w:val="00F25133"/>
    <w:rsid w:val="00F26824"/>
    <w:rsid w:val="00F26B7A"/>
    <w:rsid w:val="00F27901"/>
    <w:rsid w:val="00F27EFB"/>
    <w:rsid w:val="00F27F81"/>
    <w:rsid w:val="00F301A4"/>
    <w:rsid w:val="00F304A0"/>
    <w:rsid w:val="00F306DC"/>
    <w:rsid w:val="00F30C03"/>
    <w:rsid w:val="00F32000"/>
    <w:rsid w:val="00F324A3"/>
    <w:rsid w:val="00F358A5"/>
    <w:rsid w:val="00F37DE6"/>
    <w:rsid w:val="00F42199"/>
    <w:rsid w:val="00F428C6"/>
    <w:rsid w:val="00F52758"/>
    <w:rsid w:val="00F5290A"/>
    <w:rsid w:val="00F54776"/>
    <w:rsid w:val="00F54F79"/>
    <w:rsid w:val="00F55AF3"/>
    <w:rsid w:val="00F5615E"/>
    <w:rsid w:val="00F56C36"/>
    <w:rsid w:val="00F6076A"/>
    <w:rsid w:val="00F61CA4"/>
    <w:rsid w:val="00F62D90"/>
    <w:rsid w:val="00F6437B"/>
    <w:rsid w:val="00F645F7"/>
    <w:rsid w:val="00F64724"/>
    <w:rsid w:val="00F649A2"/>
    <w:rsid w:val="00F656A6"/>
    <w:rsid w:val="00F67498"/>
    <w:rsid w:val="00F70A4E"/>
    <w:rsid w:val="00F729A6"/>
    <w:rsid w:val="00F74A6C"/>
    <w:rsid w:val="00F74B5E"/>
    <w:rsid w:val="00F75F2C"/>
    <w:rsid w:val="00F76DB2"/>
    <w:rsid w:val="00F80628"/>
    <w:rsid w:val="00F8224F"/>
    <w:rsid w:val="00F82C86"/>
    <w:rsid w:val="00F839D4"/>
    <w:rsid w:val="00F8783E"/>
    <w:rsid w:val="00F91AD9"/>
    <w:rsid w:val="00F91D38"/>
    <w:rsid w:val="00F92BBC"/>
    <w:rsid w:val="00F936AD"/>
    <w:rsid w:val="00F94783"/>
    <w:rsid w:val="00F96666"/>
    <w:rsid w:val="00F96B02"/>
    <w:rsid w:val="00FA37FD"/>
    <w:rsid w:val="00FA380E"/>
    <w:rsid w:val="00FA6E78"/>
    <w:rsid w:val="00FA77B9"/>
    <w:rsid w:val="00FB178E"/>
    <w:rsid w:val="00FB33EF"/>
    <w:rsid w:val="00FB3AAF"/>
    <w:rsid w:val="00FB43A8"/>
    <w:rsid w:val="00FB7B27"/>
    <w:rsid w:val="00FC0478"/>
    <w:rsid w:val="00FC0586"/>
    <w:rsid w:val="00FC0B13"/>
    <w:rsid w:val="00FC0D5E"/>
    <w:rsid w:val="00FC21EE"/>
    <w:rsid w:val="00FC3E42"/>
    <w:rsid w:val="00FC406A"/>
    <w:rsid w:val="00FC4309"/>
    <w:rsid w:val="00FC4C26"/>
    <w:rsid w:val="00FC6866"/>
    <w:rsid w:val="00FC7F04"/>
    <w:rsid w:val="00FD119A"/>
    <w:rsid w:val="00FD232C"/>
    <w:rsid w:val="00FD3828"/>
    <w:rsid w:val="00FD5155"/>
    <w:rsid w:val="00FD53CB"/>
    <w:rsid w:val="00FD5462"/>
    <w:rsid w:val="00FD64C7"/>
    <w:rsid w:val="00FD6B62"/>
    <w:rsid w:val="00FD78DB"/>
    <w:rsid w:val="00FE046A"/>
    <w:rsid w:val="00FE1066"/>
    <w:rsid w:val="00FE2265"/>
    <w:rsid w:val="00FE2DC1"/>
    <w:rsid w:val="00FE2F7F"/>
    <w:rsid w:val="00FE5D87"/>
    <w:rsid w:val="00FE7EAE"/>
    <w:rsid w:val="00FF0FCE"/>
    <w:rsid w:val="00FF19FF"/>
    <w:rsid w:val="00FF2993"/>
    <w:rsid w:val="00FF36E6"/>
    <w:rsid w:val="00FF38BD"/>
    <w:rsid w:val="00FF4C3C"/>
    <w:rsid w:val="00FF70B4"/>
    <w:rsid w:val="00FF71A2"/>
    <w:rsid w:val="00FF79B9"/>
    <w:rsid w:val="00FF7AE4"/>
    <w:rsid w:val="00FF7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ti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28673"/>
    <o:shapelayout v:ext="edit">
      <o:idmap v:ext="edit" data="1"/>
    </o:shapelayout>
  </w:shapeDefaults>
  <w:decimalSymbol w:val="."/>
  <w:listSeparator w:val=","/>
  <w14:docId w14:val="1B67FE37"/>
  <w15:chartTrackingRefBased/>
  <w15:docId w15:val="{774A7FB3-9724-4419-BC08-427A756F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75"/>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aliases w:val="Comment Text Char1 Char,Comment Text Char Char Char,Comment Text Char1,Annotationtext"/>
    <w:basedOn w:val="Normal"/>
    <w:link w:val="CommentTextChar"/>
    <w:rPr>
      <w:sz w:val="20"/>
    </w:rPr>
  </w:style>
  <w:style w:type="paragraph" w:customStyle="1" w:styleId="BodyText22">
    <w:name w:val="Body Text 2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customStyle="1" w:styleId="BodyText21">
    <w:name w:val="Body Text 21"/>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
    <w:name w:val="Body Text 2"/>
    <w:basedOn w:val="Normal"/>
    <w:pPr>
      <w:tabs>
        <w:tab w:val="clear" w:pos="567"/>
      </w:tabs>
      <w:spacing w:line="240" w:lineRule="auto"/>
      <w:ind w:left="567" w:hanging="567"/>
    </w:pPr>
    <w:rPr>
      <w:b/>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
    <w:name w:val="Text"/>
    <w:basedOn w:val="Normal"/>
    <w:link w:val="TextChar"/>
    <w:pPr>
      <w:tabs>
        <w:tab w:val="clear" w:pos="567"/>
      </w:tabs>
      <w:spacing w:before="120" w:line="240" w:lineRule="auto"/>
      <w:jc w:val="both"/>
    </w:pPr>
    <w:rPr>
      <w:sz w:val="24"/>
      <w:lang w:val="en-US"/>
    </w:rPr>
  </w:style>
  <w:style w:type="paragraph" w:customStyle="1" w:styleId="Table">
    <w:name w:val="Table"/>
    <w:basedOn w:val="Normal"/>
    <w:link w:val="TableChar"/>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pPr>
      <w:tabs>
        <w:tab w:val="clear" w:pos="567"/>
      </w:tabs>
      <w:spacing w:before="40" w:after="20" w:line="240" w:lineRule="auto"/>
      <w:ind w:left="850" w:hanging="425"/>
    </w:pPr>
    <w:rPr>
      <w:sz w:val="24"/>
      <w:lang w:val="en-US"/>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pPr>
      <w:keepNext/>
      <w:tabs>
        <w:tab w:val="clear" w:pos="567"/>
      </w:tabs>
      <w:spacing w:before="240" w:line="240" w:lineRule="auto"/>
    </w:pPr>
    <w:rPr>
      <w:rFonts w:ascii="Arial" w:hAnsi="Arial"/>
    </w:rPr>
  </w:style>
  <w:style w:type="paragraph" w:styleId="TOC6">
    <w:name w:val="toc 6"/>
    <w:basedOn w:val="Normal"/>
    <w:autoRedefine/>
    <w:semiHidden/>
    <w:rsid w:val="00260628"/>
    <w:pPr>
      <w:keepNext/>
      <w:widowControl w:val="0"/>
      <w:tabs>
        <w:tab w:val="clear" w:pos="567"/>
        <w:tab w:val="right" w:leader="dot" w:pos="9061"/>
      </w:tabs>
      <w:spacing w:line="240" w:lineRule="auto"/>
      <w:ind w:left="992" w:right="227" w:hanging="992"/>
    </w:pPr>
    <w:rPr>
      <w:szCs w:val="22"/>
      <w:u w:val="single"/>
    </w:rPr>
  </w:style>
  <w:style w:type="paragraph" w:styleId="BalloonText">
    <w:name w:val="Balloon Text"/>
    <w:basedOn w:val="Normal"/>
    <w:semiHidden/>
    <w:rsid w:val="006237AB"/>
    <w:rPr>
      <w:rFonts w:ascii="Tahoma" w:hAnsi="Tahoma" w:cs="Tahoma"/>
      <w:sz w:val="16"/>
      <w:szCs w:val="16"/>
    </w:rPr>
  </w:style>
  <w:style w:type="paragraph" w:styleId="CommentSubject">
    <w:name w:val="annotation subject"/>
    <w:basedOn w:val="CommentText"/>
    <w:next w:val="CommentText"/>
    <w:semiHidden/>
    <w:rsid w:val="006237AB"/>
    <w:rPr>
      <w:b/>
      <w:bCs/>
    </w:rPr>
  </w:style>
  <w:style w:type="character" w:styleId="Strong">
    <w:name w:val="Strong"/>
    <w:qFormat/>
    <w:rsid w:val="00356F51"/>
    <w:rPr>
      <w:b/>
    </w:rPr>
  </w:style>
  <w:style w:type="character" w:customStyle="1" w:styleId="TextChar">
    <w:name w:val="Text Char"/>
    <w:link w:val="Text"/>
    <w:rsid w:val="002A44F6"/>
    <w:rPr>
      <w:sz w:val="24"/>
      <w:lang w:val="en-US" w:eastAsia="en-US" w:bidi="ar-SA"/>
    </w:rPr>
  </w:style>
  <w:style w:type="paragraph" w:customStyle="1" w:styleId="Nottoc-headings">
    <w:name w:val="Not toc-headings"/>
    <w:basedOn w:val="Normal"/>
    <w:next w:val="Text"/>
    <w:link w:val="Nottoc-headingsChar"/>
    <w:rsid w:val="00363CD4"/>
    <w:pPr>
      <w:keepNext/>
      <w:keepLines/>
      <w:tabs>
        <w:tab w:val="clear" w:pos="567"/>
      </w:tabs>
      <w:spacing w:before="240" w:after="60" w:line="240" w:lineRule="auto"/>
      <w:ind w:left="1701" w:hanging="1701"/>
    </w:pPr>
    <w:rPr>
      <w:rFonts w:ascii="Arial" w:hAnsi="Arial"/>
      <w:b/>
      <w:sz w:val="24"/>
      <w:lang w:val="en-US"/>
    </w:rPr>
  </w:style>
  <w:style w:type="table" w:styleId="TableGrid">
    <w:name w:val="Table Grid"/>
    <w:basedOn w:val="TableNormal"/>
    <w:rsid w:val="00363CD4"/>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8F1C56"/>
    <w:rPr>
      <w:rFonts w:ascii="Arial" w:hAnsi="Arial"/>
      <w:lang w:val="en-US" w:eastAsia="en-US" w:bidi="ar-SA"/>
    </w:rPr>
  </w:style>
  <w:style w:type="character" w:customStyle="1" w:styleId="Nottoc-headingsChar">
    <w:name w:val="Not toc-headings Char"/>
    <w:link w:val="Nottoc-headings"/>
    <w:rsid w:val="004C5C42"/>
    <w:rPr>
      <w:rFonts w:ascii="Arial" w:hAnsi="Arial"/>
      <w:b/>
      <w:sz w:val="24"/>
      <w:lang w:val="en-US" w:eastAsia="en-US" w:bidi="ar-SA"/>
    </w:rPr>
  </w:style>
  <w:style w:type="character" w:customStyle="1" w:styleId="EndnoteTextChar">
    <w:name w:val="Endnote Text Char"/>
    <w:link w:val="EndnoteText"/>
    <w:rsid w:val="00DC1D09"/>
    <w:rPr>
      <w:sz w:val="22"/>
      <w:lang w:val="en-GB" w:eastAsia="en-US" w:bidi="ar-SA"/>
    </w:rPr>
  </w:style>
  <w:style w:type="character" w:customStyle="1" w:styleId="Char">
    <w:name w:val="Char"/>
    <w:rsid w:val="002B0D5C"/>
    <w:rPr>
      <w:sz w:val="22"/>
      <w:lang w:val="en-GB" w:eastAsia="en-US" w:bidi="ar-SA"/>
    </w:rPr>
  </w:style>
  <w:style w:type="paragraph" w:customStyle="1" w:styleId="SAStext">
    <w:name w:val="SAS text"/>
    <w:rsid w:val="00E940D1"/>
    <w:rPr>
      <w:rFonts w:ascii="Courier New" w:eastAsia="MS Mincho" w:hAnsi="Courier New"/>
      <w:spacing w:val="-10"/>
      <w:lang w:val="en-US" w:eastAsia="en-US"/>
    </w:rPr>
  </w:style>
  <w:style w:type="paragraph" w:customStyle="1" w:styleId="Style">
    <w:name w:val="Style"/>
    <w:basedOn w:val="Normal"/>
    <w:rsid w:val="00297E68"/>
    <w:pPr>
      <w:tabs>
        <w:tab w:val="clear" w:pos="567"/>
      </w:tabs>
      <w:spacing w:after="160" w:line="240" w:lineRule="exact"/>
    </w:pPr>
    <w:rPr>
      <w:rFonts w:ascii="Verdana" w:hAnsi="Verdana" w:cs="Verdana"/>
      <w:sz w:val="20"/>
    </w:rPr>
  </w:style>
  <w:style w:type="paragraph" w:customStyle="1" w:styleId="CharCharCharCharChar1CharCharCharCharCharChar">
    <w:name w:val="Char Char Char Char Char1 Char Char Char Char Char Char"/>
    <w:basedOn w:val="Normal"/>
    <w:rsid w:val="00982EF9"/>
    <w:pPr>
      <w:tabs>
        <w:tab w:val="clear" w:pos="567"/>
      </w:tabs>
      <w:spacing w:after="160" w:line="240" w:lineRule="exact"/>
    </w:pPr>
    <w:rPr>
      <w:rFonts w:ascii="Tahoma" w:hAnsi="Tahoma"/>
      <w:sz w:val="20"/>
      <w:lang w:val="en-US"/>
    </w:rPr>
  </w:style>
  <w:style w:type="paragraph" w:customStyle="1" w:styleId="CharCharCharCharCharChar">
    <w:name w:val="Char Char Char Char Char Char"/>
    <w:basedOn w:val="Normal"/>
    <w:rsid w:val="00D50367"/>
    <w:pPr>
      <w:tabs>
        <w:tab w:val="clear" w:pos="567"/>
      </w:tabs>
      <w:spacing w:after="160" w:line="240" w:lineRule="exact"/>
    </w:pPr>
    <w:rPr>
      <w:rFonts w:ascii="Tahoma" w:eastAsia="MS Mincho" w:hAnsi="Tahoma"/>
      <w:sz w:val="20"/>
      <w:lang w:val="en-US"/>
    </w:rPr>
  </w:style>
  <w:style w:type="paragraph" w:customStyle="1" w:styleId="CharChar">
    <w:name w:val="Char Char"/>
    <w:basedOn w:val="Normal"/>
    <w:rsid w:val="002A52BA"/>
    <w:pPr>
      <w:tabs>
        <w:tab w:val="clear" w:pos="567"/>
      </w:tabs>
      <w:spacing w:after="160" w:line="240" w:lineRule="exact"/>
    </w:pPr>
    <w:rPr>
      <w:rFonts w:ascii="Verdana" w:hAnsi="Verdana" w:cs="Verdana"/>
      <w:sz w:val="20"/>
      <w:lang w:val="en-US"/>
    </w:rPr>
  </w:style>
  <w:style w:type="paragraph" w:styleId="Date">
    <w:name w:val="Date"/>
    <w:basedOn w:val="Normal"/>
    <w:next w:val="Normal"/>
    <w:rsid w:val="004E4A30"/>
    <w:pPr>
      <w:tabs>
        <w:tab w:val="clear" w:pos="567"/>
      </w:tabs>
      <w:spacing w:line="240" w:lineRule="auto"/>
    </w:pPr>
  </w:style>
  <w:style w:type="character" w:customStyle="1" w:styleId="CommentTextChar">
    <w:name w:val="Comment Text Char"/>
    <w:aliases w:val="Comment Text Char1 Char Char,Comment Text Char Char Char Char,Comment Text Char1 Char1,Annotationtext Char"/>
    <w:link w:val="CommentText"/>
    <w:rsid w:val="00E8172A"/>
    <w:rPr>
      <w:lang w:val="en-GB"/>
    </w:rPr>
  </w:style>
  <w:style w:type="paragraph" w:customStyle="1" w:styleId="Default">
    <w:name w:val="Default"/>
    <w:rsid w:val="00E0118B"/>
    <w:pPr>
      <w:autoSpaceDE w:val="0"/>
      <w:autoSpaceDN w:val="0"/>
      <w:adjustRightInd w:val="0"/>
    </w:pPr>
    <w:rPr>
      <w:color w:val="000000"/>
      <w:sz w:val="24"/>
      <w:szCs w:val="24"/>
      <w:lang w:val="en-US" w:eastAsia="en-US"/>
    </w:rPr>
  </w:style>
  <w:style w:type="paragraph" w:styleId="Revision">
    <w:name w:val="Revision"/>
    <w:hidden/>
    <w:uiPriority w:val="99"/>
    <w:semiHidden/>
    <w:rsid w:val="004B7CD8"/>
    <w:rPr>
      <w:sz w:val="22"/>
      <w:lang w:eastAsia="en-US"/>
    </w:rPr>
  </w:style>
  <w:style w:type="character" w:customStyle="1" w:styleId="NormalAgencyChar">
    <w:name w:val="Normal (Agency) Char"/>
    <w:link w:val="NormalAgency"/>
    <w:locked/>
    <w:rsid w:val="00E956C2"/>
    <w:rPr>
      <w:rFonts w:ascii="Verdana" w:hAnsi="Verdana"/>
    </w:rPr>
  </w:style>
  <w:style w:type="paragraph" w:customStyle="1" w:styleId="NormalAgency">
    <w:name w:val="Normal (Agency)"/>
    <w:basedOn w:val="Normal"/>
    <w:link w:val="NormalAgencyChar"/>
    <w:rsid w:val="00E956C2"/>
    <w:pPr>
      <w:tabs>
        <w:tab w:val="clear" w:pos="567"/>
      </w:tabs>
      <w:spacing w:line="240" w:lineRule="auto"/>
    </w:pPr>
    <w:rPr>
      <w:rFonts w:ascii="Verdana" w:hAnsi="Verdana"/>
      <w:sz w:val="20"/>
      <w:lang w:val="en-US"/>
    </w:rPr>
  </w:style>
  <w:style w:type="paragraph" w:customStyle="1" w:styleId="BodytextAgency">
    <w:name w:val="Body text (Agency)"/>
    <w:basedOn w:val="Normal"/>
    <w:link w:val="BodytextAgencyChar"/>
    <w:qFormat/>
    <w:rsid w:val="00C22CC0"/>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qFormat/>
    <w:locked/>
    <w:rsid w:val="00C22CC0"/>
    <w:rPr>
      <w:rFonts w:ascii="Verdana" w:eastAsia="Verdana" w:hAnsi="Verdana" w:cs="Verdana"/>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6884">
      <w:bodyDiv w:val="1"/>
      <w:marLeft w:val="0"/>
      <w:marRight w:val="0"/>
      <w:marTop w:val="0"/>
      <w:marBottom w:val="0"/>
      <w:divBdr>
        <w:top w:val="none" w:sz="0" w:space="0" w:color="auto"/>
        <w:left w:val="none" w:sz="0" w:space="0" w:color="auto"/>
        <w:bottom w:val="none" w:sz="0" w:space="0" w:color="auto"/>
        <w:right w:val="none" w:sz="0" w:space="0" w:color="auto"/>
      </w:divBdr>
    </w:div>
    <w:div w:id="745153661">
      <w:bodyDiv w:val="1"/>
      <w:marLeft w:val="0"/>
      <w:marRight w:val="0"/>
      <w:marTop w:val="0"/>
      <w:marBottom w:val="0"/>
      <w:divBdr>
        <w:top w:val="none" w:sz="0" w:space="0" w:color="auto"/>
        <w:left w:val="none" w:sz="0" w:space="0" w:color="auto"/>
        <w:bottom w:val="none" w:sz="0" w:space="0" w:color="auto"/>
        <w:right w:val="none" w:sz="0" w:space="0" w:color="auto"/>
      </w:divBdr>
    </w:div>
    <w:div w:id="1426337710">
      <w:bodyDiv w:val="1"/>
      <w:marLeft w:val="0"/>
      <w:marRight w:val="0"/>
      <w:marTop w:val="0"/>
      <w:marBottom w:val="0"/>
      <w:divBdr>
        <w:top w:val="none" w:sz="0" w:space="0" w:color="auto"/>
        <w:left w:val="none" w:sz="0" w:space="0" w:color="auto"/>
        <w:bottom w:val="none" w:sz="0" w:space="0" w:color="auto"/>
        <w:right w:val="none" w:sz="0" w:space="0" w:color="auto"/>
      </w:divBdr>
    </w:div>
    <w:div w:id="1448043488">
      <w:bodyDiv w:val="1"/>
      <w:marLeft w:val="0"/>
      <w:marRight w:val="0"/>
      <w:marTop w:val="0"/>
      <w:marBottom w:val="0"/>
      <w:divBdr>
        <w:top w:val="none" w:sz="0" w:space="0" w:color="auto"/>
        <w:left w:val="none" w:sz="0" w:space="0" w:color="auto"/>
        <w:bottom w:val="none" w:sz="0" w:space="0" w:color="auto"/>
        <w:right w:val="none" w:sz="0" w:space="0" w:color="auto"/>
      </w:divBdr>
    </w:div>
    <w:div w:id="19345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37C53-870E-49EA-9577-9F9468F9579E}"/>
</file>

<file path=customXml/itemProps2.xml><?xml version="1.0" encoding="utf-8"?>
<ds:datastoreItem xmlns:ds="http://schemas.openxmlformats.org/officeDocument/2006/customXml" ds:itemID="{61D2353A-E52B-43DE-8339-4C4B218278BF}">
  <ds:schemaRefs>
    <ds:schemaRef ds:uri="http://purl.org/dc/elements/1.1/"/>
    <ds:schemaRef ds:uri="http://purl.org/dc/terms/"/>
    <ds:schemaRef ds:uri="http://schemas.openxmlformats.org/package/2006/metadata/core-properties"/>
    <ds:schemaRef ds:uri="78b9413f-6859-4e7b-aa81-638b49c633fc"/>
    <ds:schemaRef ds:uri="http://schemas.microsoft.com/office/2006/documentManagement/types"/>
    <ds:schemaRef ds:uri="http://schemas.microsoft.com/office/infopath/2007/PartnerControls"/>
    <ds:schemaRef ds:uri="http://schemas.microsoft.com/office/2006/metadata/properties"/>
    <ds:schemaRef ds:uri="d798c64d-64dd-4293-a90a-054293018c05"/>
    <ds:schemaRef ds:uri="http://www.w3.org/XML/1998/namespace"/>
    <ds:schemaRef ds:uri="http://purl.org/dc/dcmitype/"/>
  </ds:schemaRefs>
</ds:datastoreItem>
</file>

<file path=customXml/itemProps3.xml><?xml version="1.0" encoding="utf-8"?>
<ds:datastoreItem xmlns:ds="http://schemas.openxmlformats.org/officeDocument/2006/customXml" ds:itemID="{74DD8131-BFC9-4650-9AB7-40EF8A79F164}">
  <ds:schemaRefs>
    <ds:schemaRef ds:uri="http://schemas.microsoft.com/sharepoint/v3/contenttype/forms"/>
  </ds:schemaRefs>
</ds:datastoreItem>
</file>

<file path=customXml/itemProps4.xml><?xml version="1.0" encoding="utf-8"?>
<ds:datastoreItem xmlns:ds="http://schemas.openxmlformats.org/officeDocument/2006/customXml" ds:itemID="{BB8574BD-39EF-46CC-A769-D380F156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39790</Words>
  <Characters>218630</Characters>
  <Application>Microsoft Office Word</Application>
  <DocSecurity>0</DocSecurity>
  <Lines>1821</Lines>
  <Paragraphs>515</Paragraphs>
  <ScaleCrop>false</ScaleCrop>
  <HeadingPairs>
    <vt:vector size="2" baseType="variant">
      <vt:variant>
        <vt:lpstr>Title</vt:lpstr>
      </vt:variant>
      <vt:variant>
        <vt:i4>1</vt:i4>
      </vt:variant>
    </vt:vector>
  </HeadingPairs>
  <TitlesOfParts>
    <vt:vector size="1" baseType="lpstr">
      <vt:lpstr>Glivec, INN-imatinib</vt:lpstr>
    </vt:vector>
  </TitlesOfParts>
  <Company>Novartis</Company>
  <LinksUpToDate>false</LinksUpToDate>
  <CharactersWithSpaces>257905</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10</cp:revision>
  <cp:lastPrinted>2014-10-29T15:30:00Z</cp:lastPrinted>
  <dcterms:created xsi:type="dcterms:W3CDTF">2021-01-27T09:36:00Z</dcterms:created>
  <dcterms:modified xsi:type="dcterms:W3CDTF">2021-05-21T15:58:00Z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2020-03-03T10:49:58.7215156Z</vt:lpwstr>
  </property>
  <property fmtid="{D5CDD505-2E9C-101B-9397-08002B2CF9AE}" pid="5" name="MSIP_Label_4929bff8-5b33-42aa-95d2-28f72e792cb0_Name">
    <vt:lpwstr>Business Use Only</vt:lpwstr>
  </property>
  <property fmtid="{D5CDD505-2E9C-101B-9397-08002B2CF9AE}" pid="6" name="MSIP_Label_4929bff8-5b33-42aa-95d2-28f72e792cb0_ActionId">
    <vt:lpwstr>4e2c9521-3d19-47a7-b21c-4833f09962f4</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0x010100726F91DD1AE57B44B1BCEB7F1056F5D0</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2021-05-21T15:58:20Z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fd946fed-be18-4222-96e5-a2d6a64d6577</vt:lpwstr>
  </property>
  <property fmtid="{D5CDD505-2E9C-101B-9397-08002B2CF9AE}" pid="16" name="MSIP_Label_0eea11ca-d417-4147-80ed-01a58412c458_ContentBits">
    <vt:lpwstr>2</vt:lpwstr>
  </property>
</Properties>
</file>